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2F9CE220"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s="Source Sans Pro"/>
          <w:caps/>
          <w:color w:val="0086A8"/>
          <w:sz w:val="22"/>
          <w:szCs w:val="22"/>
        </w:rPr>
        <w:t>top-7-investment</w:t>
      </w:r>
      <w:r w:rsidR="001550FE">
        <w:rPr>
          <w:rFonts w:ascii="Source Sans Pro" w:hAnsi="Source Sans Pro" w:cs="Source Sans Pro"/>
          <w:caps/>
          <w:color w:val="0086A8"/>
          <w:sz w:val="22"/>
          <w:szCs w:val="22"/>
        </w:rPr>
        <w:t>märkte Q3/2021</w:t>
      </w:r>
      <w:bookmarkStart w:id="0" w:name="_GoBack"/>
      <w:bookmarkEnd w:id="0"/>
      <w:r w:rsidR="00CA79D7" w:rsidRPr="006456EA">
        <w:rPr>
          <w:rFonts w:ascii="Source Sans Pro" w:hAnsi="Source Sans Pro" w:cs="Source Sans Pro"/>
          <w:caps/>
          <w:color w:val="0086A8"/>
          <w:sz w:val="22"/>
          <w:szCs w:val="22"/>
        </w:rPr>
        <w:t xml:space="preserve"> </w:t>
      </w:r>
    </w:p>
    <w:p w14:paraId="7C2D2599" w14:textId="7F48C244" w:rsidR="00CA79D7" w:rsidRDefault="00825F63" w:rsidP="003152C9">
      <w:pPr>
        <w:pStyle w:val="EinfAbs"/>
        <w:tabs>
          <w:tab w:val="left" w:pos="200"/>
        </w:tabs>
        <w:spacing w:line="440" w:lineRule="exact"/>
        <w:rPr>
          <w:rFonts w:ascii="Source Sans Pro" w:hAnsi="Source Sans Pro" w:cs="Source Sans Pro"/>
          <w:sz w:val="36"/>
          <w:szCs w:val="36"/>
        </w:rPr>
      </w:pPr>
      <w:r>
        <w:rPr>
          <w:rFonts w:ascii="Source Sans Pro" w:hAnsi="Source Sans Pro" w:cs="Source Sans Pro"/>
          <w:sz w:val="36"/>
          <w:szCs w:val="36"/>
        </w:rPr>
        <w:t xml:space="preserve">Stabile Entwicklung durch gestiegene Investitionsbereitschaft </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4BAE703F" w:rsidR="00CA79D7" w:rsidRPr="00CA79D7" w:rsidRDefault="00E91E8C" w:rsidP="00CA79D7">
      <w:pPr>
        <w:pStyle w:val="EinfAbs"/>
        <w:tabs>
          <w:tab w:val="left" w:pos="200"/>
        </w:tabs>
        <w:rPr>
          <w:rFonts w:ascii="Source Sans Pro" w:hAnsi="Source Sans Pro" w:cs="Source Sans Pro"/>
          <w:color w:val="0086A8"/>
          <w:sz w:val="22"/>
          <w:szCs w:val="22"/>
        </w:rPr>
      </w:pPr>
      <w:r>
        <w:rPr>
          <w:noProof/>
        </w:rPr>
        <w:drawing>
          <wp:inline distT="0" distB="0" distL="0" distR="0" wp14:anchorId="7E150FC7" wp14:editId="0737DBDF">
            <wp:extent cx="3760967" cy="2134200"/>
            <wp:effectExtent l="19050" t="19050" r="1143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1041" cy="2156940"/>
                    </a:xfrm>
                    <a:prstGeom prst="rect">
                      <a:avLst/>
                    </a:prstGeom>
                    <a:ln w="3175">
                      <a:solidFill>
                        <a:schemeClr val="tx1"/>
                      </a:solidFill>
                    </a:ln>
                  </pic:spPr>
                </pic:pic>
              </a:graphicData>
            </a:graphic>
          </wp:inline>
        </w:drawing>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5270966B" w14:textId="6B0F2561" w:rsidR="007D5A52" w:rsidRDefault="00C50567" w:rsidP="007D5A5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color w:val="0087A8"/>
          <w:sz w:val="22"/>
          <w:szCs w:val="22"/>
        </w:rPr>
        <w:t>4</w:t>
      </w:r>
      <w:r w:rsidR="007D5A52" w:rsidRPr="006456EA">
        <w:rPr>
          <w:rFonts w:ascii="Source Sans Pro" w:hAnsi="Source Sans Pro" w:cs="Source Sans Pro"/>
          <w:color w:val="0087A8"/>
          <w:sz w:val="22"/>
          <w:szCs w:val="22"/>
        </w:rPr>
        <w:t xml:space="preserve">. </w:t>
      </w:r>
      <w:r w:rsidR="001550FE">
        <w:rPr>
          <w:rFonts w:ascii="Source Sans Pro" w:hAnsi="Source Sans Pro" w:cs="Source Sans Pro"/>
          <w:color w:val="0087A8"/>
          <w:sz w:val="22"/>
          <w:szCs w:val="22"/>
        </w:rPr>
        <w:t>Oktober</w:t>
      </w:r>
      <w:r w:rsidR="007D5A52" w:rsidRPr="006456EA">
        <w:rPr>
          <w:rFonts w:ascii="Source Sans Pro" w:hAnsi="Source Sans Pro" w:cs="Source Sans Pro"/>
          <w:color w:val="0087A8"/>
          <w:sz w:val="22"/>
          <w:szCs w:val="22"/>
        </w:rPr>
        <w:t xml:space="preserve"> 2021, Hamburg.</w:t>
      </w:r>
      <w:r w:rsidR="007D5A52">
        <w:rPr>
          <w:rFonts w:ascii="Source Sans Pro" w:hAnsi="Source Sans Pro" w:cs="Source Sans Pro"/>
          <w:color w:val="0086A8"/>
          <w:sz w:val="22"/>
          <w:szCs w:val="22"/>
        </w:rPr>
        <w:t xml:space="preserve"> </w:t>
      </w:r>
      <w:r w:rsidR="007D5A52">
        <w:rPr>
          <w:rFonts w:ascii="Source Sans Pro" w:hAnsi="Source Sans Pro" w:cs="Source Sans Pro"/>
          <w:sz w:val="22"/>
          <w:szCs w:val="22"/>
        </w:rPr>
        <w:t>Das</w:t>
      </w:r>
      <w:r w:rsidR="00A91DC1">
        <w:rPr>
          <w:rFonts w:ascii="Source Sans Pro" w:hAnsi="Source Sans Pro" w:cs="Source Sans Pro"/>
          <w:sz w:val="22"/>
          <w:szCs w:val="22"/>
        </w:rPr>
        <w:t xml:space="preserve"> Transaktionsvolumen</w:t>
      </w:r>
      <w:r w:rsidR="00EB1611">
        <w:rPr>
          <w:rFonts w:ascii="Source Sans Pro" w:hAnsi="Source Sans Pro" w:cs="Source Sans Pro"/>
          <w:sz w:val="22"/>
          <w:szCs w:val="22"/>
        </w:rPr>
        <w:t xml:space="preserve"> (TAV)</w:t>
      </w:r>
      <w:r w:rsidR="00A91DC1">
        <w:rPr>
          <w:rFonts w:ascii="Source Sans Pro" w:hAnsi="Source Sans Pro" w:cs="Source Sans Pro"/>
          <w:sz w:val="22"/>
          <w:szCs w:val="22"/>
        </w:rPr>
        <w:t xml:space="preserve"> für gewerbliche Immobilieninvestments</w:t>
      </w:r>
      <w:r w:rsidR="007D5A52">
        <w:rPr>
          <w:rFonts w:ascii="Source Sans Pro" w:hAnsi="Source Sans Pro" w:cs="Source Sans Pro"/>
          <w:sz w:val="22"/>
          <w:szCs w:val="22"/>
        </w:rPr>
        <w:t xml:space="preserve"> </w:t>
      </w:r>
      <w:r w:rsidR="00A91DC1">
        <w:rPr>
          <w:rFonts w:ascii="Source Sans Pro" w:hAnsi="Source Sans Pro" w:cs="Source Sans Pro"/>
          <w:sz w:val="22"/>
          <w:szCs w:val="22"/>
        </w:rPr>
        <w:t xml:space="preserve">an den deutschen Top-7-Standorten </w:t>
      </w:r>
      <w:r w:rsidR="00EB1611">
        <w:rPr>
          <w:rFonts w:ascii="Source Sans Pro" w:hAnsi="Source Sans Pro" w:cs="Source Sans Pro"/>
          <w:sz w:val="22"/>
          <w:szCs w:val="22"/>
        </w:rPr>
        <w:t>blieb</w:t>
      </w:r>
      <w:r w:rsidR="00A91DC1">
        <w:rPr>
          <w:rFonts w:ascii="Source Sans Pro" w:hAnsi="Source Sans Pro" w:cs="Source Sans Pro"/>
          <w:sz w:val="22"/>
          <w:szCs w:val="22"/>
        </w:rPr>
        <w:t xml:space="preserve"> auch zum Ende des 3. Quartals 2021 auf stabilem Niveau. Insgesamt wurden Immobilien im Wert von 19,2 Mrd. € veräußert, was einem leichten Minus von 1 % gegenüber dem Vorjahr entspricht. </w:t>
      </w:r>
      <w:r w:rsidR="00EB1611">
        <w:rPr>
          <w:rFonts w:ascii="Source Sans Pro" w:hAnsi="Source Sans Pro" w:cs="Source Sans Pro"/>
          <w:sz w:val="22"/>
          <w:szCs w:val="22"/>
        </w:rPr>
        <w:t xml:space="preserve">Das TAV der einzelnen Märkte entwickelt sich jedoch weiterhin sehr unterschiedlich. </w:t>
      </w:r>
      <w:r w:rsidR="00A91DC1" w:rsidRPr="00A91DC1">
        <w:rPr>
          <w:rFonts w:ascii="Source Sans Pro" w:hAnsi="Source Sans Pro" w:cs="Source Sans Pro"/>
          <w:i/>
          <w:sz w:val="22"/>
          <w:szCs w:val="22"/>
        </w:rPr>
        <w:t>„Bei einem Großteil der Märkte besteht eine anhaltend hohe Produktknappheit. Hohe Steigerungsraten wie in Berlin, Frankfurt und München sind insbesondere auf Sondereffekte zurückzuführen</w:t>
      </w:r>
      <w:r w:rsidR="005E1C97">
        <w:rPr>
          <w:rFonts w:ascii="Source Sans Pro" w:hAnsi="Source Sans Pro" w:cs="Source Sans Pro"/>
          <w:i/>
          <w:sz w:val="22"/>
          <w:szCs w:val="22"/>
        </w:rPr>
        <w:t>. Sie verweisen aber dennoch auf eine hohe Investitionsbereitschaft</w:t>
      </w:r>
      <w:r w:rsidR="00A91DC1" w:rsidRPr="00A91DC1">
        <w:rPr>
          <w:rFonts w:ascii="Source Sans Pro" w:hAnsi="Source Sans Pro" w:cs="Source Sans Pro"/>
          <w:i/>
          <w:sz w:val="22"/>
          <w:szCs w:val="22"/>
        </w:rPr>
        <w:t>“</w:t>
      </w:r>
      <w:r w:rsidR="00A91DC1">
        <w:rPr>
          <w:rFonts w:ascii="Source Sans Pro" w:hAnsi="Source Sans Pro" w:cs="Source Sans Pro"/>
          <w:sz w:val="22"/>
          <w:szCs w:val="22"/>
        </w:rPr>
        <w:t xml:space="preserve">, erläutert </w:t>
      </w:r>
      <w:r w:rsidR="00A91DC1" w:rsidRPr="00A91DC1">
        <w:rPr>
          <w:rFonts w:ascii="Source Sans Pro" w:hAnsi="Source Sans Pro" w:cs="Source Sans Pro"/>
          <w:b/>
          <w:sz w:val="22"/>
          <w:szCs w:val="22"/>
        </w:rPr>
        <w:t>Oliver Schön</w:t>
      </w:r>
      <w:r w:rsidR="00A91DC1">
        <w:rPr>
          <w:rFonts w:ascii="Source Sans Pro" w:hAnsi="Source Sans Pro" w:cs="Source Sans Pro"/>
          <w:sz w:val="22"/>
          <w:szCs w:val="22"/>
        </w:rPr>
        <w:t>, Sprecher von German Property Partners (GPP).</w:t>
      </w:r>
      <w:r w:rsidR="007D5A52">
        <w:rPr>
          <w:rFonts w:ascii="Source Sans Pro" w:hAnsi="Source Sans Pro" w:cs="Source Sans Pro"/>
          <w:sz w:val="22"/>
          <w:szCs w:val="22"/>
        </w:rPr>
        <w:t xml:space="preserve"> </w:t>
      </w:r>
      <w:r w:rsidR="00EB1611" w:rsidRPr="00EB1611">
        <w:rPr>
          <w:rFonts w:ascii="Source Sans Pro" w:hAnsi="Source Sans Pro" w:cs="Source Sans Pro"/>
          <w:sz w:val="22"/>
          <w:szCs w:val="22"/>
        </w:rPr>
        <w:t xml:space="preserve">Zu dem Gewerbeimmobiliennetzwerk gehören </w:t>
      </w:r>
      <w:r w:rsidR="00EB1611" w:rsidRPr="00EB1611">
        <w:rPr>
          <w:rFonts w:ascii="Source Sans Pro" w:hAnsi="Source Sans Pro" w:cs="Arial"/>
          <w:bCs/>
          <w:sz w:val="22"/>
          <w:szCs w:val="22"/>
        </w:rPr>
        <w:t xml:space="preserve">Grossmann &amp; Berger, </w:t>
      </w:r>
      <w:proofErr w:type="spellStart"/>
      <w:r w:rsidR="00EB1611" w:rsidRPr="00EB1611">
        <w:rPr>
          <w:rFonts w:ascii="Source Sans Pro" w:hAnsi="Source Sans Pro" w:cs="Arial"/>
          <w:bCs/>
          <w:sz w:val="22"/>
          <w:szCs w:val="22"/>
        </w:rPr>
        <w:t>Anteon</w:t>
      </w:r>
      <w:proofErr w:type="spellEnd"/>
      <w:r w:rsidR="00EB1611" w:rsidRPr="00EB1611">
        <w:rPr>
          <w:rFonts w:ascii="Source Sans Pro" w:hAnsi="Source Sans Pro" w:cs="Arial"/>
          <w:bCs/>
          <w:sz w:val="22"/>
          <w:szCs w:val="22"/>
        </w:rPr>
        <w:t xml:space="preserve"> Immobilien, GREIF &amp; CONTZEN Immobilien, </w:t>
      </w:r>
      <w:proofErr w:type="spellStart"/>
      <w:r w:rsidR="00EB1611" w:rsidRPr="00EB1611">
        <w:rPr>
          <w:rFonts w:ascii="Source Sans Pro" w:hAnsi="Source Sans Pro" w:cs="Arial"/>
          <w:bCs/>
          <w:sz w:val="22"/>
          <w:szCs w:val="22"/>
        </w:rPr>
        <w:t>b</w:t>
      </w:r>
      <w:r w:rsidR="00EB1611">
        <w:rPr>
          <w:rFonts w:ascii="Source Sans Pro" w:hAnsi="Source Sans Pro" w:cs="Arial"/>
          <w:bCs/>
          <w:sz w:val="22"/>
          <w:szCs w:val="22"/>
        </w:rPr>
        <w:t>lackolive</w:t>
      </w:r>
      <w:proofErr w:type="spellEnd"/>
      <w:r w:rsidR="00EB1611">
        <w:rPr>
          <w:rFonts w:ascii="Source Sans Pro" w:hAnsi="Source Sans Pro" w:cs="Arial"/>
          <w:bCs/>
          <w:sz w:val="22"/>
          <w:szCs w:val="22"/>
        </w:rPr>
        <w:t xml:space="preserve"> und E &amp; G Real Estate.</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0B417A4C" w:rsidR="007D5A52" w:rsidRPr="006456EA" w:rsidRDefault="00D53B8E"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s="Source Sans Pro"/>
          <w:caps/>
          <w:color w:val="0086A8"/>
          <w:sz w:val="22"/>
          <w:szCs w:val="22"/>
        </w:rPr>
        <w:t>sondereffekte und marktbelebung pushen investmentmärkte</w:t>
      </w:r>
    </w:p>
    <w:p w14:paraId="6ECCC731" w14:textId="3DCF2CE0" w:rsidR="000136D7" w:rsidRDefault="00EB1611"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Eine besonders starke Entwicklung des TAV verzeichnete Frankfurt im 3. Quartal. Die Veräußerungen des „FOUR – T1“ und des „</w:t>
      </w:r>
      <w:proofErr w:type="spellStart"/>
      <w:r>
        <w:rPr>
          <w:rFonts w:ascii="Source Sans Pro" w:hAnsi="Source Sans Pro" w:cs="Source Sans Pro"/>
          <w:sz w:val="22"/>
          <w:szCs w:val="22"/>
        </w:rPr>
        <w:t>Skyper</w:t>
      </w:r>
      <w:proofErr w:type="spellEnd"/>
      <w:r>
        <w:rPr>
          <w:rFonts w:ascii="Source Sans Pro" w:hAnsi="Source Sans Pro" w:cs="Source Sans Pro"/>
          <w:sz w:val="22"/>
          <w:szCs w:val="22"/>
        </w:rPr>
        <w:t>“ für</w:t>
      </w:r>
      <w:r w:rsidR="00A63939">
        <w:rPr>
          <w:rFonts w:ascii="Source Sans Pro" w:hAnsi="Source Sans Pro" w:cs="Source Sans Pro"/>
          <w:sz w:val="22"/>
          <w:szCs w:val="22"/>
        </w:rPr>
        <w:t xml:space="preserve"> insgesamt knapp 2 Mrd. €</w:t>
      </w:r>
      <w:r>
        <w:rPr>
          <w:rFonts w:ascii="Source Sans Pro" w:hAnsi="Source Sans Pro" w:cs="Source Sans Pro"/>
          <w:sz w:val="22"/>
          <w:szCs w:val="22"/>
        </w:rPr>
        <w:t xml:space="preserve"> </w:t>
      </w:r>
      <w:r w:rsidR="007C5441">
        <w:rPr>
          <w:rFonts w:ascii="Source Sans Pro" w:hAnsi="Source Sans Pro" w:cs="Source Sans Pro"/>
          <w:sz w:val="22"/>
          <w:szCs w:val="22"/>
        </w:rPr>
        <w:t>trugen mehrheitlich zu dem Umsatzp</w:t>
      </w:r>
      <w:r>
        <w:rPr>
          <w:rFonts w:ascii="Source Sans Pro" w:hAnsi="Source Sans Pro" w:cs="Source Sans Pro"/>
          <w:sz w:val="22"/>
          <w:szCs w:val="22"/>
        </w:rPr>
        <w:t>lus von 19 %</w:t>
      </w:r>
      <w:r w:rsidR="007C5441">
        <w:rPr>
          <w:rFonts w:ascii="Source Sans Pro" w:hAnsi="Source Sans Pro" w:cs="Source Sans Pro"/>
          <w:sz w:val="22"/>
          <w:szCs w:val="22"/>
        </w:rPr>
        <w:t xml:space="preserve"> bei, nachdem das Transaktionsgeschehen </w:t>
      </w:r>
      <w:r w:rsidR="00A63939">
        <w:rPr>
          <w:rFonts w:ascii="Source Sans Pro" w:hAnsi="Source Sans Pro" w:cs="Source Sans Pro"/>
          <w:sz w:val="22"/>
          <w:szCs w:val="22"/>
        </w:rPr>
        <w:t>im 1. Halbjahr</w:t>
      </w:r>
      <w:r w:rsidR="007C5441">
        <w:rPr>
          <w:rFonts w:ascii="Source Sans Pro" w:hAnsi="Source Sans Pro" w:cs="Source Sans Pro"/>
          <w:sz w:val="22"/>
          <w:szCs w:val="22"/>
        </w:rPr>
        <w:t xml:space="preserve"> noch äußerst schwach war.</w:t>
      </w:r>
      <w:r w:rsidR="00A63939">
        <w:rPr>
          <w:rFonts w:ascii="Source Sans Pro" w:hAnsi="Source Sans Pro" w:cs="Source Sans Pro"/>
          <w:sz w:val="22"/>
          <w:szCs w:val="22"/>
        </w:rPr>
        <w:t xml:space="preserve"> Das größte Umsatzplus im 3. Quartal verzeichneten</w:t>
      </w:r>
      <w:r w:rsidR="007C5441">
        <w:rPr>
          <w:rFonts w:ascii="Source Sans Pro" w:hAnsi="Source Sans Pro" w:cs="Source Sans Pro"/>
          <w:sz w:val="22"/>
          <w:szCs w:val="22"/>
        </w:rPr>
        <w:t xml:space="preserve"> </w:t>
      </w:r>
      <w:r w:rsidR="00A63939">
        <w:rPr>
          <w:rFonts w:ascii="Source Sans Pro" w:hAnsi="Source Sans Pro" w:cs="Source Sans Pro"/>
          <w:sz w:val="22"/>
          <w:szCs w:val="22"/>
        </w:rPr>
        <w:t xml:space="preserve">Berlin und München mit je 22 %. Beide Metropolen profitierten dabei </w:t>
      </w:r>
      <w:r w:rsidR="00825F63">
        <w:rPr>
          <w:rFonts w:ascii="Source Sans Pro" w:hAnsi="Source Sans Pro" w:cs="Source Sans Pro"/>
          <w:sz w:val="22"/>
          <w:szCs w:val="22"/>
        </w:rPr>
        <w:t xml:space="preserve">u. a. </w:t>
      </w:r>
      <w:r w:rsidR="00A63939">
        <w:rPr>
          <w:rFonts w:ascii="Source Sans Pro" w:hAnsi="Source Sans Pro" w:cs="Source Sans Pro"/>
          <w:sz w:val="22"/>
          <w:szCs w:val="22"/>
        </w:rPr>
        <w:t xml:space="preserve">von den starken Vorquartalen mit Sondereffekten. </w:t>
      </w:r>
      <w:r w:rsidR="00825F63">
        <w:rPr>
          <w:rFonts w:ascii="Source Sans Pro" w:hAnsi="Source Sans Pro" w:cs="Source Sans Pro"/>
          <w:sz w:val="22"/>
          <w:szCs w:val="22"/>
        </w:rPr>
        <w:t>In Berlin wurden zudem einige Ob</w:t>
      </w:r>
      <w:r w:rsidR="00150092">
        <w:rPr>
          <w:rFonts w:ascii="Source Sans Pro" w:hAnsi="Source Sans Pro" w:cs="Source Sans Pro"/>
          <w:sz w:val="22"/>
          <w:szCs w:val="22"/>
        </w:rPr>
        <w:t>jekte zu Kaufpreisen über 100 Mio.</w:t>
      </w:r>
      <w:r w:rsidR="00825F63">
        <w:rPr>
          <w:rFonts w:ascii="Source Sans Pro" w:hAnsi="Source Sans Pro" w:cs="Source Sans Pro"/>
          <w:sz w:val="22"/>
          <w:szCs w:val="22"/>
        </w:rPr>
        <w:t xml:space="preserve"> € veräußert. </w:t>
      </w:r>
      <w:r w:rsidR="005E1C97">
        <w:rPr>
          <w:rFonts w:ascii="Source Sans Pro" w:hAnsi="Source Sans Pro" w:cs="Source Sans Pro"/>
          <w:sz w:val="22"/>
          <w:szCs w:val="22"/>
        </w:rPr>
        <w:t>I</w:t>
      </w:r>
      <w:r w:rsidR="00A63939">
        <w:rPr>
          <w:rFonts w:ascii="Source Sans Pro" w:hAnsi="Source Sans Pro" w:cs="Source Sans Pro"/>
          <w:sz w:val="22"/>
          <w:szCs w:val="22"/>
        </w:rPr>
        <w:t xml:space="preserve">n Köln </w:t>
      </w:r>
      <w:r w:rsidR="005E1C97">
        <w:rPr>
          <w:rFonts w:ascii="Source Sans Pro" w:hAnsi="Source Sans Pro" w:cs="Source Sans Pro"/>
          <w:sz w:val="22"/>
          <w:szCs w:val="22"/>
        </w:rPr>
        <w:t xml:space="preserve">blieb </w:t>
      </w:r>
      <w:r w:rsidR="00A63939">
        <w:rPr>
          <w:rFonts w:ascii="Source Sans Pro" w:hAnsi="Source Sans Pro" w:cs="Source Sans Pro"/>
          <w:sz w:val="22"/>
          <w:szCs w:val="22"/>
        </w:rPr>
        <w:t xml:space="preserve">das </w:t>
      </w:r>
      <w:r w:rsidR="006B3ECE">
        <w:rPr>
          <w:rFonts w:ascii="Source Sans Pro" w:hAnsi="Source Sans Pro" w:cs="Source Sans Pro"/>
          <w:sz w:val="22"/>
          <w:szCs w:val="22"/>
        </w:rPr>
        <w:t>TAV</w:t>
      </w:r>
      <w:r w:rsidR="00A63939">
        <w:rPr>
          <w:rFonts w:ascii="Source Sans Pro" w:hAnsi="Source Sans Pro" w:cs="Source Sans Pro"/>
          <w:sz w:val="22"/>
          <w:szCs w:val="22"/>
        </w:rPr>
        <w:t xml:space="preserve"> </w:t>
      </w:r>
      <w:r w:rsidR="005E1C97">
        <w:rPr>
          <w:rFonts w:ascii="Source Sans Pro" w:hAnsi="Source Sans Pro" w:cs="Source Sans Pro"/>
          <w:sz w:val="22"/>
          <w:szCs w:val="22"/>
        </w:rPr>
        <w:t>bislang noch auf dem Niveau des Vorjahres, inzwischen sind die Investoren aber sehr aktiv geworden und haben einige Verkaufsprozesse begonnen.</w:t>
      </w:r>
      <w:r w:rsidR="00A63939">
        <w:rPr>
          <w:rFonts w:ascii="Source Sans Pro" w:hAnsi="Source Sans Pro" w:cs="Source Sans Pro"/>
          <w:sz w:val="22"/>
          <w:szCs w:val="22"/>
        </w:rPr>
        <w:t xml:space="preserve"> </w:t>
      </w:r>
      <w:r w:rsidR="005E1C97">
        <w:rPr>
          <w:rFonts w:ascii="Source Sans Pro" w:hAnsi="Source Sans Pro" w:cs="Source Sans Pro"/>
          <w:sz w:val="22"/>
          <w:szCs w:val="22"/>
        </w:rPr>
        <w:t>I</w:t>
      </w:r>
      <w:r w:rsidR="00C742DD">
        <w:rPr>
          <w:rFonts w:ascii="Source Sans Pro" w:hAnsi="Source Sans Pro" w:cs="Source Sans Pro"/>
          <w:sz w:val="22"/>
          <w:szCs w:val="22"/>
        </w:rPr>
        <w:t xml:space="preserve">n Stuttgart </w:t>
      </w:r>
      <w:r w:rsidR="005E1C97">
        <w:rPr>
          <w:rFonts w:ascii="Source Sans Pro" w:hAnsi="Source Sans Pro" w:cs="Source Sans Pro"/>
          <w:sz w:val="22"/>
          <w:szCs w:val="22"/>
        </w:rPr>
        <w:t xml:space="preserve">lag das TAV </w:t>
      </w:r>
      <w:r w:rsidR="006B3ECE">
        <w:rPr>
          <w:rFonts w:ascii="Source Sans Pro" w:hAnsi="Source Sans Pro" w:cs="Source Sans Pro"/>
          <w:sz w:val="22"/>
          <w:szCs w:val="22"/>
        </w:rPr>
        <w:t xml:space="preserve">mit </w:t>
      </w:r>
      <w:r w:rsidR="006B3ECE">
        <w:rPr>
          <w:rFonts w:ascii="Source Sans Pro" w:hAnsi="Source Sans Pro" w:cs="Source Sans Pro"/>
          <w:sz w:val="22"/>
          <w:szCs w:val="22"/>
        </w:rPr>
        <w:noBreakHyphen/>
      </w:r>
      <w:r w:rsidR="00C742DD">
        <w:rPr>
          <w:rFonts w:ascii="Source Sans Pro" w:hAnsi="Source Sans Pro" w:cs="Source Sans Pro"/>
          <w:sz w:val="22"/>
          <w:szCs w:val="22"/>
        </w:rPr>
        <w:t xml:space="preserve">12 % noch unter Vorjahresniveau. Allerdings wurde </w:t>
      </w:r>
      <w:r w:rsidR="00750A05">
        <w:rPr>
          <w:rFonts w:ascii="Source Sans Pro" w:hAnsi="Source Sans Pro" w:cs="Source Sans Pro"/>
          <w:sz w:val="22"/>
          <w:szCs w:val="22"/>
        </w:rPr>
        <w:t xml:space="preserve">in der baden-württembergischen Landeshauptstadt </w:t>
      </w:r>
      <w:r w:rsidR="00C742DD">
        <w:rPr>
          <w:rFonts w:ascii="Source Sans Pro" w:hAnsi="Source Sans Pro" w:cs="Source Sans Pro"/>
          <w:sz w:val="22"/>
          <w:szCs w:val="22"/>
        </w:rPr>
        <w:t xml:space="preserve">im 3. Quartal 2021 deutlich mehr umgesetzt als vor einem Jahr. Der anhaltend hohe Mangel an Core-Objekten </w:t>
      </w:r>
      <w:r w:rsidR="006B3ECE">
        <w:rPr>
          <w:rFonts w:ascii="Source Sans Pro" w:hAnsi="Source Sans Pro" w:cs="Source Sans Pro"/>
          <w:sz w:val="22"/>
          <w:szCs w:val="22"/>
        </w:rPr>
        <w:t>sorgte</w:t>
      </w:r>
      <w:r w:rsidR="005E1C97">
        <w:rPr>
          <w:rFonts w:ascii="Source Sans Pro" w:hAnsi="Source Sans Pro" w:cs="Source Sans Pro"/>
          <w:sz w:val="22"/>
          <w:szCs w:val="22"/>
        </w:rPr>
        <w:t xml:space="preserve"> in Hamburg (-42 </w:t>
      </w:r>
      <w:r w:rsidR="00C742DD">
        <w:rPr>
          <w:rFonts w:ascii="Source Sans Pro" w:hAnsi="Source Sans Pro" w:cs="Source Sans Pro"/>
          <w:sz w:val="22"/>
          <w:szCs w:val="22"/>
        </w:rPr>
        <w:t xml:space="preserve">%) und Düsseldorf (-41 %) für ein weiterhin niedriges Transaktionsvolumen. </w:t>
      </w:r>
      <w:r w:rsidR="00750A05">
        <w:rPr>
          <w:rFonts w:ascii="Source Sans Pro" w:hAnsi="Source Sans Pro" w:cs="Source Sans Pro"/>
          <w:sz w:val="22"/>
          <w:szCs w:val="22"/>
        </w:rPr>
        <w:t xml:space="preserve">Im Vergleich zu den ersten beiden Quartalen 2021 </w:t>
      </w:r>
      <w:r w:rsidR="00C742DD">
        <w:rPr>
          <w:rFonts w:ascii="Source Sans Pro" w:hAnsi="Source Sans Pro" w:cs="Source Sans Pro"/>
          <w:sz w:val="22"/>
          <w:szCs w:val="22"/>
        </w:rPr>
        <w:t xml:space="preserve">hat das Marktgeschehen </w:t>
      </w:r>
      <w:r w:rsidR="00750A05">
        <w:rPr>
          <w:rFonts w:ascii="Source Sans Pro" w:hAnsi="Source Sans Pro" w:cs="Source Sans Pro"/>
          <w:sz w:val="22"/>
          <w:szCs w:val="22"/>
        </w:rPr>
        <w:t xml:space="preserve">in der Hansestadt </w:t>
      </w:r>
      <w:r w:rsidR="00D53B8E">
        <w:rPr>
          <w:rFonts w:ascii="Source Sans Pro" w:hAnsi="Source Sans Pro" w:cs="Source Sans Pro"/>
          <w:sz w:val="22"/>
          <w:szCs w:val="22"/>
        </w:rPr>
        <w:t xml:space="preserve">jedoch </w:t>
      </w:r>
      <w:r w:rsidR="00C742DD">
        <w:rPr>
          <w:rFonts w:ascii="Source Sans Pro" w:hAnsi="Source Sans Pro" w:cs="Source Sans Pro"/>
          <w:sz w:val="22"/>
          <w:szCs w:val="22"/>
        </w:rPr>
        <w:t xml:space="preserve">wieder </w:t>
      </w:r>
      <w:r w:rsidR="00DA4453">
        <w:rPr>
          <w:rFonts w:ascii="Source Sans Pro" w:hAnsi="Source Sans Pro" w:cs="Source Sans Pro"/>
          <w:sz w:val="22"/>
          <w:szCs w:val="22"/>
        </w:rPr>
        <w:t xml:space="preserve">deutlich </w:t>
      </w:r>
      <w:r w:rsidR="00C742DD">
        <w:rPr>
          <w:rFonts w:ascii="Source Sans Pro" w:hAnsi="Source Sans Pro" w:cs="Source Sans Pro"/>
          <w:sz w:val="22"/>
          <w:szCs w:val="22"/>
        </w:rPr>
        <w:t>an Fahrt aufgenommen, da Investoren hier wieder auf alle Risikoklassen setzen. In Düsseldorf zeig</w:t>
      </w:r>
      <w:r w:rsidR="00825F63">
        <w:rPr>
          <w:rFonts w:ascii="Source Sans Pro" w:hAnsi="Source Sans Pro" w:cs="Source Sans Pro"/>
          <w:sz w:val="22"/>
          <w:szCs w:val="22"/>
        </w:rPr>
        <w:t>t</w:t>
      </w:r>
      <w:r w:rsidR="00C742DD">
        <w:rPr>
          <w:rFonts w:ascii="Source Sans Pro" w:hAnsi="Source Sans Pro" w:cs="Source Sans Pro"/>
          <w:sz w:val="22"/>
          <w:szCs w:val="22"/>
        </w:rPr>
        <w:t>en sich Anleger hingegen noch zurückhaltender und setz</w:t>
      </w:r>
      <w:r w:rsidR="000E4F2C">
        <w:rPr>
          <w:rFonts w:ascii="Source Sans Pro" w:hAnsi="Source Sans Pro" w:cs="Source Sans Pro"/>
          <w:sz w:val="22"/>
          <w:szCs w:val="22"/>
        </w:rPr>
        <w:t>t</w:t>
      </w:r>
      <w:r w:rsidR="00C742DD">
        <w:rPr>
          <w:rFonts w:ascii="Source Sans Pro" w:hAnsi="Source Sans Pro" w:cs="Source Sans Pro"/>
          <w:sz w:val="22"/>
          <w:szCs w:val="22"/>
        </w:rPr>
        <w:t xml:space="preserve">en auf sichere Core-Objekte. </w:t>
      </w:r>
      <w:r w:rsidR="006B3ECE">
        <w:rPr>
          <w:rFonts w:ascii="Source Sans Pro" w:hAnsi="Source Sans Pro" w:cs="Source Sans Pro"/>
          <w:sz w:val="22"/>
          <w:szCs w:val="22"/>
        </w:rPr>
        <w:t xml:space="preserve">An vier der Top-7-Standorte blieb der Anteil an Portfolio-Verkäufen weiterhin niedrig, den größten Rückgang verzeichnete </w:t>
      </w:r>
      <w:r w:rsidR="00825F63">
        <w:rPr>
          <w:rFonts w:ascii="Source Sans Pro" w:hAnsi="Source Sans Pro" w:cs="Source Sans Pro"/>
          <w:sz w:val="22"/>
          <w:szCs w:val="22"/>
        </w:rPr>
        <w:t xml:space="preserve">Berlin </w:t>
      </w:r>
      <w:r w:rsidR="006B3ECE">
        <w:rPr>
          <w:rFonts w:ascii="Source Sans Pro" w:hAnsi="Source Sans Pro" w:cs="Source Sans Pro"/>
          <w:sz w:val="22"/>
          <w:szCs w:val="22"/>
        </w:rPr>
        <w:t>mit -73 %. Hingegen stieg der Anteil in Stuttgart auf +257,5 %.</w:t>
      </w:r>
    </w:p>
    <w:p w14:paraId="1260B05C" w14:textId="77777777" w:rsidR="00825F63" w:rsidRDefault="00825F63" w:rsidP="00162CC4">
      <w:pPr>
        <w:snapToGrid w:val="0"/>
        <w:spacing w:line="280" w:lineRule="exact"/>
        <w:jc w:val="both"/>
        <w:rPr>
          <w:rFonts w:ascii="Source Sans Pro" w:hAnsi="Source Sans Pro" w:cs="Source Sans Pro"/>
          <w:caps/>
          <w:color w:val="0086A8"/>
          <w:sz w:val="22"/>
          <w:szCs w:val="22"/>
        </w:rPr>
      </w:pPr>
    </w:p>
    <w:p w14:paraId="0642031D" w14:textId="544912BD" w:rsidR="009A10C6" w:rsidRPr="00162CC4" w:rsidRDefault="00162CC4" w:rsidP="00162CC4">
      <w:pPr>
        <w:snapToGrid w:val="0"/>
        <w:spacing w:line="280" w:lineRule="exact"/>
        <w:jc w:val="both"/>
        <w:rPr>
          <w:rFonts w:ascii="Source Sans Pro" w:hAnsi="Source Sans Pro" w:cs="Source Sans Pro"/>
          <w:caps/>
          <w:color w:val="0086A8"/>
          <w:sz w:val="22"/>
          <w:szCs w:val="22"/>
        </w:rPr>
      </w:pPr>
      <w:r w:rsidRPr="00162CC4">
        <w:rPr>
          <w:rFonts w:ascii="Source Sans Pro" w:hAnsi="Source Sans Pro" w:cs="Source Sans Pro"/>
          <w:caps/>
          <w:color w:val="0086A8"/>
          <w:sz w:val="22"/>
          <w:szCs w:val="22"/>
        </w:rPr>
        <w:t>Spitzenrenditen für Büro- und Logistikimmobilien weiter unter Druck</w:t>
      </w:r>
    </w:p>
    <w:p w14:paraId="5645A3D2" w14:textId="280F9AA4"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Das Interesse von ausländischen Investoren zeigte sich mit einem Anteil von 33 % insgesamt stabil. Während ihr Anteil am Großteil der Top-7-Standorte auf ähnlichem Niveau wie im Vorjahr lag, blieb ihr Anteil in Hamburg und Frankfurt n</w:t>
      </w:r>
      <w:r w:rsidR="00E64DDC">
        <w:rPr>
          <w:rFonts w:ascii="Source Sans Pro" w:hAnsi="Source Sans Pro" w:cs="Source Sans Pro"/>
          <w:sz w:val="22"/>
          <w:szCs w:val="22"/>
        </w:rPr>
        <w:t xml:space="preserve">och weit unter Vorjahresniveau. Als beliebteste </w:t>
      </w:r>
      <w:proofErr w:type="spellStart"/>
      <w:r w:rsidR="00E64DDC">
        <w:rPr>
          <w:rFonts w:ascii="Source Sans Pro" w:hAnsi="Source Sans Pro" w:cs="Source Sans Pro"/>
          <w:sz w:val="22"/>
          <w:szCs w:val="22"/>
        </w:rPr>
        <w:t>Assetklasse</w:t>
      </w:r>
      <w:proofErr w:type="spellEnd"/>
      <w:r w:rsidR="00E64DDC">
        <w:rPr>
          <w:rFonts w:ascii="Source Sans Pro" w:hAnsi="Source Sans Pro" w:cs="Source Sans Pro"/>
          <w:sz w:val="22"/>
          <w:szCs w:val="22"/>
        </w:rPr>
        <w:t xml:space="preserve"> erweisen sich weiterhin Büro-Immobilien.</w:t>
      </w:r>
      <w:r w:rsidR="00162CC4">
        <w:rPr>
          <w:rFonts w:ascii="Source Sans Pro" w:hAnsi="Source Sans Pro" w:cs="Source Sans Pro"/>
          <w:sz w:val="22"/>
          <w:szCs w:val="22"/>
        </w:rPr>
        <w:t xml:space="preserve"> </w:t>
      </w:r>
      <w:r w:rsidR="00162CC4" w:rsidRPr="00162CC4">
        <w:rPr>
          <w:rFonts w:ascii="Source Sans Pro" w:hAnsi="Source Sans Pro" w:cs="Source Sans Pro"/>
          <w:i/>
          <w:sz w:val="22"/>
          <w:szCs w:val="22"/>
        </w:rPr>
        <w:t xml:space="preserve">„Durch die Corona-Pandemie und die Unsicherheiten an den Arbeitsmärkten war die Investitionsbereitschaft in Büro-Immobilien vielerorts zwischenzeitlich zurückgegangen. </w:t>
      </w:r>
      <w:r w:rsidR="00D42152">
        <w:rPr>
          <w:rFonts w:ascii="Source Sans Pro" w:hAnsi="Source Sans Pro" w:cs="Source Sans Pro"/>
          <w:i/>
          <w:sz w:val="22"/>
          <w:szCs w:val="22"/>
        </w:rPr>
        <w:t>Seit</w:t>
      </w:r>
      <w:r w:rsidR="00162CC4" w:rsidRPr="00162CC4">
        <w:rPr>
          <w:rFonts w:ascii="Source Sans Pro" w:hAnsi="Source Sans Pro" w:cs="Source Sans Pro"/>
          <w:i/>
          <w:sz w:val="22"/>
          <w:szCs w:val="22"/>
        </w:rPr>
        <w:t xml:space="preserve"> Ende des zweiten </w:t>
      </w:r>
      <w:proofErr w:type="spellStart"/>
      <w:r w:rsidR="00162CC4" w:rsidRPr="00162CC4">
        <w:rPr>
          <w:rFonts w:ascii="Source Sans Pro" w:hAnsi="Source Sans Pro" w:cs="Source Sans Pro"/>
          <w:i/>
          <w:sz w:val="22"/>
          <w:szCs w:val="22"/>
        </w:rPr>
        <w:t>Lockdowns</w:t>
      </w:r>
      <w:proofErr w:type="spellEnd"/>
      <w:r w:rsidR="00162CC4" w:rsidRPr="00162CC4">
        <w:rPr>
          <w:rFonts w:ascii="Source Sans Pro" w:hAnsi="Source Sans Pro" w:cs="Source Sans Pro"/>
          <w:i/>
          <w:sz w:val="22"/>
          <w:szCs w:val="22"/>
        </w:rPr>
        <w:t xml:space="preserve"> erstarken die Büromärkte an ein</w:t>
      </w:r>
      <w:r w:rsidR="00D53B8E">
        <w:rPr>
          <w:rFonts w:ascii="Source Sans Pro" w:hAnsi="Source Sans Pro" w:cs="Source Sans Pro"/>
          <w:i/>
          <w:sz w:val="22"/>
          <w:szCs w:val="22"/>
        </w:rPr>
        <w:t>ig</w:t>
      </w:r>
      <w:r w:rsidR="00162CC4" w:rsidRPr="00162CC4">
        <w:rPr>
          <w:rFonts w:ascii="Source Sans Pro" w:hAnsi="Source Sans Pro" w:cs="Source Sans Pro"/>
          <w:i/>
          <w:sz w:val="22"/>
          <w:szCs w:val="22"/>
        </w:rPr>
        <w:t>en Standorten wieder spürbar</w:t>
      </w:r>
      <w:r w:rsidR="005E1C97">
        <w:rPr>
          <w:rFonts w:ascii="Source Sans Pro" w:hAnsi="Source Sans Pro" w:cs="Source Sans Pro"/>
          <w:i/>
          <w:sz w:val="22"/>
          <w:szCs w:val="22"/>
        </w:rPr>
        <w:t xml:space="preserve"> und dies stützt wiederum den Investmentmarkt in dieser so wichtigen </w:t>
      </w:r>
      <w:proofErr w:type="spellStart"/>
      <w:r w:rsidR="005E1C97">
        <w:rPr>
          <w:rFonts w:ascii="Source Sans Pro" w:hAnsi="Source Sans Pro" w:cs="Source Sans Pro"/>
          <w:i/>
          <w:sz w:val="22"/>
          <w:szCs w:val="22"/>
        </w:rPr>
        <w:t>Assetklasse</w:t>
      </w:r>
      <w:proofErr w:type="spellEnd"/>
      <w:r w:rsidR="00162CC4" w:rsidRPr="00162CC4">
        <w:rPr>
          <w:rFonts w:ascii="Source Sans Pro" w:hAnsi="Source Sans Pro" w:cs="Source Sans Pro"/>
          <w:i/>
          <w:sz w:val="22"/>
          <w:szCs w:val="22"/>
        </w:rPr>
        <w:t xml:space="preserve">“, </w:t>
      </w:r>
      <w:r w:rsidR="00162CC4">
        <w:rPr>
          <w:rFonts w:ascii="Source Sans Pro" w:hAnsi="Source Sans Pro" w:cs="Source Sans Pro"/>
          <w:sz w:val="22"/>
          <w:szCs w:val="22"/>
        </w:rPr>
        <w:t xml:space="preserve">stellt </w:t>
      </w:r>
      <w:r w:rsidR="00162CC4" w:rsidRPr="00162CC4">
        <w:rPr>
          <w:rFonts w:ascii="Source Sans Pro" w:hAnsi="Source Sans Pro" w:cs="Source Sans Pro"/>
          <w:b/>
          <w:sz w:val="22"/>
          <w:szCs w:val="22"/>
        </w:rPr>
        <w:t>Schön</w:t>
      </w:r>
      <w:r w:rsidR="00162CC4">
        <w:rPr>
          <w:rFonts w:ascii="Source Sans Pro" w:hAnsi="Source Sans Pro" w:cs="Source Sans Pro"/>
          <w:sz w:val="22"/>
          <w:szCs w:val="22"/>
        </w:rPr>
        <w:t xml:space="preserve"> fest.</w:t>
      </w:r>
      <w:r w:rsidR="00E64DDC">
        <w:rPr>
          <w:rFonts w:ascii="Source Sans Pro" w:hAnsi="Source Sans Pro" w:cs="Source Sans Pro"/>
          <w:sz w:val="22"/>
          <w:szCs w:val="22"/>
        </w:rPr>
        <w:t xml:space="preserve"> Den höchsten Anteil am Transaktionsvolumen machte</w:t>
      </w:r>
      <w:r w:rsidR="005E1C97">
        <w:rPr>
          <w:rFonts w:ascii="Source Sans Pro" w:hAnsi="Source Sans Pro" w:cs="Source Sans Pro"/>
          <w:sz w:val="22"/>
          <w:szCs w:val="22"/>
        </w:rPr>
        <w:t>n</w:t>
      </w:r>
      <w:r w:rsidR="00E64DDC">
        <w:rPr>
          <w:rFonts w:ascii="Source Sans Pro" w:hAnsi="Source Sans Pro" w:cs="Source Sans Pro"/>
          <w:sz w:val="22"/>
          <w:szCs w:val="22"/>
        </w:rPr>
        <w:t xml:space="preserve"> </w:t>
      </w:r>
      <w:r w:rsidR="005E1C97">
        <w:rPr>
          <w:rFonts w:ascii="Source Sans Pro" w:hAnsi="Source Sans Pro" w:cs="Source Sans Pro"/>
          <w:sz w:val="22"/>
          <w:szCs w:val="22"/>
        </w:rPr>
        <w:t>Büro-Immobilien</w:t>
      </w:r>
      <w:r w:rsidR="00E64DDC">
        <w:rPr>
          <w:rFonts w:ascii="Source Sans Pro" w:hAnsi="Source Sans Pro" w:cs="Source Sans Pro"/>
          <w:sz w:val="22"/>
          <w:szCs w:val="22"/>
        </w:rPr>
        <w:t xml:space="preserve"> in Frankfurt mit 83 % aus. Eine Ausnahme bildet Berlin, wo durch die Veräußerung des „Fürst“ im 2. Quartal die Objektart Mischnutzung mit </w:t>
      </w:r>
      <w:r w:rsidR="00750A05">
        <w:rPr>
          <w:rFonts w:ascii="Source Sans Pro" w:hAnsi="Source Sans Pro" w:cs="Source Sans Pro"/>
          <w:sz w:val="22"/>
          <w:szCs w:val="22"/>
        </w:rPr>
        <w:t>45 % dominiert</w:t>
      </w:r>
      <w:r w:rsidR="00FD28C1">
        <w:rPr>
          <w:rFonts w:ascii="Source Sans Pro" w:hAnsi="Source Sans Pro" w:cs="Source Sans Pro"/>
          <w:sz w:val="22"/>
          <w:szCs w:val="22"/>
        </w:rPr>
        <w:t>e</w:t>
      </w:r>
      <w:r w:rsidR="00750A05">
        <w:rPr>
          <w:rFonts w:ascii="Source Sans Pro" w:hAnsi="Source Sans Pro" w:cs="Source Sans Pro"/>
          <w:sz w:val="22"/>
          <w:szCs w:val="22"/>
        </w:rPr>
        <w:t>.</w:t>
      </w:r>
      <w:r w:rsidR="00E64DDC">
        <w:rPr>
          <w:rFonts w:ascii="Source Sans Pro" w:hAnsi="Source Sans Pro" w:cs="Source Sans Pro"/>
          <w:sz w:val="22"/>
          <w:szCs w:val="22"/>
        </w:rPr>
        <w:t xml:space="preserve"> </w:t>
      </w:r>
      <w:r w:rsidR="00750A05">
        <w:rPr>
          <w:rFonts w:ascii="Source Sans Pro" w:hAnsi="Source Sans Pro" w:cs="Source Sans Pro"/>
          <w:sz w:val="22"/>
          <w:szCs w:val="22"/>
        </w:rPr>
        <w:t>Die insgesamt hohe Nachfrage nach gewerblichen Immobilien-Produkten setzt die Spitzenrenditen weiter unter Druck.</w:t>
      </w:r>
      <w:r w:rsidR="00E64DDC">
        <w:rPr>
          <w:rFonts w:ascii="Source Sans Pro" w:hAnsi="Source Sans Pro" w:cs="Source Sans Pro"/>
          <w:sz w:val="22"/>
          <w:szCs w:val="22"/>
        </w:rPr>
        <w:t xml:space="preserve"> </w:t>
      </w:r>
      <w:r w:rsidR="004A60FB">
        <w:rPr>
          <w:rFonts w:ascii="Source Sans Pro" w:hAnsi="Source Sans Pro" w:cs="Source Sans Pro"/>
          <w:sz w:val="22"/>
          <w:szCs w:val="22"/>
        </w:rPr>
        <w:t>Im Vorjahresvergleich gab die Spitzenrendite für Büro-Immobilien um -0,08 %-Punkte auf 2,80 % nach. Am stärksten nachgegeben hat die Büro-Spitzenrendite in München mit -0,25 %</w:t>
      </w:r>
      <w:r w:rsidR="00FD28C1">
        <w:rPr>
          <w:rFonts w:ascii="Source Sans Pro" w:hAnsi="Source Sans Pro" w:cs="Source Sans Pro"/>
          <w:sz w:val="22"/>
          <w:szCs w:val="22"/>
        </w:rPr>
        <w:t xml:space="preserve">-Punkten auf 2,75 %. Die niedrigste Spitzenrendite in dieser </w:t>
      </w:r>
      <w:proofErr w:type="spellStart"/>
      <w:r w:rsidR="00FD28C1">
        <w:rPr>
          <w:rFonts w:ascii="Source Sans Pro" w:hAnsi="Source Sans Pro" w:cs="Source Sans Pro"/>
          <w:sz w:val="22"/>
          <w:szCs w:val="22"/>
        </w:rPr>
        <w:t>Assetklasse</w:t>
      </w:r>
      <w:proofErr w:type="spellEnd"/>
      <w:r w:rsidR="00FD28C1">
        <w:rPr>
          <w:rFonts w:ascii="Source Sans Pro" w:hAnsi="Source Sans Pro" w:cs="Source Sans Pro"/>
          <w:sz w:val="22"/>
          <w:szCs w:val="22"/>
        </w:rPr>
        <w:t xml:space="preserve"> wies Hamburg mit 2,60 % auf. Einen weiterhin signifikanten Rückgang der Spitzenrendite verzeichneten Industrie- und Logistikimmobilien mit -0,38 %-Punkten auf durchschnittlich 3,58 %.</w:t>
      </w:r>
      <w:r w:rsidR="00E64DDC">
        <w:rPr>
          <w:rFonts w:ascii="Source Sans Pro" w:hAnsi="Source Sans Pro" w:cs="Source Sans Pro"/>
          <w:sz w:val="22"/>
          <w:szCs w:val="22"/>
        </w:rPr>
        <w:t xml:space="preserve"> </w:t>
      </w:r>
      <w:r w:rsidR="00851067">
        <w:rPr>
          <w:rFonts w:ascii="Source Sans Pro" w:hAnsi="Source Sans Pro" w:cs="Source Sans Pro"/>
          <w:sz w:val="22"/>
          <w:szCs w:val="22"/>
        </w:rPr>
        <w:t xml:space="preserve">Den höchsten Rückgang </w:t>
      </w:r>
      <w:r w:rsidR="00D42152">
        <w:rPr>
          <w:rFonts w:ascii="Source Sans Pro" w:hAnsi="Source Sans Pro" w:cs="Source Sans Pro"/>
          <w:sz w:val="22"/>
          <w:szCs w:val="22"/>
        </w:rPr>
        <w:t>verbuchte</w:t>
      </w:r>
      <w:r w:rsidR="00851067">
        <w:rPr>
          <w:rFonts w:ascii="Source Sans Pro" w:hAnsi="Source Sans Pro" w:cs="Source Sans Pro"/>
          <w:sz w:val="22"/>
          <w:szCs w:val="22"/>
        </w:rPr>
        <w:t xml:space="preserve"> Hamburg (-0,70 %-Punkte) sowie Stuttgart und München mit jeweils -0,50 %-Punkten.</w:t>
      </w:r>
    </w:p>
    <w:p w14:paraId="221945B3" w14:textId="77777777"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p>
    <w:p w14:paraId="30AA64E1" w14:textId="7E1B3492" w:rsidR="00F5697E" w:rsidRDefault="00DA4453" w:rsidP="00F5697E">
      <w:pPr>
        <w:snapToGrid w:val="0"/>
        <w:spacing w:line="280" w:lineRule="exact"/>
        <w:jc w:val="both"/>
        <w:rPr>
          <w:rFonts w:ascii="Source Sans Pro" w:hAnsi="Source Sans Pro" w:cs="Source Sans Pro"/>
          <w:sz w:val="22"/>
          <w:szCs w:val="22"/>
        </w:rPr>
      </w:pPr>
      <w:r w:rsidRPr="00DA4453">
        <w:rPr>
          <w:rFonts w:ascii="Source Sans Pro" w:hAnsi="Source Sans Pro" w:cs="Source Sans Pro"/>
          <w:caps/>
          <w:color w:val="0086A8"/>
          <w:sz w:val="22"/>
          <w:szCs w:val="22"/>
        </w:rPr>
        <w:t>Prognose</w:t>
      </w:r>
      <w:r w:rsidR="00162CC4">
        <w:rPr>
          <w:rFonts w:ascii="Source Sans Pro" w:hAnsi="Source Sans Pro" w:cs="Source Sans Pro"/>
          <w:caps/>
          <w:color w:val="0086A8"/>
          <w:sz w:val="22"/>
          <w:szCs w:val="22"/>
        </w:rPr>
        <w:t>: Tav der top-7-standorte auf ähnlichem niveau wie im vorjahr</w:t>
      </w:r>
    </w:p>
    <w:p w14:paraId="4B871899" w14:textId="6807DCD3" w:rsidR="00DA4453" w:rsidRDefault="00ED1C27" w:rsidP="00F5697E">
      <w:pPr>
        <w:snapToGrid w:val="0"/>
        <w:spacing w:line="280" w:lineRule="exact"/>
        <w:jc w:val="both"/>
        <w:rPr>
          <w:rFonts w:ascii="Source Sans Pro" w:hAnsi="Source Sans Pro" w:cs="Source Sans Pro"/>
          <w:sz w:val="22"/>
          <w:szCs w:val="22"/>
        </w:rPr>
      </w:pPr>
      <w:r w:rsidRPr="000D5A87">
        <w:rPr>
          <w:rFonts w:ascii="Source Sans Pro" w:hAnsi="Source Sans Pro" w:cs="Source Sans Pro"/>
          <w:i/>
          <w:sz w:val="22"/>
          <w:szCs w:val="22"/>
        </w:rPr>
        <w:t>„An allen Top-7-Standorten befinden sich noch einige größere Transaktionen in der Pipeline. Daher erwarten wir einen interessanten Jahresendspurt“,</w:t>
      </w:r>
      <w:r w:rsidR="000D5A87">
        <w:rPr>
          <w:rFonts w:ascii="Source Sans Pro" w:hAnsi="Source Sans Pro" w:cs="Source Sans Pro"/>
          <w:sz w:val="22"/>
          <w:szCs w:val="22"/>
        </w:rPr>
        <w:t xml:space="preserve"> so </w:t>
      </w:r>
      <w:r w:rsidR="000D5A87" w:rsidRPr="000D5A87">
        <w:rPr>
          <w:rFonts w:ascii="Source Sans Pro" w:hAnsi="Source Sans Pro" w:cs="Source Sans Pro"/>
          <w:b/>
          <w:sz w:val="22"/>
          <w:szCs w:val="22"/>
        </w:rPr>
        <w:t>Schön</w:t>
      </w:r>
      <w:r w:rsidR="000D5A87">
        <w:rPr>
          <w:rFonts w:ascii="Source Sans Pro" w:hAnsi="Source Sans Pro" w:cs="Source Sans Pro"/>
          <w:sz w:val="22"/>
          <w:szCs w:val="22"/>
        </w:rPr>
        <w:t>.</w:t>
      </w:r>
      <w:r>
        <w:rPr>
          <w:rFonts w:ascii="Source Sans Pro" w:hAnsi="Source Sans Pro" w:cs="Source Sans Pro"/>
          <w:sz w:val="22"/>
          <w:szCs w:val="22"/>
        </w:rPr>
        <w:t xml:space="preserve"> Insgesamt dürfte das TAV auf Vorjahresniveau bleiben. In Berlin wird das TAV aufgrund einer Vielzahl an ausstehenden großvolumigen Transaktionen höher als erwartet ausfallen. In Frankfurt dürfte der Anlagedruck zu einer höheren Investitionsbereitschaft </w:t>
      </w:r>
      <w:r w:rsidR="00AF27B7">
        <w:rPr>
          <w:rFonts w:ascii="Source Sans Pro" w:hAnsi="Source Sans Pro" w:cs="Source Sans Pro"/>
          <w:sz w:val="22"/>
          <w:szCs w:val="22"/>
        </w:rPr>
        <w:t xml:space="preserve">zum Jahresende </w:t>
      </w:r>
      <w:r>
        <w:rPr>
          <w:rFonts w:ascii="Source Sans Pro" w:hAnsi="Source Sans Pro" w:cs="Source Sans Pro"/>
          <w:sz w:val="22"/>
          <w:szCs w:val="22"/>
        </w:rPr>
        <w:t xml:space="preserve">führen. Mit eher soliden Ergebnissen </w:t>
      </w:r>
      <w:r w:rsidR="00AF27B7">
        <w:rPr>
          <w:rFonts w:ascii="Source Sans Pro" w:hAnsi="Source Sans Pro" w:cs="Source Sans Pro"/>
          <w:sz w:val="22"/>
          <w:szCs w:val="22"/>
        </w:rPr>
        <w:t xml:space="preserve">unter Vorjahresniveau </w:t>
      </w:r>
      <w:r>
        <w:rPr>
          <w:rFonts w:ascii="Source Sans Pro" w:hAnsi="Source Sans Pro" w:cs="Source Sans Pro"/>
          <w:sz w:val="22"/>
          <w:szCs w:val="22"/>
        </w:rPr>
        <w:t xml:space="preserve">rechnet German </w:t>
      </w:r>
      <w:r w:rsidR="00AF27B7">
        <w:rPr>
          <w:rFonts w:ascii="Source Sans Pro" w:hAnsi="Source Sans Pro" w:cs="Source Sans Pro"/>
          <w:sz w:val="22"/>
          <w:szCs w:val="22"/>
        </w:rPr>
        <w:t xml:space="preserve">Property Partners in Hamburg und Düsseldorf aufgrund der weiterhin </w:t>
      </w:r>
      <w:r w:rsidR="00D42152">
        <w:rPr>
          <w:rFonts w:ascii="Source Sans Pro" w:hAnsi="Source Sans Pro" w:cs="Source Sans Pro"/>
          <w:sz w:val="22"/>
          <w:szCs w:val="22"/>
        </w:rPr>
        <w:t>starken</w:t>
      </w:r>
      <w:r w:rsidR="00AF27B7">
        <w:rPr>
          <w:rFonts w:ascii="Source Sans Pro" w:hAnsi="Source Sans Pro" w:cs="Source Sans Pro"/>
          <w:sz w:val="22"/>
          <w:szCs w:val="22"/>
        </w:rPr>
        <w:t xml:space="preserve"> Produktknappheit</w:t>
      </w:r>
      <w:r>
        <w:rPr>
          <w:rFonts w:ascii="Source Sans Pro" w:hAnsi="Source Sans Pro" w:cs="Source Sans Pro"/>
          <w:sz w:val="22"/>
          <w:szCs w:val="22"/>
        </w:rPr>
        <w:t>.</w:t>
      </w:r>
    </w:p>
    <w:p w14:paraId="63200AFA" w14:textId="3FF4A045" w:rsidR="00DA4453" w:rsidRDefault="00DA4453" w:rsidP="00F5697E">
      <w:pPr>
        <w:snapToGrid w:val="0"/>
        <w:spacing w:line="280" w:lineRule="exact"/>
        <w:jc w:val="both"/>
        <w:rPr>
          <w:rFonts w:ascii="Source Sans Pro" w:hAnsi="Source Sans Pro" w:cs="Source Sans Pro"/>
          <w:sz w:val="22"/>
          <w:szCs w:val="22"/>
        </w:rPr>
      </w:pPr>
    </w:p>
    <w:p w14:paraId="26B54D29" w14:textId="77777777" w:rsidR="00DA4453" w:rsidRPr="00161817" w:rsidRDefault="00DA4453" w:rsidP="00F5697E">
      <w:pPr>
        <w:snapToGrid w:val="0"/>
        <w:spacing w:line="280" w:lineRule="exact"/>
        <w:jc w:val="both"/>
        <w:rPr>
          <w:rFonts w:ascii="Source Sans Pro" w:hAnsi="Source Sans Pro" w:cs="Source Sans Pro"/>
          <w:sz w:val="22"/>
          <w:szCs w:val="22"/>
        </w:rPr>
      </w:pPr>
    </w:p>
    <w:p w14:paraId="38290E27" w14:textId="77777777" w:rsidR="000E4F2C" w:rsidRDefault="000E4F2C">
      <w:pPr>
        <w:overflowPunct/>
        <w:autoSpaceDE/>
        <w:autoSpaceDN/>
        <w:adjustRightInd/>
        <w:textAlignment w:val="auto"/>
        <w:rPr>
          <w:rFonts w:ascii="Source Sans Pro" w:hAnsi="Source Sans Pro" w:cs="Arial"/>
          <w:b/>
          <w:sz w:val="20"/>
        </w:rPr>
      </w:pPr>
      <w:r>
        <w:rPr>
          <w:rFonts w:ascii="Source Sans Pro" w:hAnsi="Source Sans Pro" w:cs="Arial"/>
          <w:b/>
          <w:sz w:val="20"/>
        </w:rPr>
        <w:br w:type="page"/>
      </w:r>
    </w:p>
    <w:p w14:paraId="5CED34B8" w14:textId="37830379" w:rsidR="00161817" w:rsidRPr="00161817" w:rsidRDefault="00161817" w:rsidP="00161817">
      <w:pPr>
        <w:jc w:val="both"/>
        <w:rPr>
          <w:rFonts w:ascii="Source Sans Pro" w:hAnsi="Source Sans Pro" w:cs="Arial"/>
          <w:b/>
          <w:sz w:val="20"/>
        </w:rPr>
      </w:pPr>
      <w:r w:rsidRPr="00161817">
        <w:rPr>
          <w:rFonts w:ascii="Source Sans Pro" w:hAnsi="Source Sans Pro" w:cs="Arial"/>
          <w:b/>
          <w:sz w:val="20"/>
        </w:rPr>
        <w:lastRenderedPageBreak/>
        <w:t>Top 10 bekannte Abschlüsse | Top-7-Standorte | 1.</w:t>
      </w:r>
      <w:r>
        <w:rPr>
          <w:rFonts w:ascii="Source Sans Pro" w:hAnsi="Source Sans Pro" w:cs="Arial"/>
          <w:b/>
          <w:sz w:val="20"/>
        </w:rPr>
        <w:t>-3</w:t>
      </w:r>
      <w:r w:rsidRPr="00161817">
        <w:rPr>
          <w:rFonts w:ascii="Source Sans Pro" w:hAnsi="Source Sans Pro" w:cs="Arial"/>
          <w:b/>
          <w:sz w:val="20"/>
        </w:rPr>
        <w:t>. Quartal 2021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Stadt</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Projekt/Objekt</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Käufer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Verkäufer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KP*</w:t>
            </w:r>
          </w:p>
          <w:p w14:paraId="24C76A25"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sz w:val="16"/>
                <w:szCs w:val="16"/>
              </w:rPr>
              <w:t>(ca. Mio. €)</w:t>
            </w:r>
          </w:p>
        </w:tc>
      </w:tr>
      <w:tr w:rsidR="00A8148C" w:rsidRPr="00161817" w14:paraId="45AFC528" w14:textId="77777777" w:rsidTr="000D7B09">
        <w:trPr>
          <w:trHeight w:val="552"/>
        </w:trPr>
        <w:tc>
          <w:tcPr>
            <w:tcW w:w="687" w:type="dxa"/>
            <w:shd w:val="clear" w:color="auto" w:fill="D9D9D9" w:themeFill="background1" w:themeFillShade="D9"/>
            <w:vAlign w:val="center"/>
          </w:tcPr>
          <w:p w14:paraId="5C8D0479" w14:textId="5530B275" w:rsidR="00A8148C" w:rsidRPr="00A8148C" w:rsidRDefault="00A8148C" w:rsidP="009E6C40">
            <w:pPr>
              <w:widowControl w:val="0"/>
              <w:jc w:val="center"/>
              <w:rPr>
                <w:rFonts w:ascii="Source Sans Pro" w:hAnsi="Source Sans Pro" w:cs="Arial"/>
                <w:sz w:val="16"/>
                <w:szCs w:val="16"/>
              </w:rPr>
            </w:pPr>
            <w:r w:rsidRPr="00A8148C">
              <w:rPr>
                <w:rFonts w:ascii="Source Sans Pro" w:hAnsi="Source Sans Pro" w:cs="Arial"/>
                <w:sz w:val="16"/>
                <w:szCs w:val="16"/>
              </w:rPr>
              <w:t>FFM</w:t>
            </w:r>
          </w:p>
        </w:tc>
        <w:tc>
          <w:tcPr>
            <w:tcW w:w="2682" w:type="dxa"/>
            <w:shd w:val="clear" w:color="auto" w:fill="D9D9D9" w:themeFill="background1" w:themeFillShade="D9"/>
            <w:vAlign w:val="center"/>
          </w:tcPr>
          <w:p w14:paraId="28F178B7" w14:textId="62B2949A" w:rsidR="00A8148C" w:rsidRPr="00A8148C" w:rsidRDefault="00A8148C" w:rsidP="009E6C40">
            <w:pPr>
              <w:widowControl w:val="0"/>
              <w:jc w:val="center"/>
              <w:rPr>
                <w:rFonts w:ascii="Source Sans Pro" w:hAnsi="Source Sans Pro" w:cs="Arial"/>
                <w:sz w:val="16"/>
                <w:szCs w:val="16"/>
              </w:rPr>
            </w:pPr>
            <w:r w:rsidRPr="00A8148C">
              <w:rPr>
                <w:rFonts w:ascii="Source Sans Pro" w:hAnsi="Source Sans Pro" w:cs="Arial"/>
                <w:sz w:val="16"/>
                <w:szCs w:val="16"/>
              </w:rPr>
              <w:t>„FOUR – T1“</w:t>
            </w:r>
            <w:r>
              <w:rPr>
                <w:rFonts w:ascii="Source Sans Pro" w:hAnsi="Source Sans Pro" w:cs="Arial"/>
                <w:sz w:val="16"/>
                <w:szCs w:val="16"/>
              </w:rPr>
              <w:t xml:space="preserve">, Große </w:t>
            </w:r>
            <w:proofErr w:type="spellStart"/>
            <w:r>
              <w:rPr>
                <w:rFonts w:ascii="Source Sans Pro" w:hAnsi="Source Sans Pro" w:cs="Arial"/>
                <w:sz w:val="16"/>
                <w:szCs w:val="16"/>
              </w:rPr>
              <w:t>Gallusstraße</w:t>
            </w:r>
            <w:proofErr w:type="spellEnd"/>
            <w:r>
              <w:rPr>
                <w:rFonts w:ascii="Source Sans Pro" w:hAnsi="Source Sans Pro" w:cs="Arial"/>
                <w:sz w:val="16"/>
                <w:szCs w:val="16"/>
              </w:rPr>
              <w:t xml:space="preserve"> 10-14</w:t>
            </w:r>
          </w:p>
        </w:tc>
        <w:tc>
          <w:tcPr>
            <w:tcW w:w="2658" w:type="dxa"/>
            <w:shd w:val="clear" w:color="auto" w:fill="D9D9D9" w:themeFill="background1" w:themeFillShade="D9"/>
            <w:vAlign w:val="center"/>
          </w:tcPr>
          <w:p w14:paraId="52B0C764" w14:textId="128C47E6"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Allianz Real Estate mit Bayerischer Versorgungskammer</w:t>
            </w:r>
          </w:p>
        </w:tc>
        <w:tc>
          <w:tcPr>
            <w:tcW w:w="2190" w:type="dxa"/>
            <w:shd w:val="clear" w:color="auto" w:fill="D9D9D9" w:themeFill="background1" w:themeFillShade="D9"/>
            <w:vAlign w:val="center"/>
          </w:tcPr>
          <w:p w14:paraId="62DE2908" w14:textId="2E315B5F"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Groß &amp; Partner Grundstücksentwicklungs-gesellschaft</w:t>
            </w:r>
          </w:p>
        </w:tc>
        <w:tc>
          <w:tcPr>
            <w:tcW w:w="1014" w:type="dxa"/>
            <w:shd w:val="clear" w:color="auto" w:fill="D9D9D9" w:themeFill="background1" w:themeFillShade="D9"/>
            <w:vAlign w:val="center"/>
          </w:tcPr>
          <w:p w14:paraId="7FD912B6" w14:textId="6A0AA777"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1.400</w:t>
            </w:r>
          </w:p>
        </w:tc>
      </w:tr>
      <w:tr w:rsidR="00161817" w:rsidRPr="00161817" w14:paraId="7B1D8CD6" w14:textId="77777777" w:rsidTr="000D7B09">
        <w:trPr>
          <w:trHeight w:val="552"/>
        </w:trPr>
        <w:tc>
          <w:tcPr>
            <w:tcW w:w="687" w:type="dxa"/>
            <w:shd w:val="clear" w:color="auto" w:fill="FFFFFF" w:themeFill="background1"/>
            <w:vAlign w:val="center"/>
          </w:tcPr>
          <w:p w14:paraId="578DCC6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BER</w:t>
            </w:r>
          </w:p>
        </w:tc>
        <w:tc>
          <w:tcPr>
            <w:tcW w:w="2682" w:type="dxa"/>
            <w:shd w:val="clear" w:color="auto" w:fill="FFFFFF" w:themeFill="background1"/>
            <w:vAlign w:val="center"/>
          </w:tcPr>
          <w:p w14:paraId="75E6DC0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„Fürst“, Kurfürstendamm 206-209</w:t>
            </w:r>
          </w:p>
        </w:tc>
        <w:tc>
          <w:tcPr>
            <w:tcW w:w="2658" w:type="dxa"/>
            <w:shd w:val="clear" w:color="auto" w:fill="FFFFFF" w:themeFill="background1"/>
            <w:vAlign w:val="center"/>
          </w:tcPr>
          <w:p w14:paraId="3495337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Aggregate Holdings</w:t>
            </w:r>
          </w:p>
        </w:tc>
        <w:tc>
          <w:tcPr>
            <w:tcW w:w="2190" w:type="dxa"/>
            <w:shd w:val="clear" w:color="auto" w:fill="FFFFFF" w:themeFill="background1"/>
            <w:vAlign w:val="center"/>
          </w:tcPr>
          <w:p w14:paraId="5AE369F7"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Vivion</w:t>
            </w:r>
            <w:proofErr w:type="spellEnd"/>
          </w:p>
        </w:tc>
        <w:tc>
          <w:tcPr>
            <w:tcW w:w="1014" w:type="dxa"/>
            <w:shd w:val="clear" w:color="auto" w:fill="FFFFFF" w:themeFill="background1"/>
            <w:vAlign w:val="center"/>
          </w:tcPr>
          <w:p w14:paraId="6165027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&gt;1.000</w:t>
            </w:r>
          </w:p>
        </w:tc>
      </w:tr>
      <w:tr w:rsidR="00161817" w:rsidRPr="00161817" w14:paraId="6321AC85" w14:textId="77777777" w:rsidTr="000D7B09">
        <w:trPr>
          <w:trHeight w:val="552"/>
        </w:trPr>
        <w:tc>
          <w:tcPr>
            <w:tcW w:w="687" w:type="dxa"/>
            <w:shd w:val="clear" w:color="auto" w:fill="FFFFFF" w:themeFill="background1"/>
            <w:vAlign w:val="center"/>
          </w:tcPr>
          <w:p w14:paraId="37B0F19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1A32084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„Highlight Towers“, </w:t>
            </w:r>
          </w:p>
          <w:p w14:paraId="0C734E8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Mies-van-der-Rohe-Straße 6</w:t>
            </w:r>
          </w:p>
        </w:tc>
        <w:tc>
          <w:tcPr>
            <w:tcW w:w="2658" w:type="dxa"/>
            <w:shd w:val="clear" w:color="auto" w:fill="FFFFFF" w:themeFill="background1"/>
            <w:vAlign w:val="center"/>
          </w:tcPr>
          <w:p w14:paraId="3E984B43"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Imfarr</w:t>
            </w:r>
            <w:proofErr w:type="spellEnd"/>
            <w:r w:rsidRPr="00161817">
              <w:rPr>
                <w:rFonts w:ascii="Source Sans Pro" w:hAnsi="Source Sans Pro" w:cs="Arial"/>
                <w:sz w:val="16"/>
                <w:szCs w:val="16"/>
              </w:rPr>
              <w:t xml:space="preserve"> + SN</w:t>
            </w:r>
          </w:p>
        </w:tc>
        <w:tc>
          <w:tcPr>
            <w:tcW w:w="2190" w:type="dxa"/>
            <w:shd w:val="clear" w:color="auto" w:fill="FFFFFF" w:themeFill="background1"/>
            <w:vAlign w:val="center"/>
          </w:tcPr>
          <w:p w14:paraId="738C2859"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Commerz</w:t>
            </w:r>
            <w:proofErr w:type="spellEnd"/>
            <w:r w:rsidRPr="00161817">
              <w:rPr>
                <w:rFonts w:ascii="Source Sans Pro" w:hAnsi="Source Sans Pro" w:cs="Arial"/>
                <w:sz w:val="16"/>
                <w:szCs w:val="16"/>
              </w:rPr>
              <w:t xml:space="preserve"> Real</w:t>
            </w:r>
          </w:p>
        </w:tc>
        <w:tc>
          <w:tcPr>
            <w:tcW w:w="1014" w:type="dxa"/>
            <w:shd w:val="clear" w:color="auto" w:fill="FFFFFF" w:themeFill="background1"/>
            <w:vAlign w:val="center"/>
          </w:tcPr>
          <w:p w14:paraId="62F4C47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650</w:t>
            </w:r>
          </w:p>
        </w:tc>
      </w:tr>
      <w:tr w:rsidR="00161817" w:rsidRPr="00161817" w14:paraId="673C5B9A" w14:textId="77777777" w:rsidTr="000D7B09">
        <w:trPr>
          <w:trHeight w:val="552"/>
        </w:trPr>
        <w:tc>
          <w:tcPr>
            <w:tcW w:w="687" w:type="dxa"/>
            <w:shd w:val="clear" w:color="auto" w:fill="FFFFFF" w:themeFill="background1"/>
            <w:vAlign w:val="center"/>
          </w:tcPr>
          <w:p w14:paraId="1DE4595D"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5C44FF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„Media Works“, </w:t>
            </w:r>
          </w:p>
          <w:p w14:paraId="5E0EA75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Rosenheimer Straße 145a-i / </w:t>
            </w:r>
            <w:proofErr w:type="spellStart"/>
            <w:r w:rsidRPr="00161817">
              <w:rPr>
                <w:rFonts w:ascii="Source Sans Pro" w:hAnsi="Source Sans Pro" w:cs="Arial"/>
                <w:sz w:val="16"/>
                <w:szCs w:val="16"/>
              </w:rPr>
              <w:t>Anzinger</w:t>
            </w:r>
            <w:proofErr w:type="spellEnd"/>
            <w:r w:rsidRPr="00161817">
              <w:rPr>
                <w:rFonts w:ascii="Source Sans Pro" w:hAnsi="Source Sans Pro" w:cs="Arial"/>
                <w:sz w:val="16"/>
                <w:szCs w:val="16"/>
              </w:rPr>
              <w:t xml:space="preserve"> Straße 1-17</w:t>
            </w:r>
          </w:p>
        </w:tc>
        <w:tc>
          <w:tcPr>
            <w:tcW w:w="2658" w:type="dxa"/>
            <w:shd w:val="clear" w:color="auto" w:fill="FFFFFF" w:themeFill="background1"/>
            <w:vAlign w:val="center"/>
          </w:tcPr>
          <w:p w14:paraId="733679C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Union Investment und Hines</w:t>
            </w:r>
          </w:p>
        </w:tc>
        <w:tc>
          <w:tcPr>
            <w:tcW w:w="2190" w:type="dxa"/>
            <w:shd w:val="clear" w:color="auto" w:fill="FFFFFF" w:themeFill="background1"/>
            <w:vAlign w:val="center"/>
          </w:tcPr>
          <w:p w14:paraId="0BEA20C9"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Officefirst</w:t>
            </w:r>
            <w:proofErr w:type="spellEnd"/>
          </w:p>
        </w:tc>
        <w:tc>
          <w:tcPr>
            <w:tcW w:w="1014" w:type="dxa"/>
            <w:shd w:val="clear" w:color="auto" w:fill="FFFFFF" w:themeFill="background1"/>
            <w:vAlign w:val="center"/>
          </w:tcPr>
          <w:p w14:paraId="2FF864B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650</w:t>
            </w:r>
          </w:p>
        </w:tc>
      </w:tr>
      <w:tr w:rsidR="00161817" w:rsidRPr="00161817" w14:paraId="42D4976D" w14:textId="77777777" w:rsidTr="000D7B09">
        <w:trPr>
          <w:trHeight w:val="552"/>
        </w:trPr>
        <w:tc>
          <w:tcPr>
            <w:tcW w:w="687" w:type="dxa"/>
            <w:shd w:val="clear" w:color="auto" w:fill="FFFFFF" w:themeFill="background1"/>
            <w:vAlign w:val="center"/>
          </w:tcPr>
          <w:p w14:paraId="119319B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534E0AC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„O2 Tower“,</w:t>
            </w:r>
          </w:p>
          <w:p w14:paraId="7400157C"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Georg-</w:t>
            </w:r>
            <w:proofErr w:type="spellStart"/>
            <w:r w:rsidRPr="00161817">
              <w:rPr>
                <w:rFonts w:ascii="Source Sans Pro" w:hAnsi="Source Sans Pro" w:cs="Arial"/>
                <w:sz w:val="16"/>
                <w:szCs w:val="16"/>
              </w:rPr>
              <w:t>Brauchle</w:t>
            </w:r>
            <w:proofErr w:type="spellEnd"/>
            <w:r w:rsidRPr="00161817">
              <w:rPr>
                <w:rFonts w:ascii="Source Sans Pro" w:hAnsi="Source Sans Pro" w:cs="Arial"/>
                <w:sz w:val="16"/>
                <w:szCs w:val="16"/>
              </w:rPr>
              <w:t>-Ring</w:t>
            </w:r>
          </w:p>
        </w:tc>
        <w:tc>
          <w:tcPr>
            <w:tcW w:w="2658" w:type="dxa"/>
            <w:shd w:val="clear" w:color="auto" w:fill="FFFFFF" w:themeFill="background1"/>
            <w:vAlign w:val="center"/>
          </w:tcPr>
          <w:p w14:paraId="424521C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DIC Asset</w:t>
            </w:r>
          </w:p>
        </w:tc>
        <w:tc>
          <w:tcPr>
            <w:tcW w:w="2190" w:type="dxa"/>
            <w:shd w:val="clear" w:color="auto" w:fill="FFFFFF" w:themeFill="background1"/>
            <w:vAlign w:val="center"/>
          </w:tcPr>
          <w:p w14:paraId="712E4A6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GIC</w:t>
            </w:r>
          </w:p>
        </w:tc>
        <w:tc>
          <w:tcPr>
            <w:tcW w:w="1014" w:type="dxa"/>
            <w:shd w:val="clear" w:color="auto" w:fill="FFFFFF" w:themeFill="background1"/>
            <w:vAlign w:val="center"/>
          </w:tcPr>
          <w:p w14:paraId="17E838B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570</w:t>
            </w:r>
          </w:p>
        </w:tc>
      </w:tr>
      <w:tr w:rsidR="000D7B09" w:rsidRPr="00161817" w14:paraId="0ADE57C6" w14:textId="77777777" w:rsidTr="000D7B09">
        <w:trPr>
          <w:trHeight w:val="552"/>
        </w:trPr>
        <w:tc>
          <w:tcPr>
            <w:tcW w:w="687" w:type="dxa"/>
            <w:shd w:val="clear" w:color="auto" w:fill="D9D9D9" w:themeFill="background1" w:themeFillShade="D9"/>
            <w:vAlign w:val="center"/>
          </w:tcPr>
          <w:p w14:paraId="64632EDF" w14:textId="253B1013"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FFM</w:t>
            </w:r>
          </w:p>
        </w:tc>
        <w:tc>
          <w:tcPr>
            <w:tcW w:w="2682" w:type="dxa"/>
            <w:shd w:val="clear" w:color="auto" w:fill="D9D9D9" w:themeFill="background1" w:themeFillShade="D9"/>
            <w:vAlign w:val="center"/>
          </w:tcPr>
          <w:p w14:paraId="4C0A0DF5" w14:textId="71FC315C"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w:t>
            </w:r>
            <w:proofErr w:type="spellStart"/>
            <w:r>
              <w:rPr>
                <w:rFonts w:ascii="Source Sans Pro" w:hAnsi="Source Sans Pro" w:cs="Arial"/>
                <w:sz w:val="16"/>
                <w:szCs w:val="16"/>
              </w:rPr>
              <w:t>Skyper</w:t>
            </w:r>
            <w:proofErr w:type="spellEnd"/>
            <w:r>
              <w:rPr>
                <w:rFonts w:ascii="Source Sans Pro" w:hAnsi="Source Sans Pro" w:cs="Arial"/>
                <w:sz w:val="16"/>
                <w:szCs w:val="16"/>
              </w:rPr>
              <w:t>“, Taunusanlage 1</w:t>
            </w:r>
          </w:p>
        </w:tc>
        <w:tc>
          <w:tcPr>
            <w:tcW w:w="2658" w:type="dxa"/>
            <w:shd w:val="clear" w:color="auto" w:fill="D9D9D9" w:themeFill="background1" w:themeFillShade="D9"/>
            <w:vAlign w:val="center"/>
          </w:tcPr>
          <w:p w14:paraId="38C64DE4" w14:textId="40CC4586"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HDI Deutschland</w:t>
            </w:r>
          </w:p>
        </w:tc>
        <w:tc>
          <w:tcPr>
            <w:tcW w:w="2190" w:type="dxa"/>
            <w:shd w:val="clear" w:color="auto" w:fill="D9D9D9" w:themeFill="background1" w:themeFillShade="D9"/>
            <w:vAlign w:val="center"/>
          </w:tcPr>
          <w:p w14:paraId="2AA6EE29" w14:textId="34A3677E"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Allianz Real Estate</w:t>
            </w:r>
          </w:p>
        </w:tc>
        <w:tc>
          <w:tcPr>
            <w:tcW w:w="1014" w:type="dxa"/>
            <w:shd w:val="clear" w:color="auto" w:fill="D9D9D9" w:themeFill="background1" w:themeFillShade="D9"/>
            <w:vAlign w:val="center"/>
          </w:tcPr>
          <w:p w14:paraId="610B5590" w14:textId="2453501E"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560</w:t>
            </w:r>
          </w:p>
        </w:tc>
      </w:tr>
      <w:tr w:rsidR="00161817" w:rsidRPr="00161817" w14:paraId="53AA6052" w14:textId="77777777" w:rsidTr="000D7B09">
        <w:trPr>
          <w:trHeight w:val="552"/>
        </w:trPr>
        <w:tc>
          <w:tcPr>
            <w:tcW w:w="687" w:type="dxa"/>
            <w:shd w:val="clear" w:color="auto" w:fill="FFFFFF" w:themeFill="background1"/>
            <w:vAlign w:val="center"/>
          </w:tcPr>
          <w:p w14:paraId="70C20D5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FFM</w:t>
            </w:r>
          </w:p>
        </w:tc>
        <w:tc>
          <w:tcPr>
            <w:tcW w:w="2682" w:type="dxa"/>
            <w:shd w:val="clear" w:color="auto" w:fill="FFFFFF" w:themeFill="background1"/>
            <w:vAlign w:val="center"/>
          </w:tcPr>
          <w:p w14:paraId="5F87575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Ludwig-Erhard-Straße 7, Eschborn</w:t>
            </w:r>
          </w:p>
        </w:tc>
        <w:tc>
          <w:tcPr>
            <w:tcW w:w="2658" w:type="dxa"/>
            <w:shd w:val="clear" w:color="auto" w:fill="FFFFFF" w:themeFill="background1"/>
            <w:vAlign w:val="center"/>
          </w:tcPr>
          <w:p w14:paraId="662D909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Deutsche Gesellschaft für Internationale Zusammenarbeit</w:t>
            </w:r>
          </w:p>
        </w:tc>
        <w:tc>
          <w:tcPr>
            <w:tcW w:w="2190" w:type="dxa"/>
            <w:shd w:val="clear" w:color="auto" w:fill="FFFFFF" w:themeFill="background1"/>
            <w:vAlign w:val="center"/>
          </w:tcPr>
          <w:p w14:paraId="7D12079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PHOENIX Real Estate Development</w:t>
            </w:r>
          </w:p>
        </w:tc>
        <w:tc>
          <w:tcPr>
            <w:tcW w:w="1014" w:type="dxa"/>
            <w:shd w:val="clear" w:color="auto" w:fill="FFFFFF" w:themeFill="background1"/>
            <w:vAlign w:val="center"/>
          </w:tcPr>
          <w:p w14:paraId="37B91D6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220</w:t>
            </w:r>
          </w:p>
        </w:tc>
      </w:tr>
      <w:tr w:rsidR="00161817" w:rsidRPr="00161817" w14:paraId="2C22CAC9" w14:textId="77777777" w:rsidTr="000D7B09">
        <w:trPr>
          <w:trHeight w:val="552"/>
        </w:trPr>
        <w:tc>
          <w:tcPr>
            <w:tcW w:w="687" w:type="dxa"/>
            <w:shd w:val="clear" w:color="auto" w:fill="FFFFFF" w:themeFill="background1"/>
            <w:vAlign w:val="center"/>
          </w:tcPr>
          <w:p w14:paraId="4A3E0A7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BER</w:t>
            </w:r>
          </w:p>
        </w:tc>
        <w:tc>
          <w:tcPr>
            <w:tcW w:w="2682" w:type="dxa"/>
            <w:shd w:val="clear" w:color="auto" w:fill="FFFFFF" w:themeFill="background1"/>
            <w:vAlign w:val="center"/>
          </w:tcPr>
          <w:p w14:paraId="49239D64"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„Quartier 206“,</w:t>
            </w:r>
          </w:p>
          <w:p w14:paraId="7659E75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Friedrichstraße 71</w:t>
            </w:r>
          </w:p>
        </w:tc>
        <w:tc>
          <w:tcPr>
            <w:tcW w:w="2658" w:type="dxa"/>
            <w:shd w:val="clear" w:color="auto" w:fill="FFFFFF" w:themeFill="background1"/>
            <w:vAlign w:val="center"/>
          </w:tcPr>
          <w:p w14:paraId="720C983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RFR Holding</w:t>
            </w:r>
          </w:p>
        </w:tc>
        <w:tc>
          <w:tcPr>
            <w:tcW w:w="2190" w:type="dxa"/>
            <w:shd w:val="clear" w:color="auto" w:fill="FFFFFF" w:themeFill="background1"/>
            <w:vAlign w:val="center"/>
          </w:tcPr>
          <w:p w14:paraId="68379AC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Bankenkonsortium um </w:t>
            </w:r>
            <w:proofErr w:type="spellStart"/>
            <w:r w:rsidRPr="00161817">
              <w:rPr>
                <w:rFonts w:ascii="Source Sans Pro" w:hAnsi="Source Sans Pro" w:cs="Arial"/>
                <w:sz w:val="16"/>
                <w:szCs w:val="16"/>
              </w:rPr>
              <w:t>Credit</w:t>
            </w:r>
            <w:proofErr w:type="spellEnd"/>
            <w:r w:rsidRPr="00161817">
              <w:rPr>
                <w:rFonts w:ascii="Source Sans Pro" w:hAnsi="Source Sans Pro" w:cs="Arial"/>
                <w:sz w:val="16"/>
                <w:szCs w:val="16"/>
              </w:rPr>
              <w:t xml:space="preserve"> Suisse</w:t>
            </w:r>
          </w:p>
        </w:tc>
        <w:tc>
          <w:tcPr>
            <w:tcW w:w="1014" w:type="dxa"/>
            <w:shd w:val="clear" w:color="auto" w:fill="FFFFFF" w:themeFill="background1"/>
            <w:vAlign w:val="center"/>
          </w:tcPr>
          <w:p w14:paraId="383A357D"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220</w:t>
            </w:r>
          </w:p>
        </w:tc>
      </w:tr>
      <w:tr w:rsidR="00161817" w:rsidRPr="00161817" w14:paraId="3C8B276C" w14:textId="77777777" w:rsidTr="000D7B09">
        <w:trPr>
          <w:trHeight w:val="552"/>
        </w:trPr>
        <w:tc>
          <w:tcPr>
            <w:tcW w:w="687" w:type="dxa"/>
            <w:shd w:val="clear" w:color="auto" w:fill="FFFFFF" w:themeFill="background1"/>
            <w:vAlign w:val="center"/>
          </w:tcPr>
          <w:p w14:paraId="4DCA5AB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FFM</w:t>
            </w:r>
          </w:p>
        </w:tc>
        <w:tc>
          <w:tcPr>
            <w:tcW w:w="2682" w:type="dxa"/>
            <w:shd w:val="clear" w:color="auto" w:fill="FFFFFF" w:themeFill="background1"/>
            <w:vAlign w:val="center"/>
          </w:tcPr>
          <w:p w14:paraId="6706BBD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„Westend </w:t>
            </w:r>
            <w:proofErr w:type="spellStart"/>
            <w:r w:rsidRPr="00161817">
              <w:rPr>
                <w:rFonts w:ascii="Source Sans Pro" w:hAnsi="Source Sans Pro" w:cs="Arial"/>
                <w:sz w:val="16"/>
                <w:szCs w:val="16"/>
              </w:rPr>
              <w:t>Carrée</w:t>
            </w:r>
            <w:proofErr w:type="spellEnd"/>
            <w:r w:rsidRPr="00161817">
              <w:rPr>
                <w:rFonts w:ascii="Source Sans Pro" w:hAnsi="Source Sans Pro" w:cs="Arial"/>
                <w:sz w:val="16"/>
                <w:szCs w:val="16"/>
              </w:rPr>
              <w:t>“,</w:t>
            </w:r>
          </w:p>
          <w:p w14:paraId="08617BD5"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Grüneburgweg</w:t>
            </w:r>
            <w:proofErr w:type="spellEnd"/>
            <w:r w:rsidRPr="00161817">
              <w:rPr>
                <w:rFonts w:ascii="Source Sans Pro" w:hAnsi="Source Sans Pro" w:cs="Arial"/>
                <w:sz w:val="16"/>
                <w:szCs w:val="16"/>
              </w:rPr>
              <w:t xml:space="preserve"> 14-18</w:t>
            </w:r>
          </w:p>
        </w:tc>
        <w:tc>
          <w:tcPr>
            <w:tcW w:w="2658" w:type="dxa"/>
            <w:shd w:val="clear" w:color="auto" w:fill="FFFFFF" w:themeFill="background1"/>
            <w:vAlign w:val="center"/>
          </w:tcPr>
          <w:p w14:paraId="1ED8417E"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Ardian</w:t>
            </w:r>
            <w:proofErr w:type="spellEnd"/>
            <w:r w:rsidRPr="00161817">
              <w:rPr>
                <w:rFonts w:ascii="Source Sans Pro" w:hAnsi="Source Sans Pro" w:cs="Arial"/>
                <w:sz w:val="16"/>
                <w:szCs w:val="16"/>
              </w:rPr>
              <w:t xml:space="preserve"> Real Estate</w:t>
            </w:r>
          </w:p>
        </w:tc>
        <w:tc>
          <w:tcPr>
            <w:tcW w:w="2190" w:type="dxa"/>
            <w:shd w:val="clear" w:color="auto" w:fill="FFFFFF" w:themeFill="background1"/>
            <w:vAlign w:val="center"/>
          </w:tcPr>
          <w:p w14:paraId="69555191"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publity</w:t>
            </w:r>
            <w:proofErr w:type="spellEnd"/>
          </w:p>
        </w:tc>
        <w:tc>
          <w:tcPr>
            <w:tcW w:w="1014" w:type="dxa"/>
            <w:shd w:val="clear" w:color="auto" w:fill="FFFFFF" w:themeFill="background1"/>
            <w:vAlign w:val="center"/>
          </w:tcPr>
          <w:p w14:paraId="09271CD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&gt;200</w:t>
            </w:r>
          </w:p>
        </w:tc>
      </w:tr>
      <w:tr w:rsidR="00161817" w:rsidRPr="00161817" w14:paraId="0CDE172D" w14:textId="77777777" w:rsidTr="009E6C40">
        <w:trPr>
          <w:trHeight w:val="70"/>
        </w:trPr>
        <w:tc>
          <w:tcPr>
            <w:tcW w:w="6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0B89C3B" w14:textId="77777777" w:rsidR="00161817" w:rsidRPr="00161817" w:rsidRDefault="00161817" w:rsidP="009E6C40">
            <w:pPr>
              <w:widowControl w:val="0"/>
              <w:jc w:val="center"/>
              <w:rPr>
                <w:rFonts w:ascii="Source Sans Pro" w:hAnsi="Source Sans Pro"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54E8834" w14:textId="77777777" w:rsidR="00161817" w:rsidRPr="00161817" w:rsidRDefault="00161817" w:rsidP="009E6C40">
            <w:pPr>
              <w:widowControl w:val="0"/>
              <w:jc w:val="center"/>
              <w:rPr>
                <w:rFonts w:ascii="Source Sans Pro" w:hAnsi="Source Sans Pro" w:cs="Arial"/>
                <w:sz w:val="16"/>
                <w:szCs w:val="16"/>
              </w:rPr>
            </w:pPr>
          </w:p>
        </w:tc>
        <w:tc>
          <w:tcPr>
            <w:tcW w:w="26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CC2DFF" w14:textId="77777777" w:rsidR="00161817" w:rsidRPr="00161817" w:rsidRDefault="00161817" w:rsidP="009E6C40">
            <w:pPr>
              <w:widowControl w:val="0"/>
              <w:jc w:val="center"/>
              <w:rPr>
                <w:rFonts w:ascii="Source Sans Pro" w:hAnsi="Source Sans Pro"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40D7A43" w14:textId="77777777" w:rsidR="00161817" w:rsidRPr="00161817" w:rsidRDefault="00161817" w:rsidP="009E6C40">
            <w:pPr>
              <w:widowControl w:val="0"/>
              <w:jc w:val="center"/>
              <w:rPr>
                <w:rFonts w:ascii="Source Sans Pro" w:hAnsi="Source Sans Pro" w:cs="Arial"/>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4182205" w14:textId="77777777" w:rsidR="00161817" w:rsidRPr="00161817" w:rsidRDefault="00161817" w:rsidP="009E6C40">
            <w:pPr>
              <w:widowControl w:val="0"/>
              <w:jc w:val="center"/>
              <w:rPr>
                <w:rFonts w:ascii="Source Sans Pro" w:hAnsi="Source Sans Pro" w:cs="Arial"/>
                <w:sz w:val="16"/>
                <w:szCs w:val="16"/>
              </w:rPr>
            </w:pPr>
          </w:p>
        </w:tc>
      </w:tr>
      <w:tr w:rsidR="00161817" w:rsidRPr="00161817" w14:paraId="1D5C2FBE" w14:textId="77777777" w:rsidTr="000D7B09">
        <w:trPr>
          <w:trHeight w:val="610"/>
        </w:trPr>
        <w:tc>
          <w:tcPr>
            <w:tcW w:w="687" w:type="dxa"/>
            <w:tcBorders>
              <w:top w:val="single" w:sz="4" w:space="0" w:color="auto"/>
            </w:tcBorders>
            <w:shd w:val="clear" w:color="auto" w:fill="FFFFFF" w:themeFill="background1"/>
            <w:vAlign w:val="center"/>
          </w:tcPr>
          <w:p w14:paraId="3F2BC86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FFM</w:t>
            </w:r>
          </w:p>
        </w:tc>
        <w:tc>
          <w:tcPr>
            <w:tcW w:w="2682" w:type="dxa"/>
            <w:tcBorders>
              <w:top w:val="single" w:sz="4" w:space="0" w:color="auto"/>
            </w:tcBorders>
            <w:shd w:val="clear" w:color="auto" w:fill="FFFFFF" w:themeFill="background1"/>
            <w:vAlign w:val="center"/>
          </w:tcPr>
          <w:p w14:paraId="0DB3F3F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proofErr w:type="spellStart"/>
            <w:r w:rsidRPr="00161817">
              <w:rPr>
                <w:rFonts w:ascii="Source Sans Pro" w:hAnsi="Source Sans Pro" w:cs="Arial"/>
                <w:sz w:val="16"/>
                <w:szCs w:val="16"/>
              </w:rPr>
              <w:t>Sparda</w:t>
            </w:r>
            <w:proofErr w:type="spellEnd"/>
            <w:r w:rsidRPr="00161817">
              <w:rPr>
                <w:rFonts w:ascii="Source Sans Pro" w:hAnsi="Source Sans Pro" w:cs="Arial"/>
                <w:sz w:val="16"/>
                <w:szCs w:val="16"/>
              </w:rPr>
              <w:t>-Bank Tower“,</w:t>
            </w:r>
          </w:p>
          <w:p w14:paraId="4BA2BDF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Europa-Allee 68</w:t>
            </w:r>
          </w:p>
        </w:tc>
        <w:tc>
          <w:tcPr>
            <w:tcW w:w="2658" w:type="dxa"/>
            <w:tcBorders>
              <w:top w:val="single" w:sz="4" w:space="0" w:color="auto"/>
            </w:tcBorders>
            <w:shd w:val="clear" w:color="auto" w:fill="FFFFFF" w:themeFill="background1"/>
            <w:vAlign w:val="center"/>
          </w:tcPr>
          <w:p w14:paraId="3D5F97C2"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Sparda</w:t>
            </w:r>
            <w:proofErr w:type="spellEnd"/>
            <w:r w:rsidRPr="00161817">
              <w:rPr>
                <w:rFonts w:ascii="Source Sans Pro" w:hAnsi="Source Sans Pro" w:cs="Arial"/>
                <w:sz w:val="16"/>
                <w:szCs w:val="16"/>
              </w:rPr>
              <w:t>-Bank Hessen</w:t>
            </w:r>
          </w:p>
        </w:tc>
        <w:tc>
          <w:tcPr>
            <w:tcW w:w="2190" w:type="dxa"/>
            <w:tcBorders>
              <w:top w:val="single" w:sz="4" w:space="0" w:color="auto"/>
            </w:tcBorders>
            <w:shd w:val="clear" w:color="auto" w:fill="FFFFFF" w:themeFill="background1"/>
            <w:vAlign w:val="center"/>
          </w:tcPr>
          <w:p w14:paraId="174DC931"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Gustav Zech Stiftung</w:t>
            </w:r>
          </w:p>
        </w:tc>
        <w:tc>
          <w:tcPr>
            <w:tcW w:w="1014" w:type="dxa"/>
            <w:tcBorders>
              <w:top w:val="single" w:sz="4" w:space="0" w:color="auto"/>
            </w:tcBorders>
            <w:shd w:val="clear" w:color="auto" w:fill="FFFFFF" w:themeFill="background1"/>
            <w:vAlign w:val="center"/>
          </w:tcPr>
          <w:p w14:paraId="1E2C1CDE" w14:textId="407B866B" w:rsidR="00161817" w:rsidRPr="00161817" w:rsidRDefault="00501428" w:rsidP="009E6C40">
            <w:pPr>
              <w:widowControl w:val="0"/>
              <w:jc w:val="center"/>
              <w:rPr>
                <w:rFonts w:ascii="Source Sans Pro" w:hAnsi="Source Sans Pro" w:cs="Arial"/>
                <w:sz w:val="16"/>
                <w:szCs w:val="16"/>
              </w:rPr>
            </w:pPr>
            <w:r>
              <w:rPr>
                <w:rFonts w:ascii="Source Sans Pro" w:hAnsi="Source Sans Pro" w:cs="Arial"/>
                <w:sz w:val="16"/>
                <w:szCs w:val="16"/>
              </w:rPr>
              <w:t>v</w:t>
            </w:r>
            <w:r w:rsidR="00161817" w:rsidRPr="00161817">
              <w:rPr>
                <w:rFonts w:ascii="Source Sans Pro" w:hAnsi="Source Sans Pro" w:cs="Arial"/>
                <w:sz w:val="16"/>
                <w:szCs w:val="16"/>
              </w:rPr>
              <w:t>ertraulich</w:t>
            </w:r>
          </w:p>
        </w:tc>
      </w:tr>
    </w:tbl>
    <w:p w14:paraId="74A03D40" w14:textId="77777777" w:rsidR="00161817" w:rsidRPr="00161817" w:rsidRDefault="00161817" w:rsidP="00161817">
      <w:pPr>
        <w:widowControl w:val="0"/>
        <w:rPr>
          <w:rFonts w:ascii="Source Sans Pro" w:hAnsi="Source Sans Pro" w:cs="Arial"/>
          <w:sz w:val="16"/>
          <w:szCs w:val="16"/>
          <w:lang w:val="en-GB"/>
        </w:rPr>
      </w:pPr>
      <w:r w:rsidRPr="00161817">
        <w:rPr>
          <w:rFonts w:ascii="Source Sans Pro" w:hAnsi="Source Sans Pro" w:cs="Arial"/>
          <w:sz w:val="16"/>
          <w:szCs w:val="16"/>
        </w:rPr>
        <w:t>Deals aus diesem Berichtsquartal sind grau hinterlegt. Quelle:</w:t>
      </w:r>
      <w:r w:rsidRPr="00161817">
        <w:rPr>
          <w:rFonts w:ascii="Source Sans Pro" w:hAnsi="Source Sans Pro" w:cs="Arial"/>
          <w:sz w:val="16"/>
          <w:szCs w:val="16"/>
          <w:lang w:val="en-GB"/>
        </w:rPr>
        <w:t xml:space="preserve"> German Property Partners (GPP)</w:t>
      </w:r>
    </w:p>
    <w:p w14:paraId="425AA70D" w14:textId="77777777" w:rsidR="00161817" w:rsidRPr="00161817" w:rsidRDefault="00161817" w:rsidP="00161817">
      <w:pPr>
        <w:widowControl w:val="0"/>
        <w:rPr>
          <w:rFonts w:ascii="Source Sans Pro" w:hAnsi="Source Sans Pro" w:cs="Arial"/>
          <w:sz w:val="16"/>
          <w:szCs w:val="16"/>
          <w:lang w:val="en-GB"/>
        </w:rPr>
      </w:pPr>
    </w:p>
    <w:p w14:paraId="2AC77FA8" w14:textId="77777777" w:rsidR="00161817" w:rsidRPr="00161817" w:rsidRDefault="00161817" w:rsidP="00161817">
      <w:pPr>
        <w:widowControl w:val="0"/>
        <w:rPr>
          <w:rFonts w:ascii="Source Sans Pro" w:hAnsi="Source Sans Pro" w:cs="Arial"/>
          <w:sz w:val="16"/>
          <w:szCs w:val="16"/>
          <w:lang w:val="en-GB"/>
        </w:rPr>
      </w:pPr>
    </w:p>
    <w:p w14:paraId="42791304" w14:textId="15576CF8" w:rsidR="00161817" w:rsidRPr="00161817" w:rsidRDefault="00AF0066" w:rsidP="00161817">
      <w:pPr>
        <w:widowControl w:val="0"/>
        <w:jc w:val="both"/>
        <w:rPr>
          <w:rFonts w:ascii="Source Sans Pro" w:hAnsi="Source Sans Pro" w:cs="Arial"/>
          <w:b/>
          <w:sz w:val="20"/>
        </w:rPr>
      </w:pPr>
      <w:r>
        <w:rPr>
          <w:rFonts w:ascii="Source Sans Pro" w:hAnsi="Source Sans Pro" w:cs="Arial"/>
          <w:b/>
          <w:sz w:val="20"/>
          <w:lang w:val="en-GB"/>
        </w:rPr>
        <w:t>Top-7-Standorte | 1.-3</w:t>
      </w:r>
      <w:r w:rsidR="00161817" w:rsidRPr="00161817">
        <w:rPr>
          <w:rFonts w:ascii="Source Sans Pro" w:hAnsi="Source Sans Pro" w:cs="Arial"/>
          <w:b/>
          <w:sz w:val="20"/>
          <w:lang w:val="en-GB"/>
        </w:rPr>
        <w:t xml:space="preserve">. </w:t>
      </w:r>
      <w:r w:rsidR="00161817" w:rsidRPr="00161817">
        <w:rPr>
          <w:rFonts w:ascii="Source Sans Pro" w:hAnsi="Source Sans Pro" w:cs="Arial"/>
          <w:b/>
          <w:sz w:val="20"/>
        </w:rPr>
        <w:t>Quartal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TOP-7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TAV</w:t>
            </w:r>
          </w:p>
          <w:p w14:paraId="741AC997"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sz w:val="16"/>
                <w:szCs w:val="16"/>
              </w:rPr>
              <w:t>in Mio. €</w:t>
            </w:r>
          </w:p>
        </w:tc>
        <w:tc>
          <w:tcPr>
            <w:tcW w:w="817" w:type="dxa"/>
            <w:vAlign w:val="center"/>
          </w:tcPr>
          <w:p w14:paraId="42B492E0" w14:textId="6FD46710"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w:t>
            </w:r>
            <w:r w:rsidR="00161817" w:rsidRPr="00161817">
              <w:rPr>
                <w:rFonts w:ascii="Source Sans Pro" w:hAnsi="Source Sans Pro" w:cs="Arial"/>
                <w:sz w:val="16"/>
                <w:szCs w:val="16"/>
              </w:rPr>
              <w:t>.</w:t>
            </w:r>
            <w:r>
              <w:rPr>
                <w:rFonts w:ascii="Source Sans Pro" w:hAnsi="Source Sans Pro" w:cs="Arial"/>
                <w:sz w:val="16"/>
                <w:szCs w:val="16"/>
              </w:rPr>
              <w:t>100</w:t>
            </w:r>
          </w:p>
        </w:tc>
        <w:tc>
          <w:tcPr>
            <w:tcW w:w="816" w:type="dxa"/>
            <w:vAlign w:val="center"/>
          </w:tcPr>
          <w:p w14:paraId="2473804E" w14:textId="2882A474" w:rsidR="00161817" w:rsidRPr="00161817" w:rsidRDefault="00AF0066" w:rsidP="009E6C40">
            <w:pPr>
              <w:widowControl w:val="0"/>
              <w:jc w:val="center"/>
              <w:rPr>
                <w:rFonts w:ascii="Source Sans Pro" w:hAnsi="Source Sans Pro" w:cs="Arial"/>
                <w:sz w:val="16"/>
                <w:szCs w:val="16"/>
                <w:highlight w:val="yellow"/>
                <w:u w:val="single"/>
              </w:rPr>
            </w:pPr>
            <w:r>
              <w:rPr>
                <w:rFonts w:ascii="Source Sans Pro" w:hAnsi="Source Sans Pro" w:cs="Arial"/>
                <w:sz w:val="16"/>
                <w:szCs w:val="16"/>
                <w:u w:val="single"/>
              </w:rPr>
              <w:t>5.800</w:t>
            </w:r>
          </w:p>
        </w:tc>
        <w:tc>
          <w:tcPr>
            <w:tcW w:w="933" w:type="dxa"/>
            <w:vAlign w:val="center"/>
          </w:tcPr>
          <w:p w14:paraId="7E0DFD82" w14:textId="42689966" w:rsidR="00161817" w:rsidRPr="00161817" w:rsidRDefault="00AF0066" w:rsidP="009E6C40">
            <w:pPr>
              <w:widowControl w:val="0"/>
              <w:jc w:val="center"/>
              <w:rPr>
                <w:rFonts w:ascii="Source Sans Pro" w:hAnsi="Source Sans Pro" w:cs="Arial"/>
                <w:sz w:val="16"/>
                <w:szCs w:val="16"/>
                <w:highlight w:val="yellow"/>
              </w:rPr>
            </w:pPr>
            <w:r>
              <w:rPr>
                <w:rFonts w:ascii="Source Sans Pro" w:hAnsi="Source Sans Pro" w:cs="Arial"/>
                <w:sz w:val="16"/>
                <w:szCs w:val="16"/>
              </w:rPr>
              <w:t>1.340</w:t>
            </w:r>
          </w:p>
        </w:tc>
        <w:tc>
          <w:tcPr>
            <w:tcW w:w="937" w:type="dxa"/>
            <w:vAlign w:val="center"/>
          </w:tcPr>
          <w:p w14:paraId="79C367DF" w14:textId="3FF07A4D"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1.200</w:t>
            </w:r>
          </w:p>
        </w:tc>
        <w:tc>
          <w:tcPr>
            <w:tcW w:w="937" w:type="dxa"/>
            <w:vAlign w:val="center"/>
          </w:tcPr>
          <w:p w14:paraId="5874DBC2" w14:textId="797D31D6"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4.350</w:t>
            </w:r>
          </w:p>
        </w:tc>
        <w:tc>
          <w:tcPr>
            <w:tcW w:w="932" w:type="dxa"/>
            <w:vAlign w:val="center"/>
          </w:tcPr>
          <w:p w14:paraId="161F8429" w14:textId="5EF1E512"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787</w:t>
            </w:r>
          </w:p>
        </w:tc>
        <w:tc>
          <w:tcPr>
            <w:tcW w:w="936" w:type="dxa"/>
            <w:shd w:val="clear" w:color="auto" w:fill="auto"/>
            <w:vAlign w:val="center"/>
          </w:tcPr>
          <w:p w14:paraId="521DD4D6" w14:textId="0CBD7A16"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3.654</w:t>
            </w:r>
          </w:p>
        </w:tc>
        <w:tc>
          <w:tcPr>
            <w:tcW w:w="800" w:type="dxa"/>
            <w:vAlign w:val="center"/>
          </w:tcPr>
          <w:p w14:paraId="5D7AFB91" w14:textId="17EBAD22" w:rsidR="00161817" w:rsidRPr="00161817" w:rsidRDefault="00AF0066" w:rsidP="009E6C40">
            <w:pPr>
              <w:widowControl w:val="0"/>
              <w:jc w:val="center"/>
              <w:rPr>
                <w:rFonts w:ascii="Source Sans Pro" w:hAnsi="Source Sans Pro" w:cs="Arial"/>
                <w:b/>
                <w:color w:val="FF0000"/>
                <w:sz w:val="16"/>
                <w:szCs w:val="16"/>
              </w:rPr>
            </w:pPr>
            <w:r>
              <w:rPr>
                <w:rFonts w:ascii="Source Sans Pro" w:hAnsi="Source Sans Pro" w:cs="Arial"/>
                <w:b/>
                <w:sz w:val="16"/>
                <w:szCs w:val="16"/>
              </w:rPr>
              <w:t>19.231</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Veränderung</w:t>
            </w:r>
          </w:p>
          <w:p w14:paraId="384171F4"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sz w:val="16"/>
                <w:szCs w:val="16"/>
              </w:rPr>
              <w:t>ggü</w:t>
            </w:r>
            <w:proofErr w:type="spellEnd"/>
            <w:r w:rsidRPr="00161817">
              <w:rPr>
                <w:rFonts w:ascii="Source Sans Pro" w:hAnsi="Source Sans Pro" w:cs="Arial"/>
                <w:sz w:val="16"/>
                <w:szCs w:val="16"/>
              </w:rPr>
              <w:t>. Vorjahr</w:t>
            </w:r>
            <w:r w:rsidRPr="00161817">
              <w:rPr>
                <w:rFonts w:ascii="Source Sans Pro" w:hAnsi="Source Sans Pro" w:cs="Arial"/>
                <w:b/>
                <w:sz w:val="16"/>
                <w:szCs w:val="16"/>
              </w:rPr>
              <w:t xml:space="preserve"> </w:t>
            </w:r>
            <w:r w:rsidRPr="00161817">
              <w:rPr>
                <w:rFonts w:ascii="Source Sans Pro" w:hAnsi="Source Sans Pro" w:cs="Arial"/>
                <w:sz w:val="16"/>
                <w:szCs w:val="16"/>
              </w:rPr>
              <w:t>in %</w:t>
            </w:r>
          </w:p>
        </w:tc>
        <w:tc>
          <w:tcPr>
            <w:tcW w:w="817" w:type="dxa"/>
            <w:vAlign w:val="center"/>
          </w:tcPr>
          <w:p w14:paraId="41BD7562" w14:textId="318F1ACB"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-4</w:t>
            </w:r>
            <w:r w:rsidR="00AF0066">
              <w:rPr>
                <w:rFonts w:ascii="Source Sans Pro" w:hAnsi="Source Sans Pro" w:cs="Arial"/>
                <w:sz w:val="16"/>
                <w:szCs w:val="16"/>
                <w:u w:val="single"/>
              </w:rPr>
              <w:t>2</w:t>
            </w:r>
          </w:p>
        </w:tc>
        <w:tc>
          <w:tcPr>
            <w:tcW w:w="816" w:type="dxa"/>
            <w:vAlign w:val="center"/>
          </w:tcPr>
          <w:p w14:paraId="1C4CFEFB" w14:textId="6FF1A663" w:rsidR="00161817" w:rsidRPr="00161817" w:rsidRDefault="00161817" w:rsidP="009E6C40">
            <w:pPr>
              <w:widowControl w:val="0"/>
              <w:jc w:val="center"/>
              <w:rPr>
                <w:rFonts w:ascii="Source Sans Pro" w:hAnsi="Source Sans Pro" w:cs="Arial"/>
                <w:sz w:val="16"/>
                <w:szCs w:val="16"/>
                <w:highlight w:val="yellow"/>
              </w:rPr>
            </w:pPr>
            <w:r w:rsidRPr="00161817">
              <w:rPr>
                <w:rFonts w:ascii="Source Sans Pro" w:hAnsi="Source Sans Pro" w:cs="Arial"/>
                <w:sz w:val="16"/>
                <w:szCs w:val="16"/>
              </w:rPr>
              <w:t>+2</w:t>
            </w:r>
            <w:r w:rsidR="00AF0066">
              <w:rPr>
                <w:rFonts w:ascii="Source Sans Pro" w:hAnsi="Source Sans Pro" w:cs="Arial"/>
                <w:sz w:val="16"/>
                <w:szCs w:val="16"/>
              </w:rPr>
              <w:t>2</w:t>
            </w:r>
          </w:p>
        </w:tc>
        <w:tc>
          <w:tcPr>
            <w:tcW w:w="933" w:type="dxa"/>
            <w:vAlign w:val="center"/>
          </w:tcPr>
          <w:p w14:paraId="50DE9682" w14:textId="186B11A4" w:rsidR="00161817" w:rsidRPr="00161817" w:rsidRDefault="00161817" w:rsidP="009E6C40">
            <w:pPr>
              <w:widowControl w:val="0"/>
              <w:jc w:val="center"/>
              <w:rPr>
                <w:rFonts w:ascii="Source Sans Pro" w:hAnsi="Source Sans Pro" w:cs="Arial"/>
                <w:sz w:val="16"/>
                <w:szCs w:val="16"/>
                <w:highlight w:val="yellow"/>
              </w:rPr>
            </w:pPr>
            <w:r w:rsidRPr="00161817">
              <w:rPr>
                <w:rFonts w:ascii="Source Sans Pro" w:hAnsi="Source Sans Pro" w:cs="Arial"/>
                <w:sz w:val="16"/>
                <w:szCs w:val="16"/>
              </w:rPr>
              <w:t>-4</w:t>
            </w:r>
            <w:r w:rsidR="00AF0066">
              <w:rPr>
                <w:rFonts w:ascii="Source Sans Pro" w:hAnsi="Source Sans Pro" w:cs="Arial"/>
                <w:sz w:val="16"/>
                <w:szCs w:val="16"/>
              </w:rPr>
              <w:t>1</w:t>
            </w:r>
          </w:p>
        </w:tc>
        <w:tc>
          <w:tcPr>
            <w:tcW w:w="937" w:type="dxa"/>
            <w:vAlign w:val="center"/>
          </w:tcPr>
          <w:p w14:paraId="0640E354" w14:textId="002BF60A"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w:t>
            </w:r>
          </w:p>
        </w:tc>
        <w:tc>
          <w:tcPr>
            <w:tcW w:w="937" w:type="dxa"/>
            <w:vAlign w:val="center"/>
          </w:tcPr>
          <w:p w14:paraId="025DC8CA" w14:textId="33FDAAA6" w:rsidR="00161817" w:rsidRPr="00161817" w:rsidRDefault="007C5441" w:rsidP="009E6C40">
            <w:pPr>
              <w:widowControl w:val="0"/>
              <w:jc w:val="center"/>
              <w:rPr>
                <w:rFonts w:ascii="Source Sans Pro" w:hAnsi="Source Sans Pro" w:cs="Arial"/>
                <w:sz w:val="16"/>
                <w:szCs w:val="16"/>
              </w:rPr>
            </w:pPr>
            <w:r>
              <w:rPr>
                <w:rFonts w:ascii="Source Sans Pro" w:hAnsi="Source Sans Pro" w:cs="Arial"/>
                <w:sz w:val="16"/>
                <w:szCs w:val="16"/>
              </w:rPr>
              <w:t>+</w:t>
            </w:r>
            <w:r w:rsidR="00AF0066">
              <w:rPr>
                <w:rFonts w:ascii="Source Sans Pro" w:hAnsi="Source Sans Pro" w:cs="Arial"/>
                <w:sz w:val="16"/>
                <w:szCs w:val="16"/>
              </w:rPr>
              <w:t>19</w:t>
            </w:r>
          </w:p>
        </w:tc>
        <w:tc>
          <w:tcPr>
            <w:tcW w:w="932" w:type="dxa"/>
            <w:vAlign w:val="center"/>
          </w:tcPr>
          <w:p w14:paraId="62EC947E" w14:textId="3F4B7C3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r w:rsidR="00AF0066">
              <w:rPr>
                <w:rFonts w:ascii="Source Sans Pro" w:hAnsi="Source Sans Pro" w:cs="Arial"/>
                <w:sz w:val="16"/>
                <w:szCs w:val="16"/>
              </w:rPr>
              <w:t>12</w:t>
            </w:r>
          </w:p>
        </w:tc>
        <w:tc>
          <w:tcPr>
            <w:tcW w:w="936" w:type="dxa"/>
            <w:shd w:val="clear" w:color="auto" w:fill="auto"/>
            <w:vAlign w:val="center"/>
          </w:tcPr>
          <w:p w14:paraId="29099EF0" w14:textId="29E6ACDB"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r w:rsidR="00AF0066">
              <w:rPr>
                <w:rFonts w:ascii="Source Sans Pro" w:hAnsi="Source Sans Pro" w:cs="Arial"/>
                <w:sz w:val="16"/>
                <w:szCs w:val="16"/>
              </w:rPr>
              <w:t>22</w:t>
            </w:r>
          </w:p>
        </w:tc>
        <w:tc>
          <w:tcPr>
            <w:tcW w:w="800" w:type="dxa"/>
            <w:vAlign w:val="center"/>
          </w:tcPr>
          <w:p w14:paraId="71231CA6" w14:textId="77777777" w:rsidR="00161817" w:rsidRPr="00161817" w:rsidRDefault="00161817" w:rsidP="009E6C40">
            <w:pPr>
              <w:widowControl w:val="0"/>
              <w:jc w:val="center"/>
              <w:rPr>
                <w:rFonts w:ascii="Source Sans Pro" w:hAnsi="Source Sans Pro" w:cs="Arial"/>
                <w:b/>
                <w:color w:val="FF0000"/>
                <w:sz w:val="16"/>
                <w:szCs w:val="16"/>
              </w:rPr>
            </w:pPr>
            <w:r w:rsidRPr="00161817">
              <w:rPr>
                <w:rFonts w:ascii="Source Sans Pro" w:hAnsi="Source Sans Pro" w:cs="Arial"/>
                <w:b/>
                <w:sz w:val="16"/>
                <w:szCs w:val="16"/>
              </w:rPr>
              <w:t>-1</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Spitzenrendite* Büro</w:t>
            </w:r>
          </w:p>
          <w:p w14:paraId="34B73F2E"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sz w:val="16"/>
                <w:szCs w:val="16"/>
              </w:rPr>
              <w:t>in %</w:t>
            </w:r>
          </w:p>
        </w:tc>
        <w:tc>
          <w:tcPr>
            <w:tcW w:w="817" w:type="dxa"/>
            <w:vAlign w:val="center"/>
          </w:tcPr>
          <w:p w14:paraId="74FF9E2D" w14:textId="77777777"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2,60</w:t>
            </w:r>
          </w:p>
        </w:tc>
        <w:tc>
          <w:tcPr>
            <w:tcW w:w="816" w:type="dxa"/>
            <w:vAlign w:val="center"/>
          </w:tcPr>
          <w:p w14:paraId="0D6415B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2,65</w:t>
            </w:r>
          </w:p>
        </w:tc>
        <w:tc>
          <w:tcPr>
            <w:tcW w:w="933" w:type="dxa"/>
            <w:vAlign w:val="center"/>
          </w:tcPr>
          <w:p w14:paraId="53A1E09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2,90</w:t>
            </w:r>
          </w:p>
        </w:tc>
        <w:tc>
          <w:tcPr>
            <w:tcW w:w="937" w:type="dxa"/>
            <w:vAlign w:val="center"/>
          </w:tcPr>
          <w:p w14:paraId="0431521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3,00</w:t>
            </w:r>
          </w:p>
        </w:tc>
        <w:tc>
          <w:tcPr>
            <w:tcW w:w="937" w:type="dxa"/>
            <w:vAlign w:val="center"/>
          </w:tcPr>
          <w:p w14:paraId="73277C1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2,90</w:t>
            </w:r>
          </w:p>
        </w:tc>
        <w:tc>
          <w:tcPr>
            <w:tcW w:w="932" w:type="dxa"/>
            <w:vAlign w:val="center"/>
          </w:tcPr>
          <w:p w14:paraId="4CD09DF4" w14:textId="7274174F"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2,8</w:t>
            </w:r>
            <w:r w:rsidR="00161817" w:rsidRPr="00161817">
              <w:rPr>
                <w:rFonts w:ascii="Source Sans Pro" w:hAnsi="Source Sans Pro" w:cs="Arial"/>
                <w:sz w:val="16"/>
                <w:szCs w:val="16"/>
              </w:rPr>
              <w:t>0</w:t>
            </w:r>
          </w:p>
        </w:tc>
        <w:tc>
          <w:tcPr>
            <w:tcW w:w="936" w:type="dxa"/>
            <w:shd w:val="clear" w:color="auto" w:fill="auto"/>
            <w:vAlign w:val="center"/>
          </w:tcPr>
          <w:p w14:paraId="7A486F95" w14:textId="6CB88A81"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w:t>
            </w:r>
            <w:r w:rsidR="00161817" w:rsidRPr="00161817">
              <w:rPr>
                <w:rFonts w:ascii="Source Sans Pro" w:hAnsi="Source Sans Pro" w:cs="Arial"/>
                <w:sz w:val="16"/>
                <w:szCs w:val="16"/>
              </w:rPr>
              <w:t>,</w:t>
            </w:r>
            <w:r>
              <w:rPr>
                <w:rFonts w:ascii="Source Sans Pro" w:hAnsi="Source Sans Pro" w:cs="Arial"/>
                <w:sz w:val="16"/>
                <w:szCs w:val="16"/>
              </w:rPr>
              <w:t>75</w:t>
            </w:r>
          </w:p>
        </w:tc>
        <w:tc>
          <w:tcPr>
            <w:tcW w:w="800" w:type="dxa"/>
            <w:vAlign w:val="center"/>
          </w:tcPr>
          <w:p w14:paraId="47ED8E15" w14:textId="05F6E18E"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2,8</w:t>
            </w:r>
            <w:r w:rsidR="00AF0066">
              <w:rPr>
                <w:rFonts w:ascii="Source Sans Pro" w:hAnsi="Source Sans Pro" w:cs="Arial"/>
                <w:b/>
                <w:sz w:val="16"/>
                <w:szCs w:val="16"/>
              </w:rPr>
              <w:t>0</w:t>
            </w:r>
          </w:p>
        </w:tc>
      </w:tr>
      <w:tr w:rsidR="00161817"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ggü</w:t>
            </w:r>
            <w:proofErr w:type="spellEnd"/>
            <w:r w:rsidRPr="00161817">
              <w:rPr>
                <w:rFonts w:ascii="Source Sans Pro" w:hAnsi="Source Sans Pro" w:cs="Arial"/>
                <w:b/>
                <w:sz w:val="16"/>
                <w:szCs w:val="16"/>
              </w:rPr>
              <w:t xml:space="preserve">. Vorjahr </w:t>
            </w:r>
            <w:r w:rsidRPr="00161817">
              <w:rPr>
                <w:rFonts w:ascii="Source Sans Pro" w:hAnsi="Source Sans Pro" w:cs="Arial"/>
                <w:sz w:val="16"/>
                <w:szCs w:val="16"/>
              </w:rPr>
              <w:t>in %-Pkt.</w:t>
            </w:r>
          </w:p>
        </w:tc>
        <w:tc>
          <w:tcPr>
            <w:tcW w:w="817" w:type="dxa"/>
            <w:vAlign w:val="center"/>
          </w:tcPr>
          <w:p w14:paraId="54B227DC"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-0,20</w:t>
            </w:r>
          </w:p>
        </w:tc>
        <w:tc>
          <w:tcPr>
            <w:tcW w:w="816" w:type="dxa"/>
            <w:vAlign w:val="center"/>
          </w:tcPr>
          <w:p w14:paraId="51AFFAE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-0,05</w:t>
            </w:r>
          </w:p>
        </w:tc>
        <w:tc>
          <w:tcPr>
            <w:tcW w:w="933" w:type="dxa"/>
            <w:vAlign w:val="center"/>
          </w:tcPr>
          <w:p w14:paraId="6738B9B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-0,05</w:t>
            </w:r>
          </w:p>
        </w:tc>
        <w:tc>
          <w:tcPr>
            <w:tcW w:w="937" w:type="dxa"/>
            <w:vAlign w:val="center"/>
          </w:tcPr>
          <w:p w14:paraId="063AA1B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0,00</w:t>
            </w:r>
          </w:p>
        </w:tc>
        <w:tc>
          <w:tcPr>
            <w:tcW w:w="937" w:type="dxa"/>
            <w:vAlign w:val="center"/>
          </w:tcPr>
          <w:p w14:paraId="125AAE5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-0,05</w:t>
            </w:r>
          </w:p>
        </w:tc>
        <w:tc>
          <w:tcPr>
            <w:tcW w:w="932" w:type="dxa"/>
            <w:vAlign w:val="center"/>
          </w:tcPr>
          <w:p w14:paraId="3BDF16AC" w14:textId="77777777" w:rsidR="00161817" w:rsidRPr="00AF0066" w:rsidRDefault="00161817" w:rsidP="009E6C40">
            <w:pPr>
              <w:widowControl w:val="0"/>
              <w:jc w:val="center"/>
              <w:rPr>
                <w:rFonts w:ascii="Source Sans Pro" w:hAnsi="Source Sans Pro" w:cs="Arial"/>
                <w:sz w:val="16"/>
                <w:szCs w:val="16"/>
              </w:rPr>
            </w:pPr>
            <w:r w:rsidRPr="00AF0066">
              <w:rPr>
                <w:rFonts w:ascii="Source Sans Pro" w:hAnsi="Source Sans Pro" w:cs="Arial"/>
                <w:sz w:val="16"/>
                <w:szCs w:val="16"/>
              </w:rPr>
              <w:t>0,00</w:t>
            </w:r>
          </w:p>
        </w:tc>
        <w:tc>
          <w:tcPr>
            <w:tcW w:w="936" w:type="dxa"/>
            <w:shd w:val="clear" w:color="auto" w:fill="auto"/>
            <w:vAlign w:val="center"/>
          </w:tcPr>
          <w:p w14:paraId="7875A0DE" w14:textId="7DAB94B2" w:rsidR="00161817" w:rsidRPr="00AF0066" w:rsidRDefault="00AF0066" w:rsidP="009E6C40">
            <w:pPr>
              <w:widowControl w:val="0"/>
              <w:jc w:val="center"/>
              <w:rPr>
                <w:rFonts w:ascii="Source Sans Pro" w:hAnsi="Source Sans Pro" w:cs="Arial"/>
                <w:sz w:val="16"/>
                <w:szCs w:val="16"/>
              </w:rPr>
            </w:pPr>
            <w:r>
              <w:rPr>
                <w:rFonts w:ascii="Source Sans Pro" w:hAnsi="Source Sans Pro" w:cs="Arial"/>
                <w:sz w:val="16"/>
                <w:szCs w:val="16"/>
              </w:rPr>
              <w:t>-</w:t>
            </w:r>
            <w:r w:rsidR="00161817" w:rsidRPr="00AF0066">
              <w:rPr>
                <w:rFonts w:ascii="Source Sans Pro" w:hAnsi="Source Sans Pro" w:cs="Arial"/>
                <w:sz w:val="16"/>
                <w:szCs w:val="16"/>
              </w:rPr>
              <w:t>0,</w:t>
            </w:r>
            <w:r>
              <w:rPr>
                <w:rFonts w:ascii="Source Sans Pro" w:hAnsi="Source Sans Pro" w:cs="Arial"/>
                <w:sz w:val="16"/>
                <w:szCs w:val="16"/>
              </w:rPr>
              <w:t>25</w:t>
            </w:r>
          </w:p>
        </w:tc>
        <w:tc>
          <w:tcPr>
            <w:tcW w:w="800" w:type="dxa"/>
            <w:vAlign w:val="center"/>
          </w:tcPr>
          <w:p w14:paraId="53A9636D"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-0,05</w:t>
            </w:r>
          </w:p>
        </w:tc>
      </w:tr>
      <w:tr w:rsidR="00161817"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 xml:space="preserve">Spitzenrendite* Logistik </w:t>
            </w:r>
            <w:r w:rsidRPr="00161817">
              <w:rPr>
                <w:rFonts w:ascii="Source Sans Pro" w:hAnsi="Source Sans Pro" w:cs="Arial"/>
                <w:sz w:val="16"/>
                <w:szCs w:val="16"/>
              </w:rPr>
              <w:t>in %</w:t>
            </w:r>
          </w:p>
        </w:tc>
        <w:tc>
          <w:tcPr>
            <w:tcW w:w="817" w:type="dxa"/>
            <w:vAlign w:val="center"/>
          </w:tcPr>
          <w:p w14:paraId="684A9001" w14:textId="44B3E3E7"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3,5</w:t>
            </w:r>
            <w:r w:rsidR="00161817" w:rsidRPr="00F74B67">
              <w:rPr>
                <w:rFonts w:ascii="Source Sans Pro" w:hAnsi="Source Sans Pro" w:cs="Arial"/>
                <w:sz w:val="16"/>
                <w:szCs w:val="16"/>
                <w:u w:val="single"/>
              </w:rPr>
              <w:t>0</w:t>
            </w:r>
          </w:p>
        </w:tc>
        <w:tc>
          <w:tcPr>
            <w:tcW w:w="816" w:type="dxa"/>
            <w:vAlign w:val="center"/>
          </w:tcPr>
          <w:p w14:paraId="0F835EAB" w14:textId="77777777"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3,50</w:t>
            </w:r>
          </w:p>
        </w:tc>
        <w:tc>
          <w:tcPr>
            <w:tcW w:w="933" w:type="dxa"/>
            <w:vAlign w:val="center"/>
          </w:tcPr>
          <w:p w14:paraId="3DD373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3,75</w:t>
            </w:r>
          </w:p>
        </w:tc>
        <w:tc>
          <w:tcPr>
            <w:tcW w:w="937" w:type="dxa"/>
            <w:vAlign w:val="center"/>
          </w:tcPr>
          <w:p w14:paraId="7406BE99" w14:textId="74D25443"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3,5</w:t>
            </w:r>
            <w:r w:rsidR="00161817" w:rsidRPr="00F74B67">
              <w:rPr>
                <w:rFonts w:ascii="Source Sans Pro" w:hAnsi="Source Sans Pro" w:cs="Arial"/>
                <w:sz w:val="16"/>
                <w:szCs w:val="16"/>
                <w:u w:val="single"/>
              </w:rPr>
              <w:t>0</w:t>
            </w:r>
          </w:p>
        </w:tc>
        <w:tc>
          <w:tcPr>
            <w:tcW w:w="937" w:type="dxa"/>
            <w:vAlign w:val="center"/>
          </w:tcPr>
          <w:p w14:paraId="41CAE3C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3,60</w:t>
            </w:r>
          </w:p>
        </w:tc>
        <w:tc>
          <w:tcPr>
            <w:tcW w:w="932" w:type="dxa"/>
            <w:vAlign w:val="center"/>
          </w:tcPr>
          <w:p w14:paraId="1F901372" w14:textId="751BB6A6"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3,70</w:t>
            </w:r>
          </w:p>
        </w:tc>
        <w:tc>
          <w:tcPr>
            <w:tcW w:w="936" w:type="dxa"/>
            <w:shd w:val="clear" w:color="auto" w:fill="auto"/>
            <w:vAlign w:val="center"/>
          </w:tcPr>
          <w:p w14:paraId="7546B5F5" w14:textId="08E495E8"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3,5</w:t>
            </w:r>
            <w:r w:rsidR="00161817" w:rsidRPr="00F74B67">
              <w:rPr>
                <w:rFonts w:ascii="Source Sans Pro" w:hAnsi="Source Sans Pro" w:cs="Arial"/>
                <w:sz w:val="16"/>
                <w:szCs w:val="16"/>
                <w:u w:val="single"/>
              </w:rPr>
              <w:t>0</w:t>
            </w:r>
          </w:p>
        </w:tc>
        <w:tc>
          <w:tcPr>
            <w:tcW w:w="800" w:type="dxa"/>
            <w:vAlign w:val="center"/>
          </w:tcPr>
          <w:p w14:paraId="34BF6507" w14:textId="23F8883F"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3,</w:t>
            </w:r>
            <w:r w:rsidR="00AF0066">
              <w:rPr>
                <w:rFonts w:ascii="Source Sans Pro" w:hAnsi="Source Sans Pro" w:cs="Arial"/>
                <w:b/>
                <w:sz w:val="16"/>
                <w:szCs w:val="16"/>
              </w:rPr>
              <w:t>58</w:t>
            </w:r>
          </w:p>
        </w:tc>
      </w:tr>
      <w:tr w:rsidR="00161817"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ggü</w:t>
            </w:r>
            <w:proofErr w:type="spellEnd"/>
            <w:r w:rsidRPr="00161817">
              <w:rPr>
                <w:rFonts w:ascii="Source Sans Pro" w:hAnsi="Source Sans Pro" w:cs="Arial"/>
                <w:b/>
                <w:sz w:val="16"/>
                <w:szCs w:val="16"/>
              </w:rPr>
              <w:t xml:space="preserve">. Vorjahr </w:t>
            </w:r>
            <w:r w:rsidRPr="00161817">
              <w:rPr>
                <w:rFonts w:ascii="Source Sans Pro" w:hAnsi="Source Sans Pro" w:cs="Arial"/>
                <w:sz w:val="16"/>
                <w:szCs w:val="16"/>
              </w:rPr>
              <w:t>in %-Pkt.</w:t>
            </w:r>
          </w:p>
        </w:tc>
        <w:tc>
          <w:tcPr>
            <w:tcW w:w="817" w:type="dxa"/>
            <w:vAlign w:val="center"/>
          </w:tcPr>
          <w:p w14:paraId="2579329F" w14:textId="2E1A682C" w:rsidR="00161817" w:rsidRPr="00F74B67" w:rsidRDefault="00AF0066"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-0,7</w:t>
            </w:r>
            <w:r w:rsidR="00161817" w:rsidRPr="00F74B67">
              <w:rPr>
                <w:rFonts w:ascii="Source Sans Pro" w:hAnsi="Source Sans Pro" w:cs="Arial"/>
                <w:sz w:val="16"/>
                <w:szCs w:val="16"/>
                <w:u w:val="single"/>
              </w:rPr>
              <w:t>0</w:t>
            </w:r>
          </w:p>
        </w:tc>
        <w:tc>
          <w:tcPr>
            <w:tcW w:w="816" w:type="dxa"/>
            <w:vAlign w:val="center"/>
          </w:tcPr>
          <w:p w14:paraId="3597B6B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-0,30</w:t>
            </w:r>
          </w:p>
        </w:tc>
        <w:tc>
          <w:tcPr>
            <w:tcW w:w="933" w:type="dxa"/>
            <w:vAlign w:val="center"/>
          </w:tcPr>
          <w:p w14:paraId="1849196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-0,25</w:t>
            </w:r>
          </w:p>
        </w:tc>
        <w:tc>
          <w:tcPr>
            <w:tcW w:w="937" w:type="dxa"/>
            <w:vAlign w:val="center"/>
          </w:tcPr>
          <w:p w14:paraId="475FF0C9" w14:textId="00166BC8" w:rsidR="00161817" w:rsidRPr="00F74B67" w:rsidRDefault="00AF0066" w:rsidP="009E6C40">
            <w:pPr>
              <w:widowControl w:val="0"/>
              <w:jc w:val="center"/>
              <w:rPr>
                <w:rFonts w:ascii="Source Sans Pro" w:hAnsi="Source Sans Pro" w:cs="Arial"/>
                <w:sz w:val="16"/>
                <w:szCs w:val="16"/>
              </w:rPr>
            </w:pPr>
            <w:r w:rsidRPr="00F74B67">
              <w:rPr>
                <w:rFonts w:ascii="Source Sans Pro" w:hAnsi="Source Sans Pro" w:cs="Arial"/>
                <w:sz w:val="16"/>
                <w:szCs w:val="16"/>
              </w:rPr>
              <w:t>-0,3</w:t>
            </w:r>
            <w:r w:rsidR="00161817" w:rsidRPr="00F74B67">
              <w:rPr>
                <w:rFonts w:ascii="Source Sans Pro" w:hAnsi="Source Sans Pro" w:cs="Arial"/>
                <w:sz w:val="16"/>
                <w:szCs w:val="16"/>
              </w:rPr>
              <w:t>0</w:t>
            </w:r>
          </w:p>
        </w:tc>
        <w:tc>
          <w:tcPr>
            <w:tcW w:w="937" w:type="dxa"/>
            <w:vAlign w:val="center"/>
          </w:tcPr>
          <w:p w14:paraId="46A53898" w14:textId="3BE07AE3"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-0,1</w:t>
            </w:r>
            <w:r w:rsidR="00161817" w:rsidRPr="00161817">
              <w:rPr>
                <w:rFonts w:ascii="Source Sans Pro" w:hAnsi="Source Sans Pro" w:cs="Arial"/>
                <w:sz w:val="16"/>
                <w:szCs w:val="16"/>
              </w:rPr>
              <w:t>0</w:t>
            </w:r>
          </w:p>
        </w:tc>
        <w:tc>
          <w:tcPr>
            <w:tcW w:w="932" w:type="dxa"/>
            <w:vAlign w:val="center"/>
          </w:tcPr>
          <w:p w14:paraId="4B78F66F" w14:textId="77777777" w:rsidR="00161817" w:rsidRPr="00F74B67" w:rsidRDefault="00161817" w:rsidP="009E6C40">
            <w:pPr>
              <w:widowControl w:val="0"/>
              <w:jc w:val="center"/>
              <w:rPr>
                <w:rFonts w:ascii="Source Sans Pro" w:hAnsi="Source Sans Pro" w:cs="Arial"/>
                <w:sz w:val="16"/>
                <w:szCs w:val="16"/>
              </w:rPr>
            </w:pPr>
            <w:r w:rsidRPr="00F74B67">
              <w:rPr>
                <w:rFonts w:ascii="Source Sans Pro" w:hAnsi="Source Sans Pro" w:cs="Arial"/>
                <w:sz w:val="16"/>
                <w:szCs w:val="16"/>
              </w:rPr>
              <w:t>-0,50</w:t>
            </w:r>
          </w:p>
        </w:tc>
        <w:tc>
          <w:tcPr>
            <w:tcW w:w="936" w:type="dxa"/>
            <w:shd w:val="clear" w:color="auto" w:fill="auto"/>
            <w:vAlign w:val="center"/>
          </w:tcPr>
          <w:p w14:paraId="7A92EAA5" w14:textId="7AA39A6C"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-0,5</w:t>
            </w:r>
            <w:r w:rsidR="00161817" w:rsidRPr="00161817">
              <w:rPr>
                <w:rFonts w:ascii="Source Sans Pro" w:hAnsi="Source Sans Pro" w:cs="Arial"/>
                <w:sz w:val="16"/>
                <w:szCs w:val="16"/>
              </w:rPr>
              <w:t>0</w:t>
            </w:r>
          </w:p>
        </w:tc>
        <w:tc>
          <w:tcPr>
            <w:tcW w:w="800" w:type="dxa"/>
            <w:vAlign w:val="center"/>
          </w:tcPr>
          <w:p w14:paraId="7140B27A" w14:textId="6437E0E2"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-0,3</w:t>
            </w:r>
            <w:r w:rsidR="00AF0066">
              <w:rPr>
                <w:rFonts w:ascii="Source Sans Pro" w:hAnsi="Source Sans Pro" w:cs="Arial"/>
                <w:b/>
                <w:sz w:val="16"/>
                <w:szCs w:val="16"/>
              </w:rPr>
              <w:t>8</w:t>
            </w:r>
          </w:p>
        </w:tc>
      </w:tr>
      <w:tr w:rsidR="00161817"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Stärkste</w:t>
            </w:r>
          </w:p>
          <w:p w14:paraId="210819D2"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Assetklasse</w:t>
            </w:r>
            <w:proofErr w:type="spellEnd"/>
          </w:p>
        </w:tc>
        <w:tc>
          <w:tcPr>
            <w:tcW w:w="817" w:type="dxa"/>
            <w:vAlign w:val="center"/>
          </w:tcPr>
          <w:p w14:paraId="4ED34F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816" w:type="dxa"/>
            <w:vAlign w:val="center"/>
          </w:tcPr>
          <w:p w14:paraId="1BA1974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Mixed-</w:t>
            </w:r>
            <w:proofErr w:type="spellStart"/>
            <w:r w:rsidRPr="00161817">
              <w:rPr>
                <w:rFonts w:ascii="Source Sans Pro" w:hAnsi="Source Sans Pro" w:cs="Arial"/>
                <w:sz w:val="16"/>
                <w:szCs w:val="16"/>
              </w:rPr>
              <w:t>Use</w:t>
            </w:r>
            <w:proofErr w:type="spellEnd"/>
          </w:p>
        </w:tc>
        <w:tc>
          <w:tcPr>
            <w:tcW w:w="933" w:type="dxa"/>
            <w:vAlign w:val="center"/>
          </w:tcPr>
          <w:p w14:paraId="2135011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7" w:type="dxa"/>
            <w:vAlign w:val="center"/>
          </w:tcPr>
          <w:p w14:paraId="0978A794"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7" w:type="dxa"/>
            <w:vAlign w:val="center"/>
          </w:tcPr>
          <w:p w14:paraId="74C19DC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2" w:type="dxa"/>
            <w:vAlign w:val="center"/>
          </w:tcPr>
          <w:p w14:paraId="42CE99E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6" w:type="dxa"/>
            <w:shd w:val="clear" w:color="auto" w:fill="auto"/>
            <w:vAlign w:val="center"/>
          </w:tcPr>
          <w:p w14:paraId="0AF439F9"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800" w:type="dxa"/>
            <w:vAlign w:val="center"/>
          </w:tcPr>
          <w:p w14:paraId="5660B842"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Stärkste</w:t>
            </w:r>
          </w:p>
          <w:p w14:paraId="19D9BE72"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Assetklasse</w:t>
            </w:r>
            <w:proofErr w:type="spellEnd"/>
            <w:r w:rsidRPr="00161817">
              <w:rPr>
                <w:rFonts w:ascii="Source Sans Pro" w:hAnsi="Source Sans Pro" w:cs="Arial"/>
                <w:b/>
                <w:sz w:val="16"/>
                <w:szCs w:val="16"/>
              </w:rPr>
              <w:t xml:space="preserve"> </w:t>
            </w:r>
            <w:r w:rsidRPr="00161817">
              <w:rPr>
                <w:rFonts w:ascii="Source Sans Pro" w:hAnsi="Source Sans Pro" w:cs="Arial"/>
                <w:sz w:val="16"/>
                <w:szCs w:val="16"/>
              </w:rPr>
              <w:t>in %</w:t>
            </w:r>
          </w:p>
        </w:tc>
        <w:tc>
          <w:tcPr>
            <w:tcW w:w="817" w:type="dxa"/>
            <w:vAlign w:val="center"/>
          </w:tcPr>
          <w:p w14:paraId="516BE07F" w14:textId="32BC7179"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62</w:t>
            </w:r>
          </w:p>
        </w:tc>
        <w:tc>
          <w:tcPr>
            <w:tcW w:w="816" w:type="dxa"/>
            <w:vAlign w:val="center"/>
          </w:tcPr>
          <w:p w14:paraId="3290541C" w14:textId="1F183293"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45</w:t>
            </w:r>
          </w:p>
        </w:tc>
        <w:tc>
          <w:tcPr>
            <w:tcW w:w="933" w:type="dxa"/>
            <w:vAlign w:val="center"/>
          </w:tcPr>
          <w:p w14:paraId="65F78631" w14:textId="61FA0F3D"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w:t>
            </w:r>
            <w:r w:rsidR="00F74B67">
              <w:rPr>
                <w:rFonts w:ascii="Source Sans Pro" w:hAnsi="Source Sans Pro" w:cs="Arial"/>
                <w:sz w:val="16"/>
                <w:szCs w:val="16"/>
              </w:rPr>
              <w:t>1</w:t>
            </w:r>
          </w:p>
        </w:tc>
        <w:tc>
          <w:tcPr>
            <w:tcW w:w="937" w:type="dxa"/>
            <w:vAlign w:val="center"/>
          </w:tcPr>
          <w:p w14:paraId="63E405B4" w14:textId="268670D4"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50</w:t>
            </w:r>
          </w:p>
        </w:tc>
        <w:tc>
          <w:tcPr>
            <w:tcW w:w="937" w:type="dxa"/>
            <w:vAlign w:val="center"/>
          </w:tcPr>
          <w:p w14:paraId="3DBBA68E" w14:textId="2B8959A2" w:rsidR="00161817" w:rsidRPr="00F74B67" w:rsidRDefault="00F74B67"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83</w:t>
            </w:r>
          </w:p>
        </w:tc>
        <w:tc>
          <w:tcPr>
            <w:tcW w:w="932" w:type="dxa"/>
            <w:vAlign w:val="center"/>
          </w:tcPr>
          <w:p w14:paraId="62F1591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36</w:t>
            </w:r>
          </w:p>
        </w:tc>
        <w:tc>
          <w:tcPr>
            <w:tcW w:w="936" w:type="dxa"/>
            <w:shd w:val="clear" w:color="auto" w:fill="auto"/>
            <w:vAlign w:val="center"/>
          </w:tcPr>
          <w:p w14:paraId="5FF3E0CF" w14:textId="2897E1F5" w:rsidR="00161817" w:rsidRPr="00F74B67" w:rsidRDefault="00F74B67" w:rsidP="009E6C40">
            <w:pPr>
              <w:widowControl w:val="0"/>
              <w:jc w:val="center"/>
              <w:rPr>
                <w:rFonts w:ascii="Source Sans Pro" w:hAnsi="Source Sans Pro" w:cs="Arial"/>
                <w:sz w:val="16"/>
                <w:szCs w:val="16"/>
              </w:rPr>
            </w:pPr>
            <w:r w:rsidRPr="00F74B67">
              <w:rPr>
                <w:rFonts w:ascii="Source Sans Pro" w:hAnsi="Source Sans Pro" w:cs="Arial"/>
                <w:sz w:val="16"/>
                <w:szCs w:val="16"/>
              </w:rPr>
              <w:t>79</w:t>
            </w:r>
          </w:p>
        </w:tc>
        <w:tc>
          <w:tcPr>
            <w:tcW w:w="800" w:type="dxa"/>
            <w:vAlign w:val="center"/>
          </w:tcPr>
          <w:p w14:paraId="2A043F0A"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sidRPr="00161817">
        <w:rPr>
          <w:rFonts w:ascii="Source Sans Pro" w:hAnsi="Source Sans Pro" w:cs="Arial"/>
          <w:sz w:val="16"/>
          <w:szCs w:val="16"/>
        </w:rPr>
        <w:t>* Nettoanfangsrendite; Quelle: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1620BBA6" w14:textId="77777777" w:rsidR="000E4F2C" w:rsidRDefault="000E4F2C">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cs="Source Sans Pro SemiBold"/>
          <w:b/>
          <w:bCs/>
          <w:caps/>
          <w:color w:val="0087A8"/>
          <w:sz w:val="18"/>
          <w:szCs w:val="18"/>
        </w:rPr>
        <w:br w:type="page"/>
      </w:r>
    </w:p>
    <w:p w14:paraId="50B0AF24" w14:textId="64D33838"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sidRPr="006456EA">
        <w:rPr>
          <w:rFonts w:ascii="Source Sans Pro SemiBold" w:hAnsi="Source Sans Pro SemiBold" w:cs="Source Sans Pro SemiBold"/>
          <w:b/>
          <w:bCs/>
          <w:caps/>
          <w:color w:val="0087A8"/>
          <w:sz w:val="18"/>
          <w:szCs w:val="18"/>
        </w:rPr>
        <w:lastRenderedPageBreak/>
        <w:t xml:space="preserve">ÜBER GERMAN PROPERTY PARTNERS. </w:t>
      </w:r>
    </w:p>
    <w:p w14:paraId="47B60849" w14:textId="77777777" w:rsidR="00E1280F" w:rsidRPr="00E1280F" w:rsidRDefault="008322D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E1280F" w:rsidRPr="00E1280F">
          <w:rPr>
            <w:rFonts w:ascii="Source Sans Pro SemiBold" w:hAnsi="Source Sans Pro SemiBold" w:cs="Source Sans Pro SemiBold"/>
            <w:bCs/>
            <w:caps/>
            <w:color w:val="0087A8"/>
            <w:sz w:val="18"/>
            <w:szCs w:val="18"/>
          </w:rPr>
          <w:t>German Property Partners</w:t>
        </w:r>
      </w:hyperlink>
      <w:r w:rsidR="00E1280F" w:rsidRPr="00E1280F">
        <w:rPr>
          <w:rFonts w:ascii="Source Sans Pro SemiBold" w:hAnsi="Source Sans Pro SemiBold" w:cs="Source Sans Pro SemiBold"/>
          <w:bCs/>
          <w:caps/>
          <w:color w:val="0087A8"/>
          <w:sz w:val="18"/>
          <w:szCs w:val="18"/>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sidRPr="00E1280F">
        <w:rPr>
          <w:rFonts w:ascii="Source Sans Pro SemiBold" w:hAnsi="Source Sans Pro SemiBold" w:cs="Source Sans Pro SemiBold"/>
          <w:bCs/>
          <w:caps/>
          <w:color w:val="0087A8"/>
          <w:sz w:val="18"/>
          <w:szCs w:val="18"/>
        </w:rPr>
        <w:t xml:space="preserve">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cs="Source Sans Pro SemiBold"/>
          <w:bCs/>
          <w:caps/>
          <w:color w:val="0087A8"/>
          <w:sz w:val="18"/>
          <w:szCs w:val="18"/>
        </w:rPr>
        <w:t>Aktuell sind mehr als 41</w:t>
      </w:r>
      <w:r w:rsidR="00E1280F" w:rsidRPr="00E1280F">
        <w:rPr>
          <w:rFonts w:ascii="Source Sans Pro SemiBold" w:hAnsi="Source Sans Pro SemiBold" w:cs="Source Sans Pro SemiBold"/>
          <w:bCs/>
          <w:caps/>
          <w:color w:val="0087A8"/>
          <w:sz w:val="18"/>
          <w:szCs w:val="18"/>
        </w:rPr>
        <w:t>0 Immobilienspezialisten für das Netzwerk tätig. 2020 vermittelte GPP deutschlandweit rund 462.800 m² Gewerbefläche und betreute ein Transaktionsvolumen in Höhe von rund 2,45 Mrd. €.</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sidRPr="006456EA">
        <w:rPr>
          <w:rFonts w:ascii="Source Sans Pro SemiBold" w:hAnsi="Source Sans Pro SemiBold" w:cs="Source Sans Pro SemiBold"/>
          <w:b/>
          <w:bCs/>
          <w:color w:val="0087A8"/>
          <w:sz w:val="18"/>
          <w:szCs w:val="18"/>
        </w:rPr>
        <w:t>www.germanpropertypartners.de</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7B9B7DCB"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sidRPr="00290672">
        <w:rPr>
          <w:rFonts w:ascii="Source Sans Pro SemiBold" w:hAnsi="Source Sans Pro SemiBold" w:cs="Source Sans Pro SemiBold"/>
          <w:bCs/>
          <w:sz w:val="14"/>
          <w:szCs w:val="14"/>
        </w:rPr>
        <w:t>Die</w:t>
      </w:r>
      <w:r>
        <w:rPr>
          <w:rFonts w:ascii="Source Sans Pro SemiBold" w:hAnsi="Source Sans Pro SemiBold" w:cs="Source Sans Pro SemiBold"/>
          <w:b/>
          <w:bCs/>
          <w:caps/>
          <w:sz w:val="14"/>
          <w:szCs w:val="14"/>
        </w:rPr>
        <w:t xml:space="preserve"> </w:t>
      </w:r>
      <w:r w:rsidR="00DA733A" w:rsidRPr="00917410">
        <w:rPr>
          <w:rFonts w:ascii="Source Sans Pro SemiBold" w:hAnsi="Source Sans Pro SemiBold" w:cs="Source Sans Pro SemiBold"/>
          <w:b/>
          <w:bCs/>
          <w:caps/>
          <w:sz w:val="14"/>
          <w:szCs w:val="14"/>
        </w:rPr>
        <w:t>Datenschutzerklärung</w:t>
      </w:r>
      <w:r w:rsidR="00DA733A" w:rsidRPr="00917410">
        <w:rPr>
          <w:rFonts w:ascii="Source Sans Pro" w:hAnsi="Source Sans Pro" w:cs="Source Sans Pro"/>
          <w:sz w:val="14"/>
          <w:szCs w:val="14"/>
        </w:rPr>
        <w:t xml:space="preserve"> von German Property Partners finden Sie auf der GPP-Website: www.germanpropertypartners.de/datenschutz. Wenn Sie künftig keine Informationen der GPP-Pressestelle mehr erhalten möchten, senden Sie bitte eine E-Mail an presse@germanpropertypartners.de mit dem Betreff „Abmeldung aus Presseverteiler“. </w:t>
      </w:r>
    </w:p>
    <w:sectPr w:rsidR="005C25D5" w:rsidRPr="00D53B8E"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DBE0" w14:textId="77777777" w:rsidR="00E27DEF" w:rsidRDefault="00E27DEF">
      <w:r>
        <w:separator/>
      </w:r>
    </w:p>
  </w:endnote>
  <w:endnote w:type="continuationSeparator" w:id="0">
    <w:p w14:paraId="63E8188B" w14:textId="77777777" w:rsidR="00E27DEF" w:rsidRDefault="00E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4FC627B1"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8322D8">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8322D8">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Pr="006456EA">
      <w:rPr>
        <w:rFonts w:ascii="Source Sans Pro SemiBold" w:hAnsi="Source Sans Pro SemiBold" w:cs="Source Sans Pro SemiBold"/>
        <w:b/>
        <w:bCs/>
        <w:caps/>
        <w:color w:val="0087A8"/>
        <w:sz w:val="18"/>
        <w:szCs w:val="18"/>
      </w:rPr>
      <w:tab/>
    </w:r>
    <w:r w:rsidR="009B008F">
      <w:rPr>
        <w:rFonts w:ascii="Source Sans Pro" w:hAnsi="Source Sans Pro" w:cs="Source Sans Pro"/>
        <w:color w:val="0087A8"/>
        <w:sz w:val="18"/>
        <w:szCs w:val="18"/>
      </w:rPr>
      <w:t>T  +49 40 350802</w:t>
    </w:r>
    <w:r w:rsidR="00282ED8">
      <w:rPr>
        <w:rFonts w:ascii="Source Sans Pro" w:hAnsi="Source Sans Pro" w:cs="Source Sans Pro"/>
        <w:color w:val="0087A8"/>
        <w:sz w:val="18"/>
        <w:szCs w:val="18"/>
      </w:rPr>
      <w:t>-620</w:t>
    </w:r>
    <w:r w:rsidRPr="006456EA">
      <w:rPr>
        <w:rFonts w:ascii="Source Sans Pro" w:hAnsi="Source Sans Pro" w:cs="Source Sans Pro"/>
        <w:color w:val="0087A8"/>
        <w:sz w:val="18"/>
        <w:szCs w:val="18"/>
      </w:rPr>
      <w:t xml:space="preserve">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sidRPr="00965DEB">
      <w:rPr>
        <w:noProof/>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282ED8">
      <w:rPr>
        <w:rFonts w:ascii="Source Sans Pro" w:hAnsi="Source Sans Pro" w:cs="Source Sans Pro"/>
        <w:color w:val="0087A8"/>
        <w:sz w:val="18"/>
        <w:szCs w:val="18"/>
      </w:rPr>
      <w:t>Berit Friedrich</w:t>
    </w:r>
    <w:r w:rsidR="005644BE" w:rsidRPr="006456EA">
      <w:rPr>
        <w:rFonts w:ascii="Source Sans Pro" w:hAnsi="Source Sans Pro" w:cs="Source Sans Pro"/>
        <w:color w:val="0087A8"/>
        <w:sz w:val="18"/>
        <w:szCs w:val="18"/>
      </w:rPr>
      <w:tab/>
      <w:t>presse@germanpropertypartners.de</w:t>
    </w:r>
    <w:r w:rsidR="00077E8A">
      <w:rPr>
        <w:rStyle w:val="Seitenzahl"/>
      </w:rPr>
      <w:tab/>
    </w:r>
    <w:r w:rsidR="00077E8A">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2BC5F425"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8322D8">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w:t>
    </w:r>
    <w:r w:rsidR="00B862DB" w:rsidRPr="006456EA">
      <w:rPr>
        <w:rStyle w:val="Seitenzahl"/>
        <w:rFonts w:ascii="Source Sans Pro" w:hAnsi="Source Sans Pro" w:cs="Arial"/>
        <w:color w:val="0087A8"/>
        <w:sz w:val="18"/>
        <w:szCs w:val="18"/>
      </w:rPr>
      <w:t>I</w:t>
    </w:r>
    <w:r w:rsidRPr="006456EA">
      <w:rPr>
        <w:rStyle w:val="Seitenzahl"/>
        <w:rFonts w:ascii="Source Sans Pro" w:hAnsi="Source Sans Pro" w:cs="Arial"/>
        <w:color w:val="0087A8"/>
        <w:sz w:val="18"/>
        <w:szCs w:val="18"/>
      </w:rPr>
      <w:t xml:space="preserve">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8322D8">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00C846F6" w:rsidRPr="006456EA">
      <w:rPr>
        <w:rFonts w:ascii="Source Sans Pro SemiBold" w:hAnsi="Source Sans Pro SemiBold" w:cs="Source Sans Pro SemiBold"/>
        <w:b/>
        <w:bCs/>
        <w:caps/>
        <w:color w:val="0087A8"/>
        <w:sz w:val="18"/>
        <w:szCs w:val="18"/>
      </w:rPr>
      <w:tab/>
    </w:r>
    <w:r w:rsidR="00C35841" w:rsidRPr="006456EA">
      <w:rPr>
        <w:rFonts w:ascii="Source Sans Pro" w:hAnsi="Source Sans Pro" w:cs="Source Sans Pro"/>
        <w:color w:val="0087A8"/>
        <w:sz w:val="18"/>
        <w:szCs w:val="18"/>
      </w:rPr>
      <w:t>T  +</w:t>
    </w:r>
    <w:r w:rsidR="003D5215">
      <w:rPr>
        <w:rFonts w:ascii="Source Sans Pro" w:hAnsi="Source Sans Pro" w:cs="Source Sans Pro"/>
        <w:color w:val="0087A8"/>
        <w:sz w:val="18"/>
        <w:szCs w:val="18"/>
      </w:rPr>
      <w:t>49 40 350802-</w:t>
    </w:r>
    <w:r w:rsidR="001550FE">
      <w:rPr>
        <w:rFonts w:ascii="Source Sans Pro" w:hAnsi="Source Sans Pro" w:cs="Source Sans Pro"/>
        <w:color w:val="0087A8"/>
        <w:sz w:val="18"/>
        <w:szCs w:val="18"/>
      </w:rPr>
      <w:t>620</w:t>
    </w:r>
    <w:r w:rsidR="00C35841" w:rsidRPr="006456EA">
      <w:rPr>
        <w:rFonts w:ascii="Source Sans Pro" w:hAnsi="Source Sans Pro" w:cs="Source Sans Pro"/>
        <w:color w:val="0087A8"/>
        <w:sz w:val="18"/>
        <w:szCs w:val="18"/>
      </w:rPr>
      <w:t xml:space="preserve">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cs="Arial"/>
        <w:noProof/>
        <w:color w:val="0087A8"/>
        <w:sz w:val="18"/>
        <w:szCs w:val="18"/>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1550FE">
      <w:rPr>
        <w:rFonts w:ascii="Source Sans Pro" w:hAnsi="Source Sans Pro" w:cs="Source Sans Pro"/>
        <w:color w:val="0087A8"/>
        <w:sz w:val="18"/>
        <w:szCs w:val="18"/>
      </w:rPr>
      <w:t>Berit Friedrich</w:t>
    </w:r>
    <w:r w:rsidR="00C35841" w:rsidRPr="006456EA">
      <w:rPr>
        <w:rFonts w:ascii="Source Sans Pro" w:hAnsi="Source Sans Pro" w:cs="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1D2D" w14:textId="77777777" w:rsidR="00E27DEF" w:rsidRDefault="00E27DEF">
      <w:r>
        <w:separator/>
      </w:r>
    </w:p>
  </w:footnote>
  <w:footnote w:type="continuationSeparator" w:id="0">
    <w:p w14:paraId="76B94CF8" w14:textId="77777777" w:rsidR="00E27DEF" w:rsidRDefault="00E2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sidRPr="00965DEB">
      <w:rPr>
        <w:noProof/>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4D2CD0">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E8471E">
      <w:rPr>
        <w:noProof/>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rsidR="009F28F5">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4E93"/>
    <w:rsid w:val="000136D7"/>
    <w:rsid w:val="00013D73"/>
    <w:rsid w:val="00020AC9"/>
    <w:rsid w:val="00027EA3"/>
    <w:rsid w:val="00032028"/>
    <w:rsid w:val="000440EB"/>
    <w:rsid w:val="0005029E"/>
    <w:rsid w:val="000663B5"/>
    <w:rsid w:val="00066A8A"/>
    <w:rsid w:val="00077E8A"/>
    <w:rsid w:val="00082C59"/>
    <w:rsid w:val="00091562"/>
    <w:rsid w:val="0009382E"/>
    <w:rsid w:val="000A4FBB"/>
    <w:rsid w:val="000A6A78"/>
    <w:rsid w:val="000B310B"/>
    <w:rsid w:val="000C3A22"/>
    <w:rsid w:val="000D5A87"/>
    <w:rsid w:val="000D7B09"/>
    <w:rsid w:val="000D7FD3"/>
    <w:rsid w:val="000E194E"/>
    <w:rsid w:val="000E4F2C"/>
    <w:rsid w:val="000E6577"/>
    <w:rsid w:val="000F57F1"/>
    <w:rsid w:val="00113D8C"/>
    <w:rsid w:val="00120624"/>
    <w:rsid w:val="0012156C"/>
    <w:rsid w:val="00150092"/>
    <w:rsid w:val="001550FE"/>
    <w:rsid w:val="00155828"/>
    <w:rsid w:val="00161817"/>
    <w:rsid w:val="00162CC4"/>
    <w:rsid w:val="001647B3"/>
    <w:rsid w:val="00166ED2"/>
    <w:rsid w:val="00184BB0"/>
    <w:rsid w:val="001963BB"/>
    <w:rsid w:val="001A22F5"/>
    <w:rsid w:val="001B786B"/>
    <w:rsid w:val="001C518B"/>
    <w:rsid w:val="001E1829"/>
    <w:rsid w:val="001E5503"/>
    <w:rsid w:val="001F218D"/>
    <w:rsid w:val="001F35E1"/>
    <w:rsid w:val="00200C83"/>
    <w:rsid w:val="002014F7"/>
    <w:rsid w:val="00202DD3"/>
    <w:rsid w:val="0022694F"/>
    <w:rsid w:val="00235393"/>
    <w:rsid w:val="00264A0A"/>
    <w:rsid w:val="0028070D"/>
    <w:rsid w:val="00282ED8"/>
    <w:rsid w:val="00290672"/>
    <w:rsid w:val="002A09C2"/>
    <w:rsid w:val="002A480D"/>
    <w:rsid w:val="002A7D58"/>
    <w:rsid w:val="002C52C5"/>
    <w:rsid w:val="002F461A"/>
    <w:rsid w:val="003152C9"/>
    <w:rsid w:val="00316196"/>
    <w:rsid w:val="003250ED"/>
    <w:rsid w:val="00341D84"/>
    <w:rsid w:val="003424EC"/>
    <w:rsid w:val="0034454C"/>
    <w:rsid w:val="00355438"/>
    <w:rsid w:val="00355ED1"/>
    <w:rsid w:val="00363075"/>
    <w:rsid w:val="00366AF3"/>
    <w:rsid w:val="00371640"/>
    <w:rsid w:val="00374F87"/>
    <w:rsid w:val="003948FA"/>
    <w:rsid w:val="003A463F"/>
    <w:rsid w:val="003D36F0"/>
    <w:rsid w:val="003D5215"/>
    <w:rsid w:val="003E772C"/>
    <w:rsid w:val="003F293B"/>
    <w:rsid w:val="003F5E07"/>
    <w:rsid w:val="0040331F"/>
    <w:rsid w:val="00403C95"/>
    <w:rsid w:val="00423DAC"/>
    <w:rsid w:val="00425DBF"/>
    <w:rsid w:val="004329C6"/>
    <w:rsid w:val="004343B1"/>
    <w:rsid w:val="00434EB9"/>
    <w:rsid w:val="00453F14"/>
    <w:rsid w:val="00456442"/>
    <w:rsid w:val="00474099"/>
    <w:rsid w:val="00491CBC"/>
    <w:rsid w:val="004A2A30"/>
    <w:rsid w:val="004A2D54"/>
    <w:rsid w:val="004A60FB"/>
    <w:rsid w:val="004B5CB6"/>
    <w:rsid w:val="004C616B"/>
    <w:rsid w:val="004D2CD0"/>
    <w:rsid w:val="004D30FB"/>
    <w:rsid w:val="004F1EDD"/>
    <w:rsid w:val="004F77D4"/>
    <w:rsid w:val="00500981"/>
    <w:rsid w:val="00501428"/>
    <w:rsid w:val="005045E7"/>
    <w:rsid w:val="00510C33"/>
    <w:rsid w:val="005122A0"/>
    <w:rsid w:val="0054038E"/>
    <w:rsid w:val="0054593A"/>
    <w:rsid w:val="00554C9F"/>
    <w:rsid w:val="00557B57"/>
    <w:rsid w:val="005644BE"/>
    <w:rsid w:val="0057524E"/>
    <w:rsid w:val="00575A55"/>
    <w:rsid w:val="005A5999"/>
    <w:rsid w:val="005C25D5"/>
    <w:rsid w:val="005D0D0E"/>
    <w:rsid w:val="005D449F"/>
    <w:rsid w:val="005D73BE"/>
    <w:rsid w:val="005E1C97"/>
    <w:rsid w:val="005E6515"/>
    <w:rsid w:val="005F3B7B"/>
    <w:rsid w:val="0060257F"/>
    <w:rsid w:val="00605989"/>
    <w:rsid w:val="00613713"/>
    <w:rsid w:val="006224FB"/>
    <w:rsid w:val="0063115F"/>
    <w:rsid w:val="006363DA"/>
    <w:rsid w:val="006432C0"/>
    <w:rsid w:val="006456EA"/>
    <w:rsid w:val="00653983"/>
    <w:rsid w:val="006609C2"/>
    <w:rsid w:val="00675E89"/>
    <w:rsid w:val="00695F46"/>
    <w:rsid w:val="006A3C35"/>
    <w:rsid w:val="006A6D11"/>
    <w:rsid w:val="006B2259"/>
    <w:rsid w:val="006B3ECE"/>
    <w:rsid w:val="006C5754"/>
    <w:rsid w:val="006D6526"/>
    <w:rsid w:val="006E674D"/>
    <w:rsid w:val="006E6770"/>
    <w:rsid w:val="006F154A"/>
    <w:rsid w:val="0070363C"/>
    <w:rsid w:val="00712023"/>
    <w:rsid w:val="007144E9"/>
    <w:rsid w:val="00714A1F"/>
    <w:rsid w:val="00717328"/>
    <w:rsid w:val="0072073D"/>
    <w:rsid w:val="00742C04"/>
    <w:rsid w:val="0074571D"/>
    <w:rsid w:val="00750A05"/>
    <w:rsid w:val="00771C92"/>
    <w:rsid w:val="00797DA3"/>
    <w:rsid w:val="007A4844"/>
    <w:rsid w:val="007B33CE"/>
    <w:rsid w:val="007B7B81"/>
    <w:rsid w:val="007C5441"/>
    <w:rsid w:val="007D1495"/>
    <w:rsid w:val="007D5A52"/>
    <w:rsid w:val="007D75C8"/>
    <w:rsid w:val="007E2C66"/>
    <w:rsid w:val="007F1021"/>
    <w:rsid w:val="007F2DBB"/>
    <w:rsid w:val="007F7E7C"/>
    <w:rsid w:val="00821A81"/>
    <w:rsid w:val="00825F63"/>
    <w:rsid w:val="008322D8"/>
    <w:rsid w:val="00851067"/>
    <w:rsid w:val="00856A7C"/>
    <w:rsid w:val="008739E7"/>
    <w:rsid w:val="00874645"/>
    <w:rsid w:val="00881685"/>
    <w:rsid w:val="008844D9"/>
    <w:rsid w:val="00891C3A"/>
    <w:rsid w:val="008A3A3B"/>
    <w:rsid w:val="008A7188"/>
    <w:rsid w:val="008F2058"/>
    <w:rsid w:val="009064CE"/>
    <w:rsid w:val="00912233"/>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A10C6"/>
    <w:rsid w:val="009B008F"/>
    <w:rsid w:val="009C3FDE"/>
    <w:rsid w:val="009F28F5"/>
    <w:rsid w:val="00A07846"/>
    <w:rsid w:val="00A17CA6"/>
    <w:rsid w:val="00A22C2C"/>
    <w:rsid w:val="00A346EF"/>
    <w:rsid w:val="00A54087"/>
    <w:rsid w:val="00A63939"/>
    <w:rsid w:val="00A65690"/>
    <w:rsid w:val="00A65FB0"/>
    <w:rsid w:val="00A66A23"/>
    <w:rsid w:val="00A743C6"/>
    <w:rsid w:val="00A8148C"/>
    <w:rsid w:val="00A91DC1"/>
    <w:rsid w:val="00A9412B"/>
    <w:rsid w:val="00AB69AD"/>
    <w:rsid w:val="00AC6B15"/>
    <w:rsid w:val="00AD2569"/>
    <w:rsid w:val="00AD4124"/>
    <w:rsid w:val="00AE0761"/>
    <w:rsid w:val="00AE07A3"/>
    <w:rsid w:val="00AE0E7B"/>
    <w:rsid w:val="00AE2412"/>
    <w:rsid w:val="00AE318F"/>
    <w:rsid w:val="00AF0066"/>
    <w:rsid w:val="00AF237D"/>
    <w:rsid w:val="00AF27B7"/>
    <w:rsid w:val="00B005BD"/>
    <w:rsid w:val="00B03444"/>
    <w:rsid w:val="00B04F23"/>
    <w:rsid w:val="00B14C16"/>
    <w:rsid w:val="00B14E68"/>
    <w:rsid w:val="00B23669"/>
    <w:rsid w:val="00B24860"/>
    <w:rsid w:val="00B56AFB"/>
    <w:rsid w:val="00B576A5"/>
    <w:rsid w:val="00B862DB"/>
    <w:rsid w:val="00B922EE"/>
    <w:rsid w:val="00B9596E"/>
    <w:rsid w:val="00BB0F85"/>
    <w:rsid w:val="00BC0132"/>
    <w:rsid w:val="00BC0598"/>
    <w:rsid w:val="00BD2784"/>
    <w:rsid w:val="00BF11C6"/>
    <w:rsid w:val="00C11004"/>
    <w:rsid w:val="00C111FE"/>
    <w:rsid w:val="00C1497F"/>
    <w:rsid w:val="00C20B9C"/>
    <w:rsid w:val="00C2509E"/>
    <w:rsid w:val="00C2778C"/>
    <w:rsid w:val="00C27F6A"/>
    <w:rsid w:val="00C35841"/>
    <w:rsid w:val="00C41C74"/>
    <w:rsid w:val="00C43C76"/>
    <w:rsid w:val="00C47F8B"/>
    <w:rsid w:val="00C50567"/>
    <w:rsid w:val="00C742DD"/>
    <w:rsid w:val="00C846F6"/>
    <w:rsid w:val="00C96048"/>
    <w:rsid w:val="00C96214"/>
    <w:rsid w:val="00C9797F"/>
    <w:rsid w:val="00CA1FB9"/>
    <w:rsid w:val="00CA73C1"/>
    <w:rsid w:val="00CA79D7"/>
    <w:rsid w:val="00CC40B9"/>
    <w:rsid w:val="00CD7E39"/>
    <w:rsid w:val="00CE2EFB"/>
    <w:rsid w:val="00CE5A10"/>
    <w:rsid w:val="00D02FD8"/>
    <w:rsid w:val="00D10832"/>
    <w:rsid w:val="00D3104C"/>
    <w:rsid w:val="00D42152"/>
    <w:rsid w:val="00D50FDD"/>
    <w:rsid w:val="00D53B8E"/>
    <w:rsid w:val="00D602AC"/>
    <w:rsid w:val="00D70824"/>
    <w:rsid w:val="00D760A9"/>
    <w:rsid w:val="00D925B8"/>
    <w:rsid w:val="00DA3B66"/>
    <w:rsid w:val="00DA4453"/>
    <w:rsid w:val="00DA6836"/>
    <w:rsid w:val="00DA733A"/>
    <w:rsid w:val="00DB2417"/>
    <w:rsid w:val="00DC05A3"/>
    <w:rsid w:val="00DC6A0C"/>
    <w:rsid w:val="00E03DB3"/>
    <w:rsid w:val="00E1280F"/>
    <w:rsid w:val="00E17B2C"/>
    <w:rsid w:val="00E27DEF"/>
    <w:rsid w:val="00E32743"/>
    <w:rsid w:val="00E342C7"/>
    <w:rsid w:val="00E354F6"/>
    <w:rsid w:val="00E4317C"/>
    <w:rsid w:val="00E63703"/>
    <w:rsid w:val="00E64DDC"/>
    <w:rsid w:val="00E704C6"/>
    <w:rsid w:val="00E775AC"/>
    <w:rsid w:val="00E77B98"/>
    <w:rsid w:val="00E8471E"/>
    <w:rsid w:val="00E91E8C"/>
    <w:rsid w:val="00E942DA"/>
    <w:rsid w:val="00E94EF3"/>
    <w:rsid w:val="00E959E9"/>
    <w:rsid w:val="00E95E00"/>
    <w:rsid w:val="00E97167"/>
    <w:rsid w:val="00EB1611"/>
    <w:rsid w:val="00EB468A"/>
    <w:rsid w:val="00EC3DC1"/>
    <w:rsid w:val="00EC6CC2"/>
    <w:rsid w:val="00ED1C27"/>
    <w:rsid w:val="00ED6DCA"/>
    <w:rsid w:val="00EF7BE7"/>
    <w:rsid w:val="00F05141"/>
    <w:rsid w:val="00F167CB"/>
    <w:rsid w:val="00F2164E"/>
    <w:rsid w:val="00F240EB"/>
    <w:rsid w:val="00F315FE"/>
    <w:rsid w:val="00F31FE6"/>
    <w:rsid w:val="00F45BB8"/>
    <w:rsid w:val="00F53F80"/>
    <w:rsid w:val="00F5697E"/>
    <w:rsid w:val="00F673A2"/>
    <w:rsid w:val="00F72A3E"/>
    <w:rsid w:val="00F74B67"/>
    <w:rsid w:val="00F7577B"/>
    <w:rsid w:val="00F91726"/>
    <w:rsid w:val="00FB3B53"/>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746E54"/>
  <w15:chartTrackingRefBased/>
  <w15:docId w15:val="{BD8A4DCD-E9B6-4CF3-BD97-B28BB20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27</cp:revision>
  <cp:lastPrinted>2019-05-13T13:17:00Z</cp:lastPrinted>
  <dcterms:created xsi:type="dcterms:W3CDTF">2021-09-28T14:08:00Z</dcterms:created>
  <dcterms:modified xsi:type="dcterms:W3CDTF">2021-10-01T12:01:00Z</dcterms:modified>
</cp:coreProperties>
</file>