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D771" w14:textId="647F8AF9" w:rsidR="00D04BA2" w:rsidRPr="005D1DAB" w:rsidRDefault="007970A0" w:rsidP="000C770D">
      <w:pPr>
        <w:spacing w:after="0" w:line="360" w:lineRule="auto"/>
        <w:rPr>
          <w:rFonts w:ascii="Arial" w:hAnsi="Arial" w:cs="Arial"/>
          <w:b/>
          <w:sz w:val="28"/>
          <w:szCs w:val="28"/>
        </w:rPr>
      </w:pPr>
      <w:r>
        <w:rPr>
          <w:rFonts w:ascii="Arial" w:hAnsi="Arial"/>
          <w:b/>
        </w:rPr>
        <w:t>Hamburg: Office letting market 1st-4th quarters of 2019</w:t>
      </w:r>
      <w:r>
        <w:rPr>
          <w:rFonts w:ascii="Arial" w:hAnsi="Arial"/>
          <w:b/>
        </w:rPr>
        <w:br/>
      </w:r>
      <w:r>
        <w:rPr>
          <w:rFonts w:ascii="Arial" w:hAnsi="Arial"/>
          <w:b/>
          <w:sz w:val="28"/>
          <w:szCs w:val="28"/>
        </w:rPr>
        <w:t>Gloomy outlook for companies seeking office space</w:t>
      </w:r>
    </w:p>
    <w:p w14:paraId="5DC3EAC5" w14:textId="77777777" w:rsidR="00590903" w:rsidRPr="0090748B" w:rsidRDefault="00590903" w:rsidP="00590903">
      <w:pPr>
        <w:spacing w:after="0" w:line="360" w:lineRule="auto"/>
        <w:jc w:val="both"/>
        <w:rPr>
          <w:rFonts w:ascii="Arial" w:hAnsi="Arial" w:cs="Arial"/>
          <w:b/>
          <w:sz w:val="20"/>
          <w:szCs w:val="20"/>
        </w:rPr>
      </w:pPr>
    </w:p>
    <w:p w14:paraId="6A3C4CBB" w14:textId="64B73EE0" w:rsidR="00DE7CC2" w:rsidRPr="009E349F" w:rsidRDefault="0089000C" w:rsidP="00FB0F6B">
      <w:pPr>
        <w:spacing w:after="0" w:line="360" w:lineRule="auto"/>
        <w:rPr>
          <w:rFonts w:ascii="Arial" w:hAnsi="Arial" w:cs="Arial"/>
          <w:sz w:val="20"/>
          <w:szCs w:val="20"/>
        </w:rPr>
      </w:pPr>
      <w:r>
        <w:rPr>
          <w:rFonts w:ascii="Arial" w:hAnsi="Arial"/>
          <w:b/>
          <w:sz w:val="20"/>
          <w:szCs w:val="20"/>
        </w:rPr>
        <w:t>Hamburg, 6 January</w:t>
      </w:r>
      <w:r>
        <w:rPr>
          <w:rFonts w:ascii="Arial" w:hAnsi="Arial"/>
          <w:sz w:val="20"/>
          <w:szCs w:val="20"/>
        </w:rPr>
        <w:t xml:space="preserve"> </w:t>
      </w:r>
      <w:r>
        <w:rPr>
          <w:rFonts w:ascii="Arial" w:hAnsi="Arial"/>
          <w:b/>
          <w:sz w:val="20"/>
          <w:szCs w:val="20"/>
        </w:rPr>
        <w:t>2020</w:t>
      </w:r>
      <w:r>
        <w:rPr>
          <w:rFonts w:ascii="Arial" w:hAnsi="Arial"/>
          <w:sz w:val="20"/>
          <w:szCs w:val="20"/>
        </w:rPr>
        <w:t xml:space="preserve"> - In 2019 the total amount of office space let in Hamburg was 545,000 m² and thus some 8 % below the prior year’s figure. Information analysed by Grossmann &amp; Berger, a member of German Property Partners (GPP)</w:t>
      </w:r>
      <w:r w:rsidR="00F963C0">
        <w:rPr>
          <w:rFonts w:ascii="Arial" w:hAnsi="Arial"/>
          <w:sz w:val="20"/>
          <w:szCs w:val="20"/>
        </w:rPr>
        <w:t>,</w:t>
      </w:r>
      <w:r>
        <w:rPr>
          <w:rFonts w:ascii="Arial" w:hAnsi="Arial"/>
          <w:sz w:val="20"/>
          <w:szCs w:val="20"/>
        </w:rPr>
        <w:t xml:space="preserve"> reveals that the volume of empty space continued to contract and by the end of the </w:t>
      </w:r>
      <w:proofErr w:type="gramStart"/>
      <w:r>
        <w:rPr>
          <w:rFonts w:ascii="Arial" w:hAnsi="Arial"/>
          <w:sz w:val="20"/>
          <w:szCs w:val="20"/>
        </w:rPr>
        <w:t>year</w:t>
      </w:r>
      <w:proofErr w:type="gramEnd"/>
      <w:r>
        <w:rPr>
          <w:rFonts w:ascii="Arial" w:hAnsi="Arial"/>
          <w:sz w:val="20"/>
          <w:szCs w:val="20"/>
        </w:rPr>
        <w:t xml:space="preserve"> the vacancy rate had reached an all-time low of 2.9 %. </w:t>
      </w:r>
      <w:r>
        <w:rPr>
          <w:rFonts w:ascii="Arial" w:hAnsi="Arial"/>
          <w:i/>
          <w:sz w:val="20"/>
          <w:szCs w:val="20"/>
        </w:rPr>
        <w:t>“In conjunction with the strong rise in land and construction costs, the low level of vacant space led to a significant rise in office rents in 2019,”</w:t>
      </w:r>
      <w:r>
        <w:rPr>
          <w:rFonts w:ascii="Arial" w:hAnsi="Arial"/>
          <w:sz w:val="20"/>
          <w:szCs w:val="20"/>
        </w:rPr>
        <w:t xml:space="preserve"> says managing director </w:t>
      </w:r>
      <w:r>
        <w:rPr>
          <w:rFonts w:ascii="Arial" w:hAnsi="Arial"/>
          <w:b/>
          <w:sz w:val="20"/>
          <w:szCs w:val="20"/>
        </w:rPr>
        <w:t xml:space="preserve">Andreas </w:t>
      </w:r>
      <w:proofErr w:type="spellStart"/>
      <w:r>
        <w:rPr>
          <w:rFonts w:ascii="Arial" w:hAnsi="Arial"/>
          <w:b/>
          <w:sz w:val="20"/>
          <w:szCs w:val="20"/>
        </w:rPr>
        <w:t>Rehberg</w:t>
      </w:r>
      <w:proofErr w:type="spellEnd"/>
      <w:r w:rsidRPr="005E6F60">
        <w:rPr>
          <w:rFonts w:ascii="Arial" w:hAnsi="Arial"/>
          <w:sz w:val="20"/>
          <w:szCs w:val="20"/>
        </w:rPr>
        <w:t>.</w:t>
      </w:r>
      <w:r w:rsidR="00611143" w:rsidRPr="005E6F60">
        <w:rPr>
          <w:rFonts w:ascii="Arial" w:hAnsi="Arial"/>
          <w:sz w:val="20"/>
          <w:szCs w:val="20"/>
        </w:rPr>
        <w:t xml:space="preserve"> </w:t>
      </w:r>
      <w:r>
        <w:rPr>
          <w:rFonts w:ascii="Arial" w:hAnsi="Arial"/>
          <w:sz w:val="20"/>
          <w:szCs w:val="20"/>
        </w:rPr>
        <w:t xml:space="preserve">In view of the high proportion of pre-lettings - 73 % of the space due for completion in 2020 and 2021 </w:t>
      </w:r>
      <w:proofErr w:type="gramStart"/>
      <w:r>
        <w:rPr>
          <w:rFonts w:ascii="Arial" w:hAnsi="Arial"/>
          <w:sz w:val="20"/>
          <w:szCs w:val="20"/>
        </w:rPr>
        <w:t>is already taken</w:t>
      </w:r>
      <w:proofErr w:type="gramEnd"/>
      <w:r>
        <w:rPr>
          <w:rFonts w:ascii="Arial" w:hAnsi="Arial"/>
          <w:sz w:val="20"/>
          <w:szCs w:val="20"/>
        </w:rPr>
        <w:t xml:space="preserve"> - the market will not benefit from these new</w:t>
      </w:r>
      <w:r w:rsidR="00F963C0">
        <w:rPr>
          <w:rFonts w:ascii="Arial" w:hAnsi="Arial"/>
          <w:sz w:val="20"/>
          <w:szCs w:val="20"/>
        </w:rPr>
        <w:t xml:space="preserve"> buildings. Consequently,</w:t>
      </w:r>
      <w:r>
        <w:rPr>
          <w:rFonts w:ascii="Arial" w:hAnsi="Arial"/>
          <w:sz w:val="20"/>
          <w:szCs w:val="20"/>
        </w:rPr>
        <w:t xml:space="preserve"> office rents will rise even further. </w:t>
      </w:r>
      <w:r>
        <w:rPr>
          <w:rFonts w:ascii="Arial" w:hAnsi="Arial"/>
          <w:i/>
          <w:sz w:val="20"/>
          <w:szCs w:val="20"/>
        </w:rPr>
        <w:t xml:space="preserve">“In 2020 Hamburg will remain a landlord’s market. Because so little </w:t>
      </w:r>
      <w:r w:rsidR="005E6F60">
        <w:rPr>
          <w:rFonts w:ascii="Arial" w:hAnsi="Arial"/>
          <w:i/>
          <w:sz w:val="20"/>
          <w:szCs w:val="20"/>
        </w:rPr>
        <w:t xml:space="preserve">office </w:t>
      </w:r>
      <w:r>
        <w:rPr>
          <w:rFonts w:ascii="Arial" w:hAnsi="Arial"/>
          <w:i/>
          <w:sz w:val="20"/>
          <w:szCs w:val="20"/>
        </w:rPr>
        <w:t xml:space="preserve">space is on the market, companies seeking new office premises have extremely little scope to negotiate terms. Meanwhile, even when larger suites between 1,000 and 2,000 square metres in size become available, three or four firms will be competing for the space. Therefore clients are </w:t>
      </w:r>
      <w:r w:rsidR="006A3325">
        <w:rPr>
          <w:rFonts w:ascii="Arial" w:hAnsi="Arial"/>
          <w:i/>
          <w:sz w:val="20"/>
          <w:szCs w:val="20"/>
        </w:rPr>
        <w:t xml:space="preserve">now </w:t>
      </w:r>
      <w:r>
        <w:rPr>
          <w:rFonts w:ascii="Arial" w:hAnsi="Arial"/>
          <w:i/>
          <w:sz w:val="20"/>
          <w:szCs w:val="20"/>
        </w:rPr>
        <w:t>offered practically no inducements to sign,</w:t>
      </w:r>
      <w:r>
        <w:rPr>
          <w:rFonts w:ascii="Arial" w:hAnsi="Arial"/>
          <w:sz w:val="20"/>
          <w:szCs w:val="20"/>
        </w:rPr>
        <w:t xml:space="preserve">” adds </w:t>
      </w:r>
      <w:proofErr w:type="spellStart"/>
      <w:r>
        <w:rPr>
          <w:rFonts w:ascii="Arial" w:hAnsi="Arial"/>
          <w:b/>
          <w:sz w:val="20"/>
          <w:szCs w:val="20"/>
        </w:rPr>
        <w:t>Rehberg</w:t>
      </w:r>
      <w:proofErr w:type="spellEnd"/>
      <w:r>
        <w:rPr>
          <w:rFonts w:ascii="Arial" w:hAnsi="Arial"/>
          <w:sz w:val="20"/>
          <w:szCs w:val="20"/>
        </w:rPr>
        <w:t>.</w:t>
      </w:r>
    </w:p>
    <w:p w14:paraId="77F14CDF" w14:textId="77777777" w:rsidR="003E6983" w:rsidRDefault="003E6983" w:rsidP="003E6983">
      <w:pPr>
        <w:spacing w:after="0" w:line="360" w:lineRule="auto"/>
        <w:textAlignment w:val="baseline"/>
        <w:rPr>
          <w:rFonts w:ascii="Arial" w:hAnsi="Arial" w:cs="Arial"/>
          <w:sz w:val="20"/>
          <w:szCs w:val="20"/>
        </w:rPr>
      </w:pPr>
    </w:p>
    <w:p w14:paraId="5037A73B" w14:textId="441BC955" w:rsidR="002D525C" w:rsidRPr="00C171C1" w:rsidRDefault="006F5757" w:rsidP="00C171C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20339070" w14:textId="36575D0F" w:rsidR="00397AD9" w:rsidRDefault="00312D28">
      <w:pPr>
        <w:pStyle w:val="Listenabsatz"/>
        <w:numPr>
          <w:ilvl w:val="0"/>
          <w:numId w:val="16"/>
        </w:numPr>
        <w:spacing w:after="0" w:line="360" w:lineRule="auto"/>
        <w:ind w:left="426"/>
        <w:textAlignment w:val="baseline"/>
        <w:rPr>
          <w:rFonts w:ascii="Arial" w:hAnsi="Arial" w:cs="Arial"/>
          <w:sz w:val="20"/>
          <w:szCs w:val="20"/>
        </w:rPr>
      </w:pPr>
      <w:r>
        <w:rPr>
          <w:rFonts w:ascii="Arial" w:hAnsi="Arial"/>
          <w:sz w:val="20"/>
          <w:szCs w:val="20"/>
        </w:rPr>
        <w:t xml:space="preserve">The 4th quarter was the weakest of the four with take-up of </w:t>
      </w:r>
      <w:r w:rsidR="005E6F60">
        <w:rPr>
          <w:rFonts w:ascii="Arial" w:hAnsi="Arial"/>
          <w:sz w:val="20"/>
          <w:szCs w:val="20"/>
        </w:rPr>
        <w:t xml:space="preserve">office </w:t>
      </w:r>
      <w:r>
        <w:rPr>
          <w:rFonts w:ascii="Arial" w:hAnsi="Arial"/>
          <w:sz w:val="20"/>
          <w:szCs w:val="20"/>
        </w:rPr>
        <w:t>space at 110,000 m².</w:t>
      </w:r>
    </w:p>
    <w:p w14:paraId="21460536" w14:textId="243516BC" w:rsidR="00640CD0" w:rsidRDefault="00163A27">
      <w:pPr>
        <w:pStyle w:val="Listenabsatz"/>
        <w:numPr>
          <w:ilvl w:val="0"/>
          <w:numId w:val="16"/>
        </w:numPr>
        <w:spacing w:after="0" w:line="360" w:lineRule="auto"/>
        <w:ind w:left="426"/>
        <w:textAlignment w:val="baseline"/>
        <w:rPr>
          <w:rFonts w:ascii="Arial" w:hAnsi="Arial" w:cs="Arial"/>
          <w:sz w:val="20"/>
          <w:szCs w:val="20"/>
        </w:rPr>
      </w:pPr>
      <w:proofErr w:type="gramStart"/>
      <w:r>
        <w:rPr>
          <w:rFonts w:ascii="Arial" w:hAnsi="Arial"/>
          <w:sz w:val="20"/>
          <w:szCs w:val="20"/>
        </w:rPr>
        <w:t>Overall</w:t>
      </w:r>
      <w:proofErr w:type="gramEnd"/>
      <w:r>
        <w:rPr>
          <w:rFonts w:ascii="Arial" w:hAnsi="Arial"/>
          <w:sz w:val="20"/>
          <w:szCs w:val="20"/>
        </w:rPr>
        <w:t xml:space="preserve"> in 2019 twelve leases for more than 5,000 </w:t>
      </w:r>
      <w:r w:rsidR="00F963C0">
        <w:rPr>
          <w:rFonts w:ascii="Arial" w:hAnsi="Arial"/>
          <w:sz w:val="20"/>
          <w:szCs w:val="20"/>
        </w:rPr>
        <w:t xml:space="preserve">m² of space were signed (2018: </w:t>
      </w:r>
      <w:r>
        <w:rPr>
          <w:rFonts w:ascii="Arial" w:hAnsi="Arial"/>
          <w:sz w:val="20"/>
          <w:szCs w:val="20"/>
        </w:rPr>
        <w:t xml:space="preserve">15). None of the six agreements to rent more than 10,000 m² (2018: 5) was concluded in the 4th quarter. The biggest new agreement involved some 8,175 m² which energy firm </w:t>
      </w:r>
      <w:proofErr w:type="spellStart"/>
      <w:r>
        <w:rPr>
          <w:rFonts w:ascii="Arial" w:hAnsi="Arial"/>
          <w:sz w:val="20"/>
          <w:szCs w:val="20"/>
        </w:rPr>
        <w:t>Lichtblick</w:t>
      </w:r>
      <w:proofErr w:type="spellEnd"/>
      <w:r>
        <w:rPr>
          <w:rFonts w:ascii="Arial" w:hAnsi="Arial"/>
          <w:sz w:val="20"/>
          <w:szCs w:val="20"/>
        </w:rPr>
        <w:t xml:space="preserve"> has rented off-plan in the “CONNEXION” office development at </w:t>
      </w:r>
      <w:proofErr w:type="spellStart"/>
      <w:r>
        <w:rPr>
          <w:rFonts w:ascii="Arial" w:hAnsi="Arial"/>
          <w:sz w:val="20"/>
          <w:szCs w:val="20"/>
        </w:rPr>
        <w:t>Klostertor</w:t>
      </w:r>
      <w:proofErr w:type="spellEnd"/>
      <w:r>
        <w:rPr>
          <w:rFonts w:ascii="Arial" w:hAnsi="Arial"/>
          <w:sz w:val="20"/>
          <w:szCs w:val="20"/>
        </w:rPr>
        <w:t xml:space="preserve"> 1.</w:t>
      </w:r>
    </w:p>
    <w:p w14:paraId="63A7548B" w14:textId="2DC3C690" w:rsidR="00C67D85" w:rsidRDefault="00312D28" w:rsidP="00F4603A">
      <w:pPr>
        <w:pStyle w:val="Listenabsatz"/>
        <w:numPr>
          <w:ilvl w:val="0"/>
          <w:numId w:val="16"/>
        </w:numPr>
        <w:spacing w:after="0" w:line="360" w:lineRule="auto"/>
        <w:ind w:left="426"/>
        <w:textAlignment w:val="baseline"/>
        <w:rPr>
          <w:rFonts w:ascii="Arial" w:hAnsi="Arial" w:cs="Arial"/>
          <w:sz w:val="20"/>
          <w:szCs w:val="20"/>
        </w:rPr>
      </w:pPr>
      <w:r>
        <w:rPr>
          <w:rFonts w:ascii="Arial" w:hAnsi="Arial"/>
          <w:sz w:val="20"/>
          <w:szCs w:val="20"/>
        </w:rPr>
        <w:t xml:space="preserve">Year on year the average rent rose by 12.0 % from €15.80/m²/month to € 17.70/m²/month. By the end of the year, the premium rate had risen 7.3 % to mark a new high of €29.50/m²/month </w:t>
      </w:r>
    </w:p>
    <w:p w14:paraId="7C0E9FE1" w14:textId="62F3B347" w:rsidR="00312D28" w:rsidRDefault="00642409" w:rsidP="00312D28">
      <w:pPr>
        <w:pStyle w:val="Listenabsatz"/>
        <w:numPr>
          <w:ilvl w:val="0"/>
          <w:numId w:val="16"/>
        </w:numPr>
        <w:spacing w:after="0" w:line="360" w:lineRule="auto"/>
        <w:ind w:left="426"/>
        <w:textAlignment w:val="baseline"/>
        <w:rPr>
          <w:rFonts w:ascii="Arial" w:hAnsi="Arial" w:cs="Arial"/>
          <w:sz w:val="20"/>
          <w:szCs w:val="20"/>
        </w:rPr>
      </w:pPr>
      <w:r>
        <w:rPr>
          <w:rFonts w:ascii="Arial" w:hAnsi="Arial"/>
          <w:sz w:val="20"/>
          <w:szCs w:val="20"/>
        </w:rPr>
        <w:t xml:space="preserve">Although some 304,000 m² of new office property </w:t>
      </w:r>
      <w:proofErr w:type="gramStart"/>
      <w:r>
        <w:rPr>
          <w:rFonts w:ascii="Arial" w:hAnsi="Arial"/>
          <w:sz w:val="20"/>
          <w:szCs w:val="20"/>
        </w:rPr>
        <w:t>will be completed</w:t>
      </w:r>
      <w:proofErr w:type="gramEnd"/>
      <w:r>
        <w:rPr>
          <w:rFonts w:ascii="Arial" w:hAnsi="Arial"/>
          <w:sz w:val="20"/>
          <w:szCs w:val="20"/>
        </w:rPr>
        <w:t xml:space="preserve"> in 2020/2021</w:t>
      </w:r>
      <w:r w:rsidR="006A3325">
        <w:rPr>
          <w:rFonts w:ascii="Arial" w:hAnsi="Arial"/>
          <w:sz w:val="20"/>
          <w:szCs w:val="20"/>
        </w:rPr>
        <w:t>,</w:t>
      </w:r>
      <w:r>
        <w:rPr>
          <w:rFonts w:ascii="Arial" w:hAnsi="Arial"/>
          <w:sz w:val="20"/>
          <w:szCs w:val="20"/>
        </w:rPr>
        <w:t xml:space="preserve"> this will not ease the tight market because 73 % of the volume has been pre-let. </w:t>
      </w:r>
      <w:r>
        <w:rPr>
          <w:rFonts w:ascii="Arial" w:hAnsi="Arial"/>
          <w:i/>
          <w:sz w:val="20"/>
          <w:szCs w:val="20"/>
        </w:rPr>
        <w:t>“Therefore speculative developments stand an excellent chance on the market,”</w:t>
      </w:r>
      <w:r>
        <w:rPr>
          <w:rFonts w:ascii="Arial" w:hAnsi="Arial"/>
          <w:sz w:val="20"/>
          <w:szCs w:val="20"/>
        </w:rPr>
        <w:t xml:space="preserve"> forecasts </w:t>
      </w:r>
      <w:proofErr w:type="spellStart"/>
      <w:r>
        <w:rPr>
          <w:rFonts w:ascii="Arial" w:hAnsi="Arial"/>
          <w:b/>
          <w:sz w:val="20"/>
          <w:szCs w:val="20"/>
        </w:rPr>
        <w:t>Rehberg</w:t>
      </w:r>
      <w:proofErr w:type="spellEnd"/>
      <w:r w:rsidRPr="005E6F60">
        <w:rPr>
          <w:rFonts w:ascii="Arial" w:hAnsi="Arial"/>
          <w:sz w:val="20"/>
          <w:szCs w:val="20"/>
        </w:rPr>
        <w:t>.</w:t>
      </w:r>
    </w:p>
    <w:p w14:paraId="3EB843EA" w14:textId="606F727E" w:rsidR="003F1FE3" w:rsidRDefault="003F1FE3" w:rsidP="00312D28">
      <w:pPr>
        <w:pStyle w:val="Listenabsatz"/>
        <w:numPr>
          <w:ilvl w:val="0"/>
          <w:numId w:val="16"/>
        </w:numPr>
        <w:spacing w:after="0" w:line="360" w:lineRule="auto"/>
        <w:ind w:left="426"/>
        <w:textAlignment w:val="baseline"/>
        <w:rPr>
          <w:rFonts w:ascii="Arial" w:hAnsi="Arial" w:cs="Arial"/>
          <w:sz w:val="20"/>
          <w:szCs w:val="20"/>
        </w:rPr>
      </w:pPr>
      <w:r>
        <w:rPr>
          <w:rFonts w:ascii="Arial" w:hAnsi="Arial"/>
          <w:sz w:val="20"/>
          <w:szCs w:val="20"/>
        </w:rPr>
        <w:t>As the volume of available space continues to shrink, Grossmann &amp; Berger expect take-up of office space in 2020 to be in the region of the ten-year average of 530,000 m².</w:t>
      </w:r>
    </w:p>
    <w:p w14:paraId="76B67BCC" w14:textId="1B7E6315" w:rsidR="00C171C1" w:rsidRPr="008E6D4E" w:rsidRDefault="00C171C1" w:rsidP="008E6D4E">
      <w:pPr>
        <w:spacing w:after="0" w:line="360" w:lineRule="auto"/>
        <w:ind w:left="66"/>
        <w:textAlignment w:val="baseline"/>
        <w:rPr>
          <w:rFonts w:ascii="Arial" w:hAnsi="Arial" w:cs="Arial"/>
          <w:sz w:val="20"/>
          <w:szCs w:val="20"/>
        </w:rPr>
      </w:pP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6BFA97AD" w:rsidR="00126D0B" w:rsidRPr="000E7BC7" w:rsidRDefault="00126D0B" w:rsidP="00465B0E">
            <w:pPr>
              <w:widowControl w:val="0"/>
              <w:spacing w:after="0"/>
              <w:rPr>
                <w:rFonts w:ascii="Arial" w:hAnsi="Arial" w:cs="Arial"/>
                <w:b/>
                <w:sz w:val="18"/>
                <w:szCs w:val="16"/>
              </w:rPr>
            </w:pPr>
            <w:r>
              <w:rPr>
                <w:rFonts w:ascii="Arial" w:hAnsi="Arial"/>
                <w:b/>
                <w:sz w:val="18"/>
                <w:szCs w:val="20"/>
              </w:rPr>
              <w:t>Office market | Hamburg | 2019</w:t>
            </w:r>
          </w:p>
        </w:tc>
        <w:tc>
          <w:tcPr>
            <w:tcW w:w="1144" w:type="pct"/>
            <w:shd w:val="clear" w:color="auto" w:fill="1F242B" w:themeFill="accent2"/>
            <w:vAlign w:val="center"/>
          </w:tcPr>
          <w:p w14:paraId="481F2F5D" w14:textId="638E18FF" w:rsidR="00126D0B" w:rsidRPr="000E7BC7" w:rsidRDefault="00625156" w:rsidP="00475AE2">
            <w:pPr>
              <w:widowControl w:val="0"/>
              <w:spacing w:after="0"/>
              <w:jc w:val="center"/>
              <w:rPr>
                <w:rFonts w:ascii="Arial" w:hAnsi="Arial" w:cs="Arial"/>
                <w:b/>
                <w:sz w:val="18"/>
                <w:szCs w:val="16"/>
              </w:rPr>
            </w:pPr>
            <w:r>
              <w:rPr>
                <w:rFonts w:ascii="Arial" w:hAnsi="Arial"/>
                <w:b/>
                <w:sz w:val="18"/>
                <w:szCs w:val="16"/>
              </w:rPr>
              <w:t>Q1-4</w:t>
            </w:r>
          </w:p>
        </w:tc>
      </w:tr>
      <w:tr w:rsidR="00126D0B" w:rsidRPr="00F952F7" w14:paraId="77867528" w14:textId="77777777" w:rsidTr="00A3554C">
        <w:trPr>
          <w:trHeight w:val="283"/>
        </w:trPr>
        <w:tc>
          <w:tcPr>
            <w:tcW w:w="3856" w:type="pct"/>
            <w:vAlign w:val="center"/>
          </w:tcPr>
          <w:p w14:paraId="265D46DB"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63741640" w14:textId="14A1B0A3" w:rsidR="00126D0B" w:rsidRPr="000E7BC7" w:rsidRDefault="007543F0" w:rsidP="007543F0">
            <w:pPr>
              <w:spacing w:after="0"/>
              <w:jc w:val="right"/>
              <w:rPr>
                <w:rFonts w:ascii="Arial" w:hAnsi="Arial" w:cs="Arial"/>
                <w:sz w:val="18"/>
                <w:szCs w:val="16"/>
              </w:rPr>
            </w:pPr>
            <w:r>
              <w:rPr>
                <w:rFonts w:ascii="Arial" w:hAnsi="Arial"/>
                <w:sz w:val="18"/>
                <w:szCs w:val="16"/>
              </w:rPr>
              <w:t>545,000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27D64227" w14:textId="79F1901D" w:rsidR="00126D0B" w:rsidRPr="000E7BC7" w:rsidRDefault="007543F0" w:rsidP="007543F0">
            <w:pPr>
              <w:spacing w:after="0"/>
              <w:jc w:val="right"/>
              <w:rPr>
                <w:rFonts w:ascii="Arial" w:hAnsi="Arial" w:cs="Arial"/>
                <w:sz w:val="18"/>
                <w:szCs w:val="16"/>
              </w:rPr>
            </w:pPr>
            <w:r>
              <w:rPr>
                <w:rFonts w:ascii="Arial" w:hAnsi="Arial"/>
                <w:sz w:val="18"/>
                <w:szCs w:val="16"/>
              </w:rPr>
              <w:t>-7.6</w:t>
            </w:r>
          </w:p>
        </w:tc>
      </w:tr>
      <w:tr w:rsidR="00126D0B" w:rsidRPr="00F952F7" w14:paraId="18A78594" w14:textId="77777777" w:rsidTr="00A3554C">
        <w:trPr>
          <w:trHeight w:val="283"/>
        </w:trPr>
        <w:tc>
          <w:tcPr>
            <w:tcW w:w="3856" w:type="pct"/>
            <w:vAlign w:val="center"/>
          </w:tcPr>
          <w:p w14:paraId="6954B01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70F596CF" w14:textId="09522E7B" w:rsidR="00126D0B" w:rsidRPr="000E7BC7" w:rsidRDefault="00010109" w:rsidP="007543F0">
            <w:pPr>
              <w:spacing w:after="0"/>
              <w:jc w:val="right"/>
              <w:rPr>
                <w:rFonts w:ascii="Arial" w:hAnsi="Arial" w:cs="Arial"/>
                <w:color w:val="000000" w:themeColor="text1"/>
                <w:sz w:val="18"/>
                <w:szCs w:val="16"/>
              </w:rPr>
            </w:pPr>
            <w:r>
              <w:rPr>
                <w:rFonts w:ascii="Arial" w:hAnsi="Arial"/>
                <w:color w:val="000000" w:themeColor="text1"/>
                <w:sz w:val="18"/>
                <w:szCs w:val="16"/>
              </w:rPr>
              <w:t>29.50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830C292" w14:textId="74DFA0D7" w:rsidR="00126D0B" w:rsidRPr="000E7BC7" w:rsidRDefault="00010109" w:rsidP="007543F0">
            <w:pPr>
              <w:spacing w:after="0"/>
              <w:jc w:val="right"/>
              <w:rPr>
                <w:rFonts w:ascii="Arial" w:hAnsi="Arial" w:cs="Arial"/>
                <w:color w:val="000000" w:themeColor="text1"/>
                <w:sz w:val="18"/>
                <w:szCs w:val="16"/>
              </w:rPr>
            </w:pPr>
            <w:r>
              <w:rPr>
                <w:rFonts w:ascii="Arial" w:hAnsi="Arial"/>
                <w:color w:val="000000" w:themeColor="text1"/>
                <w:sz w:val="18"/>
                <w:szCs w:val="16"/>
              </w:rPr>
              <w:t>+7.3</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3C14A76E" w14:textId="6CC44971" w:rsidR="00126D0B" w:rsidRPr="000E7BC7" w:rsidRDefault="00010109" w:rsidP="007543F0">
            <w:pPr>
              <w:spacing w:after="0"/>
              <w:jc w:val="right"/>
              <w:rPr>
                <w:rFonts w:ascii="Arial" w:hAnsi="Arial" w:cs="Arial"/>
                <w:color w:val="000000" w:themeColor="text1"/>
                <w:sz w:val="18"/>
                <w:szCs w:val="16"/>
              </w:rPr>
            </w:pPr>
            <w:r>
              <w:rPr>
                <w:rFonts w:ascii="Arial" w:hAnsi="Arial"/>
                <w:color w:val="000000" w:themeColor="text1"/>
                <w:sz w:val="18"/>
                <w:szCs w:val="16"/>
              </w:rPr>
              <w:t>17.70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164DE3A" w14:textId="325A341E" w:rsidR="00126D0B" w:rsidRPr="000E7BC7" w:rsidRDefault="00010109" w:rsidP="007543F0">
            <w:pPr>
              <w:spacing w:after="0"/>
              <w:jc w:val="right"/>
              <w:rPr>
                <w:rFonts w:ascii="Arial" w:hAnsi="Arial" w:cs="Arial"/>
                <w:color w:val="000000" w:themeColor="text1"/>
                <w:sz w:val="18"/>
                <w:szCs w:val="16"/>
              </w:rPr>
            </w:pPr>
            <w:r>
              <w:rPr>
                <w:rFonts w:ascii="Arial" w:hAnsi="Arial"/>
                <w:color w:val="000000" w:themeColor="text1"/>
                <w:sz w:val="18"/>
                <w:szCs w:val="16"/>
              </w:rPr>
              <w:t>+12.0</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Pr>
                <w:rFonts w:ascii="Arial" w:hAnsi="Arial"/>
                <w:b/>
                <w:sz w:val="18"/>
                <w:szCs w:val="16"/>
              </w:rPr>
              <w:lastRenderedPageBreak/>
              <w:t>Stock of office space</w:t>
            </w:r>
            <w:r>
              <w:rPr>
                <w:rFonts w:ascii="Arial" w:hAnsi="Arial"/>
                <w:sz w:val="18"/>
                <w:szCs w:val="16"/>
              </w:rPr>
              <w:t xml:space="preserve"> [millions m²]</w:t>
            </w:r>
          </w:p>
        </w:tc>
        <w:tc>
          <w:tcPr>
            <w:tcW w:w="1144" w:type="pct"/>
            <w:vAlign w:val="center"/>
          </w:tcPr>
          <w:p w14:paraId="26F8983D" w14:textId="202C5D0B" w:rsidR="00126D0B" w:rsidRPr="000E7BC7" w:rsidRDefault="00010109" w:rsidP="00465B0E">
            <w:pPr>
              <w:spacing w:after="0"/>
              <w:jc w:val="right"/>
              <w:rPr>
                <w:rFonts w:ascii="Arial" w:hAnsi="Arial" w:cs="Arial"/>
                <w:color w:val="000000" w:themeColor="text1"/>
                <w:sz w:val="18"/>
                <w:szCs w:val="16"/>
              </w:rPr>
            </w:pPr>
            <w:r>
              <w:rPr>
                <w:rFonts w:ascii="Arial" w:hAnsi="Arial"/>
                <w:color w:val="000000" w:themeColor="text1"/>
                <w:sz w:val="18"/>
                <w:szCs w:val="16"/>
              </w:rPr>
              <w:t>13.8</w:t>
            </w:r>
          </w:p>
        </w:tc>
      </w:tr>
      <w:tr w:rsidR="00126D0B" w:rsidRPr="00F952F7" w14:paraId="66925CFD" w14:textId="77777777" w:rsidTr="00A3554C">
        <w:trPr>
          <w:trHeight w:val="283"/>
        </w:trPr>
        <w:tc>
          <w:tcPr>
            <w:tcW w:w="3856" w:type="pct"/>
            <w:vAlign w:val="center"/>
          </w:tcPr>
          <w:p w14:paraId="3CAD0C20"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[m²]</w:t>
            </w:r>
          </w:p>
        </w:tc>
        <w:tc>
          <w:tcPr>
            <w:tcW w:w="1144" w:type="pct"/>
            <w:vAlign w:val="center"/>
          </w:tcPr>
          <w:p w14:paraId="55B6F2ED" w14:textId="79E1D41B" w:rsidR="00126D0B" w:rsidRPr="000E7BC7" w:rsidRDefault="007543F0" w:rsidP="00465B0E">
            <w:pPr>
              <w:spacing w:after="0"/>
              <w:jc w:val="right"/>
              <w:rPr>
                <w:rFonts w:ascii="Arial" w:hAnsi="Arial" w:cs="Arial"/>
                <w:color w:val="000000" w:themeColor="text1"/>
                <w:sz w:val="18"/>
                <w:szCs w:val="16"/>
              </w:rPr>
            </w:pPr>
            <w:r>
              <w:rPr>
                <w:rFonts w:ascii="Arial" w:hAnsi="Arial"/>
                <w:color w:val="000000" w:themeColor="text1"/>
                <w:sz w:val="18"/>
                <w:szCs w:val="16"/>
              </w:rPr>
              <w:t>400,400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257396" w14:textId="65939B56" w:rsidR="00126D0B" w:rsidRPr="000E7BC7" w:rsidRDefault="00010109" w:rsidP="007543F0">
            <w:pPr>
              <w:spacing w:after="0"/>
              <w:jc w:val="right"/>
              <w:rPr>
                <w:rFonts w:ascii="Arial" w:hAnsi="Arial" w:cs="Arial"/>
                <w:color w:val="000000" w:themeColor="text1"/>
                <w:sz w:val="18"/>
                <w:szCs w:val="16"/>
              </w:rPr>
            </w:pPr>
            <w:r>
              <w:rPr>
                <w:rFonts w:ascii="Arial" w:hAnsi="Arial"/>
                <w:color w:val="000000" w:themeColor="text1"/>
                <w:sz w:val="18"/>
                <w:szCs w:val="16"/>
              </w:rPr>
              <w:t>-16.1</w:t>
            </w:r>
          </w:p>
        </w:tc>
      </w:tr>
      <w:tr w:rsidR="00126D0B" w:rsidRPr="00F952F7" w14:paraId="4405FA29" w14:textId="77777777" w:rsidTr="00A3554C">
        <w:trPr>
          <w:trHeight w:val="283"/>
        </w:trPr>
        <w:tc>
          <w:tcPr>
            <w:tcW w:w="3856" w:type="pct"/>
            <w:vAlign w:val="center"/>
          </w:tcPr>
          <w:p w14:paraId="753F0052"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w:t>
            </w:r>
          </w:p>
        </w:tc>
        <w:tc>
          <w:tcPr>
            <w:tcW w:w="1144" w:type="pct"/>
            <w:vAlign w:val="center"/>
          </w:tcPr>
          <w:p w14:paraId="0CFC3EE8" w14:textId="429A13EB" w:rsidR="00126D0B" w:rsidRPr="000E7BC7" w:rsidRDefault="00010109" w:rsidP="00465B0E">
            <w:pPr>
              <w:spacing w:after="0"/>
              <w:jc w:val="right"/>
              <w:rPr>
                <w:rFonts w:ascii="Arial" w:hAnsi="Arial" w:cs="Arial"/>
                <w:color w:val="000000" w:themeColor="text1"/>
                <w:sz w:val="18"/>
                <w:szCs w:val="16"/>
              </w:rPr>
            </w:pPr>
            <w:r>
              <w:rPr>
                <w:rFonts w:ascii="Arial" w:hAnsi="Arial"/>
                <w:color w:val="000000" w:themeColor="text1"/>
                <w:sz w:val="18"/>
                <w:szCs w:val="16"/>
              </w:rPr>
              <w:t>2.9</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58D2158F" w:rsidR="00126D0B" w:rsidRPr="000E7BC7" w:rsidRDefault="00126D0B" w:rsidP="007543F0">
            <w:pPr>
              <w:widowControl w:val="0"/>
              <w:spacing w:before="60" w:after="60"/>
              <w:rPr>
                <w:rFonts w:ascii="Arial" w:hAnsi="Arial" w:cs="Arial"/>
                <w:b/>
                <w:sz w:val="18"/>
                <w:szCs w:val="16"/>
              </w:rPr>
            </w:pPr>
            <w:r>
              <w:rPr>
                <w:rFonts w:ascii="Arial" w:hAnsi="Arial"/>
                <w:b/>
                <w:bCs/>
                <w:sz w:val="18"/>
                <w:szCs w:val="16"/>
              </w:rPr>
              <w:t>Completions 2020+2021</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1B6B2972" w14:textId="2730F18F" w:rsidR="00126D0B" w:rsidRPr="000E7BC7" w:rsidRDefault="007543F0" w:rsidP="00465B0E">
            <w:pPr>
              <w:spacing w:after="0"/>
              <w:jc w:val="right"/>
              <w:rPr>
                <w:rFonts w:ascii="Arial" w:hAnsi="Arial" w:cs="Arial"/>
                <w:color w:val="000000" w:themeColor="text1"/>
                <w:sz w:val="18"/>
                <w:szCs w:val="16"/>
              </w:rPr>
            </w:pPr>
            <w:r>
              <w:rPr>
                <w:rFonts w:ascii="Arial" w:hAnsi="Arial"/>
                <w:color w:val="000000" w:themeColor="text1"/>
                <w:sz w:val="18"/>
                <w:szCs w:val="16"/>
              </w:rPr>
              <w:t>304,000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65F1CE2C" w14:textId="0ABEDC5A" w:rsidR="00126D0B" w:rsidRPr="000E7BC7" w:rsidRDefault="007543F0" w:rsidP="00465B0E">
            <w:pPr>
              <w:spacing w:after="0"/>
              <w:jc w:val="right"/>
              <w:rPr>
                <w:rFonts w:ascii="Arial" w:hAnsi="Arial" w:cs="Arial"/>
                <w:color w:val="000000" w:themeColor="text1"/>
                <w:sz w:val="18"/>
                <w:szCs w:val="16"/>
              </w:rPr>
            </w:pPr>
            <w:r>
              <w:rPr>
                <w:rFonts w:ascii="Arial" w:hAnsi="Arial"/>
                <w:color w:val="000000" w:themeColor="text1"/>
                <w:sz w:val="18"/>
                <w:szCs w:val="16"/>
              </w:rPr>
              <w:t>73</w:t>
            </w:r>
          </w:p>
        </w:tc>
      </w:tr>
    </w:tbl>
    <w:p w14:paraId="1CF07C02" w14:textId="5AABE66F" w:rsidR="00126D0B" w:rsidRPr="00126D0B" w:rsidRDefault="00475AE2" w:rsidP="00126D0B">
      <w:pPr>
        <w:spacing w:after="0" w:line="360" w:lineRule="auto"/>
        <w:textAlignment w:val="baselin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240" behindDoc="0" locked="0" layoutInCell="1" allowOverlap="1" wp14:anchorId="7241D0E3" wp14:editId="4D4339AD">
            <wp:simplePos x="0" y="0"/>
            <wp:positionH relativeFrom="margin">
              <wp:posOffset>3375660</wp:posOffset>
            </wp:positionH>
            <wp:positionV relativeFrom="paragraph">
              <wp:posOffset>19314</wp:posOffset>
            </wp:positionV>
            <wp:extent cx="2717800" cy="1974850"/>
            <wp:effectExtent l="19050" t="19050" r="25400" b="2540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Hamburg 4Q2019_take-up space_en.JPG"/>
                    <pic:cNvPicPr/>
                  </pic:nvPicPr>
                  <pic:blipFill>
                    <a:blip r:embed="rId8">
                      <a:extLst>
                        <a:ext uri="{28A0092B-C50C-407E-A947-70E740481C1C}">
                          <a14:useLocalDpi xmlns:a14="http://schemas.microsoft.com/office/drawing/2010/main" val="0"/>
                        </a:ext>
                      </a:extLst>
                    </a:blip>
                    <a:stretch>
                      <a:fillRect/>
                    </a:stretch>
                  </pic:blipFill>
                  <pic:spPr>
                    <a:xfrm>
                      <a:off x="0" y="0"/>
                      <a:ext cx="2717800" cy="19748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ED6BB0D" w14:textId="29F81705" w:rsidR="00996030" w:rsidRDefault="00996030">
      <w:pPr>
        <w:spacing w:after="0"/>
        <w:rPr>
          <w:rFonts w:ascii="Arial" w:hAnsi="Arial" w:cs="Arial"/>
          <w:b/>
          <w:sz w:val="20"/>
          <w:szCs w:val="20"/>
        </w:rPr>
      </w:pPr>
    </w:p>
    <w:p w14:paraId="5D14E1F9" w14:textId="77777777" w:rsidR="00475AE2" w:rsidRDefault="00475AE2">
      <w:pPr>
        <w:spacing w:after="0"/>
        <w:rPr>
          <w:rFonts w:ascii="Arial" w:hAnsi="Arial"/>
          <w:b/>
          <w:sz w:val="20"/>
          <w:szCs w:val="20"/>
        </w:rPr>
      </w:pPr>
    </w:p>
    <w:p w14:paraId="3AE7FEA4" w14:textId="77777777" w:rsidR="00475AE2" w:rsidRDefault="00475AE2">
      <w:pPr>
        <w:spacing w:after="0"/>
        <w:rPr>
          <w:rFonts w:ascii="Arial" w:hAnsi="Arial"/>
          <w:b/>
          <w:sz w:val="20"/>
          <w:szCs w:val="20"/>
        </w:rPr>
      </w:pPr>
    </w:p>
    <w:p w14:paraId="42D70D71" w14:textId="77777777" w:rsidR="00475AE2" w:rsidRDefault="00475AE2">
      <w:pPr>
        <w:spacing w:after="0"/>
        <w:rPr>
          <w:rFonts w:ascii="Arial" w:hAnsi="Arial"/>
          <w:b/>
          <w:sz w:val="20"/>
          <w:szCs w:val="20"/>
        </w:rPr>
      </w:pPr>
    </w:p>
    <w:p w14:paraId="78B52F9D" w14:textId="77777777" w:rsidR="00475AE2" w:rsidRDefault="00475AE2">
      <w:pPr>
        <w:spacing w:after="0"/>
        <w:rPr>
          <w:rFonts w:ascii="Arial" w:hAnsi="Arial"/>
          <w:b/>
          <w:sz w:val="20"/>
          <w:szCs w:val="20"/>
        </w:rPr>
      </w:pPr>
    </w:p>
    <w:p w14:paraId="3AA9BC50" w14:textId="6C9A5B80" w:rsidR="00B26FFD" w:rsidRDefault="00470BCC">
      <w:pPr>
        <w:spacing w:after="0"/>
        <w:rPr>
          <w:rFonts w:ascii="Arial" w:eastAsia="Arial" w:hAnsi="Arial" w:cs="Arial"/>
          <w:b/>
          <w:color w:val="000000" w:themeColor="text1"/>
          <w:sz w:val="20"/>
          <w:szCs w:val="20"/>
        </w:rPr>
      </w:pPr>
      <w:r>
        <w:rPr>
          <w:rFonts w:ascii="Arial" w:hAnsi="Arial"/>
          <w:b/>
          <w:sz w:val="20"/>
          <w:szCs w:val="20"/>
        </w:rPr>
        <w:t>Selected agreements | offices in Hamburg | 1st to 4th quarters 2019</w:t>
      </w:r>
    </w:p>
    <w:tbl>
      <w:tblPr>
        <w:tblStyle w:val="Tabellenraster"/>
        <w:tblpPr w:leftFromText="141" w:rightFromText="141" w:vertAnchor="text" w:horzAnchor="margin" w:tblpY="218"/>
        <w:tblW w:w="9634" w:type="dxa"/>
        <w:tblLook w:val="04A0" w:firstRow="1" w:lastRow="0" w:firstColumn="1" w:lastColumn="0" w:noHBand="0" w:noVBand="1"/>
      </w:tblPr>
      <w:tblGrid>
        <w:gridCol w:w="2254"/>
        <w:gridCol w:w="2674"/>
        <w:gridCol w:w="2267"/>
        <w:gridCol w:w="1553"/>
        <w:gridCol w:w="886"/>
      </w:tblGrid>
      <w:tr w:rsidR="00BB2707" w:rsidRPr="0017364E" w14:paraId="7B788289" w14:textId="77777777" w:rsidTr="007356F0">
        <w:trPr>
          <w:trHeight w:val="567"/>
        </w:trPr>
        <w:tc>
          <w:tcPr>
            <w:tcW w:w="2254" w:type="dxa"/>
            <w:shd w:val="clear" w:color="auto" w:fill="1F242B" w:themeFill="accent2"/>
            <w:vAlign w:val="center"/>
          </w:tcPr>
          <w:p w14:paraId="1FF646C4" w14:textId="756E21EE" w:rsidR="00BB2707" w:rsidRDefault="00BB2707" w:rsidP="003D75A6">
            <w:pPr>
              <w:spacing w:before="60" w:after="60"/>
              <w:rPr>
                <w:rFonts w:ascii="Arial" w:hAnsi="Arial" w:cs="Arial"/>
                <w:b/>
                <w:sz w:val="18"/>
                <w:szCs w:val="16"/>
              </w:rPr>
            </w:pPr>
            <w:r>
              <w:rPr>
                <w:rFonts w:ascii="Arial" w:hAnsi="Arial"/>
                <w:b/>
                <w:sz w:val="18"/>
                <w:szCs w:val="16"/>
              </w:rPr>
              <w:t>Tenant/owner-occupier</w:t>
            </w:r>
          </w:p>
          <w:p w14:paraId="4605900A" w14:textId="77777777" w:rsidR="00BB2707" w:rsidRPr="0017364E" w:rsidRDefault="00BB2707" w:rsidP="003D75A6">
            <w:pPr>
              <w:spacing w:before="60" w:after="60"/>
              <w:rPr>
                <w:rFonts w:ascii="Arial" w:hAnsi="Arial" w:cs="Arial"/>
                <w:b/>
                <w:sz w:val="18"/>
                <w:szCs w:val="16"/>
              </w:rPr>
            </w:pPr>
          </w:p>
        </w:tc>
        <w:tc>
          <w:tcPr>
            <w:tcW w:w="2674" w:type="dxa"/>
            <w:shd w:val="clear" w:color="auto" w:fill="1F242B" w:themeFill="accent2"/>
            <w:vAlign w:val="center"/>
          </w:tcPr>
          <w:p w14:paraId="5E73AA5F" w14:textId="77777777" w:rsidR="00BB2707" w:rsidRDefault="00BB2707" w:rsidP="003D75A6">
            <w:pPr>
              <w:spacing w:before="60" w:after="60"/>
              <w:rPr>
                <w:rFonts w:ascii="Arial" w:hAnsi="Arial" w:cs="Arial"/>
                <w:b/>
                <w:sz w:val="18"/>
                <w:szCs w:val="16"/>
              </w:rPr>
            </w:pPr>
            <w:r>
              <w:rPr>
                <w:rFonts w:ascii="Arial" w:hAnsi="Arial"/>
                <w:b/>
                <w:sz w:val="18"/>
                <w:szCs w:val="16"/>
              </w:rPr>
              <w:t>Property/project</w:t>
            </w:r>
          </w:p>
          <w:p w14:paraId="165BD714" w14:textId="77777777" w:rsidR="00BB2707" w:rsidRPr="0017364E" w:rsidRDefault="00BB2707" w:rsidP="003D75A6">
            <w:pPr>
              <w:spacing w:before="60" w:after="60"/>
              <w:rPr>
                <w:rFonts w:ascii="Arial" w:hAnsi="Arial" w:cs="Arial"/>
                <w:b/>
                <w:sz w:val="18"/>
                <w:szCs w:val="16"/>
              </w:rPr>
            </w:pPr>
          </w:p>
        </w:tc>
        <w:tc>
          <w:tcPr>
            <w:tcW w:w="2267" w:type="dxa"/>
            <w:shd w:val="clear" w:color="auto" w:fill="1F242B" w:themeFill="accent2"/>
            <w:vAlign w:val="center"/>
          </w:tcPr>
          <w:p w14:paraId="5C56E890" w14:textId="77777777" w:rsidR="00BB2707" w:rsidRDefault="00BB2707" w:rsidP="003D75A6">
            <w:pPr>
              <w:spacing w:before="60" w:after="60"/>
              <w:rPr>
                <w:rFonts w:ascii="Arial" w:hAnsi="Arial" w:cs="Arial"/>
                <w:b/>
                <w:sz w:val="18"/>
                <w:szCs w:val="16"/>
              </w:rPr>
            </w:pPr>
            <w:r>
              <w:rPr>
                <w:rFonts w:ascii="Arial" w:hAnsi="Arial"/>
                <w:b/>
                <w:sz w:val="18"/>
                <w:szCs w:val="16"/>
              </w:rPr>
              <w:t xml:space="preserve">Street no. </w:t>
            </w:r>
          </w:p>
          <w:p w14:paraId="0D24D566" w14:textId="77777777" w:rsidR="00BB2707" w:rsidRPr="0017364E" w:rsidRDefault="00BB2707" w:rsidP="003D75A6">
            <w:pPr>
              <w:spacing w:before="60" w:after="60"/>
              <w:rPr>
                <w:rFonts w:ascii="Arial" w:hAnsi="Arial" w:cs="Arial"/>
                <w:b/>
                <w:sz w:val="18"/>
                <w:szCs w:val="16"/>
              </w:rPr>
            </w:pPr>
          </w:p>
        </w:tc>
        <w:tc>
          <w:tcPr>
            <w:tcW w:w="1553" w:type="dxa"/>
            <w:shd w:val="clear" w:color="auto" w:fill="1F242B" w:themeFill="accent2"/>
            <w:vAlign w:val="center"/>
          </w:tcPr>
          <w:p w14:paraId="591B71E9" w14:textId="77777777" w:rsidR="00BB2707" w:rsidRDefault="00BB2707" w:rsidP="003D75A6">
            <w:pPr>
              <w:spacing w:before="60" w:after="60"/>
              <w:rPr>
                <w:rFonts w:ascii="Arial" w:hAnsi="Arial" w:cs="Arial"/>
                <w:b/>
                <w:sz w:val="18"/>
                <w:szCs w:val="16"/>
              </w:rPr>
            </w:pPr>
            <w:r>
              <w:rPr>
                <w:rFonts w:ascii="Arial" w:hAnsi="Arial"/>
                <w:b/>
                <w:sz w:val="18"/>
                <w:szCs w:val="16"/>
              </w:rPr>
              <w:t>Sub-market</w:t>
            </w:r>
          </w:p>
          <w:p w14:paraId="0CEDD8E8" w14:textId="77777777" w:rsidR="00BB2707" w:rsidRPr="0017364E" w:rsidRDefault="00BB2707" w:rsidP="003D75A6">
            <w:pPr>
              <w:spacing w:before="60" w:after="60"/>
              <w:rPr>
                <w:rFonts w:ascii="Arial" w:hAnsi="Arial" w:cs="Arial"/>
                <w:b/>
                <w:sz w:val="18"/>
                <w:szCs w:val="16"/>
              </w:rPr>
            </w:pPr>
          </w:p>
        </w:tc>
        <w:tc>
          <w:tcPr>
            <w:tcW w:w="886" w:type="dxa"/>
            <w:shd w:val="clear" w:color="auto" w:fill="1F242B" w:themeFill="accent2"/>
            <w:vAlign w:val="center"/>
          </w:tcPr>
          <w:p w14:paraId="1BA6E6EB" w14:textId="05C6D896" w:rsidR="00BB2707" w:rsidRPr="0017364E" w:rsidRDefault="00BB2707" w:rsidP="00BF3123">
            <w:pPr>
              <w:spacing w:before="60" w:after="60"/>
              <w:rPr>
                <w:rFonts w:ascii="Arial" w:hAnsi="Arial" w:cs="Arial"/>
                <w:b/>
                <w:sz w:val="18"/>
                <w:szCs w:val="16"/>
              </w:rPr>
            </w:pPr>
            <w:r>
              <w:rPr>
                <w:rFonts w:ascii="Arial" w:hAnsi="Arial"/>
                <w:b/>
                <w:sz w:val="18"/>
                <w:szCs w:val="16"/>
              </w:rPr>
              <w:t>Rental area</w:t>
            </w:r>
            <w:r>
              <w:rPr>
                <w:rFonts w:ascii="Arial" w:hAnsi="Arial"/>
                <w:b/>
                <w:sz w:val="18"/>
                <w:szCs w:val="16"/>
              </w:rPr>
              <w:br/>
            </w:r>
            <w:r>
              <w:rPr>
                <w:rFonts w:ascii="Arial" w:hAnsi="Arial"/>
                <w:sz w:val="18"/>
                <w:szCs w:val="16"/>
              </w:rPr>
              <w:t>[ca. m²]</w:t>
            </w:r>
          </w:p>
        </w:tc>
      </w:tr>
      <w:tr w:rsidR="00D57F53" w:rsidRPr="0017364E" w14:paraId="6B585D4E" w14:textId="77777777" w:rsidTr="007356F0">
        <w:trPr>
          <w:trHeight w:val="567"/>
        </w:trPr>
        <w:tc>
          <w:tcPr>
            <w:tcW w:w="2254" w:type="dxa"/>
            <w:vAlign w:val="center"/>
          </w:tcPr>
          <w:p w14:paraId="5934B469" w14:textId="3CEAAE2A" w:rsidR="00D57F53" w:rsidRPr="0017364E" w:rsidRDefault="00D57F53" w:rsidP="00D57F53">
            <w:pPr>
              <w:spacing w:before="60" w:after="60"/>
              <w:rPr>
                <w:rFonts w:ascii="Arial" w:hAnsi="Arial" w:cs="Arial"/>
                <w:sz w:val="18"/>
                <w:szCs w:val="16"/>
              </w:rPr>
            </w:pPr>
            <w:r>
              <w:rPr>
                <w:rFonts w:ascii="Arial" w:hAnsi="Arial"/>
                <w:sz w:val="18"/>
                <w:szCs w:val="16"/>
              </w:rPr>
              <w:t>Otto Group</w:t>
            </w:r>
          </w:p>
        </w:tc>
        <w:tc>
          <w:tcPr>
            <w:tcW w:w="2674" w:type="dxa"/>
            <w:vAlign w:val="center"/>
          </w:tcPr>
          <w:p w14:paraId="55F9F6B0" w14:textId="37D5D635" w:rsidR="00D57F53" w:rsidRPr="0017364E" w:rsidRDefault="00836A75" w:rsidP="00D57F53">
            <w:pPr>
              <w:spacing w:before="60" w:after="60"/>
              <w:rPr>
                <w:rFonts w:ascii="Arial" w:hAnsi="Arial" w:cs="Arial"/>
                <w:sz w:val="18"/>
                <w:szCs w:val="16"/>
              </w:rPr>
            </w:pPr>
            <w:r>
              <w:rPr>
                <w:rFonts w:ascii="Arial" w:hAnsi="Arial"/>
                <w:sz w:val="18"/>
                <w:szCs w:val="16"/>
              </w:rPr>
              <w:t xml:space="preserve">“OTTO </w:t>
            </w:r>
            <w:proofErr w:type="spellStart"/>
            <w:r>
              <w:rPr>
                <w:rFonts w:ascii="Arial" w:hAnsi="Arial"/>
                <w:sz w:val="18"/>
                <w:szCs w:val="16"/>
              </w:rPr>
              <w:t>GOeast</w:t>
            </w:r>
            <w:proofErr w:type="spellEnd"/>
            <w:r>
              <w:rPr>
                <w:rFonts w:ascii="Arial" w:hAnsi="Arial"/>
                <w:sz w:val="18"/>
                <w:szCs w:val="16"/>
              </w:rPr>
              <w:t>”</w:t>
            </w:r>
          </w:p>
        </w:tc>
        <w:tc>
          <w:tcPr>
            <w:tcW w:w="2267" w:type="dxa"/>
            <w:vAlign w:val="center"/>
          </w:tcPr>
          <w:p w14:paraId="71798FE8" w14:textId="23DAF1A9" w:rsidR="00D57F53" w:rsidRPr="0017364E" w:rsidRDefault="00D57F53" w:rsidP="00D57F53">
            <w:pPr>
              <w:spacing w:before="60" w:after="60"/>
              <w:rPr>
                <w:rFonts w:ascii="Arial" w:hAnsi="Arial" w:cs="Arial"/>
                <w:sz w:val="18"/>
                <w:szCs w:val="16"/>
              </w:rPr>
            </w:pPr>
            <w:r>
              <w:rPr>
                <w:rFonts w:ascii="Arial" w:hAnsi="Arial"/>
                <w:sz w:val="18"/>
                <w:szCs w:val="16"/>
              </w:rPr>
              <w:t>Werner-Otto-</w:t>
            </w:r>
            <w:proofErr w:type="spellStart"/>
            <w:r>
              <w:rPr>
                <w:rFonts w:ascii="Arial" w:hAnsi="Arial"/>
                <w:sz w:val="18"/>
                <w:szCs w:val="16"/>
              </w:rPr>
              <w:t>Strasse</w:t>
            </w:r>
            <w:proofErr w:type="spellEnd"/>
            <w:r>
              <w:rPr>
                <w:rFonts w:ascii="Arial" w:hAnsi="Arial"/>
                <w:sz w:val="18"/>
                <w:szCs w:val="16"/>
              </w:rPr>
              <w:t xml:space="preserve"> 1-7</w:t>
            </w:r>
          </w:p>
        </w:tc>
        <w:tc>
          <w:tcPr>
            <w:tcW w:w="1553" w:type="dxa"/>
            <w:vAlign w:val="center"/>
          </w:tcPr>
          <w:p w14:paraId="5F92AC8B" w14:textId="22DA104A" w:rsidR="00D57F53" w:rsidRPr="0017364E" w:rsidRDefault="00D57F53" w:rsidP="006E639E">
            <w:pPr>
              <w:spacing w:before="60" w:after="60"/>
              <w:rPr>
                <w:rFonts w:ascii="Arial" w:hAnsi="Arial" w:cs="Arial"/>
                <w:sz w:val="18"/>
                <w:szCs w:val="16"/>
              </w:rPr>
            </w:pPr>
            <w:r>
              <w:rPr>
                <w:rFonts w:ascii="Arial" w:hAnsi="Arial"/>
                <w:sz w:val="18"/>
                <w:szCs w:val="16"/>
              </w:rPr>
              <w:t>Hamburg East</w:t>
            </w:r>
          </w:p>
        </w:tc>
        <w:tc>
          <w:tcPr>
            <w:tcW w:w="886" w:type="dxa"/>
            <w:vAlign w:val="center"/>
          </w:tcPr>
          <w:p w14:paraId="18F234AE" w14:textId="72D2EBB4" w:rsidR="00D57F53" w:rsidRPr="0017364E" w:rsidRDefault="00D57F53" w:rsidP="006E639E">
            <w:pPr>
              <w:spacing w:before="60" w:after="60"/>
              <w:jc w:val="right"/>
              <w:rPr>
                <w:rFonts w:ascii="Arial" w:hAnsi="Arial" w:cs="Arial"/>
                <w:sz w:val="18"/>
                <w:szCs w:val="16"/>
              </w:rPr>
            </w:pPr>
            <w:r>
              <w:rPr>
                <w:rFonts w:ascii="Arial" w:hAnsi="Arial"/>
                <w:sz w:val="18"/>
                <w:szCs w:val="16"/>
              </w:rPr>
              <w:t>40,000</w:t>
            </w:r>
          </w:p>
        </w:tc>
      </w:tr>
      <w:tr w:rsidR="00D57F53" w:rsidRPr="0017364E" w14:paraId="314139FB" w14:textId="77777777" w:rsidTr="007356F0">
        <w:trPr>
          <w:trHeight w:val="567"/>
        </w:trPr>
        <w:tc>
          <w:tcPr>
            <w:tcW w:w="2254" w:type="dxa"/>
            <w:vAlign w:val="center"/>
          </w:tcPr>
          <w:p w14:paraId="38007B43" w14:textId="7B7D5BFF" w:rsidR="00D57F53" w:rsidRPr="0017364E" w:rsidRDefault="00D57F53" w:rsidP="004C638E">
            <w:pPr>
              <w:spacing w:before="60" w:after="60"/>
              <w:rPr>
                <w:rFonts w:ascii="Arial" w:hAnsi="Arial" w:cs="Arial"/>
                <w:sz w:val="18"/>
                <w:szCs w:val="16"/>
              </w:rPr>
            </w:pPr>
            <w:r>
              <w:rPr>
                <w:rFonts w:ascii="Arial" w:hAnsi="Arial"/>
                <w:sz w:val="18"/>
                <w:szCs w:val="16"/>
              </w:rPr>
              <w:t>Xing</w:t>
            </w:r>
          </w:p>
        </w:tc>
        <w:tc>
          <w:tcPr>
            <w:tcW w:w="2674" w:type="dxa"/>
            <w:vAlign w:val="center"/>
          </w:tcPr>
          <w:p w14:paraId="058591FC" w14:textId="21A77204" w:rsidR="00D57F53" w:rsidRPr="0017364E" w:rsidRDefault="00836A75" w:rsidP="00D57F53">
            <w:pPr>
              <w:spacing w:before="60" w:after="60"/>
              <w:rPr>
                <w:rFonts w:ascii="Arial" w:hAnsi="Arial" w:cs="Arial"/>
                <w:sz w:val="18"/>
                <w:szCs w:val="16"/>
              </w:rPr>
            </w:pPr>
            <w:r>
              <w:rPr>
                <w:rFonts w:ascii="Arial" w:hAnsi="Arial"/>
                <w:sz w:val="18"/>
                <w:szCs w:val="16"/>
              </w:rPr>
              <w:t>“Unilever-</w:t>
            </w:r>
            <w:proofErr w:type="spellStart"/>
            <w:r>
              <w:rPr>
                <w:rFonts w:ascii="Arial" w:hAnsi="Arial"/>
                <w:sz w:val="18"/>
                <w:szCs w:val="16"/>
              </w:rPr>
              <w:t>Haus</w:t>
            </w:r>
            <w:proofErr w:type="spellEnd"/>
            <w:r>
              <w:rPr>
                <w:rFonts w:ascii="Arial" w:hAnsi="Arial"/>
                <w:sz w:val="18"/>
                <w:szCs w:val="16"/>
              </w:rPr>
              <w:t>”</w:t>
            </w:r>
          </w:p>
        </w:tc>
        <w:tc>
          <w:tcPr>
            <w:tcW w:w="2267" w:type="dxa"/>
            <w:vAlign w:val="center"/>
          </w:tcPr>
          <w:p w14:paraId="703E1F73" w14:textId="2DC22B41" w:rsidR="00D57F53" w:rsidRPr="0017364E" w:rsidRDefault="00D57F53" w:rsidP="00D57F53">
            <w:pPr>
              <w:spacing w:before="60" w:after="60"/>
              <w:rPr>
                <w:rFonts w:ascii="Arial" w:hAnsi="Arial" w:cs="Arial"/>
                <w:sz w:val="18"/>
                <w:szCs w:val="16"/>
              </w:rPr>
            </w:pPr>
            <w:proofErr w:type="spellStart"/>
            <w:r>
              <w:rPr>
                <w:rFonts w:ascii="Arial" w:hAnsi="Arial"/>
                <w:sz w:val="18"/>
                <w:szCs w:val="16"/>
              </w:rPr>
              <w:t>Strandkai</w:t>
            </w:r>
            <w:proofErr w:type="spellEnd"/>
            <w:r>
              <w:rPr>
                <w:rFonts w:ascii="Arial" w:hAnsi="Arial"/>
                <w:sz w:val="18"/>
                <w:szCs w:val="16"/>
              </w:rPr>
              <w:t xml:space="preserve"> 1</w:t>
            </w:r>
          </w:p>
        </w:tc>
        <w:tc>
          <w:tcPr>
            <w:tcW w:w="1553" w:type="dxa"/>
            <w:vAlign w:val="center"/>
          </w:tcPr>
          <w:p w14:paraId="1A4973BE" w14:textId="24A0037A" w:rsidR="00D57F53" w:rsidRPr="0017364E" w:rsidRDefault="00D57F53" w:rsidP="006E639E">
            <w:pPr>
              <w:spacing w:before="60" w:after="60"/>
              <w:rPr>
                <w:rFonts w:ascii="Arial" w:hAnsi="Arial" w:cs="Arial"/>
                <w:sz w:val="18"/>
                <w:szCs w:val="16"/>
              </w:rPr>
            </w:pPr>
            <w:r>
              <w:rPr>
                <w:rFonts w:ascii="Arial" w:hAnsi="Arial"/>
                <w:sz w:val="18"/>
                <w:szCs w:val="16"/>
              </w:rPr>
              <w:t>HafenCity</w:t>
            </w:r>
          </w:p>
        </w:tc>
        <w:tc>
          <w:tcPr>
            <w:tcW w:w="886" w:type="dxa"/>
            <w:vAlign w:val="center"/>
          </w:tcPr>
          <w:p w14:paraId="0EEA0855" w14:textId="30E69E01" w:rsidR="00D57F53" w:rsidRPr="0017364E" w:rsidRDefault="00D57F53" w:rsidP="006E639E">
            <w:pPr>
              <w:spacing w:before="60" w:after="60"/>
              <w:jc w:val="right"/>
              <w:rPr>
                <w:rFonts w:ascii="Arial" w:hAnsi="Arial" w:cs="Arial"/>
                <w:sz w:val="18"/>
                <w:szCs w:val="16"/>
              </w:rPr>
            </w:pPr>
            <w:r>
              <w:rPr>
                <w:rFonts w:ascii="Arial" w:hAnsi="Arial"/>
                <w:sz w:val="18"/>
                <w:szCs w:val="16"/>
              </w:rPr>
              <w:t>22,000</w:t>
            </w:r>
          </w:p>
        </w:tc>
      </w:tr>
      <w:tr w:rsidR="00D57F53" w:rsidRPr="0017364E" w14:paraId="661E4657" w14:textId="77777777" w:rsidTr="007356F0">
        <w:trPr>
          <w:trHeight w:val="567"/>
        </w:trPr>
        <w:tc>
          <w:tcPr>
            <w:tcW w:w="2254" w:type="dxa"/>
            <w:vAlign w:val="center"/>
          </w:tcPr>
          <w:p w14:paraId="2E5A1578" w14:textId="65D93252" w:rsidR="00D57F53" w:rsidRPr="0017364E" w:rsidRDefault="00D57F53" w:rsidP="00D57F53">
            <w:pPr>
              <w:spacing w:before="60" w:after="60"/>
              <w:rPr>
                <w:rFonts w:ascii="Arial" w:hAnsi="Arial" w:cs="Arial"/>
                <w:sz w:val="18"/>
                <w:szCs w:val="16"/>
              </w:rPr>
            </w:pPr>
            <w:proofErr w:type="spellStart"/>
            <w:r>
              <w:rPr>
                <w:rFonts w:ascii="Arial" w:hAnsi="Arial"/>
                <w:sz w:val="18"/>
                <w:szCs w:val="16"/>
              </w:rPr>
              <w:t>Vattenfall</w:t>
            </w:r>
            <w:proofErr w:type="spellEnd"/>
            <w:r>
              <w:rPr>
                <w:rFonts w:ascii="Arial" w:hAnsi="Arial"/>
                <w:sz w:val="18"/>
                <w:szCs w:val="16"/>
              </w:rPr>
              <w:t xml:space="preserve"> Europe</w:t>
            </w:r>
          </w:p>
        </w:tc>
        <w:tc>
          <w:tcPr>
            <w:tcW w:w="2674" w:type="dxa"/>
            <w:vAlign w:val="center"/>
          </w:tcPr>
          <w:p w14:paraId="50F67AC7" w14:textId="4330C7FA" w:rsidR="00D57F53" w:rsidRPr="0017364E" w:rsidRDefault="00836A75" w:rsidP="00AE33D7">
            <w:pPr>
              <w:spacing w:before="60" w:after="60"/>
              <w:rPr>
                <w:rFonts w:ascii="Arial" w:hAnsi="Arial" w:cs="Arial"/>
                <w:sz w:val="18"/>
                <w:szCs w:val="16"/>
              </w:rPr>
            </w:pPr>
            <w:r>
              <w:rPr>
                <w:rFonts w:ascii="Arial" w:hAnsi="Arial"/>
                <w:sz w:val="18"/>
                <w:szCs w:val="16"/>
              </w:rPr>
              <w:t xml:space="preserve">“EDGE </w:t>
            </w:r>
            <w:proofErr w:type="spellStart"/>
            <w:r>
              <w:rPr>
                <w:rFonts w:ascii="Arial" w:hAnsi="Arial"/>
                <w:sz w:val="18"/>
                <w:szCs w:val="16"/>
              </w:rPr>
              <w:t>Elbside</w:t>
            </w:r>
            <w:proofErr w:type="spellEnd"/>
            <w:r>
              <w:rPr>
                <w:rFonts w:ascii="Arial" w:hAnsi="Arial"/>
                <w:sz w:val="18"/>
                <w:szCs w:val="16"/>
              </w:rPr>
              <w:t>”</w:t>
            </w:r>
          </w:p>
        </w:tc>
        <w:tc>
          <w:tcPr>
            <w:tcW w:w="2267" w:type="dxa"/>
            <w:vAlign w:val="center"/>
          </w:tcPr>
          <w:p w14:paraId="1AD10A7F" w14:textId="10D114C3" w:rsidR="00D57F53" w:rsidRPr="0017364E" w:rsidRDefault="00D57F53" w:rsidP="00D57F53">
            <w:pPr>
              <w:spacing w:before="60" w:after="60"/>
              <w:rPr>
                <w:rFonts w:ascii="Arial" w:hAnsi="Arial" w:cs="Arial"/>
                <w:sz w:val="18"/>
                <w:szCs w:val="16"/>
              </w:rPr>
            </w:pPr>
            <w:proofErr w:type="spellStart"/>
            <w:r>
              <w:rPr>
                <w:rFonts w:ascii="Arial" w:hAnsi="Arial"/>
                <w:sz w:val="18"/>
                <w:szCs w:val="16"/>
              </w:rPr>
              <w:t>Amerigo</w:t>
            </w:r>
            <w:proofErr w:type="spellEnd"/>
            <w:r>
              <w:rPr>
                <w:rFonts w:ascii="Arial" w:hAnsi="Arial"/>
                <w:sz w:val="18"/>
                <w:szCs w:val="16"/>
              </w:rPr>
              <w:t>-Vespucci-</w:t>
            </w:r>
            <w:proofErr w:type="spellStart"/>
            <w:r>
              <w:rPr>
                <w:rFonts w:ascii="Arial" w:hAnsi="Arial"/>
                <w:sz w:val="18"/>
                <w:szCs w:val="16"/>
              </w:rPr>
              <w:t>Platz</w:t>
            </w:r>
            <w:proofErr w:type="spellEnd"/>
          </w:p>
        </w:tc>
        <w:tc>
          <w:tcPr>
            <w:tcW w:w="1553" w:type="dxa"/>
            <w:vAlign w:val="center"/>
          </w:tcPr>
          <w:p w14:paraId="608C7AAF" w14:textId="2FBE1449" w:rsidR="00D57F53" w:rsidRPr="0017364E" w:rsidRDefault="00D57F53" w:rsidP="006E639E">
            <w:pPr>
              <w:spacing w:before="60" w:after="60"/>
              <w:rPr>
                <w:rFonts w:ascii="Arial" w:hAnsi="Arial" w:cs="Arial"/>
                <w:sz w:val="18"/>
                <w:szCs w:val="16"/>
              </w:rPr>
            </w:pPr>
            <w:r>
              <w:rPr>
                <w:rFonts w:ascii="Arial" w:hAnsi="Arial"/>
                <w:sz w:val="18"/>
                <w:szCs w:val="16"/>
              </w:rPr>
              <w:t>HafenCity</w:t>
            </w:r>
          </w:p>
        </w:tc>
        <w:tc>
          <w:tcPr>
            <w:tcW w:w="886" w:type="dxa"/>
            <w:vAlign w:val="center"/>
          </w:tcPr>
          <w:p w14:paraId="084B6F88" w14:textId="37DF2F8B" w:rsidR="00D57F53" w:rsidRPr="0017364E" w:rsidRDefault="00D57F53" w:rsidP="006E639E">
            <w:pPr>
              <w:spacing w:before="60" w:after="60"/>
              <w:jc w:val="right"/>
              <w:rPr>
                <w:rFonts w:ascii="Arial" w:hAnsi="Arial" w:cs="Arial"/>
                <w:sz w:val="18"/>
                <w:szCs w:val="16"/>
              </w:rPr>
            </w:pPr>
            <w:r>
              <w:rPr>
                <w:rFonts w:ascii="Arial" w:hAnsi="Arial"/>
                <w:sz w:val="18"/>
                <w:szCs w:val="16"/>
              </w:rPr>
              <w:t>17,500</w:t>
            </w:r>
          </w:p>
        </w:tc>
      </w:tr>
      <w:tr w:rsidR="00625156" w:rsidRPr="0017364E" w14:paraId="6D1C9D9D" w14:textId="77777777" w:rsidTr="007356F0">
        <w:trPr>
          <w:trHeight w:val="567"/>
        </w:trPr>
        <w:tc>
          <w:tcPr>
            <w:tcW w:w="2254" w:type="dxa"/>
            <w:vAlign w:val="center"/>
          </w:tcPr>
          <w:p w14:paraId="327D520C" w14:textId="60D7F5BD" w:rsidR="00625156" w:rsidRPr="0017364E" w:rsidRDefault="00D57F53" w:rsidP="00625156">
            <w:pPr>
              <w:spacing w:before="60" w:after="60"/>
              <w:rPr>
                <w:rFonts w:ascii="Arial" w:hAnsi="Arial" w:cs="Arial"/>
                <w:sz w:val="18"/>
                <w:szCs w:val="16"/>
              </w:rPr>
            </w:pPr>
            <w:r>
              <w:rPr>
                <w:rFonts w:ascii="Arial" w:hAnsi="Arial"/>
                <w:sz w:val="18"/>
                <w:szCs w:val="16"/>
              </w:rPr>
              <w:t>University of Hamburg</w:t>
            </w:r>
          </w:p>
        </w:tc>
        <w:tc>
          <w:tcPr>
            <w:tcW w:w="2674" w:type="dxa"/>
            <w:vAlign w:val="center"/>
          </w:tcPr>
          <w:p w14:paraId="0CC1530E" w14:textId="6F813EE7" w:rsidR="00625156" w:rsidRPr="00C733F1" w:rsidRDefault="00D57F53" w:rsidP="00625156">
            <w:pPr>
              <w:spacing w:before="60" w:after="60"/>
              <w:rPr>
                <w:rFonts w:ascii="Arial" w:hAnsi="Arial" w:cs="Arial"/>
                <w:sz w:val="18"/>
                <w:szCs w:val="16"/>
              </w:rPr>
            </w:pPr>
            <w:r>
              <w:rPr>
                <w:rFonts w:ascii="Arial" w:hAnsi="Arial"/>
                <w:sz w:val="18"/>
                <w:szCs w:val="16"/>
              </w:rPr>
              <w:t xml:space="preserve">Former telephone exchange / </w:t>
            </w:r>
            <w:r>
              <w:rPr>
                <w:rFonts w:ascii="Arial" w:hAnsi="Arial"/>
                <w:sz w:val="18"/>
                <w:szCs w:val="16"/>
              </w:rPr>
              <w:br/>
              <w:t xml:space="preserve">Humanities Research </w:t>
            </w:r>
            <w:proofErr w:type="spellStart"/>
            <w:r>
              <w:rPr>
                <w:rFonts w:ascii="Arial" w:hAnsi="Arial"/>
                <w:sz w:val="18"/>
                <w:szCs w:val="16"/>
              </w:rPr>
              <w:t>Center</w:t>
            </w:r>
            <w:proofErr w:type="spellEnd"/>
          </w:p>
        </w:tc>
        <w:tc>
          <w:tcPr>
            <w:tcW w:w="2267" w:type="dxa"/>
            <w:vAlign w:val="center"/>
          </w:tcPr>
          <w:p w14:paraId="6F9BF881" w14:textId="3F65E769" w:rsidR="00625156" w:rsidRPr="0017364E" w:rsidRDefault="00D57F53" w:rsidP="00625156">
            <w:pPr>
              <w:spacing w:before="60" w:after="60"/>
              <w:rPr>
                <w:rFonts w:ascii="Arial" w:hAnsi="Arial" w:cs="Arial"/>
                <w:sz w:val="18"/>
                <w:szCs w:val="16"/>
              </w:rPr>
            </w:pPr>
            <w:proofErr w:type="spellStart"/>
            <w:r>
              <w:rPr>
                <w:rFonts w:ascii="Arial" w:hAnsi="Arial"/>
                <w:sz w:val="18"/>
                <w:szCs w:val="16"/>
              </w:rPr>
              <w:t>Schlüterstrasse</w:t>
            </w:r>
            <w:proofErr w:type="spellEnd"/>
            <w:r>
              <w:rPr>
                <w:rFonts w:ascii="Arial" w:hAnsi="Arial"/>
                <w:sz w:val="18"/>
                <w:szCs w:val="16"/>
              </w:rPr>
              <w:t xml:space="preserve"> 51-59</w:t>
            </w:r>
          </w:p>
        </w:tc>
        <w:tc>
          <w:tcPr>
            <w:tcW w:w="1553" w:type="dxa"/>
            <w:vAlign w:val="center"/>
          </w:tcPr>
          <w:p w14:paraId="4D996473" w14:textId="2A3FF8FA" w:rsidR="00625156" w:rsidRPr="0017364E" w:rsidRDefault="00D57F53" w:rsidP="006E639E">
            <w:pPr>
              <w:spacing w:before="60" w:after="60"/>
              <w:rPr>
                <w:rFonts w:ascii="Arial" w:hAnsi="Arial" w:cs="Arial"/>
                <w:sz w:val="18"/>
                <w:szCs w:val="16"/>
              </w:rPr>
            </w:pPr>
            <w:proofErr w:type="spellStart"/>
            <w:r>
              <w:rPr>
                <w:rFonts w:ascii="Arial" w:hAnsi="Arial"/>
                <w:sz w:val="18"/>
                <w:szCs w:val="16"/>
              </w:rPr>
              <w:t>Alster</w:t>
            </w:r>
            <w:proofErr w:type="spellEnd"/>
            <w:r>
              <w:rPr>
                <w:rFonts w:ascii="Arial" w:hAnsi="Arial"/>
                <w:sz w:val="18"/>
                <w:szCs w:val="16"/>
              </w:rPr>
              <w:t xml:space="preserve"> West</w:t>
            </w:r>
          </w:p>
        </w:tc>
        <w:tc>
          <w:tcPr>
            <w:tcW w:w="886" w:type="dxa"/>
            <w:vAlign w:val="center"/>
          </w:tcPr>
          <w:p w14:paraId="10AF65B9" w14:textId="3BCC0D05" w:rsidR="00625156" w:rsidRPr="0017364E" w:rsidRDefault="00D57F53" w:rsidP="00836A75">
            <w:pPr>
              <w:spacing w:before="60" w:after="60"/>
              <w:jc w:val="right"/>
              <w:rPr>
                <w:rFonts w:ascii="Arial" w:hAnsi="Arial" w:cs="Arial"/>
                <w:sz w:val="18"/>
                <w:szCs w:val="16"/>
              </w:rPr>
            </w:pPr>
            <w:r>
              <w:rPr>
                <w:rFonts w:ascii="Arial" w:hAnsi="Arial"/>
                <w:sz w:val="18"/>
                <w:szCs w:val="16"/>
              </w:rPr>
              <w:t>15,000</w:t>
            </w:r>
          </w:p>
        </w:tc>
      </w:tr>
      <w:tr w:rsidR="00625156" w:rsidRPr="0017364E" w14:paraId="26C00579" w14:textId="77777777" w:rsidTr="007356F0">
        <w:trPr>
          <w:trHeight w:val="567"/>
        </w:trPr>
        <w:tc>
          <w:tcPr>
            <w:tcW w:w="2254" w:type="dxa"/>
            <w:vAlign w:val="center"/>
          </w:tcPr>
          <w:p w14:paraId="7DD77124" w14:textId="3CDC3755" w:rsidR="00625156" w:rsidRPr="00C733F1" w:rsidRDefault="00D57F53" w:rsidP="00625156">
            <w:pPr>
              <w:spacing w:before="60" w:after="60"/>
              <w:rPr>
                <w:rFonts w:ascii="Arial" w:hAnsi="Arial" w:cs="Arial"/>
                <w:sz w:val="18"/>
                <w:szCs w:val="16"/>
              </w:rPr>
            </w:pPr>
            <w:r>
              <w:rPr>
                <w:rFonts w:ascii="Arial" w:hAnsi="Arial"/>
                <w:sz w:val="18"/>
                <w:szCs w:val="16"/>
              </w:rPr>
              <w:t>German Institute of Global and Area Studies</w:t>
            </w:r>
          </w:p>
        </w:tc>
        <w:tc>
          <w:tcPr>
            <w:tcW w:w="2674" w:type="dxa"/>
            <w:vAlign w:val="center"/>
          </w:tcPr>
          <w:p w14:paraId="4D1C5B80" w14:textId="23429904" w:rsidR="00625156" w:rsidRPr="00C733F1" w:rsidRDefault="00D57F53" w:rsidP="00625156">
            <w:pPr>
              <w:spacing w:before="60" w:after="60"/>
              <w:rPr>
                <w:rFonts w:ascii="Arial" w:hAnsi="Arial" w:cs="Arial"/>
                <w:sz w:val="18"/>
                <w:szCs w:val="16"/>
              </w:rPr>
            </w:pPr>
            <w:r>
              <w:rPr>
                <w:rFonts w:ascii="Arial" w:hAnsi="Arial"/>
                <w:sz w:val="18"/>
                <w:szCs w:val="16"/>
              </w:rPr>
              <w:t xml:space="preserve">Former telephone exchange / </w:t>
            </w:r>
            <w:r>
              <w:rPr>
                <w:rFonts w:ascii="Arial" w:hAnsi="Arial"/>
                <w:sz w:val="18"/>
                <w:szCs w:val="16"/>
              </w:rPr>
              <w:br/>
              <w:t xml:space="preserve">Humanities Research </w:t>
            </w:r>
            <w:proofErr w:type="spellStart"/>
            <w:r>
              <w:rPr>
                <w:rFonts w:ascii="Arial" w:hAnsi="Arial"/>
                <w:sz w:val="18"/>
                <w:szCs w:val="16"/>
              </w:rPr>
              <w:t>Center</w:t>
            </w:r>
            <w:proofErr w:type="spellEnd"/>
          </w:p>
        </w:tc>
        <w:tc>
          <w:tcPr>
            <w:tcW w:w="2267" w:type="dxa"/>
            <w:vAlign w:val="center"/>
          </w:tcPr>
          <w:p w14:paraId="53EF2D38" w14:textId="10FED554" w:rsidR="00625156" w:rsidRPr="0017364E" w:rsidRDefault="00D57F53" w:rsidP="00625156">
            <w:pPr>
              <w:spacing w:before="60" w:after="60"/>
              <w:rPr>
                <w:rFonts w:ascii="Arial" w:hAnsi="Arial" w:cs="Arial"/>
                <w:sz w:val="18"/>
                <w:szCs w:val="16"/>
              </w:rPr>
            </w:pPr>
            <w:proofErr w:type="spellStart"/>
            <w:r>
              <w:rPr>
                <w:rFonts w:ascii="Arial" w:hAnsi="Arial"/>
                <w:sz w:val="18"/>
                <w:szCs w:val="16"/>
              </w:rPr>
              <w:t>Schlüterstrasse</w:t>
            </w:r>
            <w:proofErr w:type="spellEnd"/>
            <w:r>
              <w:rPr>
                <w:rFonts w:ascii="Arial" w:hAnsi="Arial"/>
                <w:sz w:val="18"/>
                <w:szCs w:val="16"/>
              </w:rPr>
              <w:t xml:space="preserve"> 51-59</w:t>
            </w:r>
          </w:p>
        </w:tc>
        <w:tc>
          <w:tcPr>
            <w:tcW w:w="1553" w:type="dxa"/>
            <w:vAlign w:val="center"/>
          </w:tcPr>
          <w:p w14:paraId="19A69084" w14:textId="2A0E4B18" w:rsidR="00625156" w:rsidRPr="0017364E" w:rsidRDefault="00D57F53" w:rsidP="006E639E">
            <w:pPr>
              <w:spacing w:before="60" w:after="60"/>
              <w:rPr>
                <w:rFonts w:ascii="Arial" w:hAnsi="Arial" w:cs="Arial"/>
                <w:sz w:val="18"/>
                <w:szCs w:val="16"/>
              </w:rPr>
            </w:pPr>
            <w:proofErr w:type="spellStart"/>
            <w:r>
              <w:rPr>
                <w:rFonts w:ascii="Arial" w:hAnsi="Arial"/>
                <w:sz w:val="18"/>
                <w:szCs w:val="16"/>
              </w:rPr>
              <w:t>Alster</w:t>
            </w:r>
            <w:proofErr w:type="spellEnd"/>
            <w:r>
              <w:rPr>
                <w:rFonts w:ascii="Arial" w:hAnsi="Arial"/>
                <w:sz w:val="18"/>
                <w:szCs w:val="16"/>
              </w:rPr>
              <w:t xml:space="preserve"> West</w:t>
            </w:r>
          </w:p>
        </w:tc>
        <w:tc>
          <w:tcPr>
            <w:tcW w:w="886" w:type="dxa"/>
            <w:vAlign w:val="center"/>
          </w:tcPr>
          <w:p w14:paraId="2602E342" w14:textId="3122D853" w:rsidR="00625156" w:rsidRPr="0017364E" w:rsidRDefault="00D57F53" w:rsidP="006E639E">
            <w:pPr>
              <w:spacing w:before="60" w:after="60"/>
              <w:jc w:val="right"/>
              <w:rPr>
                <w:rFonts w:ascii="Arial" w:hAnsi="Arial" w:cs="Arial"/>
                <w:sz w:val="18"/>
                <w:szCs w:val="16"/>
              </w:rPr>
            </w:pPr>
            <w:r>
              <w:rPr>
                <w:rFonts w:ascii="Arial" w:hAnsi="Arial"/>
                <w:sz w:val="18"/>
                <w:szCs w:val="16"/>
              </w:rPr>
              <w:t>10,000</w:t>
            </w:r>
          </w:p>
        </w:tc>
      </w:tr>
    </w:tbl>
    <w:p w14:paraId="52C0FA94" w14:textId="3B6E4F9A" w:rsidR="00377771" w:rsidRDefault="00377771" w:rsidP="00CF2C0D">
      <w:pPr>
        <w:widowControl w:val="0"/>
        <w:spacing w:after="0"/>
        <w:rPr>
          <w:rFonts w:ascii="Arial" w:hAnsi="Arial" w:cs="Arial"/>
          <w:sz w:val="16"/>
          <w:szCs w:val="16"/>
        </w:rPr>
      </w:pPr>
    </w:p>
    <w:p w14:paraId="16E9E595" w14:textId="53317EB0" w:rsidR="00FB4C38" w:rsidRDefault="00FB4C38" w:rsidP="00CF2C0D">
      <w:pPr>
        <w:widowControl w:val="0"/>
        <w:spacing w:after="0"/>
        <w:rPr>
          <w:rFonts w:ascii="Arial" w:hAnsi="Arial" w:cs="Arial"/>
          <w:sz w:val="16"/>
          <w:szCs w:val="16"/>
        </w:rPr>
      </w:pPr>
    </w:p>
    <w:p w14:paraId="2CD5FAFC" w14:textId="04015C4A" w:rsidR="00FB4C38" w:rsidRDefault="00FB4C38" w:rsidP="00CF2C0D">
      <w:pPr>
        <w:widowControl w:val="0"/>
        <w:spacing w:after="0"/>
        <w:rPr>
          <w:rFonts w:ascii="Arial" w:hAnsi="Arial" w:cs="Arial"/>
          <w:sz w:val="16"/>
          <w:szCs w:val="16"/>
        </w:rPr>
      </w:pPr>
      <w:r>
        <w:rPr>
          <w:rFonts w:ascii="Arial" w:hAnsi="Arial"/>
          <w:sz w:val="16"/>
          <w:szCs w:val="16"/>
        </w:rPr>
        <w:t>New transactions or those occurrin</w:t>
      </w:r>
      <w:r w:rsidR="00BF3123">
        <w:rPr>
          <w:rFonts w:ascii="Arial" w:hAnsi="Arial"/>
          <w:sz w:val="16"/>
          <w:szCs w:val="16"/>
        </w:rPr>
        <w:t xml:space="preserve">g in the quarter in this report </w:t>
      </w:r>
      <w:proofErr w:type="gramStart"/>
      <w:r w:rsidR="00070B5C">
        <w:rPr>
          <w:rFonts w:ascii="Arial" w:hAnsi="Arial"/>
          <w:sz w:val="16"/>
          <w:szCs w:val="16"/>
        </w:rPr>
        <w:t>are highlighted</w:t>
      </w:r>
      <w:proofErr w:type="gramEnd"/>
    </w:p>
    <w:p w14:paraId="557BAFB6" w14:textId="77777777" w:rsidR="00FB4C38" w:rsidRPr="00A3554C" w:rsidRDefault="00FB4C38" w:rsidP="00A3554C">
      <w:pPr>
        <w:widowControl w:val="0"/>
        <w:spacing w:after="0" w:line="360" w:lineRule="auto"/>
        <w:rPr>
          <w:rFonts w:ascii="Arial" w:hAnsi="Arial" w:cs="Arial"/>
          <w:sz w:val="20"/>
          <w:szCs w:val="20"/>
        </w:rPr>
      </w:pPr>
    </w:p>
    <w:p w14:paraId="10570D34" w14:textId="505A4B91" w:rsidR="003D75A6" w:rsidRPr="000A5ED1" w:rsidRDefault="00FB4C38" w:rsidP="00A3554C">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hyperlink r:id="rId9" w:history="1">
        <w:r>
          <w:rPr>
            <w:rStyle w:val="Hyperlink"/>
            <w:rFonts w:ascii="Arial" w:hAnsi="Arial"/>
            <w:sz w:val="20"/>
            <w:szCs w:val="20"/>
          </w:rPr>
          <w:t>market survey</w:t>
        </w:r>
      </w:hyperlink>
      <w:r>
        <w:rPr>
          <w:rFonts w:ascii="Arial" w:hAnsi="Arial"/>
          <w:color w:val="000000" w:themeColor="text1"/>
          <w:sz w:val="20"/>
          <w:szCs w:val="20"/>
        </w:rPr>
        <w:t xml:space="preserve"> will soon be available and </w:t>
      </w:r>
      <w:proofErr w:type="gramStart"/>
      <w:r>
        <w:rPr>
          <w:rFonts w:ascii="Arial" w:hAnsi="Arial"/>
          <w:color w:val="000000" w:themeColor="text1"/>
          <w:sz w:val="20"/>
          <w:szCs w:val="20"/>
        </w:rPr>
        <w:t>can be downloaded</w:t>
      </w:r>
      <w:proofErr w:type="gramEnd"/>
      <w:r>
        <w:rPr>
          <w:rFonts w:ascii="Arial" w:hAnsi="Arial"/>
          <w:color w:val="000000" w:themeColor="text1"/>
          <w:sz w:val="20"/>
          <w:szCs w:val="20"/>
        </w:rPr>
        <w:t xml:space="preserve"> from our website.</w:t>
      </w:r>
    </w:p>
    <w:p w14:paraId="2A899389" w14:textId="77777777" w:rsidR="006E5C9C" w:rsidRPr="00A3554C" w:rsidRDefault="006E5C9C" w:rsidP="00A3554C">
      <w:pPr>
        <w:spacing w:after="0" w:line="360" w:lineRule="auto"/>
        <w:rPr>
          <w:rFonts w:ascii="Arial" w:hAnsi="Arial" w:cs="Arial"/>
          <w:sz w:val="20"/>
          <w:szCs w:val="20"/>
        </w:rPr>
      </w:pPr>
    </w:p>
    <w:p w14:paraId="7C6DFBB0" w14:textId="77777777" w:rsidR="0047313D" w:rsidRPr="00A3554C" w:rsidRDefault="0047313D" w:rsidP="00A3554C">
      <w:pPr>
        <w:spacing w:after="0" w:line="360" w:lineRule="auto"/>
        <w:rPr>
          <w:rFonts w:ascii="Arial" w:hAnsi="Arial" w:cs="Arial"/>
          <w:sz w:val="20"/>
          <w:szCs w:val="20"/>
        </w:rPr>
      </w:pPr>
    </w:p>
    <w:p w14:paraId="3FEA6432" w14:textId="26894D7A" w:rsidR="0090748B" w:rsidRPr="0090748B" w:rsidRDefault="0090748B" w:rsidP="00084B37">
      <w:pPr>
        <w:spacing w:after="0" w:line="360" w:lineRule="auto"/>
        <w:rPr>
          <w:rFonts w:ascii="Arial" w:hAnsi="Arial" w:cs="Arial"/>
          <w:b/>
          <w:sz w:val="16"/>
          <w:szCs w:val="16"/>
        </w:rPr>
      </w:pPr>
      <w:r>
        <w:rPr>
          <w:rFonts w:ascii="Arial" w:hAnsi="Arial"/>
          <w:b/>
          <w:sz w:val="16"/>
          <w:szCs w:val="16"/>
        </w:rPr>
        <w:t>About Grossmann &amp; Berger</w:t>
      </w:r>
    </w:p>
    <w:p w14:paraId="1E12A03E" w14:textId="39E8FECD" w:rsidR="0090748B" w:rsidRPr="0090748B" w:rsidRDefault="00BF3123" w:rsidP="0090748B">
      <w:pPr>
        <w:spacing w:after="0" w:line="360" w:lineRule="auto"/>
        <w:rPr>
          <w:rFonts w:ascii="Arial" w:hAnsi="Arial" w:cs="Arial"/>
          <w:snapToGrid w:val="0"/>
          <w:sz w:val="16"/>
          <w:szCs w:val="16"/>
        </w:rPr>
      </w:pPr>
      <w:hyperlink r:id="rId10" w:history="1">
        <w:r w:rsidR="0090748B">
          <w:rPr>
            <w:rStyle w:val="Hyperlink"/>
            <w:rFonts w:ascii="Arial" w:hAnsi="Arial"/>
            <w:snapToGrid w:val="0"/>
            <w:sz w:val="16"/>
            <w:szCs w:val="16"/>
          </w:rPr>
          <w:t>Grossmann &amp; Berger GmbH</w:t>
        </w:r>
      </w:hyperlink>
      <w:r w:rsidR="0090748B">
        <w:rPr>
          <w:rFonts w:ascii="Arial" w:hAnsi="Arial"/>
          <w:snapToGrid w:val="0"/>
          <w:sz w:val="16"/>
          <w:szCs w:val="16"/>
        </w:rPr>
        <w:t xml:space="preserve"> is one of the leading service providers for selling and letting commercial and residential properties in North Germany. The Company has ten offices in Hamburg, and one each in Berlin, </w:t>
      </w:r>
      <w:proofErr w:type="spellStart"/>
      <w:r w:rsidR="0090748B">
        <w:rPr>
          <w:rFonts w:ascii="Arial" w:hAnsi="Arial"/>
          <w:snapToGrid w:val="0"/>
          <w:sz w:val="16"/>
          <w:szCs w:val="16"/>
        </w:rPr>
        <w:t>Ahrensburg</w:t>
      </w:r>
      <w:proofErr w:type="spellEnd"/>
      <w:r w:rsidR="0090748B">
        <w:rPr>
          <w:rFonts w:ascii="Arial" w:hAnsi="Arial"/>
          <w:snapToGrid w:val="0"/>
          <w:sz w:val="16"/>
          <w:szCs w:val="16"/>
        </w:rPr>
        <w:t xml:space="preserve">, </w:t>
      </w:r>
      <w:proofErr w:type="spellStart"/>
      <w:r w:rsidR="0090748B">
        <w:rPr>
          <w:rFonts w:ascii="Arial" w:hAnsi="Arial"/>
          <w:snapToGrid w:val="0"/>
          <w:sz w:val="16"/>
          <w:szCs w:val="16"/>
        </w:rPr>
        <w:t>Lüneburg</w:t>
      </w:r>
      <w:proofErr w:type="spellEnd"/>
      <w:r w:rsidR="0090748B">
        <w:rPr>
          <w:rFonts w:ascii="Arial" w:hAnsi="Arial"/>
          <w:snapToGrid w:val="0"/>
          <w:sz w:val="16"/>
          <w:szCs w:val="16"/>
        </w:rPr>
        <w:t xml:space="preserve">, Norderstedt and on the Island of Sylt, permitting comprehensive coverage of the North German market. With over 85 years of experience in the business, the Company offers a complete package of real estate expertise. Grossmann &amp; Berger belongs to the HASPA Group and is a founding member of the national commercial real estate network </w:t>
      </w:r>
      <w:hyperlink r:id="rId11" w:history="1">
        <w:r w:rsidR="0090748B">
          <w:rPr>
            <w:rStyle w:val="Hyperlink"/>
            <w:rFonts w:ascii="Arial" w:hAnsi="Arial"/>
            <w:snapToGrid w:val="0"/>
            <w:sz w:val="16"/>
            <w:szCs w:val="16"/>
          </w:rPr>
          <w:t>German Property Partners</w:t>
        </w:r>
      </w:hyperlink>
      <w:r w:rsidR="0090748B">
        <w:rPr>
          <w:rFonts w:ascii="Arial" w:hAnsi="Arial"/>
          <w:snapToGrid w:val="0"/>
          <w:sz w:val="16"/>
          <w:szCs w:val="16"/>
        </w:rPr>
        <w:t xml:space="preserve"> (GPP). </w:t>
      </w:r>
    </w:p>
    <w:p w14:paraId="4B9A2857" w14:textId="77777777" w:rsidR="0090748B" w:rsidRDefault="0090748B" w:rsidP="000C770D">
      <w:pPr>
        <w:spacing w:after="0" w:line="360" w:lineRule="auto"/>
        <w:rPr>
          <w:rFonts w:ascii="Arial" w:hAnsi="Arial" w:cs="Arial"/>
          <w:sz w:val="20"/>
          <w:szCs w:val="20"/>
        </w:rPr>
      </w:pPr>
    </w:p>
    <w:p w14:paraId="627835FB" w14:textId="6F6897E8" w:rsidR="00503D8C" w:rsidRPr="00503D8C" w:rsidRDefault="003C6AB4" w:rsidP="00084B37">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sidR="007356F0">
        <w:rPr>
          <w:rStyle w:val="Hyperlink"/>
          <w:rFonts w:ascii="Arial" w:hAnsi="Arial"/>
          <w:sz w:val="16"/>
          <w:szCs w:val="16"/>
        </w:rPr>
        <w:t>.</w:t>
      </w:r>
      <w:r w:rsidR="007356F0">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bookmarkStart w:id="0" w:name="_GoBack"/>
      <w:bookmarkEnd w:id="0"/>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6566" w14:textId="77777777" w:rsidR="00161303" w:rsidRDefault="00161303">
      <w:r>
        <w:separator/>
      </w:r>
    </w:p>
  </w:endnote>
  <w:endnote w:type="continuationSeparator" w:id="0">
    <w:p w14:paraId="4A8D5DED" w14:textId="77777777" w:rsidR="00161303" w:rsidRDefault="0016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D-20354 Hamburg | Tel. +49 (0)40/350 80 2-0 | www.grossmann-berger.de</w:t>
    </w:r>
  </w:p>
  <w:p w14:paraId="5440A7EF" w14:textId="05F75F9E"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BF3123">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BF3123">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7806" w14:textId="77777777" w:rsidR="00161303" w:rsidRDefault="00161303">
      <w:r>
        <w:separator/>
      </w:r>
    </w:p>
  </w:footnote>
  <w:footnote w:type="continuationSeparator" w:id="0">
    <w:p w14:paraId="431857B7" w14:textId="77777777" w:rsidR="00161303" w:rsidRDefault="0016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3"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4"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4F2C"/>
    <w:rsid w:val="00010109"/>
    <w:rsid w:val="000159FE"/>
    <w:rsid w:val="00022F16"/>
    <w:rsid w:val="00023D78"/>
    <w:rsid w:val="0003075C"/>
    <w:rsid w:val="00032A2D"/>
    <w:rsid w:val="00041B84"/>
    <w:rsid w:val="00060743"/>
    <w:rsid w:val="00066796"/>
    <w:rsid w:val="00070B5C"/>
    <w:rsid w:val="000766D7"/>
    <w:rsid w:val="0007670A"/>
    <w:rsid w:val="00084B37"/>
    <w:rsid w:val="0009653E"/>
    <w:rsid w:val="000B1606"/>
    <w:rsid w:val="000B3315"/>
    <w:rsid w:val="000C118E"/>
    <w:rsid w:val="000C770D"/>
    <w:rsid w:val="000D2874"/>
    <w:rsid w:val="000D3E9F"/>
    <w:rsid w:val="000E03F3"/>
    <w:rsid w:val="000E2A43"/>
    <w:rsid w:val="000E404B"/>
    <w:rsid w:val="000E7457"/>
    <w:rsid w:val="000E7BC7"/>
    <w:rsid w:val="001029C4"/>
    <w:rsid w:val="0011486D"/>
    <w:rsid w:val="00121E33"/>
    <w:rsid w:val="00126550"/>
    <w:rsid w:val="00126D0B"/>
    <w:rsid w:val="001324D6"/>
    <w:rsid w:val="00135BD2"/>
    <w:rsid w:val="00135E09"/>
    <w:rsid w:val="00154825"/>
    <w:rsid w:val="00161303"/>
    <w:rsid w:val="00163A27"/>
    <w:rsid w:val="0017364E"/>
    <w:rsid w:val="0017516B"/>
    <w:rsid w:val="00176F1D"/>
    <w:rsid w:val="0018068D"/>
    <w:rsid w:val="001A2ABE"/>
    <w:rsid w:val="001A360C"/>
    <w:rsid w:val="001D14DA"/>
    <w:rsid w:val="001E6995"/>
    <w:rsid w:val="001F0339"/>
    <w:rsid w:val="001F1513"/>
    <w:rsid w:val="00205769"/>
    <w:rsid w:val="00212FEC"/>
    <w:rsid w:val="002131BB"/>
    <w:rsid w:val="0022086D"/>
    <w:rsid w:val="00226296"/>
    <w:rsid w:val="00227E31"/>
    <w:rsid w:val="00230F81"/>
    <w:rsid w:val="00231F4E"/>
    <w:rsid w:val="002341EE"/>
    <w:rsid w:val="00237341"/>
    <w:rsid w:val="002432BE"/>
    <w:rsid w:val="00251D5F"/>
    <w:rsid w:val="00254C6F"/>
    <w:rsid w:val="00255679"/>
    <w:rsid w:val="0027266B"/>
    <w:rsid w:val="00281E80"/>
    <w:rsid w:val="002834B0"/>
    <w:rsid w:val="00283671"/>
    <w:rsid w:val="002837B6"/>
    <w:rsid w:val="00284A5D"/>
    <w:rsid w:val="00284E27"/>
    <w:rsid w:val="00294B7D"/>
    <w:rsid w:val="002A1973"/>
    <w:rsid w:val="002A382D"/>
    <w:rsid w:val="002B0DAB"/>
    <w:rsid w:val="002B14F6"/>
    <w:rsid w:val="002C055A"/>
    <w:rsid w:val="002C2392"/>
    <w:rsid w:val="002C7D6D"/>
    <w:rsid w:val="002D1C5C"/>
    <w:rsid w:val="002D1E20"/>
    <w:rsid w:val="002D525C"/>
    <w:rsid w:val="002E4FA1"/>
    <w:rsid w:val="002E6860"/>
    <w:rsid w:val="002F0411"/>
    <w:rsid w:val="002F767E"/>
    <w:rsid w:val="0030699E"/>
    <w:rsid w:val="00312D28"/>
    <w:rsid w:val="00315D47"/>
    <w:rsid w:val="003246F0"/>
    <w:rsid w:val="00325E2A"/>
    <w:rsid w:val="003272F3"/>
    <w:rsid w:val="00337AAB"/>
    <w:rsid w:val="00345716"/>
    <w:rsid w:val="0034786C"/>
    <w:rsid w:val="003517C9"/>
    <w:rsid w:val="00357EC4"/>
    <w:rsid w:val="00370000"/>
    <w:rsid w:val="00372924"/>
    <w:rsid w:val="00373507"/>
    <w:rsid w:val="00377771"/>
    <w:rsid w:val="0038230E"/>
    <w:rsid w:val="00382529"/>
    <w:rsid w:val="00397AD9"/>
    <w:rsid w:val="003A00C9"/>
    <w:rsid w:val="003A25A4"/>
    <w:rsid w:val="003B49E4"/>
    <w:rsid w:val="003B4CCF"/>
    <w:rsid w:val="003C57EB"/>
    <w:rsid w:val="003C6AB4"/>
    <w:rsid w:val="003D75A6"/>
    <w:rsid w:val="003E099F"/>
    <w:rsid w:val="003E167F"/>
    <w:rsid w:val="003E4DF9"/>
    <w:rsid w:val="003E684D"/>
    <w:rsid w:val="003E6983"/>
    <w:rsid w:val="003F1FE3"/>
    <w:rsid w:val="003F3EBE"/>
    <w:rsid w:val="003F665D"/>
    <w:rsid w:val="0040086D"/>
    <w:rsid w:val="004017D8"/>
    <w:rsid w:val="00411E03"/>
    <w:rsid w:val="004123B1"/>
    <w:rsid w:val="004303A1"/>
    <w:rsid w:val="00440DC9"/>
    <w:rsid w:val="004506D2"/>
    <w:rsid w:val="00456F40"/>
    <w:rsid w:val="004609BD"/>
    <w:rsid w:val="004661EE"/>
    <w:rsid w:val="00466741"/>
    <w:rsid w:val="00470064"/>
    <w:rsid w:val="00470BCC"/>
    <w:rsid w:val="0047313D"/>
    <w:rsid w:val="00475AE2"/>
    <w:rsid w:val="00476156"/>
    <w:rsid w:val="004844BE"/>
    <w:rsid w:val="004A2BEA"/>
    <w:rsid w:val="004A3C64"/>
    <w:rsid w:val="004A5AEA"/>
    <w:rsid w:val="004A78AB"/>
    <w:rsid w:val="004B2FDA"/>
    <w:rsid w:val="004B480A"/>
    <w:rsid w:val="004B509C"/>
    <w:rsid w:val="004C0CA2"/>
    <w:rsid w:val="004C3F08"/>
    <w:rsid w:val="004C638E"/>
    <w:rsid w:val="004D50C0"/>
    <w:rsid w:val="004D772A"/>
    <w:rsid w:val="004E339B"/>
    <w:rsid w:val="004E4273"/>
    <w:rsid w:val="004E4562"/>
    <w:rsid w:val="004E5E8F"/>
    <w:rsid w:val="004F077F"/>
    <w:rsid w:val="005023DD"/>
    <w:rsid w:val="00503D8C"/>
    <w:rsid w:val="00522B84"/>
    <w:rsid w:val="00531A7F"/>
    <w:rsid w:val="00534BAD"/>
    <w:rsid w:val="005360E8"/>
    <w:rsid w:val="005405CF"/>
    <w:rsid w:val="005428C5"/>
    <w:rsid w:val="00543C55"/>
    <w:rsid w:val="0055393B"/>
    <w:rsid w:val="005554C7"/>
    <w:rsid w:val="00556F58"/>
    <w:rsid w:val="00560C86"/>
    <w:rsid w:val="00567D57"/>
    <w:rsid w:val="00575083"/>
    <w:rsid w:val="00582B99"/>
    <w:rsid w:val="00590903"/>
    <w:rsid w:val="005A617A"/>
    <w:rsid w:val="005A70DE"/>
    <w:rsid w:val="005B0FC9"/>
    <w:rsid w:val="005B66D3"/>
    <w:rsid w:val="005C37D1"/>
    <w:rsid w:val="005C4556"/>
    <w:rsid w:val="005C5302"/>
    <w:rsid w:val="005D1DAB"/>
    <w:rsid w:val="005D307B"/>
    <w:rsid w:val="005D603E"/>
    <w:rsid w:val="005E2ABB"/>
    <w:rsid w:val="005E3419"/>
    <w:rsid w:val="005E362E"/>
    <w:rsid w:val="005E6F60"/>
    <w:rsid w:val="005F1B2F"/>
    <w:rsid w:val="005F7593"/>
    <w:rsid w:val="006029D7"/>
    <w:rsid w:val="0061109D"/>
    <w:rsid w:val="00611143"/>
    <w:rsid w:val="00612AA0"/>
    <w:rsid w:val="006138CB"/>
    <w:rsid w:val="006201E1"/>
    <w:rsid w:val="006224C4"/>
    <w:rsid w:val="006225EA"/>
    <w:rsid w:val="00625156"/>
    <w:rsid w:val="006261DF"/>
    <w:rsid w:val="00640CD0"/>
    <w:rsid w:val="00641270"/>
    <w:rsid w:val="00642074"/>
    <w:rsid w:val="00642409"/>
    <w:rsid w:val="006424F8"/>
    <w:rsid w:val="00644AED"/>
    <w:rsid w:val="006517DA"/>
    <w:rsid w:val="00656301"/>
    <w:rsid w:val="00681CAB"/>
    <w:rsid w:val="006842EF"/>
    <w:rsid w:val="00695E58"/>
    <w:rsid w:val="0069757D"/>
    <w:rsid w:val="006977FA"/>
    <w:rsid w:val="006A1329"/>
    <w:rsid w:val="006A3325"/>
    <w:rsid w:val="006A66F9"/>
    <w:rsid w:val="006D6FC1"/>
    <w:rsid w:val="006E5C9C"/>
    <w:rsid w:val="006E639E"/>
    <w:rsid w:val="006F1774"/>
    <w:rsid w:val="006F5757"/>
    <w:rsid w:val="006F6BF1"/>
    <w:rsid w:val="00717A20"/>
    <w:rsid w:val="00720DFF"/>
    <w:rsid w:val="007227E9"/>
    <w:rsid w:val="00730E23"/>
    <w:rsid w:val="007356F0"/>
    <w:rsid w:val="007543F0"/>
    <w:rsid w:val="00762CC5"/>
    <w:rsid w:val="007906B4"/>
    <w:rsid w:val="007970A0"/>
    <w:rsid w:val="007B215B"/>
    <w:rsid w:val="007B4617"/>
    <w:rsid w:val="007E759D"/>
    <w:rsid w:val="007F2DBE"/>
    <w:rsid w:val="007F33B6"/>
    <w:rsid w:val="007F4E12"/>
    <w:rsid w:val="007F642D"/>
    <w:rsid w:val="007F756A"/>
    <w:rsid w:val="00812471"/>
    <w:rsid w:val="008261A5"/>
    <w:rsid w:val="0083382E"/>
    <w:rsid w:val="00836A75"/>
    <w:rsid w:val="0085083D"/>
    <w:rsid w:val="00855325"/>
    <w:rsid w:val="00862E34"/>
    <w:rsid w:val="00865915"/>
    <w:rsid w:val="00871832"/>
    <w:rsid w:val="00886CCE"/>
    <w:rsid w:val="0089000C"/>
    <w:rsid w:val="008942C6"/>
    <w:rsid w:val="00896B33"/>
    <w:rsid w:val="008A62FB"/>
    <w:rsid w:val="008A77B7"/>
    <w:rsid w:val="008B0F67"/>
    <w:rsid w:val="008B2F6A"/>
    <w:rsid w:val="008C608D"/>
    <w:rsid w:val="008E461D"/>
    <w:rsid w:val="008E6D4E"/>
    <w:rsid w:val="008F08E5"/>
    <w:rsid w:val="008F0EA4"/>
    <w:rsid w:val="008F38F6"/>
    <w:rsid w:val="008F5213"/>
    <w:rsid w:val="009000CF"/>
    <w:rsid w:val="00904E1E"/>
    <w:rsid w:val="0090748B"/>
    <w:rsid w:val="00920C9C"/>
    <w:rsid w:val="00922754"/>
    <w:rsid w:val="00925781"/>
    <w:rsid w:val="009258D0"/>
    <w:rsid w:val="00935AB3"/>
    <w:rsid w:val="009646C4"/>
    <w:rsid w:val="009734CE"/>
    <w:rsid w:val="0098460C"/>
    <w:rsid w:val="00996030"/>
    <w:rsid w:val="00996E1A"/>
    <w:rsid w:val="009B4392"/>
    <w:rsid w:val="009B7D09"/>
    <w:rsid w:val="009C14B3"/>
    <w:rsid w:val="009D24DA"/>
    <w:rsid w:val="009D5D75"/>
    <w:rsid w:val="009E0C0B"/>
    <w:rsid w:val="009E349F"/>
    <w:rsid w:val="009F32A2"/>
    <w:rsid w:val="009F54CE"/>
    <w:rsid w:val="00A06264"/>
    <w:rsid w:val="00A128E3"/>
    <w:rsid w:val="00A1639A"/>
    <w:rsid w:val="00A215C9"/>
    <w:rsid w:val="00A32F0C"/>
    <w:rsid w:val="00A3554C"/>
    <w:rsid w:val="00A5364B"/>
    <w:rsid w:val="00A60999"/>
    <w:rsid w:val="00A615E0"/>
    <w:rsid w:val="00A65E2B"/>
    <w:rsid w:val="00A7200E"/>
    <w:rsid w:val="00A74AA0"/>
    <w:rsid w:val="00A7546D"/>
    <w:rsid w:val="00A77100"/>
    <w:rsid w:val="00A91138"/>
    <w:rsid w:val="00AA4D97"/>
    <w:rsid w:val="00AD17B7"/>
    <w:rsid w:val="00AE33D7"/>
    <w:rsid w:val="00AF08D2"/>
    <w:rsid w:val="00B069C5"/>
    <w:rsid w:val="00B06D1B"/>
    <w:rsid w:val="00B077D5"/>
    <w:rsid w:val="00B16A78"/>
    <w:rsid w:val="00B200E4"/>
    <w:rsid w:val="00B26FFD"/>
    <w:rsid w:val="00B35B6D"/>
    <w:rsid w:val="00B35DC6"/>
    <w:rsid w:val="00B4232D"/>
    <w:rsid w:val="00B51699"/>
    <w:rsid w:val="00B53FAF"/>
    <w:rsid w:val="00B63153"/>
    <w:rsid w:val="00B6527D"/>
    <w:rsid w:val="00B66C16"/>
    <w:rsid w:val="00B73B3A"/>
    <w:rsid w:val="00B74507"/>
    <w:rsid w:val="00B75718"/>
    <w:rsid w:val="00B75E7E"/>
    <w:rsid w:val="00B77EAB"/>
    <w:rsid w:val="00B92FD0"/>
    <w:rsid w:val="00B93817"/>
    <w:rsid w:val="00B9682D"/>
    <w:rsid w:val="00BA0B96"/>
    <w:rsid w:val="00BB15DA"/>
    <w:rsid w:val="00BB2707"/>
    <w:rsid w:val="00BB340D"/>
    <w:rsid w:val="00BB438E"/>
    <w:rsid w:val="00BC1B54"/>
    <w:rsid w:val="00BC2A3A"/>
    <w:rsid w:val="00BC64EC"/>
    <w:rsid w:val="00BD073D"/>
    <w:rsid w:val="00BE4198"/>
    <w:rsid w:val="00BF3123"/>
    <w:rsid w:val="00BF3AFD"/>
    <w:rsid w:val="00C1606C"/>
    <w:rsid w:val="00C171C1"/>
    <w:rsid w:val="00C23180"/>
    <w:rsid w:val="00C41492"/>
    <w:rsid w:val="00C502EC"/>
    <w:rsid w:val="00C50874"/>
    <w:rsid w:val="00C5466E"/>
    <w:rsid w:val="00C67D85"/>
    <w:rsid w:val="00C702B5"/>
    <w:rsid w:val="00C70389"/>
    <w:rsid w:val="00C733F1"/>
    <w:rsid w:val="00C8495F"/>
    <w:rsid w:val="00C904B6"/>
    <w:rsid w:val="00C90A75"/>
    <w:rsid w:val="00C96DF4"/>
    <w:rsid w:val="00CA58B6"/>
    <w:rsid w:val="00CA6A66"/>
    <w:rsid w:val="00CC1337"/>
    <w:rsid w:val="00CC2514"/>
    <w:rsid w:val="00CC48DF"/>
    <w:rsid w:val="00CD42E0"/>
    <w:rsid w:val="00CD4A91"/>
    <w:rsid w:val="00CD70E7"/>
    <w:rsid w:val="00CD7363"/>
    <w:rsid w:val="00CE0C1F"/>
    <w:rsid w:val="00CE455F"/>
    <w:rsid w:val="00CF0BF9"/>
    <w:rsid w:val="00CF2C0D"/>
    <w:rsid w:val="00CF5957"/>
    <w:rsid w:val="00D04BA2"/>
    <w:rsid w:val="00D077B0"/>
    <w:rsid w:val="00D22D42"/>
    <w:rsid w:val="00D27B75"/>
    <w:rsid w:val="00D36D8D"/>
    <w:rsid w:val="00D45711"/>
    <w:rsid w:val="00D500FC"/>
    <w:rsid w:val="00D5144F"/>
    <w:rsid w:val="00D51597"/>
    <w:rsid w:val="00D5326E"/>
    <w:rsid w:val="00D55867"/>
    <w:rsid w:val="00D57F53"/>
    <w:rsid w:val="00D634A3"/>
    <w:rsid w:val="00D64145"/>
    <w:rsid w:val="00D702C8"/>
    <w:rsid w:val="00D72339"/>
    <w:rsid w:val="00D73E47"/>
    <w:rsid w:val="00D74ABB"/>
    <w:rsid w:val="00D83CB7"/>
    <w:rsid w:val="00D916E0"/>
    <w:rsid w:val="00D97FA8"/>
    <w:rsid w:val="00DC7B25"/>
    <w:rsid w:val="00DD6B73"/>
    <w:rsid w:val="00DE23F8"/>
    <w:rsid w:val="00DE3897"/>
    <w:rsid w:val="00DE7CC2"/>
    <w:rsid w:val="00E05CF6"/>
    <w:rsid w:val="00E112C9"/>
    <w:rsid w:val="00E1314C"/>
    <w:rsid w:val="00E158F7"/>
    <w:rsid w:val="00E2087E"/>
    <w:rsid w:val="00E2636D"/>
    <w:rsid w:val="00E34976"/>
    <w:rsid w:val="00E36818"/>
    <w:rsid w:val="00E36E5F"/>
    <w:rsid w:val="00E47B97"/>
    <w:rsid w:val="00E5203C"/>
    <w:rsid w:val="00E634CC"/>
    <w:rsid w:val="00E82F0E"/>
    <w:rsid w:val="00E9243E"/>
    <w:rsid w:val="00E95F89"/>
    <w:rsid w:val="00E96FAC"/>
    <w:rsid w:val="00EA129F"/>
    <w:rsid w:val="00EB7A31"/>
    <w:rsid w:val="00EB7C48"/>
    <w:rsid w:val="00ED0582"/>
    <w:rsid w:val="00ED7374"/>
    <w:rsid w:val="00EE31F6"/>
    <w:rsid w:val="00EE36DC"/>
    <w:rsid w:val="00F00799"/>
    <w:rsid w:val="00F044EE"/>
    <w:rsid w:val="00F135B3"/>
    <w:rsid w:val="00F3320B"/>
    <w:rsid w:val="00F40E92"/>
    <w:rsid w:val="00F41947"/>
    <w:rsid w:val="00F435AA"/>
    <w:rsid w:val="00F4603A"/>
    <w:rsid w:val="00F66FF2"/>
    <w:rsid w:val="00F75C84"/>
    <w:rsid w:val="00F76C6A"/>
    <w:rsid w:val="00F83BF1"/>
    <w:rsid w:val="00F90CB9"/>
    <w:rsid w:val="00F963C0"/>
    <w:rsid w:val="00F97373"/>
    <w:rsid w:val="00FA0254"/>
    <w:rsid w:val="00FA6854"/>
    <w:rsid w:val="00FB064F"/>
    <w:rsid w:val="00FB0F6B"/>
    <w:rsid w:val="00FB144F"/>
    <w:rsid w:val="00FB159A"/>
    <w:rsid w:val="00FB4C38"/>
    <w:rsid w:val="00FB4D77"/>
    <w:rsid w:val="00FC497D"/>
    <w:rsid w:val="00FD076B"/>
    <w:rsid w:val="00FE031D"/>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F9775E"/>
  <w15:docId w15:val="{5B2CA051-4F25-4FD1-BBB8-7271528E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buero/" TargetMode="External"/><Relationship Id="rId14" Type="http://schemas.openxmlformats.org/officeDocument/2006/relationships/hyperlink" Target="file:///\\file01\Marketing\Presse\Vorlagen\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3904-FB99-4873-96C2-C50D431D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4</cp:revision>
  <cp:lastPrinted>2020-01-06T08:11:00Z</cp:lastPrinted>
  <dcterms:created xsi:type="dcterms:W3CDTF">2020-01-06T08:58:00Z</dcterms:created>
  <dcterms:modified xsi:type="dcterms:W3CDTF">2020-01-06T09:23:00Z</dcterms:modified>
</cp:coreProperties>
</file>