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D771" w14:textId="4BBC1F22" w:rsidR="00D04BA2" w:rsidRPr="00EB35A8" w:rsidRDefault="007970A0" w:rsidP="000C770D">
      <w:pPr>
        <w:spacing w:after="0" w:line="360" w:lineRule="auto"/>
        <w:rPr>
          <w:rFonts w:ascii="Arial" w:hAnsi="Arial" w:cs="Arial"/>
          <w:b/>
          <w:sz w:val="28"/>
          <w:szCs w:val="28"/>
        </w:rPr>
      </w:pPr>
      <w:r>
        <w:rPr>
          <w:rFonts w:ascii="Arial" w:hAnsi="Arial"/>
          <w:b/>
        </w:rPr>
        <w:t>Hamburg: Office letting market</w:t>
      </w:r>
      <w:r w:rsidR="00EB35A8">
        <w:rPr>
          <w:rFonts w:ascii="Arial" w:hAnsi="Arial"/>
          <w:b/>
        </w:rPr>
        <w:t>,</w:t>
      </w:r>
      <w:r>
        <w:rPr>
          <w:rFonts w:ascii="Arial" w:hAnsi="Arial"/>
          <w:b/>
        </w:rPr>
        <w:t xml:space="preserve"> 1st-4th quarters of 2020</w:t>
      </w:r>
      <w:r>
        <w:rPr>
          <w:rFonts w:ascii="Arial" w:hAnsi="Arial"/>
          <w:b/>
        </w:rPr>
        <w:br/>
      </w:r>
      <w:r w:rsidRPr="00EB35A8">
        <w:rPr>
          <w:rFonts w:ascii="Arial" w:hAnsi="Arial"/>
          <w:b/>
          <w:sz w:val="28"/>
          <w:szCs w:val="28"/>
        </w:rPr>
        <w:t xml:space="preserve">The new normal - viewings with social distancing and mask </w:t>
      </w:r>
    </w:p>
    <w:p w14:paraId="5DC3EAC5" w14:textId="77777777" w:rsidR="00590903" w:rsidRPr="0090748B" w:rsidRDefault="00590903" w:rsidP="00590903">
      <w:pPr>
        <w:spacing w:after="0" w:line="360" w:lineRule="auto"/>
        <w:jc w:val="both"/>
        <w:rPr>
          <w:rFonts w:ascii="Arial" w:hAnsi="Arial" w:cs="Arial"/>
          <w:b/>
          <w:sz w:val="20"/>
          <w:szCs w:val="20"/>
        </w:rPr>
      </w:pPr>
    </w:p>
    <w:p w14:paraId="46689C87" w14:textId="376BBCDF" w:rsidR="00363DD7" w:rsidRPr="00511ED6" w:rsidRDefault="0089000C" w:rsidP="003C4D42">
      <w:pPr>
        <w:spacing w:after="0" w:line="360" w:lineRule="auto"/>
        <w:rPr>
          <w:rFonts w:ascii="Arial" w:hAnsi="Arial" w:cs="Arial"/>
          <w:color w:val="000000" w:themeColor="text1"/>
          <w:sz w:val="20"/>
          <w:szCs w:val="20"/>
        </w:rPr>
      </w:pPr>
      <w:r>
        <w:rPr>
          <w:rFonts w:ascii="Arial" w:hAnsi="Arial"/>
          <w:b/>
          <w:sz w:val="20"/>
          <w:szCs w:val="20"/>
        </w:rPr>
        <w:t>Hamburg, 4th January 2021</w:t>
      </w:r>
      <w:r>
        <w:rPr>
          <w:rFonts w:ascii="Arial" w:hAnsi="Arial"/>
          <w:sz w:val="20"/>
          <w:szCs w:val="20"/>
        </w:rPr>
        <w:t xml:space="preserve"> - </w:t>
      </w:r>
      <w:r w:rsidRPr="00511ED6">
        <w:rPr>
          <w:rFonts w:ascii="Arial" w:hAnsi="Arial"/>
          <w:color w:val="000000" w:themeColor="text1"/>
          <w:sz w:val="20"/>
          <w:szCs w:val="20"/>
        </w:rPr>
        <w:t>From the start of the 2nd quarter of 2020 business on Hamburg’s office-letting market was dominated by the economic impact of the coronavirus pandemic. Take-up of space did revive a little</w:t>
      </w:r>
      <w:r w:rsidR="00E76EF6" w:rsidRPr="00511ED6">
        <w:rPr>
          <w:rFonts w:ascii="Arial" w:hAnsi="Arial"/>
          <w:color w:val="000000" w:themeColor="text1"/>
          <w:sz w:val="20"/>
          <w:szCs w:val="20"/>
        </w:rPr>
        <w:t xml:space="preserve"> in the 4th quarter to total</w:t>
      </w:r>
      <w:r w:rsidRPr="00511ED6">
        <w:rPr>
          <w:rFonts w:ascii="Arial" w:hAnsi="Arial"/>
          <w:color w:val="000000" w:themeColor="text1"/>
          <w:sz w:val="20"/>
          <w:szCs w:val="20"/>
        </w:rPr>
        <w:t xml:space="preserve"> 90,000 m², including space in the “</w:t>
      </w:r>
      <w:proofErr w:type="spellStart"/>
      <w:r w:rsidRPr="00511ED6">
        <w:rPr>
          <w:rFonts w:ascii="Arial" w:hAnsi="Arial"/>
          <w:color w:val="000000" w:themeColor="text1"/>
          <w:sz w:val="20"/>
          <w:szCs w:val="20"/>
        </w:rPr>
        <w:t>Elbtower</w:t>
      </w:r>
      <w:proofErr w:type="spellEnd"/>
      <w:r w:rsidRPr="00511ED6">
        <w:rPr>
          <w:rFonts w:ascii="Arial" w:hAnsi="Arial"/>
          <w:color w:val="000000" w:themeColor="text1"/>
          <w:sz w:val="20"/>
          <w:szCs w:val="20"/>
        </w:rPr>
        <w:t>”, up from 85,000 m² in the 3rd quarter and 70,000 m² in the 2nd quarter. Overall, however, as figures from Grossmann &amp; Berger, a member of German Property Partners (GPP), show, take-up of space in 2020 totalled 340,000 m². The result is thus some 40 % below that of the prior year. It is the lowest total take-up of office space recorded since 2003.</w:t>
      </w:r>
    </w:p>
    <w:p w14:paraId="46FD7BD1" w14:textId="77777777" w:rsidR="00363DD7" w:rsidRPr="00511ED6" w:rsidRDefault="00363DD7" w:rsidP="003C4D42">
      <w:pPr>
        <w:spacing w:after="0" w:line="360" w:lineRule="auto"/>
        <w:rPr>
          <w:rFonts w:ascii="Arial" w:hAnsi="Arial" w:cs="Arial"/>
          <w:color w:val="000000" w:themeColor="text1"/>
          <w:sz w:val="20"/>
          <w:szCs w:val="20"/>
        </w:rPr>
      </w:pPr>
    </w:p>
    <w:p w14:paraId="3169007A" w14:textId="104037BC" w:rsidR="00363DD7" w:rsidRPr="00511ED6" w:rsidRDefault="00E4063D" w:rsidP="00363DD7">
      <w:pPr>
        <w:spacing w:after="0" w:line="360" w:lineRule="auto"/>
        <w:textAlignment w:val="baseline"/>
        <w:rPr>
          <w:rFonts w:ascii="Arial" w:hAnsi="Arial" w:cs="Arial"/>
          <w:b/>
          <w:color w:val="000000" w:themeColor="text1"/>
          <w:sz w:val="20"/>
          <w:szCs w:val="20"/>
        </w:rPr>
      </w:pPr>
      <w:r w:rsidRPr="00511ED6">
        <w:rPr>
          <w:rFonts w:ascii="Arial" w:hAnsi="Arial"/>
          <w:b/>
          <w:color w:val="000000" w:themeColor="text1"/>
          <w:sz w:val="20"/>
          <w:szCs w:val="20"/>
        </w:rPr>
        <w:t>Covid-19 vaccines offer ray of hope</w:t>
      </w:r>
    </w:p>
    <w:p w14:paraId="200869FE" w14:textId="0583EEB3" w:rsidR="003C4D42" w:rsidRPr="00511ED6" w:rsidRDefault="00372819" w:rsidP="003C4D42">
      <w:pPr>
        <w:spacing w:after="0" w:line="360" w:lineRule="auto"/>
        <w:rPr>
          <w:rFonts w:ascii="Arial" w:hAnsi="Arial" w:cs="Arial"/>
          <w:color w:val="000000" w:themeColor="text1"/>
          <w:sz w:val="20"/>
          <w:szCs w:val="20"/>
        </w:rPr>
      </w:pPr>
      <w:r w:rsidRPr="00511ED6">
        <w:rPr>
          <w:rFonts w:ascii="Arial" w:hAnsi="Arial"/>
          <w:i/>
          <w:color w:val="000000" w:themeColor="text1"/>
          <w:sz w:val="20"/>
          <w:szCs w:val="20"/>
        </w:rPr>
        <w:t>“The vaccination campaign now under way is a ray of hope. However, in the short term the situation remains tense in view of the current rates of infection. Many companies are still reticent when it comes to making a decision about new premises. Nevertheless, we have reached a state of “new normal”. Customers now regularly view offices, but observe social distancing and wear a mask</w:t>
      </w:r>
      <w:r w:rsidRPr="00511ED6">
        <w:rPr>
          <w:rFonts w:ascii="Arial" w:hAnsi="Arial"/>
          <w:color w:val="000000" w:themeColor="text1"/>
          <w:sz w:val="20"/>
          <w:szCs w:val="20"/>
        </w:rPr>
        <w:t xml:space="preserve">,” says managing director </w:t>
      </w:r>
      <w:r w:rsidRPr="00511ED6">
        <w:rPr>
          <w:rFonts w:ascii="Arial" w:hAnsi="Arial"/>
          <w:b/>
          <w:color w:val="000000" w:themeColor="text1"/>
          <w:sz w:val="20"/>
          <w:szCs w:val="20"/>
        </w:rPr>
        <w:t xml:space="preserve">Andreas </w:t>
      </w:r>
      <w:proofErr w:type="spellStart"/>
      <w:r w:rsidRPr="00511ED6">
        <w:rPr>
          <w:rFonts w:ascii="Arial" w:hAnsi="Arial"/>
          <w:b/>
          <w:color w:val="000000" w:themeColor="text1"/>
          <w:sz w:val="20"/>
          <w:szCs w:val="20"/>
        </w:rPr>
        <w:t>Rehberg</w:t>
      </w:r>
      <w:proofErr w:type="spellEnd"/>
      <w:r w:rsidRPr="00511ED6">
        <w:rPr>
          <w:rFonts w:ascii="Arial" w:hAnsi="Arial"/>
          <w:color w:val="000000" w:themeColor="text1"/>
          <w:sz w:val="20"/>
          <w:szCs w:val="20"/>
        </w:rPr>
        <w:t xml:space="preserve">. </w:t>
      </w:r>
      <w:r w:rsidRPr="00511ED6">
        <w:rPr>
          <w:rFonts w:ascii="Arial" w:hAnsi="Arial"/>
          <w:i/>
          <w:color w:val="000000" w:themeColor="text1"/>
          <w:sz w:val="20"/>
          <w:szCs w:val="20"/>
        </w:rPr>
        <w:t>“Due to the difficult economic situation we do not expect to see brisk demand for office space in the first half of 2021. The market is and will continue to be determined by the infection rates.”</w:t>
      </w:r>
      <w:r w:rsidRPr="00511ED6">
        <w:rPr>
          <w:rFonts w:ascii="Arial" w:hAnsi="Arial"/>
          <w:color w:val="000000" w:themeColor="text1"/>
          <w:sz w:val="20"/>
          <w:szCs w:val="20"/>
        </w:rPr>
        <w:t xml:space="preserve"> </w:t>
      </w:r>
    </w:p>
    <w:p w14:paraId="1CE4666C" w14:textId="77777777" w:rsidR="00EE77BB" w:rsidRPr="00511ED6" w:rsidRDefault="00EE77BB" w:rsidP="00C171C1">
      <w:pPr>
        <w:spacing w:after="0" w:line="360" w:lineRule="auto"/>
        <w:textAlignment w:val="baseline"/>
        <w:rPr>
          <w:rFonts w:ascii="Arial" w:hAnsi="Arial" w:cs="Arial"/>
          <w:b/>
          <w:color w:val="000000" w:themeColor="text1"/>
          <w:sz w:val="20"/>
          <w:szCs w:val="20"/>
        </w:rPr>
      </w:pPr>
    </w:p>
    <w:p w14:paraId="5037A73B" w14:textId="72435A19" w:rsidR="002D525C" w:rsidRPr="00511ED6" w:rsidRDefault="006F5757" w:rsidP="00C171C1">
      <w:pPr>
        <w:spacing w:after="0" w:line="360" w:lineRule="auto"/>
        <w:textAlignment w:val="baseline"/>
        <w:rPr>
          <w:rFonts w:ascii="Arial" w:hAnsi="Arial" w:cs="Arial"/>
          <w:b/>
          <w:color w:val="000000" w:themeColor="text1"/>
          <w:sz w:val="20"/>
          <w:szCs w:val="20"/>
        </w:rPr>
      </w:pPr>
      <w:r w:rsidRPr="00511ED6">
        <w:rPr>
          <w:rFonts w:ascii="Arial" w:hAnsi="Arial"/>
          <w:b/>
          <w:color w:val="000000" w:themeColor="text1"/>
          <w:sz w:val="20"/>
          <w:szCs w:val="20"/>
        </w:rPr>
        <w:t xml:space="preserve">Market details: </w:t>
      </w:r>
    </w:p>
    <w:p w14:paraId="1A3E9FCF" w14:textId="714D80A7" w:rsidR="00B27E63" w:rsidRPr="00511ED6" w:rsidRDefault="000A7D42" w:rsidP="00B27E63">
      <w:pPr>
        <w:pStyle w:val="Listenabsatz"/>
        <w:numPr>
          <w:ilvl w:val="0"/>
          <w:numId w:val="17"/>
        </w:numPr>
        <w:spacing w:after="0" w:line="360" w:lineRule="auto"/>
        <w:rPr>
          <w:rFonts w:ascii="Arial" w:hAnsi="Arial" w:cs="Arial"/>
          <w:color w:val="000000" w:themeColor="text1"/>
          <w:sz w:val="20"/>
          <w:szCs w:val="20"/>
        </w:rPr>
      </w:pPr>
      <w:r w:rsidRPr="00511ED6">
        <w:rPr>
          <w:rFonts w:ascii="Arial" w:hAnsi="Arial"/>
          <w:color w:val="000000" w:themeColor="text1"/>
          <w:sz w:val="20"/>
          <w:szCs w:val="20"/>
        </w:rPr>
        <w:t xml:space="preserve">Unlike take-up rates, rental charges for offices in Hamburg were largely unchanged in 2020, despite the coronavirus pandemic. The average rent fell </w:t>
      </w:r>
      <w:r w:rsidR="00EB35A8" w:rsidRPr="00511ED6">
        <w:rPr>
          <w:rFonts w:ascii="Arial" w:hAnsi="Arial"/>
          <w:color w:val="000000" w:themeColor="text1"/>
          <w:sz w:val="20"/>
          <w:szCs w:val="20"/>
        </w:rPr>
        <w:t>back year on year by 1.1 % to €</w:t>
      </w:r>
      <w:r w:rsidRPr="00511ED6">
        <w:rPr>
          <w:rFonts w:ascii="Arial" w:hAnsi="Arial"/>
          <w:color w:val="000000" w:themeColor="text1"/>
          <w:sz w:val="20"/>
          <w:szCs w:val="20"/>
        </w:rPr>
        <w:t xml:space="preserve">17.50/m²/month, whereas the premium rent grew by 3.4 % to €30.50/m²/month. </w:t>
      </w:r>
      <w:proofErr w:type="spellStart"/>
      <w:r w:rsidRPr="00511ED6">
        <w:rPr>
          <w:rFonts w:ascii="Arial" w:hAnsi="Arial"/>
          <w:b/>
          <w:color w:val="000000" w:themeColor="text1"/>
          <w:sz w:val="20"/>
          <w:szCs w:val="20"/>
        </w:rPr>
        <w:t>Rehberg</w:t>
      </w:r>
      <w:proofErr w:type="spellEnd"/>
      <w:r w:rsidRPr="00511ED6">
        <w:rPr>
          <w:rFonts w:ascii="Arial" w:hAnsi="Arial"/>
          <w:color w:val="000000" w:themeColor="text1"/>
          <w:sz w:val="20"/>
          <w:szCs w:val="20"/>
        </w:rPr>
        <w:t xml:space="preserve"> confirms that, </w:t>
      </w:r>
      <w:r w:rsidRPr="00511ED6">
        <w:rPr>
          <w:rFonts w:ascii="Arial" w:hAnsi="Arial"/>
          <w:i/>
          <w:color w:val="000000" w:themeColor="text1"/>
          <w:sz w:val="20"/>
          <w:szCs w:val="20"/>
        </w:rPr>
        <w:t>“Here in Hamburg we are a long way from seeing a dramatic slump in office rents.”</w:t>
      </w:r>
      <w:r w:rsidR="00F52838" w:rsidRPr="00511ED6">
        <w:rPr>
          <w:rFonts w:ascii="Arial" w:hAnsi="Arial"/>
          <w:color w:val="000000" w:themeColor="text1"/>
          <w:sz w:val="20"/>
          <w:szCs w:val="20"/>
        </w:rPr>
        <w:t xml:space="preserve"> </w:t>
      </w:r>
      <w:r w:rsidRPr="00511ED6">
        <w:rPr>
          <w:rFonts w:ascii="Arial" w:hAnsi="Arial"/>
          <w:color w:val="000000" w:themeColor="text1"/>
          <w:sz w:val="20"/>
          <w:szCs w:val="20"/>
        </w:rPr>
        <w:t>Potential tenants do, however, have a rather better chance of negotiating incentives such as rent-free periods</w:t>
      </w:r>
      <w:bookmarkStart w:id="0" w:name="_GoBack"/>
      <w:bookmarkEnd w:id="0"/>
      <w:r w:rsidRPr="00511ED6">
        <w:rPr>
          <w:rFonts w:ascii="Arial" w:hAnsi="Arial"/>
          <w:color w:val="000000" w:themeColor="text1"/>
          <w:sz w:val="20"/>
          <w:szCs w:val="20"/>
        </w:rPr>
        <w:t xml:space="preserve"> or building cost subsidies.</w:t>
      </w:r>
    </w:p>
    <w:p w14:paraId="554FA097" w14:textId="746A1A71" w:rsidR="00F12C0D" w:rsidRPr="00511ED6" w:rsidRDefault="00B27E63" w:rsidP="00410022">
      <w:pPr>
        <w:pStyle w:val="Listenabsatz"/>
        <w:numPr>
          <w:ilvl w:val="0"/>
          <w:numId w:val="17"/>
        </w:numPr>
        <w:spacing w:after="0" w:line="360" w:lineRule="auto"/>
        <w:textAlignment w:val="baseline"/>
        <w:rPr>
          <w:rFonts w:ascii="Arial" w:hAnsi="Arial" w:cs="Arial"/>
          <w:color w:val="000000" w:themeColor="text1"/>
          <w:sz w:val="20"/>
          <w:szCs w:val="20"/>
        </w:rPr>
      </w:pPr>
      <w:r w:rsidRPr="00511ED6">
        <w:rPr>
          <w:rFonts w:ascii="Arial" w:hAnsi="Arial"/>
          <w:color w:val="000000" w:themeColor="text1"/>
          <w:sz w:val="20"/>
          <w:szCs w:val="20"/>
        </w:rPr>
        <w:t>On the supply side, the situation has continued to ease. Reflecting the acute shortage of space in 2019 the vacancy rate, including sub-let space, was 2.9 %; it now stands at 3.5 %. In the 3rd quarter of 2020 the vacancy rate was 3.3 %. Totalling 35,000 m² the amount of sub-let space on the market has risen by 77 % year on year. However, this increase of 15,000 m² is minuscule in comparison with a total stock of office space of 13.9m m². In the year ahead Grossmann &amp; Berger expects to see more space coming onto the market unless there is a marked rise in take-up.</w:t>
      </w:r>
    </w:p>
    <w:p w14:paraId="3EB7B0D4" w14:textId="3D600717" w:rsidR="00EB35A8" w:rsidRPr="00EB35A8" w:rsidRDefault="00EB35A8" w:rsidP="00EB35A8">
      <w:pPr>
        <w:spacing w:after="0" w:line="360" w:lineRule="auto"/>
        <w:ind w:left="66"/>
        <w:textAlignment w:val="baseline"/>
        <w:rPr>
          <w:rFonts w:ascii="Arial" w:hAnsi="Arial" w:cs="Arial"/>
          <w:color w:val="FF0000"/>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208250A1" w:rsidR="00126D0B" w:rsidRPr="0053031B" w:rsidRDefault="00126D0B" w:rsidP="006640C4">
            <w:pPr>
              <w:widowControl w:val="0"/>
              <w:spacing w:after="0"/>
              <w:rPr>
                <w:rFonts w:ascii="Arial" w:hAnsi="Arial" w:cs="Arial"/>
                <w:b/>
                <w:sz w:val="18"/>
                <w:szCs w:val="16"/>
              </w:rPr>
            </w:pPr>
            <w:r>
              <w:rPr>
                <w:rFonts w:ascii="Arial" w:hAnsi="Arial"/>
                <w:b/>
                <w:sz w:val="18"/>
                <w:szCs w:val="20"/>
              </w:rPr>
              <w:t>Office market | Hamburg | 2020</w:t>
            </w:r>
          </w:p>
        </w:tc>
        <w:tc>
          <w:tcPr>
            <w:tcW w:w="1144" w:type="pct"/>
            <w:shd w:val="clear" w:color="auto" w:fill="1F242B" w:themeFill="accent2"/>
            <w:vAlign w:val="center"/>
          </w:tcPr>
          <w:p w14:paraId="481F2F5D" w14:textId="3BD34386" w:rsidR="00126D0B" w:rsidRPr="0053031B" w:rsidRDefault="00625156" w:rsidP="00C65D69">
            <w:pPr>
              <w:widowControl w:val="0"/>
              <w:spacing w:after="0"/>
              <w:jc w:val="center"/>
              <w:rPr>
                <w:rFonts w:ascii="Arial" w:hAnsi="Arial" w:cs="Arial"/>
                <w:b/>
                <w:sz w:val="18"/>
                <w:szCs w:val="16"/>
              </w:rPr>
            </w:pPr>
            <w:r>
              <w:rPr>
                <w:rFonts w:ascii="Arial" w:hAnsi="Arial"/>
                <w:b/>
                <w:sz w:val="18"/>
                <w:szCs w:val="16"/>
              </w:rPr>
              <w:t>Q1 -4</w:t>
            </w:r>
          </w:p>
        </w:tc>
      </w:tr>
      <w:tr w:rsidR="00126D0B" w:rsidRPr="00F952F7" w14:paraId="77867528" w14:textId="77777777" w:rsidTr="00A3554C">
        <w:trPr>
          <w:trHeight w:val="283"/>
        </w:trPr>
        <w:tc>
          <w:tcPr>
            <w:tcW w:w="3856"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63741640" w14:textId="773C807C" w:rsidR="00126D0B" w:rsidRPr="000E7BC7" w:rsidRDefault="00C65D69" w:rsidP="007543F0">
            <w:pPr>
              <w:spacing w:after="0"/>
              <w:jc w:val="right"/>
              <w:rPr>
                <w:rFonts w:ascii="Arial" w:hAnsi="Arial" w:cs="Arial"/>
                <w:sz w:val="18"/>
                <w:szCs w:val="16"/>
              </w:rPr>
            </w:pPr>
            <w:r>
              <w:rPr>
                <w:rFonts w:ascii="Arial" w:hAnsi="Arial"/>
                <w:sz w:val="18"/>
                <w:szCs w:val="16"/>
              </w:rPr>
              <w:t>340,000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27D64227" w14:textId="2B343EB7" w:rsidR="00126D0B" w:rsidRPr="000E7BC7" w:rsidRDefault="007543F0" w:rsidP="00C65D69">
            <w:pPr>
              <w:spacing w:after="0"/>
              <w:jc w:val="right"/>
              <w:rPr>
                <w:rFonts w:ascii="Arial" w:hAnsi="Arial" w:cs="Arial"/>
                <w:sz w:val="18"/>
                <w:szCs w:val="16"/>
              </w:rPr>
            </w:pPr>
            <w:r>
              <w:rPr>
                <w:rFonts w:ascii="Arial" w:hAnsi="Arial"/>
                <w:sz w:val="18"/>
                <w:szCs w:val="16"/>
              </w:rPr>
              <w:t>-37.6</w:t>
            </w:r>
          </w:p>
        </w:tc>
      </w:tr>
      <w:tr w:rsidR="00126D0B" w:rsidRPr="00F952F7" w14:paraId="18A78594" w14:textId="77777777" w:rsidTr="00A3554C">
        <w:trPr>
          <w:trHeight w:val="283"/>
        </w:trPr>
        <w:tc>
          <w:tcPr>
            <w:tcW w:w="3856"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70F596CF" w14:textId="572B45FE" w:rsidR="00126D0B" w:rsidRPr="000E7BC7" w:rsidRDefault="006640C4" w:rsidP="003579E5">
            <w:pPr>
              <w:spacing w:after="0"/>
              <w:jc w:val="right"/>
              <w:rPr>
                <w:rFonts w:ascii="Arial" w:hAnsi="Arial" w:cs="Arial"/>
                <w:color w:val="000000" w:themeColor="text1"/>
                <w:sz w:val="18"/>
                <w:szCs w:val="16"/>
              </w:rPr>
            </w:pPr>
            <w:r>
              <w:rPr>
                <w:rFonts w:ascii="Arial" w:hAnsi="Arial"/>
                <w:sz w:val="18"/>
                <w:szCs w:val="16"/>
              </w:rPr>
              <w:t>30.50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830C292" w14:textId="08464069" w:rsidR="00126D0B" w:rsidRPr="000E7BC7" w:rsidRDefault="00010109" w:rsidP="00C65D69">
            <w:pPr>
              <w:spacing w:after="0"/>
              <w:jc w:val="right"/>
              <w:rPr>
                <w:rFonts w:ascii="Arial" w:hAnsi="Arial" w:cs="Arial"/>
                <w:color w:val="000000" w:themeColor="text1"/>
                <w:sz w:val="18"/>
                <w:szCs w:val="16"/>
              </w:rPr>
            </w:pPr>
            <w:r>
              <w:rPr>
                <w:rFonts w:ascii="Arial" w:hAnsi="Arial"/>
                <w:color w:val="000000" w:themeColor="text1"/>
                <w:sz w:val="18"/>
                <w:szCs w:val="16"/>
              </w:rPr>
              <w:t>+3.4</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lastRenderedPageBreak/>
              <w:t xml:space="preserve">Average rent </w:t>
            </w:r>
            <w:r>
              <w:rPr>
                <w:rFonts w:ascii="Arial" w:hAnsi="Arial"/>
                <w:sz w:val="18"/>
                <w:szCs w:val="16"/>
              </w:rPr>
              <w:t>[€/m²/month net of services]</w:t>
            </w:r>
          </w:p>
        </w:tc>
        <w:tc>
          <w:tcPr>
            <w:tcW w:w="1144" w:type="pct"/>
            <w:vAlign w:val="center"/>
          </w:tcPr>
          <w:p w14:paraId="3C14A76E" w14:textId="30B26AC9" w:rsidR="00126D0B" w:rsidRPr="000E7BC7" w:rsidRDefault="00010109" w:rsidP="00C65D69">
            <w:pPr>
              <w:spacing w:after="0"/>
              <w:jc w:val="right"/>
              <w:rPr>
                <w:rFonts w:ascii="Arial" w:hAnsi="Arial" w:cs="Arial"/>
                <w:color w:val="000000" w:themeColor="text1"/>
                <w:sz w:val="18"/>
                <w:szCs w:val="16"/>
              </w:rPr>
            </w:pPr>
            <w:r>
              <w:rPr>
                <w:rFonts w:ascii="Arial" w:hAnsi="Arial"/>
                <w:sz w:val="18"/>
                <w:szCs w:val="16"/>
              </w:rPr>
              <w:t>17.50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164DE3A" w14:textId="0FC2F43F" w:rsidR="00126D0B" w:rsidRPr="000E7BC7" w:rsidRDefault="00C65D69" w:rsidP="00450AE4">
            <w:pPr>
              <w:spacing w:after="0"/>
              <w:jc w:val="right"/>
              <w:rPr>
                <w:rFonts w:ascii="Arial" w:hAnsi="Arial" w:cs="Arial"/>
                <w:color w:val="000000" w:themeColor="text1"/>
                <w:sz w:val="18"/>
                <w:szCs w:val="16"/>
              </w:rPr>
            </w:pPr>
            <w:r>
              <w:rPr>
                <w:rFonts w:ascii="Arial" w:hAnsi="Arial"/>
                <w:color w:val="000000" w:themeColor="text1"/>
                <w:sz w:val="18"/>
                <w:szCs w:val="16"/>
              </w:rPr>
              <w:t>-1.1</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26F8983D" w14:textId="506996B6" w:rsidR="00126D0B" w:rsidRPr="000E7BC7" w:rsidRDefault="00990251" w:rsidP="00465B0E">
            <w:pPr>
              <w:spacing w:after="0"/>
              <w:jc w:val="right"/>
              <w:rPr>
                <w:rFonts w:ascii="Arial" w:hAnsi="Arial" w:cs="Arial"/>
                <w:color w:val="000000" w:themeColor="text1"/>
                <w:sz w:val="18"/>
                <w:szCs w:val="16"/>
              </w:rPr>
            </w:pPr>
            <w:r>
              <w:rPr>
                <w:rFonts w:ascii="Arial" w:hAnsi="Arial"/>
                <w:sz w:val="18"/>
                <w:szCs w:val="16"/>
              </w:rPr>
              <w:t>13.9</w:t>
            </w:r>
          </w:p>
        </w:tc>
      </w:tr>
      <w:tr w:rsidR="00126D0B" w:rsidRPr="00F952F7" w14:paraId="66925CFD" w14:textId="77777777" w:rsidTr="00A3554C">
        <w:trPr>
          <w:trHeight w:val="283"/>
        </w:trPr>
        <w:tc>
          <w:tcPr>
            <w:tcW w:w="3856" w:type="pct"/>
            <w:vAlign w:val="center"/>
          </w:tcPr>
          <w:p w14:paraId="3CAD0C20" w14:textId="27386BDB" w:rsidR="00126D0B" w:rsidRPr="000E7BC7" w:rsidRDefault="00126D0B" w:rsidP="00410022">
            <w:pPr>
              <w:widowControl w:val="0"/>
              <w:spacing w:before="60" w:after="60"/>
              <w:rPr>
                <w:rFonts w:ascii="Arial" w:hAnsi="Arial" w:cs="Arial"/>
                <w:b/>
                <w:sz w:val="18"/>
                <w:szCs w:val="16"/>
              </w:rPr>
            </w:pPr>
            <w:r>
              <w:rPr>
                <w:rFonts w:ascii="Arial" w:hAnsi="Arial"/>
                <w:b/>
                <w:sz w:val="18"/>
                <w:szCs w:val="16"/>
              </w:rPr>
              <w:t>Vacan</w:t>
            </w:r>
            <w:r w:rsidR="00410022">
              <w:rPr>
                <w:rFonts w:ascii="Arial" w:hAnsi="Arial"/>
                <w:b/>
                <w:sz w:val="18"/>
                <w:szCs w:val="16"/>
              </w:rPr>
              <w:t>t space</w:t>
            </w:r>
            <w:r w:rsidR="00410022">
              <w:rPr>
                <w:rFonts w:ascii="Arial" w:hAnsi="Arial"/>
                <w:sz w:val="18"/>
                <w:szCs w:val="16"/>
              </w:rPr>
              <w:t xml:space="preserve"> incl. sub-let space [m²</w:t>
            </w:r>
            <w:r>
              <w:rPr>
                <w:rFonts w:ascii="Arial" w:hAnsi="Arial"/>
                <w:sz w:val="18"/>
                <w:szCs w:val="16"/>
              </w:rPr>
              <w:t>]</w:t>
            </w:r>
          </w:p>
        </w:tc>
        <w:tc>
          <w:tcPr>
            <w:tcW w:w="1144" w:type="pct"/>
            <w:vAlign w:val="center"/>
          </w:tcPr>
          <w:p w14:paraId="55B6F2ED" w14:textId="5E456450" w:rsidR="00126D0B" w:rsidRPr="000E7BC7" w:rsidRDefault="006640C4" w:rsidP="00C65D69">
            <w:pPr>
              <w:spacing w:after="0"/>
              <w:jc w:val="right"/>
              <w:rPr>
                <w:rFonts w:ascii="Arial" w:hAnsi="Arial" w:cs="Arial"/>
                <w:color w:val="000000" w:themeColor="text1"/>
                <w:sz w:val="18"/>
                <w:szCs w:val="16"/>
              </w:rPr>
            </w:pPr>
            <w:r>
              <w:rPr>
                <w:rFonts w:ascii="Arial" w:hAnsi="Arial"/>
                <w:sz w:val="18"/>
                <w:szCs w:val="16"/>
              </w:rPr>
              <w:t>486,000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257396" w14:textId="2A7389F1" w:rsidR="00126D0B" w:rsidRPr="000E7BC7" w:rsidRDefault="003579E5" w:rsidP="00C65D69">
            <w:pPr>
              <w:spacing w:after="0"/>
              <w:jc w:val="right"/>
              <w:rPr>
                <w:rFonts w:ascii="Arial" w:hAnsi="Arial" w:cs="Arial"/>
                <w:color w:val="000000" w:themeColor="text1"/>
                <w:sz w:val="18"/>
                <w:szCs w:val="16"/>
              </w:rPr>
            </w:pPr>
            <w:r>
              <w:rPr>
                <w:rFonts w:ascii="Arial" w:hAnsi="Arial"/>
                <w:color w:val="000000" w:themeColor="text1"/>
                <w:sz w:val="18"/>
                <w:szCs w:val="16"/>
              </w:rPr>
              <w:t>+21.4</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0CFC3EE8" w14:textId="304D5EC0" w:rsidR="00126D0B" w:rsidRPr="000E7BC7" w:rsidRDefault="006640C4" w:rsidP="00C65D69">
            <w:pPr>
              <w:spacing w:after="0"/>
              <w:jc w:val="right"/>
              <w:rPr>
                <w:rFonts w:ascii="Arial" w:hAnsi="Arial" w:cs="Arial"/>
                <w:color w:val="000000" w:themeColor="text1"/>
                <w:sz w:val="18"/>
                <w:szCs w:val="16"/>
              </w:rPr>
            </w:pPr>
            <w:r>
              <w:rPr>
                <w:rFonts w:ascii="Arial" w:hAnsi="Arial"/>
                <w:color w:val="000000" w:themeColor="text1"/>
                <w:sz w:val="18"/>
                <w:szCs w:val="16"/>
              </w:rPr>
              <w:t>3.5</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58D2158F" w:rsidR="00126D0B" w:rsidRPr="000E7BC7" w:rsidRDefault="00126D0B" w:rsidP="007543F0">
            <w:pPr>
              <w:widowControl w:val="0"/>
              <w:spacing w:before="60" w:after="60"/>
              <w:rPr>
                <w:rFonts w:ascii="Arial" w:hAnsi="Arial" w:cs="Arial"/>
                <w:b/>
                <w:sz w:val="18"/>
                <w:szCs w:val="16"/>
              </w:rPr>
            </w:pPr>
            <w:r>
              <w:rPr>
                <w:rFonts w:ascii="Arial" w:hAnsi="Arial"/>
                <w:b/>
                <w:bCs/>
                <w:sz w:val="18"/>
                <w:szCs w:val="16"/>
              </w:rPr>
              <w:t>Completions 2020+2021</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1B6B2972" w14:textId="1B4C976D" w:rsidR="00126D0B" w:rsidRPr="000E7BC7" w:rsidRDefault="00C65D69" w:rsidP="003579E5">
            <w:pPr>
              <w:spacing w:after="0"/>
              <w:jc w:val="right"/>
              <w:rPr>
                <w:rFonts w:ascii="Arial" w:hAnsi="Arial" w:cs="Arial"/>
                <w:color w:val="000000" w:themeColor="text1"/>
                <w:sz w:val="18"/>
                <w:szCs w:val="16"/>
              </w:rPr>
            </w:pPr>
            <w:r>
              <w:rPr>
                <w:rFonts w:ascii="Arial" w:hAnsi="Arial"/>
                <w:sz w:val="18"/>
                <w:szCs w:val="16"/>
              </w:rPr>
              <w:t>378,000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65F1CE2C" w14:textId="1EC4BD39" w:rsidR="00126D0B" w:rsidRPr="000E7BC7" w:rsidRDefault="00C65D69" w:rsidP="003579E5">
            <w:pPr>
              <w:spacing w:after="0"/>
              <w:jc w:val="right"/>
              <w:rPr>
                <w:rFonts w:ascii="Arial" w:hAnsi="Arial" w:cs="Arial"/>
                <w:color w:val="000000" w:themeColor="text1"/>
                <w:sz w:val="18"/>
                <w:szCs w:val="16"/>
              </w:rPr>
            </w:pPr>
            <w:r>
              <w:rPr>
                <w:rFonts w:ascii="Arial" w:hAnsi="Arial"/>
                <w:color w:val="000000" w:themeColor="text1"/>
                <w:sz w:val="18"/>
                <w:szCs w:val="16"/>
              </w:rPr>
              <w:t>61</w:t>
            </w:r>
          </w:p>
        </w:tc>
      </w:tr>
    </w:tbl>
    <w:p w14:paraId="20FF3D17" w14:textId="27FCCC08" w:rsidR="00655405" w:rsidRDefault="00EB35A8" w:rsidP="00F12C0D">
      <w:pPr>
        <w:spacing w:after="0" w:line="360" w:lineRule="auto"/>
        <w:textAlignment w:val="baseline"/>
        <w:rPr>
          <w:rFonts w:ascii="Arial" w:hAnsi="Arial" w:cs="Arial"/>
          <w:b/>
          <w:sz w:val="20"/>
          <w:szCs w:val="20"/>
        </w:rPr>
      </w:pPr>
      <w:r>
        <w:rPr>
          <w:rFonts w:ascii="Arial" w:hAnsi="Arial" w:cs="Arial"/>
          <w:noProof/>
          <w:color w:val="FF0000"/>
          <w:sz w:val="20"/>
          <w:szCs w:val="20"/>
          <w:lang w:val="de-DE" w:eastAsia="de-DE"/>
        </w:rPr>
        <w:drawing>
          <wp:anchor distT="0" distB="0" distL="114300" distR="114300" simplePos="0" relativeHeight="251658240" behindDoc="0" locked="0" layoutInCell="1" allowOverlap="1" wp14:anchorId="4819C75F" wp14:editId="38C6A30C">
            <wp:simplePos x="0" y="0"/>
            <wp:positionH relativeFrom="column">
              <wp:posOffset>3264535</wp:posOffset>
            </wp:positionH>
            <wp:positionV relativeFrom="paragraph">
              <wp:posOffset>19173</wp:posOffset>
            </wp:positionV>
            <wp:extent cx="2317115" cy="1698625"/>
            <wp:effectExtent l="19050" t="19050" r="26035" b="158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 market Hamburg 4Q2020_take-up_en.JPG"/>
                    <pic:cNvPicPr/>
                  </pic:nvPicPr>
                  <pic:blipFill>
                    <a:blip r:embed="rId8">
                      <a:extLst>
                        <a:ext uri="{28A0092B-C50C-407E-A947-70E740481C1C}">
                          <a14:useLocalDpi xmlns:a14="http://schemas.microsoft.com/office/drawing/2010/main" val="0"/>
                        </a:ext>
                      </a:extLst>
                    </a:blip>
                    <a:stretch>
                      <a:fillRect/>
                    </a:stretch>
                  </pic:blipFill>
                  <pic:spPr>
                    <a:xfrm>
                      <a:off x="0" y="0"/>
                      <a:ext cx="2317115" cy="169862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6BBA9DA5" w14:textId="713EA3E5"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08FAAB81" w14:textId="77777777" w:rsidR="00363DD7" w:rsidRDefault="00363DD7">
      <w:pPr>
        <w:spacing w:after="0"/>
        <w:rPr>
          <w:rFonts w:ascii="Arial" w:hAnsi="Arial" w:cs="Arial"/>
          <w:b/>
          <w:sz w:val="20"/>
          <w:szCs w:val="20"/>
        </w:rPr>
      </w:pPr>
    </w:p>
    <w:p w14:paraId="5B2F56AB" w14:textId="77777777" w:rsidR="00363DD7" w:rsidRDefault="00363DD7">
      <w:pPr>
        <w:spacing w:after="0"/>
        <w:rPr>
          <w:rFonts w:ascii="Arial" w:hAnsi="Arial" w:cs="Arial"/>
          <w:b/>
          <w:sz w:val="20"/>
          <w:szCs w:val="20"/>
        </w:rPr>
      </w:pPr>
    </w:p>
    <w:p w14:paraId="59FCD40B" w14:textId="77777777" w:rsidR="00363DD7" w:rsidRDefault="00363DD7">
      <w:pPr>
        <w:spacing w:after="0"/>
        <w:rPr>
          <w:rFonts w:ascii="Arial" w:hAnsi="Arial" w:cs="Arial"/>
          <w:b/>
          <w:sz w:val="20"/>
          <w:szCs w:val="20"/>
        </w:rPr>
      </w:pPr>
    </w:p>
    <w:p w14:paraId="5C2513AD" w14:textId="77777777" w:rsidR="00363DD7" w:rsidRDefault="00363DD7">
      <w:pPr>
        <w:spacing w:after="0"/>
        <w:rPr>
          <w:rFonts w:ascii="Arial" w:hAnsi="Arial" w:cs="Arial"/>
          <w:b/>
          <w:sz w:val="20"/>
          <w:szCs w:val="20"/>
        </w:rPr>
      </w:pPr>
    </w:p>
    <w:p w14:paraId="0735BC3F" w14:textId="77777777" w:rsidR="00EB35A8" w:rsidRDefault="00EB35A8">
      <w:pPr>
        <w:spacing w:after="0"/>
        <w:rPr>
          <w:rFonts w:ascii="Arial" w:hAnsi="Arial"/>
          <w:b/>
          <w:sz w:val="20"/>
          <w:szCs w:val="20"/>
        </w:rPr>
      </w:pPr>
    </w:p>
    <w:p w14:paraId="482C6D55" w14:textId="77777777" w:rsidR="00EB35A8" w:rsidRDefault="00EB35A8">
      <w:pPr>
        <w:spacing w:after="0"/>
        <w:rPr>
          <w:rFonts w:ascii="Arial" w:hAnsi="Arial"/>
          <w:b/>
          <w:sz w:val="20"/>
          <w:szCs w:val="20"/>
        </w:rPr>
      </w:pPr>
    </w:p>
    <w:p w14:paraId="4E360FF5" w14:textId="77777777" w:rsidR="00EB35A8" w:rsidRDefault="00EB35A8">
      <w:pPr>
        <w:spacing w:after="0"/>
        <w:rPr>
          <w:rFonts w:ascii="Arial" w:hAnsi="Arial"/>
          <w:b/>
          <w:sz w:val="20"/>
          <w:szCs w:val="20"/>
        </w:rPr>
      </w:pPr>
    </w:p>
    <w:p w14:paraId="67F13EC9" w14:textId="77777777" w:rsidR="00EB35A8" w:rsidRDefault="00EB35A8">
      <w:pPr>
        <w:spacing w:after="0"/>
        <w:rPr>
          <w:rFonts w:ascii="Arial" w:hAnsi="Arial"/>
          <w:b/>
          <w:sz w:val="20"/>
          <w:szCs w:val="20"/>
        </w:rPr>
      </w:pPr>
    </w:p>
    <w:p w14:paraId="7E8741B6" w14:textId="77777777" w:rsidR="00EB35A8" w:rsidRDefault="00EB35A8">
      <w:pPr>
        <w:spacing w:after="0"/>
        <w:rPr>
          <w:rFonts w:ascii="Arial" w:hAnsi="Arial"/>
          <w:b/>
          <w:sz w:val="20"/>
          <w:szCs w:val="20"/>
        </w:rPr>
      </w:pPr>
    </w:p>
    <w:p w14:paraId="606425A6" w14:textId="77777777" w:rsidR="00EB35A8" w:rsidRDefault="00EB35A8">
      <w:pPr>
        <w:spacing w:after="0"/>
        <w:rPr>
          <w:rFonts w:ascii="Arial" w:hAnsi="Arial"/>
          <w:b/>
          <w:sz w:val="20"/>
          <w:szCs w:val="20"/>
        </w:rPr>
      </w:pPr>
    </w:p>
    <w:p w14:paraId="3AA9BC50" w14:textId="675FC70D" w:rsidR="00B26FFD" w:rsidRDefault="00470BCC">
      <w:pPr>
        <w:spacing w:after="0"/>
        <w:rPr>
          <w:rFonts w:ascii="Arial" w:eastAsia="Arial" w:hAnsi="Arial" w:cs="Arial"/>
          <w:b/>
          <w:color w:val="000000" w:themeColor="text1"/>
          <w:sz w:val="20"/>
          <w:szCs w:val="20"/>
        </w:rPr>
      </w:pPr>
      <w:r>
        <w:rPr>
          <w:rFonts w:ascii="Arial" w:hAnsi="Arial"/>
          <w:b/>
          <w:sz w:val="20"/>
          <w:szCs w:val="20"/>
        </w:rPr>
        <w:t>Selected agreements | offices in Hamburg | 1st to 4th quarters 2020</w:t>
      </w:r>
    </w:p>
    <w:tbl>
      <w:tblPr>
        <w:tblStyle w:val="Tabellenraster"/>
        <w:tblpPr w:leftFromText="141" w:rightFromText="141" w:vertAnchor="text" w:horzAnchor="margin" w:tblpY="218"/>
        <w:tblW w:w="9634" w:type="dxa"/>
        <w:tblLook w:val="04A0" w:firstRow="1" w:lastRow="0" w:firstColumn="1" w:lastColumn="0" w:noHBand="0" w:noVBand="1"/>
      </w:tblPr>
      <w:tblGrid>
        <w:gridCol w:w="3681"/>
        <w:gridCol w:w="1701"/>
        <w:gridCol w:w="1984"/>
        <w:gridCol w:w="1418"/>
        <w:gridCol w:w="850"/>
      </w:tblGrid>
      <w:tr w:rsidR="00BB2707" w:rsidRPr="0017364E" w14:paraId="7B788289" w14:textId="77777777" w:rsidTr="00F12C0D">
        <w:trPr>
          <w:trHeight w:val="567"/>
        </w:trPr>
        <w:tc>
          <w:tcPr>
            <w:tcW w:w="3681" w:type="dxa"/>
            <w:shd w:val="clear" w:color="auto" w:fill="1F242B" w:themeFill="accent2"/>
            <w:vAlign w:val="center"/>
          </w:tcPr>
          <w:p w14:paraId="63ADF4D9" w14:textId="77777777" w:rsidR="00EB35A8" w:rsidRDefault="00EB35A8" w:rsidP="00EB35A8">
            <w:pPr>
              <w:spacing w:before="60" w:after="60"/>
              <w:jc w:val="center"/>
              <w:rPr>
                <w:rFonts w:ascii="Arial" w:hAnsi="Arial"/>
                <w:b/>
                <w:sz w:val="18"/>
                <w:szCs w:val="16"/>
              </w:rPr>
            </w:pPr>
          </w:p>
          <w:p w14:paraId="1FF646C4" w14:textId="2AFD9EC5" w:rsidR="00BB2707" w:rsidRDefault="00BB2707" w:rsidP="00EB35A8">
            <w:pPr>
              <w:spacing w:before="60" w:after="60"/>
              <w:jc w:val="center"/>
              <w:rPr>
                <w:rFonts w:ascii="Arial" w:hAnsi="Arial" w:cs="Arial"/>
                <w:b/>
                <w:sz w:val="18"/>
                <w:szCs w:val="16"/>
              </w:rPr>
            </w:pPr>
            <w:r>
              <w:rPr>
                <w:rFonts w:ascii="Arial" w:hAnsi="Arial"/>
                <w:b/>
                <w:sz w:val="18"/>
                <w:szCs w:val="16"/>
              </w:rPr>
              <w:t>Tenant/owner-occupier</w:t>
            </w:r>
            <w:r w:rsidR="00410022">
              <w:rPr>
                <w:rFonts w:ascii="Arial" w:hAnsi="Arial"/>
                <w:b/>
                <w:sz w:val="18"/>
                <w:szCs w:val="16"/>
              </w:rPr>
              <w:t xml:space="preserve"> (</w:t>
            </w:r>
            <w:proofErr w:type="spellStart"/>
            <w:r w:rsidR="00410022">
              <w:rPr>
                <w:rFonts w:ascii="Arial" w:hAnsi="Arial"/>
                <w:b/>
                <w:sz w:val="18"/>
                <w:szCs w:val="16"/>
              </w:rPr>
              <w:t>oo</w:t>
            </w:r>
            <w:proofErr w:type="spellEnd"/>
            <w:r w:rsidR="00410022">
              <w:rPr>
                <w:rFonts w:ascii="Arial" w:hAnsi="Arial"/>
                <w:b/>
                <w:sz w:val="18"/>
                <w:szCs w:val="16"/>
              </w:rPr>
              <w:t>)</w:t>
            </w:r>
          </w:p>
          <w:p w14:paraId="4605900A" w14:textId="77777777" w:rsidR="00BB2707" w:rsidRPr="0017364E" w:rsidRDefault="00BB2707" w:rsidP="00EB35A8">
            <w:pPr>
              <w:spacing w:before="60" w:after="60"/>
              <w:jc w:val="center"/>
              <w:rPr>
                <w:rFonts w:ascii="Arial" w:hAnsi="Arial" w:cs="Arial"/>
                <w:b/>
                <w:sz w:val="18"/>
                <w:szCs w:val="16"/>
              </w:rPr>
            </w:pPr>
          </w:p>
        </w:tc>
        <w:tc>
          <w:tcPr>
            <w:tcW w:w="1701" w:type="dxa"/>
            <w:shd w:val="clear" w:color="auto" w:fill="1F242B" w:themeFill="accent2"/>
            <w:vAlign w:val="center"/>
          </w:tcPr>
          <w:p w14:paraId="72D50F00" w14:textId="77777777" w:rsidR="00EB35A8" w:rsidRDefault="00EB35A8" w:rsidP="00EB35A8">
            <w:pPr>
              <w:spacing w:before="60" w:after="60"/>
              <w:jc w:val="center"/>
              <w:rPr>
                <w:rFonts w:ascii="Arial" w:hAnsi="Arial"/>
                <w:b/>
                <w:sz w:val="18"/>
                <w:szCs w:val="16"/>
              </w:rPr>
            </w:pPr>
          </w:p>
          <w:p w14:paraId="5E73AA5F" w14:textId="4E2815B1" w:rsidR="00BB2707" w:rsidRDefault="00BB2707" w:rsidP="00EB35A8">
            <w:pPr>
              <w:spacing w:before="60" w:after="60"/>
              <w:jc w:val="center"/>
              <w:rPr>
                <w:rFonts w:ascii="Arial" w:hAnsi="Arial" w:cs="Arial"/>
                <w:b/>
                <w:sz w:val="18"/>
                <w:szCs w:val="16"/>
              </w:rPr>
            </w:pPr>
            <w:r>
              <w:rPr>
                <w:rFonts w:ascii="Arial" w:hAnsi="Arial"/>
                <w:b/>
                <w:sz w:val="18"/>
                <w:szCs w:val="16"/>
              </w:rPr>
              <w:t>Property/project</w:t>
            </w:r>
          </w:p>
          <w:p w14:paraId="165BD714" w14:textId="77777777" w:rsidR="00BB2707" w:rsidRPr="0017364E" w:rsidRDefault="00BB2707" w:rsidP="00EB35A8">
            <w:pPr>
              <w:spacing w:before="60" w:after="60"/>
              <w:jc w:val="center"/>
              <w:rPr>
                <w:rFonts w:ascii="Arial" w:hAnsi="Arial" w:cs="Arial"/>
                <w:b/>
                <w:sz w:val="18"/>
                <w:szCs w:val="16"/>
              </w:rPr>
            </w:pPr>
          </w:p>
        </w:tc>
        <w:tc>
          <w:tcPr>
            <w:tcW w:w="1984" w:type="dxa"/>
            <w:shd w:val="clear" w:color="auto" w:fill="1F242B" w:themeFill="accent2"/>
            <w:vAlign w:val="center"/>
          </w:tcPr>
          <w:p w14:paraId="66AC86A2" w14:textId="77777777" w:rsidR="00EB35A8" w:rsidRDefault="00EB35A8" w:rsidP="00EB35A8">
            <w:pPr>
              <w:spacing w:before="60" w:after="60"/>
              <w:jc w:val="center"/>
              <w:rPr>
                <w:rFonts w:ascii="Arial" w:hAnsi="Arial"/>
                <w:b/>
                <w:sz w:val="18"/>
                <w:szCs w:val="16"/>
              </w:rPr>
            </w:pPr>
          </w:p>
          <w:p w14:paraId="5C56E890" w14:textId="794BA958" w:rsidR="00BB2707" w:rsidRDefault="00BB2707" w:rsidP="00EB35A8">
            <w:pPr>
              <w:spacing w:before="60" w:after="60"/>
              <w:jc w:val="center"/>
              <w:rPr>
                <w:rFonts w:ascii="Arial" w:hAnsi="Arial" w:cs="Arial"/>
                <w:b/>
                <w:sz w:val="18"/>
                <w:szCs w:val="16"/>
              </w:rPr>
            </w:pPr>
            <w:r>
              <w:rPr>
                <w:rFonts w:ascii="Arial" w:hAnsi="Arial"/>
                <w:b/>
                <w:sz w:val="18"/>
                <w:szCs w:val="16"/>
              </w:rPr>
              <w:t>Street no.</w:t>
            </w:r>
          </w:p>
          <w:p w14:paraId="0D24D566" w14:textId="77777777" w:rsidR="00BB2707" w:rsidRPr="0017364E" w:rsidRDefault="00BB2707" w:rsidP="00EB35A8">
            <w:pPr>
              <w:spacing w:before="60" w:after="60"/>
              <w:jc w:val="center"/>
              <w:rPr>
                <w:rFonts w:ascii="Arial" w:hAnsi="Arial" w:cs="Arial"/>
                <w:b/>
                <w:sz w:val="18"/>
                <w:szCs w:val="16"/>
              </w:rPr>
            </w:pPr>
          </w:p>
        </w:tc>
        <w:tc>
          <w:tcPr>
            <w:tcW w:w="1418" w:type="dxa"/>
            <w:shd w:val="clear" w:color="auto" w:fill="1F242B" w:themeFill="accent2"/>
            <w:vAlign w:val="center"/>
          </w:tcPr>
          <w:p w14:paraId="649ADDC5" w14:textId="77777777" w:rsidR="00EB35A8" w:rsidRDefault="00EB35A8" w:rsidP="00EB35A8">
            <w:pPr>
              <w:spacing w:before="60" w:after="60"/>
              <w:jc w:val="center"/>
              <w:rPr>
                <w:rFonts w:ascii="Arial" w:hAnsi="Arial"/>
                <w:b/>
                <w:sz w:val="18"/>
                <w:szCs w:val="16"/>
              </w:rPr>
            </w:pPr>
          </w:p>
          <w:p w14:paraId="591B71E9" w14:textId="610053C7" w:rsidR="00BB2707" w:rsidRDefault="00BB2707" w:rsidP="00EB35A8">
            <w:pPr>
              <w:spacing w:before="60" w:after="60"/>
              <w:jc w:val="center"/>
              <w:rPr>
                <w:rFonts w:ascii="Arial" w:hAnsi="Arial" w:cs="Arial"/>
                <w:b/>
                <w:sz w:val="18"/>
                <w:szCs w:val="16"/>
              </w:rPr>
            </w:pPr>
            <w:r>
              <w:rPr>
                <w:rFonts w:ascii="Arial" w:hAnsi="Arial"/>
                <w:b/>
                <w:sz w:val="18"/>
                <w:szCs w:val="16"/>
              </w:rPr>
              <w:t>Sub-market</w:t>
            </w:r>
          </w:p>
          <w:p w14:paraId="0CEDD8E8" w14:textId="77777777" w:rsidR="00BB2707" w:rsidRPr="0017364E" w:rsidRDefault="00BB2707" w:rsidP="00EB35A8">
            <w:pPr>
              <w:spacing w:before="60" w:after="60"/>
              <w:jc w:val="center"/>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EB35A8">
            <w:pPr>
              <w:spacing w:before="60" w:after="60"/>
              <w:jc w:val="center"/>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D57F53" w:rsidRPr="0017364E" w14:paraId="6B585D4E" w14:textId="77777777" w:rsidTr="003E631E">
        <w:trPr>
          <w:trHeight w:val="567"/>
        </w:trPr>
        <w:tc>
          <w:tcPr>
            <w:tcW w:w="3681" w:type="dxa"/>
            <w:shd w:val="clear" w:color="auto" w:fill="D9D9D9" w:themeFill="background1" w:themeFillShade="D9"/>
            <w:vAlign w:val="center"/>
          </w:tcPr>
          <w:p w14:paraId="5934B469" w14:textId="17293F23" w:rsidR="00D57F53" w:rsidRPr="0017364E" w:rsidRDefault="00600C8E" w:rsidP="00013842">
            <w:pPr>
              <w:spacing w:before="60" w:after="60"/>
              <w:rPr>
                <w:rFonts w:ascii="Arial" w:hAnsi="Arial" w:cs="Arial"/>
                <w:sz w:val="18"/>
                <w:szCs w:val="16"/>
              </w:rPr>
            </w:pPr>
            <w:r>
              <w:rPr>
                <w:rFonts w:ascii="Arial" w:hAnsi="Arial"/>
                <w:sz w:val="18"/>
                <w:szCs w:val="16"/>
              </w:rPr>
              <w:t>Hamburg Commercial Bank (HCOB)</w:t>
            </w:r>
          </w:p>
        </w:tc>
        <w:tc>
          <w:tcPr>
            <w:tcW w:w="1701" w:type="dxa"/>
            <w:shd w:val="clear" w:color="auto" w:fill="D9D9D9" w:themeFill="background1" w:themeFillShade="D9"/>
            <w:vAlign w:val="center"/>
          </w:tcPr>
          <w:p w14:paraId="55F9F6B0" w14:textId="68A0BE69" w:rsidR="00D57F53" w:rsidRPr="0017364E" w:rsidRDefault="00CF7C1F" w:rsidP="00301264">
            <w:pPr>
              <w:spacing w:before="60" w:after="60"/>
              <w:rPr>
                <w:rFonts w:ascii="Arial" w:hAnsi="Arial" w:cs="Arial"/>
                <w:sz w:val="18"/>
                <w:szCs w:val="16"/>
              </w:rPr>
            </w:pPr>
            <w:r>
              <w:rPr>
                <w:rFonts w:ascii="Arial" w:hAnsi="Arial"/>
                <w:sz w:val="18"/>
                <w:szCs w:val="16"/>
              </w:rPr>
              <w:t>“</w:t>
            </w:r>
            <w:proofErr w:type="spellStart"/>
            <w:r>
              <w:rPr>
                <w:rFonts w:ascii="Arial" w:hAnsi="Arial"/>
                <w:sz w:val="18"/>
                <w:szCs w:val="16"/>
              </w:rPr>
              <w:t>Elbtower</w:t>
            </w:r>
            <w:proofErr w:type="spellEnd"/>
            <w:r>
              <w:rPr>
                <w:rFonts w:ascii="Arial" w:hAnsi="Arial"/>
                <w:sz w:val="18"/>
                <w:szCs w:val="16"/>
              </w:rPr>
              <w:t>”</w:t>
            </w:r>
          </w:p>
        </w:tc>
        <w:tc>
          <w:tcPr>
            <w:tcW w:w="1984" w:type="dxa"/>
            <w:shd w:val="clear" w:color="auto" w:fill="D9D9D9" w:themeFill="background1" w:themeFillShade="D9"/>
            <w:vAlign w:val="center"/>
          </w:tcPr>
          <w:p w14:paraId="71798FE8" w14:textId="2A7B6E16" w:rsidR="00D57F53" w:rsidRPr="0017364E" w:rsidRDefault="00020E53" w:rsidP="00D57F53">
            <w:pPr>
              <w:spacing w:before="60" w:after="60"/>
              <w:rPr>
                <w:rFonts w:ascii="Arial" w:hAnsi="Arial" w:cs="Arial"/>
                <w:sz w:val="18"/>
                <w:szCs w:val="16"/>
              </w:rPr>
            </w:pPr>
            <w:proofErr w:type="spellStart"/>
            <w:r>
              <w:rPr>
                <w:rFonts w:ascii="Arial" w:hAnsi="Arial"/>
                <w:sz w:val="18"/>
                <w:szCs w:val="16"/>
              </w:rPr>
              <w:t>Zweibrückenstrasse</w:t>
            </w:r>
            <w:proofErr w:type="spellEnd"/>
          </w:p>
        </w:tc>
        <w:tc>
          <w:tcPr>
            <w:tcW w:w="1418" w:type="dxa"/>
            <w:shd w:val="clear" w:color="auto" w:fill="D9D9D9" w:themeFill="background1" w:themeFillShade="D9"/>
            <w:vAlign w:val="center"/>
          </w:tcPr>
          <w:p w14:paraId="5F92AC8B" w14:textId="523D942B" w:rsidR="00D57F53" w:rsidRPr="0017364E" w:rsidRDefault="00600C8E" w:rsidP="006E639E">
            <w:pPr>
              <w:spacing w:before="60" w:after="60"/>
              <w:rPr>
                <w:rFonts w:ascii="Arial" w:hAnsi="Arial" w:cs="Arial"/>
                <w:sz w:val="18"/>
                <w:szCs w:val="16"/>
              </w:rPr>
            </w:pPr>
            <w:r>
              <w:rPr>
                <w:rFonts w:ascii="Arial" w:hAnsi="Arial"/>
                <w:sz w:val="18"/>
                <w:szCs w:val="16"/>
              </w:rPr>
              <w:t>HafenCity</w:t>
            </w:r>
          </w:p>
        </w:tc>
        <w:tc>
          <w:tcPr>
            <w:tcW w:w="850" w:type="dxa"/>
            <w:shd w:val="clear" w:color="auto" w:fill="D9D9D9" w:themeFill="background1" w:themeFillShade="D9"/>
            <w:vAlign w:val="center"/>
          </w:tcPr>
          <w:p w14:paraId="18F234AE" w14:textId="4A19E42E" w:rsidR="00D57F53" w:rsidRPr="0017364E" w:rsidRDefault="00600C8E" w:rsidP="00013842">
            <w:pPr>
              <w:spacing w:before="60" w:after="60"/>
              <w:jc w:val="right"/>
              <w:rPr>
                <w:rFonts w:ascii="Arial" w:hAnsi="Arial" w:cs="Arial"/>
                <w:sz w:val="18"/>
                <w:szCs w:val="16"/>
              </w:rPr>
            </w:pPr>
            <w:r>
              <w:rPr>
                <w:rFonts w:ascii="Arial" w:hAnsi="Arial"/>
                <w:sz w:val="18"/>
                <w:szCs w:val="16"/>
              </w:rPr>
              <w:t>11,000</w:t>
            </w:r>
          </w:p>
        </w:tc>
      </w:tr>
      <w:tr w:rsidR="004E1CAB" w:rsidRPr="0017364E" w14:paraId="314139FB" w14:textId="77777777" w:rsidTr="00304EAC">
        <w:trPr>
          <w:trHeight w:val="567"/>
        </w:trPr>
        <w:tc>
          <w:tcPr>
            <w:tcW w:w="3681" w:type="dxa"/>
            <w:shd w:val="clear" w:color="auto" w:fill="auto"/>
            <w:vAlign w:val="center"/>
          </w:tcPr>
          <w:p w14:paraId="38007B43" w14:textId="744D253A" w:rsidR="004E1CAB" w:rsidRPr="0017364E" w:rsidRDefault="004E1CAB" w:rsidP="00410022">
            <w:pPr>
              <w:spacing w:before="60" w:after="60"/>
              <w:rPr>
                <w:rFonts w:ascii="Arial" w:hAnsi="Arial" w:cs="Arial"/>
                <w:sz w:val="18"/>
                <w:szCs w:val="16"/>
              </w:rPr>
            </w:pPr>
            <w:r>
              <w:rPr>
                <w:rFonts w:ascii="Arial" w:hAnsi="Arial"/>
                <w:sz w:val="18"/>
                <w:szCs w:val="16"/>
              </w:rPr>
              <w:t xml:space="preserve">Hamburg </w:t>
            </w:r>
            <w:proofErr w:type="spellStart"/>
            <w:r>
              <w:rPr>
                <w:rFonts w:ascii="Arial" w:hAnsi="Arial"/>
                <w:sz w:val="18"/>
                <w:szCs w:val="16"/>
              </w:rPr>
              <w:t>Verkehrsanlagen</w:t>
            </w:r>
            <w:proofErr w:type="spellEnd"/>
            <w:r>
              <w:rPr>
                <w:rFonts w:ascii="Arial" w:hAnsi="Arial"/>
                <w:sz w:val="18"/>
                <w:szCs w:val="16"/>
              </w:rPr>
              <w:t xml:space="preserve"> (HHVA) (</w:t>
            </w:r>
            <w:proofErr w:type="spellStart"/>
            <w:r w:rsidR="00410022">
              <w:rPr>
                <w:rFonts w:ascii="Arial" w:hAnsi="Arial"/>
                <w:sz w:val="18"/>
                <w:szCs w:val="16"/>
              </w:rPr>
              <w:t>oo</w:t>
            </w:r>
            <w:proofErr w:type="spellEnd"/>
            <w:r>
              <w:rPr>
                <w:rFonts w:ascii="Arial" w:hAnsi="Arial"/>
                <w:sz w:val="18"/>
                <w:szCs w:val="16"/>
              </w:rPr>
              <w:t>)</w:t>
            </w:r>
          </w:p>
        </w:tc>
        <w:tc>
          <w:tcPr>
            <w:tcW w:w="1701" w:type="dxa"/>
            <w:shd w:val="clear" w:color="auto" w:fill="auto"/>
            <w:vAlign w:val="center"/>
          </w:tcPr>
          <w:p w14:paraId="058591FC" w14:textId="454A594F" w:rsidR="004E1CAB" w:rsidRPr="0017364E" w:rsidRDefault="004E1CAB" w:rsidP="004E1CAB">
            <w:pPr>
              <w:spacing w:before="60" w:after="60"/>
              <w:rPr>
                <w:rFonts w:ascii="Arial" w:hAnsi="Arial" w:cs="Arial"/>
                <w:sz w:val="18"/>
                <w:szCs w:val="16"/>
              </w:rPr>
            </w:pPr>
          </w:p>
        </w:tc>
        <w:tc>
          <w:tcPr>
            <w:tcW w:w="1984" w:type="dxa"/>
            <w:shd w:val="clear" w:color="auto" w:fill="auto"/>
            <w:vAlign w:val="center"/>
          </w:tcPr>
          <w:p w14:paraId="703E1F73" w14:textId="4EEC9533" w:rsidR="004E1CAB" w:rsidRPr="0017364E" w:rsidRDefault="004E1CAB" w:rsidP="004E1CAB">
            <w:pPr>
              <w:spacing w:before="60" w:after="60"/>
              <w:rPr>
                <w:rFonts w:ascii="Arial" w:hAnsi="Arial" w:cs="Arial"/>
                <w:sz w:val="18"/>
                <w:szCs w:val="16"/>
              </w:rPr>
            </w:pPr>
            <w:r>
              <w:rPr>
                <w:rFonts w:ascii="Arial" w:hAnsi="Arial"/>
                <w:sz w:val="18"/>
                <w:szCs w:val="16"/>
              </w:rPr>
              <w:t xml:space="preserve">Am </w:t>
            </w:r>
            <w:proofErr w:type="spellStart"/>
            <w:r>
              <w:rPr>
                <w:rFonts w:ascii="Arial" w:hAnsi="Arial"/>
                <w:sz w:val="18"/>
                <w:szCs w:val="16"/>
              </w:rPr>
              <w:t>Neumarkt</w:t>
            </w:r>
            <w:proofErr w:type="spellEnd"/>
            <w:r>
              <w:rPr>
                <w:rFonts w:ascii="Arial" w:hAnsi="Arial"/>
                <w:sz w:val="18"/>
                <w:szCs w:val="16"/>
              </w:rPr>
              <w:t xml:space="preserve"> 40</w:t>
            </w:r>
          </w:p>
        </w:tc>
        <w:tc>
          <w:tcPr>
            <w:tcW w:w="1418" w:type="dxa"/>
            <w:shd w:val="clear" w:color="auto" w:fill="auto"/>
            <w:vAlign w:val="center"/>
          </w:tcPr>
          <w:p w14:paraId="1A4973BE" w14:textId="4CB18067" w:rsidR="004E1CAB" w:rsidRPr="0017364E" w:rsidRDefault="004E1CAB" w:rsidP="004E1CAB">
            <w:pPr>
              <w:spacing w:before="60" w:after="60"/>
              <w:rPr>
                <w:rFonts w:ascii="Arial" w:hAnsi="Arial" w:cs="Arial"/>
                <w:sz w:val="18"/>
                <w:szCs w:val="16"/>
              </w:rPr>
            </w:pPr>
            <w:proofErr w:type="spellStart"/>
            <w:r>
              <w:rPr>
                <w:rFonts w:ascii="Arial" w:hAnsi="Arial"/>
                <w:sz w:val="18"/>
                <w:szCs w:val="16"/>
              </w:rPr>
              <w:t>Wandsbek</w:t>
            </w:r>
            <w:proofErr w:type="spellEnd"/>
          </w:p>
        </w:tc>
        <w:tc>
          <w:tcPr>
            <w:tcW w:w="850" w:type="dxa"/>
            <w:shd w:val="clear" w:color="auto" w:fill="auto"/>
            <w:vAlign w:val="center"/>
          </w:tcPr>
          <w:p w14:paraId="0EEA0855" w14:textId="68A68AF1" w:rsidR="004E1CAB" w:rsidRPr="0017364E" w:rsidRDefault="004E1CAB" w:rsidP="004E1CAB">
            <w:pPr>
              <w:spacing w:before="60" w:after="60"/>
              <w:jc w:val="right"/>
              <w:rPr>
                <w:rFonts w:ascii="Arial" w:hAnsi="Arial" w:cs="Arial"/>
                <w:sz w:val="18"/>
                <w:szCs w:val="16"/>
              </w:rPr>
            </w:pPr>
            <w:r>
              <w:rPr>
                <w:rFonts w:ascii="Arial" w:hAnsi="Arial"/>
                <w:sz w:val="18"/>
                <w:szCs w:val="16"/>
              </w:rPr>
              <w:t>6,800</w:t>
            </w:r>
          </w:p>
        </w:tc>
      </w:tr>
      <w:tr w:rsidR="00304EAC" w:rsidRPr="0017364E" w14:paraId="661E4657" w14:textId="77777777" w:rsidTr="00F12C0D">
        <w:trPr>
          <w:trHeight w:val="567"/>
        </w:trPr>
        <w:tc>
          <w:tcPr>
            <w:tcW w:w="3681" w:type="dxa"/>
            <w:vAlign w:val="center"/>
          </w:tcPr>
          <w:p w14:paraId="2E5A1578" w14:textId="2BFF658C" w:rsidR="00304EAC" w:rsidRPr="0017364E" w:rsidRDefault="00304EAC" w:rsidP="00304EAC">
            <w:pPr>
              <w:spacing w:before="60" w:after="60"/>
              <w:rPr>
                <w:rFonts w:ascii="Arial" w:hAnsi="Arial" w:cs="Arial"/>
                <w:sz w:val="18"/>
                <w:szCs w:val="16"/>
              </w:rPr>
            </w:pPr>
            <w:proofErr w:type="spellStart"/>
            <w:r>
              <w:rPr>
                <w:rFonts w:ascii="Arial" w:hAnsi="Arial"/>
                <w:sz w:val="18"/>
                <w:szCs w:val="16"/>
              </w:rPr>
              <w:t>Hansainvest</w:t>
            </w:r>
            <w:proofErr w:type="spellEnd"/>
            <w:r>
              <w:rPr>
                <w:rFonts w:ascii="Arial" w:hAnsi="Arial"/>
                <w:sz w:val="18"/>
                <w:szCs w:val="16"/>
              </w:rPr>
              <w:t xml:space="preserve"> </w:t>
            </w:r>
            <w:proofErr w:type="spellStart"/>
            <w:r>
              <w:rPr>
                <w:rFonts w:ascii="Arial" w:hAnsi="Arial"/>
                <w:sz w:val="18"/>
                <w:szCs w:val="16"/>
              </w:rPr>
              <w:t>Hanseatische</w:t>
            </w:r>
            <w:proofErr w:type="spellEnd"/>
            <w:r>
              <w:rPr>
                <w:rFonts w:ascii="Arial" w:hAnsi="Arial"/>
                <w:sz w:val="18"/>
                <w:szCs w:val="16"/>
              </w:rPr>
              <w:t xml:space="preserve"> Investment</w:t>
            </w:r>
          </w:p>
        </w:tc>
        <w:tc>
          <w:tcPr>
            <w:tcW w:w="1701" w:type="dxa"/>
            <w:vAlign w:val="center"/>
          </w:tcPr>
          <w:p w14:paraId="50F67AC7" w14:textId="7FE765B3" w:rsidR="00304EAC" w:rsidRPr="0017364E" w:rsidRDefault="00304EAC" w:rsidP="00304EAC">
            <w:pPr>
              <w:spacing w:before="60" w:after="60"/>
              <w:rPr>
                <w:rFonts w:ascii="Arial" w:hAnsi="Arial" w:cs="Arial"/>
                <w:sz w:val="18"/>
                <w:szCs w:val="16"/>
              </w:rPr>
            </w:pPr>
            <w:r>
              <w:rPr>
                <w:rFonts w:ascii="Arial" w:hAnsi="Arial"/>
                <w:sz w:val="18"/>
                <w:szCs w:val="16"/>
              </w:rPr>
              <w:t>“Oval Office”</w:t>
            </w:r>
          </w:p>
        </w:tc>
        <w:tc>
          <w:tcPr>
            <w:tcW w:w="1984" w:type="dxa"/>
            <w:vAlign w:val="center"/>
          </w:tcPr>
          <w:p w14:paraId="1AD10A7F" w14:textId="006C0E2F" w:rsidR="00304EAC" w:rsidRPr="0017364E" w:rsidRDefault="00304EAC" w:rsidP="00304EAC">
            <w:pPr>
              <w:spacing w:before="60" w:after="60"/>
              <w:rPr>
                <w:rFonts w:ascii="Arial" w:hAnsi="Arial" w:cs="Arial"/>
                <w:sz w:val="18"/>
                <w:szCs w:val="16"/>
              </w:rPr>
            </w:pPr>
            <w:proofErr w:type="spellStart"/>
            <w:r>
              <w:rPr>
                <w:rFonts w:ascii="Arial" w:hAnsi="Arial"/>
                <w:sz w:val="18"/>
                <w:szCs w:val="16"/>
              </w:rPr>
              <w:t>Überseering</w:t>
            </w:r>
            <w:proofErr w:type="spellEnd"/>
            <w:r>
              <w:rPr>
                <w:rFonts w:ascii="Arial" w:hAnsi="Arial"/>
                <w:sz w:val="18"/>
                <w:szCs w:val="16"/>
              </w:rPr>
              <w:t xml:space="preserve"> 10</w:t>
            </w:r>
          </w:p>
        </w:tc>
        <w:tc>
          <w:tcPr>
            <w:tcW w:w="1418" w:type="dxa"/>
            <w:vAlign w:val="center"/>
          </w:tcPr>
          <w:p w14:paraId="608C7AAF" w14:textId="6B058A09" w:rsidR="00304EAC" w:rsidRPr="0017364E" w:rsidRDefault="00304EAC" w:rsidP="00304EAC">
            <w:pPr>
              <w:spacing w:before="60" w:after="60"/>
              <w:rPr>
                <w:rFonts w:ascii="Arial" w:hAnsi="Arial" w:cs="Arial"/>
                <w:sz w:val="18"/>
                <w:szCs w:val="16"/>
              </w:rPr>
            </w:pPr>
            <w:r>
              <w:rPr>
                <w:rFonts w:ascii="Arial" w:hAnsi="Arial"/>
                <w:sz w:val="18"/>
                <w:szCs w:val="16"/>
              </w:rPr>
              <w:t>City North</w:t>
            </w:r>
          </w:p>
        </w:tc>
        <w:tc>
          <w:tcPr>
            <w:tcW w:w="850" w:type="dxa"/>
            <w:vAlign w:val="center"/>
          </w:tcPr>
          <w:p w14:paraId="084B6F88" w14:textId="2017F8B6" w:rsidR="00304EAC" w:rsidRPr="0017364E" w:rsidRDefault="00304EAC" w:rsidP="00304EAC">
            <w:pPr>
              <w:spacing w:before="60" w:after="60"/>
              <w:jc w:val="right"/>
              <w:rPr>
                <w:rFonts w:ascii="Arial" w:hAnsi="Arial" w:cs="Arial"/>
                <w:sz w:val="18"/>
                <w:szCs w:val="16"/>
              </w:rPr>
            </w:pPr>
            <w:r>
              <w:rPr>
                <w:rFonts w:ascii="Arial" w:hAnsi="Arial"/>
                <w:sz w:val="18"/>
                <w:szCs w:val="16"/>
              </w:rPr>
              <w:t>6,000</w:t>
            </w:r>
          </w:p>
        </w:tc>
      </w:tr>
      <w:tr w:rsidR="00304EAC" w:rsidRPr="0017364E" w14:paraId="66743358" w14:textId="77777777" w:rsidTr="00F12C0D">
        <w:trPr>
          <w:trHeight w:val="567"/>
        </w:trPr>
        <w:tc>
          <w:tcPr>
            <w:tcW w:w="3681" w:type="dxa"/>
            <w:vAlign w:val="center"/>
          </w:tcPr>
          <w:p w14:paraId="5CEA0DC4" w14:textId="52AD1736" w:rsidR="00304EAC" w:rsidRPr="006640C4" w:rsidRDefault="00304EAC" w:rsidP="00304EAC">
            <w:pPr>
              <w:spacing w:before="60" w:after="60"/>
              <w:rPr>
                <w:rFonts w:ascii="Arial" w:hAnsi="Arial" w:cs="Arial"/>
                <w:sz w:val="18"/>
                <w:szCs w:val="16"/>
              </w:rPr>
            </w:pPr>
            <w:proofErr w:type="spellStart"/>
            <w:r>
              <w:rPr>
                <w:rFonts w:ascii="Arial" w:hAnsi="Arial"/>
                <w:sz w:val="18"/>
                <w:szCs w:val="16"/>
              </w:rPr>
              <w:t>Wärtsilä</w:t>
            </w:r>
            <w:proofErr w:type="spellEnd"/>
            <w:r>
              <w:rPr>
                <w:rFonts w:ascii="Arial" w:hAnsi="Arial"/>
                <w:sz w:val="18"/>
                <w:szCs w:val="16"/>
              </w:rPr>
              <w:t xml:space="preserve"> SAM Electronics</w:t>
            </w:r>
          </w:p>
        </w:tc>
        <w:tc>
          <w:tcPr>
            <w:tcW w:w="1701" w:type="dxa"/>
            <w:vAlign w:val="center"/>
          </w:tcPr>
          <w:p w14:paraId="1A1F084C" w14:textId="7479F059" w:rsidR="00304EAC" w:rsidRDefault="00304EAC" w:rsidP="00304EAC">
            <w:pPr>
              <w:spacing w:before="60" w:after="60"/>
              <w:rPr>
                <w:rFonts w:ascii="Arial" w:hAnsi="Arial" w:cs="Arial"/>
                <w:sz w:val="18"/>
                <w:szCs w:val="16"/>
              </w:rPr>
            </w:pPr>
          </w:p>
        </w:tc>
        <w:tc>
          <w:tcPr>
            <w:tcW w:w="1984" w:type="dxa"/>
            <w:vAlign w:val="center"/>
          </w:tcPr>
          <w:p w14:paraId="338E1B42" w14:textId="55605C31" w:rsidR="00304EAC" w:rsidRPr="006640C4" w:rsidRDefault="00304EAC" w:rsidP="00304EAC">
            <w:pPr>
              <w:spacing w:before="60" w:after="60"/>
              <w:rPr>
                <w:rFonts w:ascii="Arial" w:hAnsi="Arial" w:cs="Arial"/>
                <w:sz w:val="18"/>
                <w:szCs w:val="16"/>
              </w:rPr>
            </w:pPr>
            <w:proofErr w:type="spellStart"/>
            <w:r>
              <w:rPr>
                <w:rFonts w:ascii="Arial" w:hAnsi="Arial"/>
                <w:sz w:val="18"/>
                <w:szCs w:val="16"/>
              </w:rPr>
              <w:t>Behringstrasse</w:t>
            </w:r>
            <w:proofErr w:type="spellEnd"/>
            <w:r>
              <w:rPr>
                <w:rFonts w:ascii="Arial" w:hAnsi="Arial"/>
                <w:sz w:val="18"/>
                <w:szCs w:val="16"/>
              </w:rPr>
              <w:t xml:space="preserve"> 120</w:t>
            </w:r>
          </w:p>
        </w:tc>
        <w:tc>
          <w:tcPr>
            <w:tcW w:w="1418" w:type="dxa"/>
            <w:vAlign w:val="center"/>
          </w:tcPr>
          <w:p w14:paraId="6DB89009" w14:textId="6CBD9B04" w:rsidR="00304EAC" w:rsidRDefault="00304EAC" w:rsidP="00304EAC">
            <w:pPr>
              <w:spacing w:before="60" w:after="60"/>
              <w:rPr>
                <w:rFonts w:ascii="Arial" w:hAnsi="Arial" w:cs="Arial"/>
                <w:sz w:val="18"/>
                <w:szCs w:val="16"/>
              </w:rPr>
            </w:pPr>
            <w:r>
              <w:rPr>
                <w:rFonts w:ascii="Arial" w:hAnsi="Arial"/>
                <w:sz w:val="18"/>
                <w:szCs w:val="16"/>
              </w:rPr>
              <w:t>Altona</w:t>
            </w:r>
          </w:p>
        </w:tc>
        <w:tc>
          <w:tcPr>
            <w:tcW w:w="850" w:type="dxa"/>
            <w:vAlign w:val="center"/>
          </w:tcPr>
          <w:p w14:paraId="5C7A9A09" w14:textId="40F0D2C7" w:rsidR="00304EAC" w:rsidRDefault="00304EAC" w:rsidP="00304EAC">
            <w:pPr>
              <w:spacing w:before="60" w:after="60"/>
              <w:jc w:val="right"/>
              <w:rPr>
                <w:rFonts w:ascii="Arial" w:hAnsi="Arial" w:cs="Arial"/>
                <w:sz w:val="18"/>
                <w:szCs w:val="16"/>
              </w:rPr>
            </w:pPr>
            <w:r>
              <w:rPr>
                <w:rFonts w:ascii="Arial" w:hAnsi="Arial"/>
                <w:sz w:val="18"/>
                <w:szCs w:val="16"/>
              </w:rPr>
              <w:t>5,900</w:t>
            </w:r>
          </w:p>
        </w:tc>
      </w:tr>
      <w:tr w:rsidR="004E1CAB" w:rsidRPr="0017364E" w14:paraId="2B77766E" w14:textId="77777777" w:rsidTr="00F12C0D">
        <w:trPr>
          <w:trHeight w:val="567"/>
        </w:trPr>
        <w:tc>
          <w:tcPr>
            <w:tcW w:w="3681" w:type="dxa"/>
            <w:vAlign w:val="center"/>
          </w:tcPr>
          <w:p w14:paraId="3B4C29EA" w14:textId="49102034" w:rsidR="004E1CAB" w:rsidRPr="006640C4" w:rsidRDefault="00304EAC" w:rsidP="004E1CAB">
            <w:pPr>
              <w:spacing w:before="60" w:after="60"/>
              <w:rPr>
                <w:rFonts w:ascii="Arial" w:hAnsi="Arial" w:cs="Arial"/>
                <w:sz w:val="18"/>
                <w:szCs w:val="16"/>
              </w:rPr>
            </w:pPr>
            <w:r>
              <w:rPr>
                <w:rFonts w:ascii="Arial" w:hAnsi="Arial"/>
                <w:sz w:val="18"/>
                <w:szCs w:val="16"/>
              </w:rPr>
              <w:t>MSH Medical School Hamburg</w:t>
            </w:r>
          </w:p>
        </w:tc>
        <w:tc>
          <w:tcPr>
            <w:tcW w:w="1701" w:type="dxa"/>
            <w:vAlign w:val="center"/>
          </w:tcPr>
          <w:p w14:paraId="73F0BE29" w14:textId="66469FC3" w:rsidR="004E1CAB" w:rsidRDefault="00CF7C1F" w:rsidP="004E1CAB">
            <w:pPr>
              <w:spacing w:before="60" w:after="60"/>
              <w:rPr>
                <w:rFonts w:ascii="Arial" w:hAnsi="Arial" w:cs="Arial"/>
                <w:sz w:val="18"/>
                <w:szCs w:val="16"/>
              </w:rPr>
            </w:pPr>
            <w:r>
              <w:rPr>
                <w:rFonts w:ascii="Arial" w:hAnsi="Arial"/>
                <w:sz w:val="18"/>
                <w:szCs w:val="16"/>
              </w:rPr>
              <w:t>“HafenCity Gate”</w:t>
            </w:r>
          </w:p>
        </w:tc>
        <w:tc>
          <w:tcPr>
            <w:tcW w:w="1984" w:type="dxa"/>
            <w:vAlign w:val="center"/>
          </w:tcPr>
          <w:p w14:paraId="75BC2806" w14:textId="7B369AF2" w:rsidR="004E1CAB" w:rsidRPr="006640C4" w:rsidRDefault="00304EAC" w:rsidP="004E1CAB">
            <w:pPr>
              <w:spacing w:before="60" w:after="60"/>
              <w:rPr>
                <w:rFonts w:ascii="Arial" w:hAnsi="Arial" w:cs="Arial"/>
                <w:sz w:val="18"/>
                <w:szCs w:val="16"/>
              </w:rPr>
            </w:pPr>
            <w:r>
              <w:rPr>
                <w:rFonts w:ascii="Arial" w:hAnsi="Arial"/>
                <w:sz w:val="18"/>
                <w:szCs w:val="16"/>
              </w:rPr>
              <w:t xml:space="preserve">Am </w:t>
            </w:r>
            <w:proofErr w:type="spellStart"/>
            <w:r>
              <w:rPr>
                <w:rFonts w:ascii="Arial" w:hAnsi="Arial"/>
                <w:sz w:val="18"/>
                <w:szCs w:val="16"/>
              </w:rPr>
              <w:t>Sandtorkai</w:t>
            </w:r>
            <w:proofErr w:type="spellEnd"/>
            <w:r>
              <w:rPr>
                <w:rFonts w:ascii="Arial" w:hAnsi="Arial"/>
                <w:sz w:val="18"/>
                <w:szCs w:val="16"/>
              </w:rPr>
              <w:t xml:space="preserve"> 74-77</w:t>
            </w:r>
          </w:p>
        </w:tc>
        <w:tc>
          <w:tcPr>
            <w:tcW w:w="1418" w:type="dxa"/>
            <w:vAlign w:val="center"/>
          </w:tcPr>
          <w:p w14:paraId="4E585535" w14:textId="7388D2FD" w:rsidR="004E1CAB" w:rsidRDefault="00304EAC" w:rsidP="004E1CAB">
            <w:pPr>
              <w:spacing w:before="60" w:after="60"/>
              <w:rPr>
                <w:rFonts w:ascii="Arial" w:hAnsi="Arial" w:cs="Arial"/>
                <w:sz w:val="18"/>
                <w:szCs w:val="16"/>
              </w:rPr>
            </w:pPr>
            <w:r>
              <w:rPr>
                <w:rFonts w:ascii="Arial" w:hAnsi="Arial"/>
                <w:sz w:val="18"/>
                <w:szCs w:val="16"/>
              </w:rPr>
              <w:t>HafenCity</w:t>
            </w:r>
          </w:p>
        </w:tc>
        <w:tc>
          <w:tcPr>
            <w:tcW w:w="850" w:type="dxa"/>
            <w:vAlign w:val="center"/>
          </w:tcPr>
          <w:p w14:paraId="2DC9A2CE" w14:textId="0D25C47D" w:rsidR="004E1CAB" w:rsidRDefault="00304EAC" w:rsidP="004E1CAB">
            <w:pPr>
              <w:spacing w:before="60" w:after="60"/>
              <w:jc w:val="right"/>
              <w:rPr>
                <w:rFonts w:ascii="Arial" w:hAnsi="Arial" w:cs="Arial"/>
                <w:sz w:val="18"/>
                <w:szCs w:val="16"/>
              </w:rPr>
            </w:pPr>
            <w:r>
              <w:rPr>
                <w:rFonts w:ascii="Arial" w:hAnsi="Arial"/>
                <w:sz w:val="18"/>
                <w:szCs w:val="16"/>
              </w:rPr>
              <w:t>5,800</w:t>
            </w:r>
          </w:p>
        </w:tc>
      </w:tr>
    </w:tbl>
    <w:p w14:paraId="2AA4DAB3" w14:textId="77777777" w:rsidR="00CF7C1F" w:rsidRDefault="00CF7C1F" w:rsidP="00CF2C0D">
      <w:pPr>
        <w:widowControl w:val="0"/>
        <w:spacing w:after="0"/>
        <w:rPr>
          <w:rFonts w:ascii="Arial" w:hAnsi="Arial" w:cs="Arial"/>
          <w:sz w:val="16"/>
          <w:szCs w:val="16"/>
        </w:rPr>
      </w:pPr>
    </w:p>
    <w:p w14:paraId="16E9E595" w14:textId="02A4C3AE" w:rsidR="00FB4C38" w:rsidRDefault="003E631E" w:rsidP="00CF2C0D">
      <w:pPr>
        <w:widowControl w:val="0"/>
        <w:spacing w:after="0"/>
        <w:rPr>
          <w:rFonts w:ascii="Arial" w:hAnsi="Arial" w:cs="Arial"/>
          <w:sz w:val="16"/>
          <w:szCs w:val="16"/>
        </w:rPr>
      </w:pPr>
      <w:r>
        <w:rPr>
          <w:rFonts w:ascii="Arial" w:hAnsi="Arial"/>
          <w:sz w:val="16"/>
          <w:szCs w:val="16"/>
        </w:rPr>
        <w:t>Transactions occurring in the quarter covered</w:t>
      </w:r>
      <w:r w:rsidR="00410022">
        <w:rPr>
          <w:rFonts w:ascii="Arial" w:hAnsi="Arial"/>
          <w:sz w:val="16"/>
          <w:szCs w:val="16"/>
        </w:rPr>
        <w:t xml:space="preserve"> by this report are highlighted</w:t>
      </w:r>
    </w:p>
    <w:p w14:paraId="557BAFB6" w14:textId="645837AF" w:rsidR="00FB4C38" w:rsidRPr="00A3554C" w:rsidRDefault="00FB4C38" w:rsidP="00A3554C">
      <w:pPr>
        <w:widowControl w:val="0"/>
        <w:spacing w:after="0" w:line="360" w:lineRule="auto"/>
        <w:rPr>
          <w:rFonts w:ascii="Arial" w:hAnsi="Arial" w:cs="Arial"/>
          <w:sz w:val="20"/>
          <w:szCs w:val="20"/>
        </w:rPr>
      </w:pPr>
    </w:p>
    <w:p w14:paraId="10570D34" w14:textId="17EFE2E3"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market survey</w:t>
        </w:r>
      </w:hyperlink>
      <w:r>
        <w:rPr>
          <w:rFonts w:ascii="Arial" w:hAnsi="Arial"/>
          <w:color w:val="000000" w:themeColor="text1"/>
          <w:sz w:val="20"/>
          <w:szCs w:val="20"/>
        </w:rPr>
        <w:t xml:space="preserve"> will soon be available and can be downloaded from our website.</w:t>
      </w:r>
    </w:p>
    <w:p w14:paraId="7C6DFBB0" w14:textId="77777777" w:rsidR="0047313D" w:rsidRPr="00A3554C" w:rsidRDefault="0047313D"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2F30FAD6" w14:textId="5AD2D9F1" w:rsidR="00F12C0D" w:rsidRPr="00583E25" w:rsidRDefault="00511ED6" w:rsidP="00F12C0D">
      <w:pPr>
        <w:spacing w:after="0" w:line="360" w:lineRule="auto"/>
        <w:rPr>
          <w:rFonts w:ascii="Arial" w:hAnsi="Arial" w:cs="Arial"/>
          <w:snapToGrid w:val="0"/>
          <w:sz w:val="16"/>
          <w:szCs w:val="16"/>
        </w:rPr>
      </w:pPr>
      <w:hyperlink r:id="rId10" w:history="1">
        <w:r w:rsidR="00F12C0D" w:rsidRPr="001E5030">
          <w:rPr>
            <w:rStyle w:val="Hyperlink"/>
            <w:rFonts w:ascii="Arial" w:hAnsi="Arial" w:cs="Arial"/>
            <w:snapToGrid w:val="0"/>
            <w:sz w:val="16"/>
            <w:szCs w:val="16"/>
          </w:rPr>
          <w:t>Grossmann &amp; Berger GmbH</w:t>
        </w:r>
      </w:hyperlink>
      <w:r w:rsidR="00F12C0D" w:rsidRPr="001E5030">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F12C0D">
        <w:rPr>
          <w:rFonts w:ascii="Arial" w:hAnsi="Arial"/>
          <w:snapToGrid w:val="0"/>
          <w:sz w:val="16"/>
          <w:szCs w:val="16"/>
        </w:rPr>
        <w:t xml:space="preserve"> Berlin, a total of fourteen property shops, and over 190 employees who cover the entire North German market. With over 85 years of experience in the business, Grossmann &amp; Berger offers a complete package of real estate expertise. </w:t>
      </w:r>
      <w:r w:rsidR="00F12C0D">
        <w:rPr>
          <w:rFonts w:ascii="Arial" w:hAnsi="Arial"/>
          <w:sz w:val="16"/>
          <w:szCs w:val="16"/>
        </w:rPr>
        <w:t xml:space="preserve">Grossmann &amp; Berger is a member of the HASPA Group of Companies, which also includes Germany's largest savings bank, Hamburger </w:t>
      </w:r>
      <w:proofErr w:type="spellStart"/>
      <w:r w:rsidR="00F12C0D">
        <w:rPr>
          <w:rFonts w:ascii="Arial" w:hAnsi="Arial"/>
          <w:sz w:val="16"/>
          <w:szCs w:val="16"/>
        </w:rPr>
        <w:t>Sparkasse</w:t>
      </w:r>
      <w:proofErr w:type="spellEnd"/>
      <w:r w:rsidR="00F12C0D">
        <w:rPr>
          <w:rFonts w:ascii="Arial" w:hAnsi="Arial"/>
          <w:sz w:val="16"/>
          <w:szCs w:val="16"/>
        </w:rPr>
        <w:t xml:space="preserve"> (</w:t>
      </w:r>
      <w:proofErr w:type="spellStart"/>
      <w:r w:rsidR="00F12C0D">
        <w:rPr>
          <w:rFonts w:ascii="Arial" w:hAnsi="Arial"/>
          <w:sz w:val="16"/>
          <w:szCs w:val="16"/>
        </w:rPr>
        <w:t>Haspa</w:t>
      </w:r>
      <w:proofErr w:type="spellEnd"/>
      <w:r w:rsidR="00F12C0D">
        <w:rPr>
          <w:rFonts w:ascii="Arial" w:hAnsi="Arial"/>
          <w:sz w:val="16"/>
          <w:szCs w:val="16"/>
        </w:rPr>
        <w:t xml:space="preserve">). Moreover, the Company is a founding member of the nation-wide commercial property network </w:t>
      </w:r>
      <w:hyperlink r:id="rId11" w:history="1">
        <w:r w:rsidR="00F12C0D">
          <w:rPr>
            <w:rStyle w:val="Hyperlink"/>
            <w:rFonts w:ascii="Arial" w:hAnsi="Arial"/>
            <w:sz w:val="16"/>
            <w:szCs w:val="16"/>
          </w:rPr>
          <w:t>German Property Partners</w:t>
        </w:r>
      </w:hyperlink>
      <w:r w:rsidR="00F12C0D">
        <w:rPr>
          <w:rFonts w:ascii="Arial" w:hAnsi="Arial"/>
          <w:sz w:val="16"/>
          <w:szCs w:val="16"/>
        </w:rPr>
        <w:t xml:space="preserve"> (GPP) and the working group of brokers associated with banks and building societies, </w:t>
      </w:r>
      <w:proofErr w:type="spellStart"/>
      <w:r w:rsidR="00F12C0D">
        <w:rPr>
          <w:rFonts w:ascii="Arial" w:hAnsi="Arial"/>
          <w:sz w:val="16"/>
          <w:szCs w:val="16"/>
        </w:rPr>
        <w:t>Arbeitsgemeinschaft</w:t>
      </w:r>
      <w:proofErr w:type="spellEnd"/>
      <w:r w:rsidR="00F12C0D">
        <w:rPr>
          <w:rFonts w:ascii="Arial" w:hAnsi="Arial"/>
          <w:sz w:val="16"/>
          <w:szCs w:val="16"/>
        </w:rPr>
        <w:t xml:space="preserve"> </w:t>
      </w:r>
      <w:proofErr w:type="spellStart"/>
      <w:r w:rsidR="00F12C0D">
        <w:rPr>
          <w:rFonts w:ascii="Arial" w:hAnsi="Arial"/>
          <w:sz w:val="16"/>
          <w:szCs w:val="16"/>
        </w:rPr>
        <w:t>ImmobilienVermittler</w:t>
      </w:r>
      <w:proofErr w:type="spellEnd"/>
      <w:r w:rsidR="00F12C0D">
        <w:rPr>
          <w:rFonts w:ascii="Arial" w:hAnsi="Arial"/>
          <w:sz w:val="16"/>
          <w:szCs w:val="16"/>
        </w:rPr>
        <w:t xml:space="preserve"> </w:t>
      </w:r>
      <w:proofErr w:type="spellStart"/>
      <w:r w:rsidR="00F12C0D">
        <w:rPr>
          <w:rFonts w:ascii="Arial" w:hAnsi="Arial"/>
          <w:sz w:val="16"/>
          <w:szCs w:val="16"/>
        </w:rPr>
        <w:t>Banken</w:t>
      </w:r>
      <w:proofErr w:type="spellEnd"/>
      <w:r w:rsidR="00F12C0D">
        <w:rPr>
          <w:rFonts w:ascii="Arial" w:hAnsi="Arial"/>
          <w:sz w:val="16"/>
          <w:szCs w:val="16"/>
        </w:rPr>
        <w:t xml:space="preserve"> </w:t>
      </w:r>
      <w:proofErr w:type="spellStart"/>
      <w:r w:rsidR="00F12C0D">
        <w:rPr>
          <w:rFonts w:ascii="Arial" w:hAnsi="Arial"/>
          <w:sz w:val="16"/>
          <w:szCs w:val="16"/>
        </w:rPr>
        <w:t>Bausparkassen</w:t>
      </w:r>
      <w:proofErr w:type="spellEnd"/>
      <w:r w:rsidR="00F12C0D">
        <w:rPr>
          <w:rFonts w:ascii="Arial" w:hAnsi="Arial"/>
          <w:sz w:val="16"/>
          <w:szCs w:val="16"/>
        </w:rPr>
        <w:t xml:space="preserve"> </w:t>
      </w:r>
      <w:proofErr w:type="spellStart"/>
      <w:r w:rsidR="00F12C0D">
        <w:rPr>
          <w:rFonts w:ascii="Arial" w:hAnsi="Arial"/>
          <w:sz w:val="16"/>
          <w:szCs w:val="16"/>
        </w:rPr>
        <w:t>e.V</w:t>
      </w:r>
      <w:proofErr w:type="spellEnd"/>
      <w:r w:rsidR="00F12C0D">
        <w:rPr>
          <w:rFonts w:ascii="Arial" w:hAnsi="Arial"/>
          <w:sz w:val="16"/>
          <w:szCs w:val="16"/>
        </w:rPr>
        <w:t>. (IVBB).</w:t>
      </w:r>
      <w:r w:rsidR="00F12C0D">
        <w:rPr>
          <w:rFonts w:ascii="Arial" w:hAnsi="Arial"/>
          <w:snapToGrid w:val="0"/>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5974C5B8" w:rsidR="00503D8C" w:rsidRPr="00503D8C" w:rsidRDefault="00F12C0D" w:rsidP="00F12C0D">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sidRPr="00410022">
          <w:rPr>
            <w:rStyle w:val="Hyperlink"/>
            <w:rFonts w:ascii="Arial" w:hAnsi="Arial"/>
            <w:sz w:val="16"/>
            <w:szCs w:val="16"/>
            <w:u w:val="none"/>
          </w:rPr>
          <w:t xml:space="preserve"> </w:t>
        </w:r>
        <w:r>
          <w:rPr>
            <w:rStyle w:val="Hyperlink"/>
            <w:rFonts w:ascii="Arial" w:hAnsi="Arial"/>
            <w:sz w:val="16"/>
            <w:szCs w:val="16"/>
          </w:rPr>
          <w:t>data privacy policy.</w:t>
        </w:r>
      </w:hyperlink>
      <w:r w:rsidR="00410022">
        <w:rPr>
          <w:rFonts w:ascii="Arial" w:hAnsi="Arial"/>
          <w:sz w:val="16"/>
          <w:szCs w:val="16"/>
        </w:rPr>
        <w:t xml:space="preserve"> </w:t>
      </w:r>
      <w:r>
        <w:rPr>
          <w:rFonts w:ascii="Arial" w:hAnsi="Arial"/>
          <w:sz w:val="16"/>
          <w:szCs w:val="16"/>
        </w:rPr>
        <w:t xml:space="preserve">Here you </w:t>
      </w:r>
      <w:r w:rsidR="001E5030">
        <w:rPr>
          <w:rFonts w:ascii="Arial" w:hAnsi="Arial"/>
          <w:sz w:val="16"/>
          <w:szCs w:val="16"/>
        </w:rPr>
        <w:t>will also be able to access our</w:t>
      </w:r>
      <w:hyperlink r:id="rId13" w:history="1">
        <w:r w:rsidRPr="00410022">
          <w:rPr>
            <w:rStyle w:val="Hyperlink"/>
            <w:rFonts w:ascii="Arial" w:hAnsi="Arial"/>
            <w:sz w:val="16"/>
            <w:szCs w:val="16"/>
            <w:u w:val="none"/>
          </w:rPr>
          <w:t xml:space="preserve"> </w:t>
        </w:r>
        <w:r>
          <w:rPr>
            <w:rStyle w:val="Hyperlink"/>
            <w:rFonts w:ascii="Arial" w:hAnsi="Arial"/>
            <w:sz w:val="16"/>
            <w:szCs w:val="16"/>
          </w:rPr>
          <w:t>press kit</w:t>
        </w:r>
        <w:r w:rsidRPr="00410022">
          <w:rPr>
            <w:rStyle w:val="Hyperlink"/>
            <w:rFonts w:ascii="Arial" w:hAnsi="Arial"/>
            <w:sz w:val="16"/>
            <w:szCs w:val="16"/>
            <w:u w:val="none"/>
          </w:rPr>
          <w:t xml:space="preserve"> </w:t>
        </w:r>
      </w:hyperlink>
      <w:r>
        <w:rPr>
          <w:rFonts w:ascii="Arial" w:hAnsi="Arial"/>
          <w:sz w:val="16"/>
          <w:szCs w:val="16"/>
        </w:rPr>
        <w:t xml:space="preserve">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B7FB" w14:textId="77777777" w:rsidR="00F91C80" w:rsidRDefault="00F91C80">
      <w:r>
        <w:separator/>
      </w:r>
    </w:p>
  </w:endnote>
  <w:endnote w:type="continuationSeparator" w:id="0">
    <w:p w14:paraId="242A6CFA" w14:textId="77777777" w:rsidR="00F91C80" w:rsidRDefault="00F9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94373D7" w:rsidR="00D83CB7" w:rsidRPr="00503A09" w:rsidRDefault="00D83CB7" w:rsidP="00D83CB7">
    <w:pPr>
      <w:pStyle w:val="Fuzeile"/>
      <w:tabs>
        <w:tab w:val="left" w:pos="4145"/>
        <w:tab w:val="right" w:pos="9636"/>
      </w:tabs>
      <w:ind w:left="-426"/>
      <w:jc w:val="center"/>
      <w:rPr>
        <w:rFonts w:ascii="Arial" w:hAnsi="Arial" w:cs="Arial"/>
        <w:color w:val="918F90"/>
        <w:sz w:val="18"/>
        <w:szCs w:val="18"/>
        <w:lang w:val="de-DE"/>
      </w:rPr>
    </w:pPr>
    <w:r w:rsidRPr="00EB35A8">
      <w:rPr>
        <w:rFonts w:ascii="Arial" w:hAnsi="Arial"/>
        <w:b/>
        <w:bCs/>
        <w:color w:val="918F90"/>
        <w:sz w:val="18"/>
        <w:szCs w:val="18"/>
        <w:lang w:val="de-DE"/>
      </w:rPr>
      <w:t xml:space="preserve">Grossmann &amp; Berger GmbH </w:t>
    </w:r>
    <w:r w:rsidR="00503A09">
      <w:rPr>
        <w:rFonts w:ascii="Arial" w:hAnsi="Arial"/>
        <w:color w:val="918F90"/>
        <w:sz w:val="18"/>
        <w:szCs w:val="18"/>
        <w:lang w:val="de-DE"/>
      </w:rPr>
      <w:t xml:space="preserve">| </w:t>
    </w:r>
    <w:proofErr w:type="spellStart"/>
    <w:r w:rsidR="00503A09">
      <w:rPr>
        <w:rFonts w:ascii="Arial" w:hAnsi="Arial"/>
        <w:color w:val="918F90"/>
        <w:sz w:val="18"/>
        <w:szCs w:val="18"/>
        <w:lang w:val="de-DE"/>
      </w:rPr>
      <w:t>Bleichenbrücke</w:t>
    </w:r>
    <w:proofErr w:type="spellEnd"/>
    <w:r w:rsidR="00503A09">
      <w:rPr>
        <w:rFonts w:ascii="Arial" w:hAnsi="Arial"/>
        <w:color w:val="918F90"/>
        <w:sz w:val="18"/>
        <w:szCs w:val="18"/>
        <w:lang w:val="de-DE"/>
      </w:rPr>
      <w:t xml:space="preserve"> 9 | </w:t>
    </w:r>
    <w:r w:rsidRPr="00EB35A8">
      <w:rPr>
        <w:rFonts w:ascii="Arial" w:hAnsi="Arial"/>
        <w:color w:val="918F90"/>
        <w:sz w:val="18"/>
        <w:szCs w:val="18"/>
        <w:lang w:val="de-DE"/>
      </w:rPr>
      <w:t xml:space="preserve">20354 Hamburg | Tel. </w:t>
    </w:r>
    <w:r w:rsidRPr="00503A09">
      <w:rPr>
        <w:rFonts w:ascii="Arial" w:hAnsi="Arial"/>
        <w:color w:val="918F90"/>
        <w:sz w:val="18"/>
        <w:szCs w:val="18"/>
        <w:lang w:val="de-DE"/>
      </w:rPr>
      <w:t>+49 (0)40/350 80 2-0 | www.grossmann-berger.de</w:t>
    </w:r>
  </w:p>
  <w:p w14:paraId="5440A7EF" w14:textId="088094DA" w:rsidR="00CE455F" w:rsidRPr="00BB15DA" w:rsidRDefault="00BB15DA" w:rsidP="00D83CB7">
    <w:pPr>
      <w:pStyle w:val="Fuzeile"/>
      <w:tabs>
        <w:tab w:val="left" w:pos="4145"/>
        <w:tab w:val="right" w:pos="9636"/>
      </w:tabs>
      <w:jc w:val="right"/>
      <w:rPr>
        <w:rFonts w:ascii="Arial" w:hAnsi="Arial" w:cs="Arial"/>
        <w:color w:val="918F90"/>
        <w:sz w:val="18"/>
        <w:szCs w:val="18"/>
      </w:rPr>
    </w:pPr>
    <w:r w:rsidRPr="00503A09">
      <w:rPr>
        <w:rStyle w:val="Seitenzahl"/>
        <w:rFonts w:ascii="Arial" w:hAnsi="Arial"/>
        <w:color w:val="918F90"/>
        <w:sz w:val="18"/>
        <w:szCs w:val="18"/>
        <w:lang w:val="de-DE"/>
      </w:rPr>
      <w:tab/>
    </w:r>
    <w:r w:rsidRPr="00503A09">
      <w:rPr>
        <w:rStyle w:val="Seitenzahl"/>
        <w:rFonts w:ascii="Arial" w:hAnsi="Arial"/>
        <w:color w:val="918F90"/>
        <w:sz w:val="18"/>
        <w:szCs w:val="18"/>
        <w:lang w:val="de-DE"/>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11ED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511ED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12FC" w14:textId="77777777" w:rsidR="00F91C80" w:rsidRDefault="00F91C80">
      <w:r>
        <w:separator/>
      </w:r>
    </w:p>
  </w:footnote>
  <w:footnote w:type="continuationSeparator" w:id="0">
    <w:p w14:paraId="2F7A64A1" w14:textId="77777777" w:rsidR="00F91C80" w:rsidRDefault="00F9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466A6C"/>
    <w:multiLevelType w:val="hybridMultilevel"/>
    <w:tmpl w:val="EAB272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2B3B"/>
    <w:rsid w:val="00013842"/>
    <w:rsid w:val="000159FE"/>
    <w:rsid w:val="00020E53"/>
    <w:rsid w:val="00022F16"/>
    <w:rsid w:val="00023D78"/>
    <w:rsid w:val="00026DC2"/>
    <w:rsid w:val="0003075C"/>
    <w:rsid w:val="00032A2D"/>
    <w:rsid w:val="000357E9"/>
    <w:rsid w:val="00037784"/>
    <w:rsid w:val="00041B84"/>
    <w:rsid w:val="0004323A"/>
    <w:rsid w:val="000528C2"/>
    <w:rsid w:val="00053F6A"/>
    <w:rsid w:val="00060743"/>
    <w:rsid w:val="00066796"/>
    <w:rsid w:val="0007181C"/>
    <w:rsid w:val="000766D7"/>
    <w:rsid w:val="0007670A"/>
    <w:rsid w:val="00084B37"/>
    <w:rsid w:val="0009653E"/>
    <w:rsid w:val="00097786"/>
    <w:rsid w:val="000A7D42"/>
    <w:rsid w:val="000B1606"/>
    <w:rsid w:val="000B174E"/>
    <w:rsid w:val="000B3315"/>
    <w:rsid w:val="000C118E"/>
    <w:rsid w:val="000C770D"/>
    <w:rsid w:val="000D2874"/>
    <w:rsid w:val="000D3E9F"/>
    <w:rsid w:val="000E03F3"/>
    <w:rsid w:val="000E27A9"/>
    <w:rsid w:val="000E2A43"/>
    <w:rsid w:val="000E404B"/>
    <w:rsid w:val="000E7457"/>
    <w:rsid w:val="000E7BC7"/>
    <w:rsid w:val="000F7242"/>
    <w:rsid w:val="001029C4"/>
    <w:rsid w:val="00104638"/>
    <w:rsid w:val="0011486D"/>
    <w:rsid w:val="0011512F"/>
    <w:rsid w:val="00121E33"/>
    <w:rsid w:val="00126550"/>
    <w:rsid w:val="00126D0B"/>
    <w:rsid w:val="001324D6"/>
    <w:rsid w:val="00133670"/>
    <w:rsid w:val="00135BD2"/>
    <w:rsid w:val="00135E09"/>
    <w:rsid w:val="0014445B"/>
    <w:rsid w:val="001522BE"/>
    <w:rsid w:val="00154825"/>
    <w:rsid w:val="0016200B"/>
    <w:rsid w:val="00163A27"/>
    <w:rsid w:val="0016611C"/>
    <w:rsid w:val="0017364E"/>
    <w:rsid w:val="0017516B"/>
    <w:rsid w:val="00176F1D"/>
    <w:rsid w:val="0018068D"/>
    <w:rsid w:val="00195E4A"/>
    <w:rsid w:val="001A2ABE"/>
    <w:rsid w:val="001A360C"/>
    <w:rsid w:val="001C0250"/>
    <w:rsid w:val="001D14DA"/>
    <w:rsid w:val="001D4EC2"/>
    <w:rsid w:val="001E01CC"/>
    <w:rsid w:val="001E5030"/>
    <w:rsid w:val="001E6995"/>
    <w:rsid w:val="001F0339"/>
    <w:rsid w:val="001F1513"/>
    <w:rsid w:val="00205769"/>
    <w:rsid w:val="00210C50"/>
    <w:rsid w:val="00212FEC"/>
    <w:rsid w:val="002131BB"/>
    <w:rsid w:val="0022086D"/>
    <w:rsid w:val="0022251E"/>
    <w:rsid w:val="00226296"/>
    <w:rsid w:val="00227E31"/>
    <w:rsid w:val="00230F81"/>
    <w:rsid w:val="00231F4E"/>
    <w:rsid w:val="002341EE"/>
    <w:rsid w:val="00237341"/>
    <w:rsid w:val="002432BE"/>
    <w:rsid w:val="00251D5F"/>
    <w:rsid w:val="00254C6F"/>
    <w:rsid w:val="00255679"/>
    <w:rsid w:val="00267258"/>
    <w:rsid w:val="0027266B"/>
    <w:rsid w:val="00281E80"/>
    <w:rsid w:val="002834B0"/>
    <w:rsid w:val="00283671"/>
    <w:rsid w:val="002837B6"/>
    <w:rsid w:val="00284A5D"/>
    <w:rsid w:val="00284E27"/>
    <w:rsid w:val="00294B7D"/>
    <w:rsid w:val="002A11A2"/>
    <w:rsid w:val="002A1973"/>
    <w:rsid w:val="002A32F5"/>
    <w:rsid w:val="002A382D"/>
    <w:rsid w:val="002B0DAB"/>
    <w:rsid w:val="002B14F6"/>
    <w:rsid w:val="002C055A"/>
    <w:rsid w:val="002C2392"/>
    <w:rsid w:val="002C5947"/>
    <w:rsid w:val="002C60E4"/>
    <w:rsid w:val="002C7D6D"/>
    <w:rsid w:val="002D1C5C"/>
    <w:rsid w:val="002D1E20"/>
    <w:rsid w:val="002D4556"/>
    <w:rsid w:val="002D525C"/>
    <w:rsid w:val="002D68BA"/>
    <w:rsid w:val="002D7CF8"/>
    <w:rsid w:val="002E0757"/>
    <w:rsid w:val="002E4FA1"/>
    <w:rsid w:val="002E6860"/>
    <w:rsid w:val="002F0411"/>
    <w:rsid w:val="002F767E"/>
    <w:rsid w:val="00301264"/>
    <w:rsid w:val="003033FA"/>
    <w:rsid w:val="00304EAC"/>
    <w:rsid w:val="0030699E"/>
    <w:rsid w:val="003073BD"/>
    <w:rsid w:val="00312D28"/>
    <w:rsid w:val="00314914"/>
    <w:rsid w:val="00315D47"/>
    <w:rsid w:val="003246F0"/>
    <w:rsid w:val="00325E2A"/>
    <w:rsid w:val="003272F3"/>
    <w:rsid w:val="00337AAB"/>
    <w:rsid w:val="00345716"/>
    <w:rsid w:val="0034786C"/>
    <w:rsid w:val="003517C9"/>
    <w:rsid w:val="003579E5"/>
    <w:rsid w:val="00357EC4"/>
    <w:rsid w:val="00363DD7"/>
    <w:rsid w:val="00370000"/>
    <w:rsid w:val="00372819"/>
    <w:rsid w:val="00372924"/>
    <w:rsid w:val="00373507"/>
    <w:rsid w:val="00377771"/>
    <w:rsid w:val="0038230E"/>
    <w:rsid w:val="00382529"/>
    <w:rsid w:val="00397AD9"/>
    <w:rsid w:val="003A00C9"/>
    <w:rsid w:val="003A25A4"/>
    <w:rsid w:val="003B49E4"/>
    <w:rsid w:val="003B4CCF"/>
    <w:rsid w:val="003C4D42"/>
    <w:rsid w:val="003C57EB"/>
    <w:rsid w:val="003C6AB4"/>
    <w:rsid w:val="003C7E96"/>
    <w:rsid w:val="003D4104"/>
    <w:rsid w:val="003D75A6"/>
    <w:rsid w:val="003E099F"/>
    <w:rsid w:val="003E167F"/>
    <w:rsid w:val="003E4DF9"/>
    <w:rsid w:val="003E58D5"/>
    <w:rsid w:val="003E631E"/>
    <w:rsid w:val="003E684D"/>
    <w:rsid w:val="003E6983"/>
    <w:rsid w:val="003F1FE3"/>
    <w:rsid w:val="003F3EBE"/>
    <w:rsid w:val="003F665D"/>
    <w:rsid w:val="003F6E4C"/>
    <w:rsid w:val="0040086D"/>
    <w:rsid w:val="004017D8"/>
    <w:rsid w:val="00405188"/>
    <w:rsid w:val="00410022"/>
    <w:rsid w:val="00411E03"/>
    <w:rsid w:val="004123B1"/>
    <w:rsid w:val="00414EB4"/>
    <w:rsid w:val="00423634"/>
    <w:rsid w:val="004303A1"/>
    <w:rsid w:val="00440DC9"/>
    <w:rsid w:val="004506D2"/>
    <w:rsid w:val="00450AE4"/>
    <w:rsid w:val="00452892"/>
    <w:rsid w:val="00456F40"/>
    <w:rsid w:val="00457511"/>
    <w:rsid w:val="004609BD"/>
    <w:rsid w:val="004661EE"/>
    <w:rsid w:val="00466741"/>
    <w:rsid w:val="00467736"/>
    <w:rsid w:val="00470064"/>
    <w:rsid w:val="00470BCC"/>
    <w:rsid w:val="0047313D"/>
    <w:rsid w:val="0047391C"/>
    <w:rsid w:val="00476156"/>
    <w:rsid w:val="00476F2C"/>
    <w:rsid w:val="00481938"/>
    <w:rsid w:val="004844BE"/>
    <w:rsid w:val="004A1122"/>
    <w:rsid w:val="004A2BEA"/>
    <w:rsid w:val="004A3C64"/>
    <w:rsid w:val="004A5AEA"/>
    <w:rsid w:val="004A78AB"/>
    <w:rsid w:val="004A7FB6"/>
    <w:rsid w:val="004B2FDA"/>
    <w:rsid w:val="004B480A"/>
    <w:rsid w:val="004B509C"/>
    <w:rsid w:val="004B5D36"/>
    <w:rsid w:val="004C0CA2"/>
    <w:rsid w:val="004C3F08"/>
    <w:rsid w:val="004C502D"/>
    <w:rsid w:val="004C638E"/>
    <w:rsid w:val="004D50C0"/>
    <w:rsid w:val="004D522A"/>
    <w:rsid w:val="004D772A"/>
    <w:rsid w:val="004E1CAB"/>
    <w:rsid w:val="004E339B"/>
    <w:rsid w:val="004E4273"/>
    <w:rsid w:val="004E4562"/>
    <w:rsid w:val="004E5E8F"/>
    <w:rsid w:val="004F077F"/>
    <w:rsid w:val="004F5914"/>
    <w:rsid w:val="005023DD"/>
    <w:rsid w:val="00503A09"/>
    <w:rsid w:val="00503D8C"/>
    <w:rsid w:val="00511ED6"/>
    <w:rsid w:val="00522B84"/>
    <w:rsid w:val="00525884"/>
    <w:rsid w:val="0053031B"/>
    <w:rsid w:val="00531A7F"/>
    <w:rsid w:val="00534BAD"/>
    <w:rsid w:val="005360E8"/>
    <w:rsid w:val="0053705C"/>
    <w:rsid w:val="005405CF"/>
    <w:rsid w:val="005428C5"/>
    <w:rsid w:val="00543C55"/>
    <w:rsid w:val="00545507"/>
    <w:rsid w:val="005507D3"/>
    <w:rsid w:val="0055393B"/>
    <w:rsid w:val="005554C7"/>
    <w:rsid w:val="00556F58"/>
    <w:rsid w:val="00557086"/>
    <w:rsid w:val="00557716"/>
    <w:rsid w:val="00560C86"/>
    <w:rsid w:val="00567D57"/>
    <w:rsid w:val="00575083"/>
    <w:rsid w:val="005768D5"/>
    <w:rsid w:val="00582B99"/>
    <w:rsid w:val="00590903"/>
    <w:rsid w:val="005A2CCD"/>
    <w:rsid w:val="005A5C40"/>
    <w:rsid w:val="005A617A"/>
    <w:rsid w:val="005A7774"/>
    <w:rsid w:val="005B0765"/>
    <w:rsid w:val="005B0FC9"/>
    <w:rsid w:val="005B623D"/>
    <w:rsid w:val="005B66D3"/>
    <w:rsid w:val="005C37D1"/>
    <w:rsid w:val="005C4556"/>
    <w:rsid w:val="005C5302"/>
    <w:rsid w:val="005D1DAB"/>
    <w:rsid w:val="005D307B"/>
    <w:rsid w:val="005D603E"/>
    <w:rsid w:val="005E1425"/>
    <w:rsid w:val="005E2ABB"/>
    <w:rsid w:val="005E3419"/>
    <w:rsid w:val="005E362E"/>
    <w:rsid w:val="005F1B2F"/>
    <w:rsid w:val="005F5C8E"/>
    <w:rsid w:val="005F7593"/>
    <w:rsid w:val="00600C8E"/>
    <w:rsid w:val="006029D7"/>
    <w:rsid w:val="00602CCA"/>
    <w:rsid w:val="0061109D"/>
    <w:rsid w:val="00612AA0"/>
    <w:rsid w:val="00612FE1"/>
    <w:rsid w:val="006138CB"/>
    <w:rsid w:val="006201E1"/>
    <w:rsid w:val="006224C4"/>
    <w:rsid w:val="006225EA"/>
    <w:rsid w:val="00623750"/>
    <w:rsid w:val="00625156"/>
    <w:rsid w:val="006261DF"/>
    <w:rsid w:val="00626680"/>
    <w:rsid w:val="00640CD0"/>
    <w:rsid w:val="00641270"/>
    <w:rsid w:val="00642074"/>
    <w:rsid w:val="00642409"/>
    <w:rsid w:val="006424F8"/>
    <w:rsid w:val="00644AED"/>
    <w:rsid w:val="006517DA"/>
    <w:rsid w:val="00652204"/>
    <w:rsid w:val="00655405"/>
    <w:rsid w:val="00656301"/>
    <w:rsid w:val="0066326B"/>
    <w:rsid w:val="00663428"/>
    <w:rsid w:val="006640C4"/>
    <w:rsid w:val="00681CAB"/>
    <w:rsid w:val="006842EF"/>
    <w:rsid w:val="00695E58"/>
    <w:rsid w:val="0069757D"/>
    <w:rsid w:val="006977FA"/>
    <w:rsid w:val="006A1329"/>
    <w:rsid w:val="006A3FA5"/>
    <w:rsid w:val="006A66F9"/>
    <w:rsid w:val="006E2EF9"/>
    <w:rsid w:val="006E5C9C"/>
    <w:rsid w:val="006E639E"/>
    <w:rsid w:val="006F1774"/>
    <w:rsid w:val="006F5757"/>
    <w:rsid w:val="006F6BF1"/>
    <w:rsid w:val="00711680"/>
    <w:rsid w:val="007126FF"/>
    <w:rsid w:val="00714890"/>
    <w:rsid w:val="00717A20"/>
    <w:rsid w:val="00720DFF"/>
    <w:rsid w:val="007227E9"/>
    <w:rsid w:val="00730E23"/>
    <w:rsid w:val="00732079"/>
    <w:rsid w:val="007543F0"/>
    <w:rsid w:val="00762CC5"/>
    <w:rsid w:val="00763617"/>
    <w:rsid w:val="00764A52"/>
    <w:rsid w:val="00766A89"/>
    <w:rsid w:val="00774D89"/>
    <w:rsid w:val="00782411"/>
    <w:rsid w:val="007906B4"/>
    <w:rsid w:val="007970A0"/>
    <w:rsid w:val="007B1D95"/>
    <w:rsid w:val="007B215B"/>
    <w:rsid w:val="007B4617"/>
    <w:rsid w:val="007C41FD"/>
    <w:rsid w:val="007D19A7"/>
    <w:rsid w:val="007D5CE6"/>
    <w:rsid w:val="007E6598"/>
    <w:rsid w:val="007E759D"/>
    <w:rsid w:val="007F2DBE"/>
    <w:rsid w:val="007F2F67"/>
    <w:rsid w:val="007F33B6"/>
    <w:rsid w:val="007F4E12"/>
    <w:rsid w:val="007F642D"/>
    <w:rsid w:val="007F756A"/>
    <w:rsid w:val="00801CFE"/>
    <w:rsid w:val="00807379"/>
    <w:rsid w:val="00812471"/>
    <w:rsid w:val="008261A5"/>
    <w:rsid w:val="0083382E"/>
    <w:rsid w:val="00836A75"/>
    <w:rsid w:val="00842AD1"/>
    <w:rsid w:val="0085083D"/>
    <w:rsid w:val="00855325"/>
    <w:rsid w:val="00862A99"/>
    <w:rsid w:val="00862E34"/>
    <w:rsid w:val="00865915"/>
    <w:rsid w:val="00871832"/>
    <w:rsid w:val="00883F52"/>
    <w:rsid w:val="00886CCE"/>
    <w:rsid w:val="0089000C"/>
    <w:rsid w:val="008942C6"/>
    <w:rsid w:val="00896B33"/>
    <w:rsid w:val="008A57FE"/>
    <w:rsid w:val="008A62FB"/>
    <w:rsid w:val="008A77B7"/>
    <w:rsid w:val="008B0F67"/>
    <w:rsid w:val="008B2F6A"/>
    <w:rsid w:val="008B51C6"/>
    <w:rsid w:val="008C0E8F"/>
    <w:rsid w:val="008C608D"/>
    <w:rsid w:val="008E461D"/>
    <w:rsid w:val="008E6D4E"/>
    <w:rsid w:val="008F08E5"/>
    <w:rsid w:val="008F0EA4"/>
    <w:rsid w:val="008F38F6"/>
    <w:rsid w:val="008F5213"/>
    <w:rsid w:val="008F69E2"/>
    <w:rsid w:val="009000CF"/>
    <w:rsid w:val="009003ED"/>
    <w:rsid w:val="00904E1E"/>
    <w:rsid w:val="0090748B"/>
    <w:rsid w:val="00920C9C"/>
    <w:rsid w:val="00922754"/>
    <w:rsid w:val="00925781"/>
    <w:rsid w:val="009258D0"/>
    <w:rsid w:val="00926753"/>
    <w:rsid w:val="00926D96"/>
    <w:rsid w:val="009275BE"/>
    <w:rsid w:val="00935AB3"/>
    <w:rsid w:val="0093659D"/>
    <w:rsid w:val="00962189"/>
    <w:rsid w:val="009646C4"/>
    <w:rsid w:val="009734CE"/>
    <w:rsid w:val="0098460C"/>
    <w:rsid w:val="00990251"/>
    <w:rsid w:val="00992B56"/>
    <w:rsid w:val="00996030"/>
    <w:rsid w:val="00996E1A"/>
    <w:rsid w:val="00997000"/>
    <w:rsid w:val="009B4392"/>
    <w:rsid w:val="009B79CE"/>
    <w:rsid w:val="009B7D09"/>
    <w:rsid w:val="009C14B3"/>
    <w:rsid w:val="009D24DA"/>
    <w:rsid w:val="009D5D75"/>
    <w:rsid w:val="009D7601"/>
    <w:rsid w:val="009E0C0B"/>
    <w:rsid w:val="009E349F"/>
    <w:rsid w:val="009F32A2"/>
    <w:rsid w:val="009F4C68"/>
    <w:rsid w:val="009F54CE"/>
    <w:rsid w:val="00A06264"/>
    <w:rsid w:val="00A128E3"/>
    <w:rsid w:val="00A1639A"/>
    <w:rsid w:val="00A17A14"/>
    <w:rsid w:val="00A215C9"/>
    <w:rsid w:val="00A30B7F"/>
    <w:rsid w:val="00A31351"/>
    <w:rsid w:val="00A32F0C"/>
    <w:rsid w:val="00A3554C"/>
    <w:rsid w:val="00A5364B"/>
    <w:rsid w:val="00A60999"/>
    <w:rsid w:val="00A615E0"/>
    <w:rsid w:val="00A65E2B"/>
    <w:rsid w:val="00A7200E"/>
    <w:rsid w:val="00A74AA0"/>
    <w:rsid w:val="00A7546D"/>
    <w:rsid w:val="00A77100"/>
    <w:rsid w:val="00A773B2"/>
    <w:rsid w:val="00A91138"/>
    <w:rsid w:val="00A92BB1"/>
    <w:rsid w:val="00AA4D97"/>
    <w:rsid w:val="00AB1E81"/>
    <w:rsid w:val="00AD17B7"/>
    <w:rsid w:val="00AE33D7"/>
    <w:rsid w:val="00AF08D2"/>
    <w:rsid w:val="00AF64D0"/>
    <w:rsid w:val="00B069C5"/>
    <w:rsid w:val="00B06D1B"/>
    <w:rsid w:val="00B077D5"/>
    <w:rsid w:val="00B16A78"/>
    <w:rsid w:val="00B200E4"/>
    <w:rsid w:val="00B26FFD"/>
    <w:rsid w:val="00B27E63"/>
    <w:rsid w:val="00B35AFE"/>
    <w:rsid w:val="00B35B6D"/>
    <w:rsid w:val="00B35DC6"/>
    <w:rsid w:val="00B3619D"/>
    <w:rsid w:val="00B4232D"/>
    <w:rsid w:val="00B51699"/>
    <w:rsid w:val="00B53FAF"/>
    <w:rsid w:val="00B63153"/>
    <w:rsid w:val="00B6527D"/>
    <w:rsid w:val="00B66C16"/>
    <w:rsid w:val="00B72D7B"/>
    <w:rsid w:val="00B73B3A"/>
    <w:rsid w:val="00B74507"/>
    <w:rsid w:val="00B75718"/>
    <w:rsid w:val="00B75E7E"/>
    <w:rsid w:val="00B77EAB"/>
    <w:rsid w:val="00B90261"/>
    <w:rsid w:val="00B92FD0"/>
    <w:rsid w:val="00B93817"/>
    <w:rsid w:val="00B9682D"/>
    <w:rsid w:val="00B96FB1"/>
    <w:rsid w:val="00B97144"/>
    <w:rsid w:val="00BA0B96"/>
    <w:rsid w:val="00BB15DA"/>
    <w:rsid w:val="00BB2707"/>
    <w:rsid w:val="00BB340D"/>
    <w:rsid w:val="00BB438E"/>
    <w:rsid w:val="00BB658C"/>
    <w:rsid w:val="00BC1B54"/>
    <w:rsid w:val="00BC2A3A"/>
    <w:rsid w:val="00BC39B1"/>
    <w:rsid w:val="00BC64EC"/>
    <w:rsid w:val="00BD073D"/>
    <w:rsid w:val="00BD380C"/>
    <w:rsid w:val="00BE4198"/>
    <w:rsid w:val="00BF3AFD"/>
    <w:rsid w:val="00C00F4E"/>
    <w:rsid w:val="00C023E8"/>
    <w:rsid w:val="00C04A14"/>
    <w:rsid w:val="00C1438E"/>
    <w:rsid w:val="00C1606C"/>
    <w:rsid w:val="00C171C1"/>
    <w:rsid w:val="00C205D6"/>
    <w:rsid w:val="00C23180"/>
    <w:rsid w:val="00C41492"/>
    <w:rsid w:val="00C502EC"/>
    <w:rsid w:val="00C50874"/>
    <w:rsid w:val="00C5466E"/>
    <w:rsid w:val="00C63201"/>
    <w:rsid w:val="00C65D69"/>
    <w:rsid w:val="00C67D85"/>
    <w:rsid w:val="00C702B5"/>
    <w:rsid w:val="00C70389"/>
    <w:rsid w:val="00C733F1"/>
    <w:rsid w:val="00C8495F"/>
    <w:rsid w:val="00C904B6"/>
    <w:rsid w:val="00C90A75"/>
    <w:rsid w:val="00C9231A"/>
    <w:rsid w:val="00C935BC"/>
    <w:rsid w:val="00C96DF4"/>
    <w:rsid w:val="00CA58B6"/>
    <w:rsid w:val="00CA6A66"/>
    <w:rsid w:val="00CC1337"/>
    <w:rsid w:val="00CC2514"/>
    <w:rsid w:val="00CC3E33"/>
    <w:rsid w:val="00CC48DF"/>
    <w:rsid w:val="00CC4EF0"/>
    <w:rsid w:val="00CD42E0"/>
    <w:rsid w:val="00CD4A91"/>
    <w:rsid w:val="00CD4FDC"/>
    <w:rsid w:val="00CD70E7"/>
    <w:rsid w:val="00CD7363"/>
    <w:rsid w:val="00CE0BB9"/>
    <w:rsid w:val="00CE0C1F"/>
    <w:rsid w:val="00CE3370"/>
    <w:rsid w:val="00CE455F"/>
    <w:rsid w:val="00CF0BF9"/>
    <w:rsid w:val="00CF2C0D"/>
    <w:rsid w:val="00CF5957"/>
    <w:rsid w:val="00CF7C1F"/>
    <w:rsid w:val="00D04BA2"/>
    <w:rsid w:val="00D077B0"/>
    <w:rsid w:val="00D22D42"/>
    <w:rsid w:val="00D27B75"/>
    <w:rsid w:val="00D31A57"/>
    <w:rsid w:val="00D36D8D"/>
    <w:rsid w:val="00D412A7"/>
    <w:rsid w:val="00D41EEF"/>
    <w:rsid w:val="00D45711"/>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916E0"/>
    <w:rsid w:val="00D9242A"/>
    <w:rsid w:val="00D95394"/>
    <w:rsid w:val="00D97FA8"/>
    <w:rsid w:val="00DC7B25"/>
    <w:rsid w:val="00DD4100"/>
    <w:rsid w:val="00DD681C"/>
    <w:rsid w:val="00DD6B73"/>
    <w:rsid w:val="00DE23F8"/>
    <w:rsid w:val="00DE3897"/>
    <w:rsid w:val="00DE7CC2"/>
    <w:rsid w:val="00DF2587"/>
    <w:rsid w:val="00E05CF6"/>
    <w:rsid w:val="00E112C9"/>
    <w:rsid w:val="00E1194F"/>
    <w:rsid w:val="00E1314C"/>
    <w:rsid w:val="00E158F7"/>
    <w:rsid w:val="00E2087E"/>
    <w:rsid w:val="00E23DD5"/>
    <w:rsid w:val="00E2636D"/>
    <w:rsid w:val="00E34976"/>
    <w:rsid w:val="00E36818"/>
    <w:rsid w:val="00E36E5F"/>
    <w:rsid w:val="00E4063D"/>
    <w:rsid w:val="00E42887"/>
    <w:rsid w:val="00E47B97"/>
    <w:rsid w:val="00E5203C"/>
    <w:rsid w:val="00E634CC"/>
    <w:rsid w:val="00E67D78"/>
    <w:rsid w:val="00E705BE"/>
    <w:rsid w:val="00E76EF6"/>
    <w:rsid w:val="00E82F0E"/>
    <w:rsid w:val="00E9556E"/>
    <w:rsid w:val="00E95F89"/>
    <w:rsid w:val="00E96065"/>
    <w:rsid w:val="00E96FAC"/>
    <w:rsid w:val="00EA129F"/>
    <w:rsid w:val="00EA1AD8"/>
    <w:rsid w:val="00EB35A8"/>
    <w:rsid w:val="00EB7A31"/>
    <w:rsid w:val="00EB7C48"/>
    <w:rsid w:val="00ED0582"/>
    <w:rsid w:val="00ED1A9F"/>
    <w:rsid w:val="00ED7374"/>
    <w:rsid w:val="00EE2C4F"/>
    <w:rsid w:val="00EE31F6"/>
    <w:rsid w:val="00EE36DC"/>
    <w:rsid w:val="00EE77BB"/>
    <w:rsid w:val="00F00799"/>
    <w:rsid w:val="00F044EE"/>
    <w:rsid w:val="00F12C0D"/>
    <w:rsid w:val="00F135B3"/>
    <w:rsid w:val="00F172FE"/>
    <w:rsid w:val="00F21E4A"/>
    <w:rsid w:val="00F3320B"/>
    <w:rsid w:val="00F4044F"/>
    <w:rsid w:val="00F40E92"/>
    <w:rsid w:val="00F41947"/>
    <w:rsid w:val="00F435AA"/>
    <w:rsid w:val="00F4603A"/>
    <w:rsid w:val="00F51D9B"/>
    <w:rsid w:val="00F52838"/>
    <w:rsid w:val="00F66FF2"/>
    <w:rsid w:val="00F75C84"/>
    <w:rsid w:val="00F76C6A"/>
    <w:rsid w:val="00F83BF1"/>
    <w:rsid w:val="00F90CB9"/>
    <w:rsid w:val="00F91C80"/>
    <w:rsid w:val="00F92D87"/>
    <w:rsid w:val="00F97373"/>
    <w:rsid w:val="00FA0254"/>
    <w:rsid w:val="00FA6854"/>
    <w:rsid w:val="00FB064F"/>
    <w:rsid w:val="00FB0F6B"/>
    <w:rsid w:val="00FB144F"/>
    <w:rsid w:val="00FB159A"/>
    <w:rsid w:val="00FB4C38"/>
    <w:rsid w:val="00FB4D77"/>
    <w:rsid w:val="00FC0A53"/>
    <w:rsid w:val="00FC1895"/>
    <w:rsid w:val="00FC497D"/>
    <w:rsid w:val="00FD076B"/>
    <w:rsid w:val="00FD160F"/>
    <w:rsid w:val="00FD41F3"/>
    <w:rsid w:val="00FE031D"/>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52939192-AE10-4C62-BEAF-A40BB172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04F5-25ED-4A86-8644-3F074A9D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6</cp:revision>
  <cp:lastPrinted>2021-01-04T08:25:00Z</cp:lastPrinted>
  <dcterms:created xsi:type="dcterms:W3CDTF">2021-01-04T09:44:00Z</dcterms:created>
  <dcterms:modified xsi:type="dcterms:W3CDTF">2021-01-04T13:07:00Z</dcterms:modified>
</cp:coreProperties>
</file>