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C12EB8" w14:textId="07E712E3" w:rsidR="00437A05" w:rsidRPr="005D1DAB" w:rsidRDefault="007970A0" w:rsidP="000C770D">
      <w:pPr>
        <w:spacing w:after="0" w:line="360" w:lineRule="auto"/>
        <w:rPr>
          <w:rFonts w:ascii="Arial" w:hAnsi="Arial" w:cs="Arial"/>
          <w:b/>
          <w:sz w:val="28"/>
          <w:szCs w:val="28"/>
        </w:rPr>
      </w:pPr>
      <w:r>
        <w:rPr>
          <w:rFonts w:ascii="Arial" w:hAnsi="Arial"/>
          <w:b/>
        </w:rPr>
        <w:t>Hamburg: Office letting market, 1st-3rd quarters of 2021</w:t>
      </w:r>
      <w:r>
        <w:rPr>
          <w:rFonts w:ascii="Arial" w:hAnsi="Arial"/>
          <w:b/>
        </w:rPr>
        <w:br/>
        <w:t>Great willingness to change fuels take-up of space</w:t>
      </w:r>
    </w:p>
    <w:p w14:paraId="5DC3EAC5" w14:textId="77777777" w:rsidR="00590903" w:rsidRPr="0090748B" w:rsidRDefault="00590903" w:rsidP="00590903">
      <w:pPr>
        <w:spacing w:after="0" w:line="360" w:lineRule="auto"/>
        <w:jc w:val="both"/>
        <w:rPr>
          <w:rFonts w:ascii="Arial" w:hAnsi="Arial" w:cs="Arial"/>
          <w:b/>
          <w:sz w:val="20"/>
          <w:szCs w:val="20"/>
        </w:rPr>
      </w:pPr>
    </w:p>
    <w:p w14:paraId="7185D446" w14:textId="0C2E1D0E" w:rsidR="00913EFA" w:rsidRPr="000E52FF" w:rsidRDefault="0089000C" w:rsidP="00913EFA">
      <w:pPr>
        <w:spacing w:after="0" w:line="360" w:lineRule="auto"/>
        <w:rPr>
          <w:rFonts w:ascii="Arial" w:hAnsi="Arial" w:cs="Arial"/>
          <w:sz w:val="20"/>
          <w:szCs w:val="20"/>
        </w:rPr>
      </w:pPr>
      <w:r>
        <w:rPr>
          <w:rFonts w:ascii="Arial" w:hAnsi="Arial"/>
          <w:b/>
          <w:sz w:val="20"/>
          <w:szCs w:val="20"/>
        </w:rPr>
        <w:t>Hamburg, 30th September 2021</w:t>
      </w:r>
      <w:r>
        <w:rPr>
          <w:rFonts w:ascii="Arial" w:hAnsi="Arial"/>
          <w:sz w:val="20"/>
          <w:szCs w:val="20"/>
        </w:rPr>
        <w:t xml:space="preserve"> - Hamburg’s office letting market is gathering momentum, as may be seen from the 3rd-quarter take-up of 135,000 m² of space. </w:t>
      </w:r>
      <w:r w:rsidR="00E32C38">
        <w:rPr>
          <w:rFonts w:ascii="Arial" w:hAnsi="Arial"/>
          <w:sz w:val="20"/>
          <w:szCs w:val="20"/>
        </w:rPr>
        <w:t>So far this year</w:t>
      </w:r>
      <w:r>
        <w:rPr>
          <w:rFonts w:ascii="Arial" w:hAnsi="Arial"/>
          <w:sz w:val="20"/>
          <w:szCs w:val="20"/>
        </w:rPr>
        <w:t xml:space="preserve">, </w:t>
      </w:r>
      <w:proofErr w:type="gramStart"/>
      <w:r>
        <w:rPr>
          <w:rFonts w:ascii="Arial" w:hAnsi="Arial"/>
          <w:sz w:val="20"/>
          <w:szCs w:val="20"/>
        </w:rPr>
        <w:t>a total of 360,000</w:t>
      </w:r>
      <w:proofErr w:type="gramEnd"/>
      <w:r>
        <w:rPr>
          <w:rFonts w:ascii="Arial" w:hAnsi="Arial"/>
          <w:sz w:val="20"/>
          <w:szCs w:val="20"/>
        </w:rPr>
        <w:t xml:space="preserve"> m² of office space has been taken up in Hamburg by new tenants or owner-occupiers. This translates into growth of 44 % </w:t>
      </w:r>
      <w:r w:rsidR="00DA24EC">
        <w:rPr>
          <w:rFonts w:ascii="Arial" w:hAnsi="Arial"/>
          <w:sz w:val="20"/>
          <w:szCs w:val="20"/>
        </w:rPr>
        <w:t>against</w:t>
      </w:r>
      <w:r>
        <w:rPr>
          <w:rFonts w:ascii="Arial" w:hAnsi="Arial"/>
          <w:sz w:val="20"/>
          <w:szCs w:val="20"/>
        </w:rPr>
        <w:t xml:space="preserve"> the same </w:t>
      </w:r>
      <w:proofErr w:type="gramStart"/>
      <w:r>
        <w:rPr>
          <w:rFonts w:ascii="Arial" w:hAnsi="Arial"/>
          <w:sz w:val="20"/>
          <w:szCs w:val="20"/>
        </w:rPr>
        <w:t>period a year ago which</w:t>
      </w:r>
      <w:proofErr w:type="gramEnd"/>
      <w:r>
        <w:rPr>
          <w:rFonts w:ascii="Arial" w:hAnsi="Arial"/>
          <w:sz w:val="20"/>
          <w:szCs w:val="20"/>
        </w:rPr>
        <w:t xml:space="preserve"> was marked by the coronavirus crisis. </w:t>
      </w:r>
      <w:r>
        <w:rPr>
          <w:rFonts w:ascii="Arial" w:hAnsi="Arial"/>
          <w:i/>
          <w:sz w:val="20"/>
          <w:szCs w:val="20"/>
        </w:rPr>
        <w:t xml:space="preserve">“As a result of the pandemic, existing organization models have come under scrutiny and firms are thus very willing to explore changes. At present, the end of a rental term </w:t>
      </w:r>
      <w:proofErr w:type="gramStart"/>
      <w:r>
        <w:rPr>
          <w:rFonts w:ascii="Arial" w:hAnsi="Arial"/>
          <w:i/>
          <w:sz w:val="20"/>
          <w:szCs w:val="20"/>
        </w:rPr>
        <w:t>is frequently seen</w:t>
      </w:r>
      <w:proofErr w:type="gramEnd"/>
      <w:r>
        <w:rPr>
          <w:rFonts w:ascii="Arial" w:hAnsi="Arial"/>
          <w:i/>
          <w:sz w:val="20"/>
          <w:szCs w:val="20"/>
        </w:rPr>
        <w:t xml:space="preserve"> as a chance to re-organize the business and make a new start at a different location. In this respect, the recovery is reflected in the take-up of space,”</w:t>
      </w:r>
      <w:r>
        <w:rPr>
          <w:rFonts w:ascii="Arial" w:hAnsi="Arial"/>
          <w:sz w:val="20"/>
          <w:szCs w:val="20"/>
        </w:rPr>
        <w:t xml:space="preserve"> says </w:t>
      </w:r>
      <w:r>
        <w:rPr>
          <w:rFonts w:ascii="Arial" w:hAnsi="Arial"/>
          <w:b/>
          <w:sz w:val="20"/>
          <w:szCs w:val="20"/>
        </w:rPr>
        <w:t xml:space="preserve">Andreas </w:t>
      </w:r>
      <w:proofErr w:type="spellStart"/>
      <w:r>
        <w:rPr>
          <w:rFonts w:ascii="Arial" w:hAnsi="Arial"/>
          <w:b/>
          <w:sz w:val="20"/>
          <w:szCs w:val="20"/>
        </w:rPr>
        <w:t>Rehberg</w:t>
      </w:r>
      <w:proofErr w:type="spellEnd"/>
      <w:r>
        <w:rPr>
          <w:rFonts w:ascii="Arial" w:hAnsi="Arial"/>
          <w:sz w:val="20"/>
          <w:szCs w:val="20"/>
        </w:rPr>
        <w:t xml:space="preserve">, managing director of Grossmann &amp; Berger, a member of German Property Partners (GPP), commenting on the growth trend. Accordingly, </w:t>
      </w:r>
      <w:proofErr w:type="spellStart"/>
      <w:r>
        <w:rPr>
          <w:rFonts w:ascii="Arial" w:hAnsi="Arial"/>
          <w:sz w:val="20"/>
          <w:szCs w:val="20"/>
        </w:rPr>
        <w:t>Rehberg</w:t>
      </w:r>
      <w:proofErr w:type="spellEnd"/>
      <w:r>
        <w:rPr>
          <w:rFonts w:ascii="Arial" w:hAnsi="Arial"/>
          <w:sz w:val="20"/>
          <w:szCs w:val="20"/>
        </w:rPr>
        <w:t xml:space="preserve"> expects the year to close with take-up of office space in Hamburg totalling over 460,000 m².</w:t>
      </w:r>
    </w:p>
    <w:p w14:paraId="1CE4666C" w14:textId="6AEE7602" w:rsidR="00EE77BB" w:rsidRDefault="00EE77BB" w:rsidP="00C171C1">
      <w:pPr>
        <w:spacing w:after="0" w:line="360" w:lineRule="auto"/>
        <w:textAlignment w:val="baseline"/>
        <w:rPr>
          <w:rFonts w:ascii="Arial" w:hAnsi="Arial" w:cs="Arial"/>
          <w:b/>
          <w:sz w:val="20"/>
          <w:szCs w:val="20"/>
        </w:rPr>
      </w:pPr>
    </w:p>
    <w:p w14:paraId="5037A73B" w14:textId="72435A19" w:rsidR="002D525C" w:rsidRPr="00C171C1" w:rsidRDefault="006F5757" w:rsidP="00C171C1">
      <w:pPr>
        <w:spacing w:after="0" w:line="360" w:lineRule="auto"/>
        <w:textAlignment w:val="baseline"/>
        <w:rPr>
          <w:rFonts w:ascii="Arial" w:hAnsi="Arial" w:cs="Arial"/>
          <w:b/>
          <w:sz w:val="20"/>
          <w:szCs w:val="20"/>
        </w:rPr>
      </w:pPr>
      <w:r>
        <w:rPr>
          <w:rFonts w:ascii="Arial" w:hAnsi="Arial"/>
          <w:b/>
          <w:sz w:val="20"/>
          <w:szCs w:val="20"/>
        </w:rPr>
        <w:t xml:space="preserve">Market details: </w:t>
      </w:r>
    </w:p>
    <w:p w14:paraId="740FC0EA" w14:textId="77777777" w:rsidR="004B0198" w:rsidRDefault="00F3124F" w:rsidP="00994121">
      <w:pPr>
        <w:pStyle w:val="Listenabsatz"/>
        <w:numPr>
          <w:ilvl w:val="0"/>
          <w:numId w:val="26"/>
        </w:numPr>
        <w:spacing w:after="0" w:line="360" w:lineRule="auto"/>
        <w:ind w:left="360"/>
        <w:rPr>
          <w:rFonts w:ascii="Arial" w:hAnsi="Arial" w:cs="Arial"/>
          <w:sz w:val="20"/>
          <w:szCs w:val="20"/>
        </w:rPr>
      </w:pPr>
      <w:r>
        <w:rPr>
          <w:rFonts w:ascii="Arial" w:hAnsi="Arial"/>
          <w:sz w:val="20"/>
          <w:szCs w:val="20"/>
        </w:rPr>
        <w:t xml:space="preserve">The </w:t>
      </w:r>
      <w:r>
        <w:rPr>
          <w:rFonts w:ascii="Arial" w:hAnsi="Arial"/>
          <w:sz w:val="20"/>
          <w:szCs w:val="20"/>
          <w:u w:val="single"/>
        </w:rPr>
        <w:t>vacancy rate</w:t>
      </w:r>
      <w:r>
        <w:rPr>
          <w:rFonts w:ascii="Arial" w:hAnsi="Arial"/>
          <w:sz w:val="20"/>
          <w:szCs w:val="20"/>
        </w:rPr>
        <w:t xml:space="preserve"> for office space in Hamburg stabilized at 3.8 %, slightly above the 3.3 % noted a year ago, but unchanged from the preceding quarter.</w:t>
      </w:r>
    </w:p>
    <w:p w14:paraId="514A952B" w14:textId="0014CA60" w:rsidR="00BE7700" w:rsidRDefault="00843056" w:rsidP="004604E4">
      <w:pPr>
        <w:pStyle w:val="Listenabsatz"/>
        <w:numPr>
          <w:ilvl w:val="0"/>
          <w:numId w:val="26"/>
        </w:numPr>
        <w:spacing w:after="0" w:line="360" w:lineRule="auto"/>
        <w:ind w:left="360"/>
        <w:rPr>
          <w:rFonts w:ascii="Arial" w:hAnsi="Arial" w:cs="Arial"/>
          <w:sz w:val="20"/>
          <w:szCs w:val="20"/>
        </w:rPr>
      </w:pPr>
      <w:r>
        <w:rPr>
          <w:rFonts w:ascii="Arial" w:hAnsi="Arial"/>
          <w:sz w:val="20"/>
          <w:szCs w:val="20"/>
        </w:rPr>
        <w:t xml:space="preserve">Contrary to expectations at the beginning of the year, the </w:t>
      </w:r>
      <w:r w:rsidR="00E32C38">
        <w:rPr>
          <w:rFonts w:ascii="Arial" w:hAnsi="Arial"/>
          <w:sz w:val="20"/>
          <w:szCs w:val="20"/>
        </w:rPr>
        <w:t>take-up</w:t>
      </w:r>
      <w:r>
        <w:rPr>
          <w:rFonts w:ascii="Arial" w:hAnsi="Arial"/>
          <w:sz w:val="20"/>
          <w:szCs w:val="20"/>
        </w:rPr>
        <w:t xml:space="preserve"> of </w:t>
      </w:r>
      <w:r>
        <w:rPr>
          <w:rFonts w:ascii="Arial" w:hAnsi="Arial"/>
          <w:sz w:val="20"/>
          <w:szCs w:val="20"/>
          <w:u w:val="single"/>
        </w:rPr>
        <w:t>sub-let space</w:t>
      </w:r>
      <w:r>
        <w:rPr>
          <w:rFonts w:ascii="Arial" w:hAnsi="Arial"/>
          <w:sz w:val="20"/>
          <w:szCs w:val="20"/>
        </w:rPr>
        <w:t xml:space="preserve"> has declined since the prior quarter because many firms have </w:t>
      </w:r>
      <w:r w:rsidR="00E32C38">
        <w:rPr>
          <w:rFonts w:ascii="Arial" w:hAnsi="Arial"/>
          <w:sz w:val="20"/>
          <w:szCs w:val="20"/>
        </w:rPr>
        <w:t>opt</w:t>
      </w:r>
      <w:r>
        <w:rPr>
          <w:rFonts w:ascii="Arial" w:hAnsi="Arial"/>
          <w:sz w:val="20"/>
          <w:szCs w:val="20"/>
        </w:rPr>
        <w:t xml:space="preserve">ed </w:t>
      </w:r>
      <w:r w:rsidR="00E32C38">
        <w:rPr>
          <w:rFonts w:ascii="Arial" w:hAnsi="Arial"/>
          <w:sz w:val="20"/>
          <w:szCs w:val="20"/>
        </w:rPr>
        <w:t xml:space="preserve">not to let but </w:t>
      </w:r>
      <w:r>
        <w:rPr>
          <w:rFonts w:ascii="Arial" w:hAnsi="Arial"/>
          <w:sz w:val="20"/>
          <w:szCs w:val="20"/>
        </w:rPr>
        <w:t>to use the spa</w:t>
      </w:r>
      <w:r w:rsidR="00E32C38">
        <w:rPr>
          <w:rFonts w:ascii="Arial" w:hAnsi="Arial"/>
          <w:sz w:val="20"/>
          <w:szCs w:val="20"/>
        </w:rPr>
        <w:t>ce themselves</w:t>
      </w:r>
      <w:r>
        <w:rPr>
          <w:rFonts w:ascii="Arial" w:hAnsi="Arial"/>
          <w:sz w:val="20"/>
          <w:szCs w:val="20"/>
        </w:rPr>
        <w:t xml:space="preserve">. </w:t>
      </w:r>
      <w:r>
        <w:rPr>
          <w:rFonts w:ascii="Arial" w:hAnsi="Arial"/>
          <w:i/>
          <w:sz w:val="20"/>
          <w:szCs w:val="20"/>
        </w:rPr>
        <w:t>“Most businesses with space reserves that could be sub-let are reluctant to make a hasty decision and prefer to wait and see how the situation develops. Additionally, it is often difficult to sub-let space because rental periods are limited, alterations cannot be made and no refurbishing budget is available,”</w:t>
      </w:r>
      <w:r>
        <w:rPr>
          <w:rFonts w:ascii="Arial" w:hAnsi="Arial"/>
          <w:sz w:val="20"/>
          <w:szCs w:val="20"/>
        </w:rPr>
        <w:t xml:space="preserve"> says </w:t>
      </w:r>
      <w:proofErr w:type="spellStart"/>
      <w:r>
        <w:rPr>
          <w:rFonts w:ascii="Arial" w:hAnsi="Arial"/>
          <w:b/>
          <w:sz w:val="20"/>
          <w:szCs w:val="20"/>
        </w:rPr>
        <w:t>Rehberg</w:t>
      </w:r>
      <w:proofErr w:type="spellEnd"/>
      <w:r w:rsidRPr="006C3C6E">
        <w:rPr>
          <w:rFonts w:ascii="Arial" w:hAnsi="Arial"/>
          <w:sz w:val="20"/>
          <w:szCs w:val="20"/>
        </w:rPr>
        <w:t>.</w:t>
      </w:r>
      <w:r>
        <w:rPr>
          <w:rFonts w:ascii="Arial" w:hAnsi="Arial"/>
          <w:sz w:val="20"/>
          <w:szCs w:val="20"/>
        </w:rPr>
        <w:t xml:space="preserve"> Nevertheless, in terms of actual figures, the amount of sub-let space has grown year on year from 30,300 m² to 48,500 m².</w:t>
      </w:r>
    </w:p>
    <w:p w14:paraId="55F3669F" w14:textId="2C8B0E01" w:rsidR="002640D2" w:rsidRPr="004604E4" w:rsidRDefault="00BA6688" w:rsidP="004604E4">
      <w:pPr>
        <w:pStyle w:val="Listenabsatz"/>
        <w:numPr>
          <w:ilvl w:val="0"/>
          <w:numId w:val="26"/>
        </w:numPr>
        <w:spacing w:after="0" w:line="360" w:lineRule="auto"/>
        <w:ind w:left="360"/>
        <w:rPr>
          <w:rFonts w:ascii="Arial" w:hAnsi="Arial" w:cs="Arial"/>
          <w:sz w:val="20"/>
          <w:szCs w:val="20"/>
        </w:rPr>
      </w:pPr>
      <w:r>
        <w:rPr>
          <w:rFonts w:ascii="Arial" w:hAnsi="Arial"/>
          <w:sz w:val="20"/>
          <w:szCs w:val="20"/>
        </w:rPr>
        <w:t>Agreements to take large office suites in new-</w:t>
      </w:r>
      <w:proofErr w:type="gramStart"/>
      <w:r>
        <w:rPr>
          <w:rFonts w:ascii="Arial" w:hAnsi="Arial"/>
          <w:sz w:val="20"/>
          <w:szCs w:val="20"/>
        </w:rPr>
        <w:t>builds which command high prices</w:t>
      </w:r>
      <w:proofErr w:type="gramEnd"/>
      <w:r>
        <w:rPr>
          <w:rFonts w:ascii="Arial" w:hAnsi="Arial"/>
          <w:sz w:val="20"/>
          <w:szCs w:val="20"/>
        </w:rPr>
        <w:t xml:space="preserve"> have pushed the </w:t>
      </w:r>
      <w:r>
        <w:rPr>
          <w:rFonts w:ascii="Arial" w:hAnsi="Arial"/>
          <w:sz w:val="20"/>
          <w:szCs w:val="20"/>
          <w:u w:val="single"/>
        </w:rPr>
        <w:t>average rent</w:t>
      </w:r>
      <w:r>
        <w:rPr>
          <w:rFonts w:ascii="Arial" w:hAnsi="Arial"/>
          <w:sz w:val="20"/>
          <w:szCs w:val="20"/>
        </w:rPr>
        <w:t xml:space="preserve"> to a new record fig</w:t>
      </w:r>
      <w:r w:rsidR="00657936">
        <w:rPr>
          <w:rFonts w:ascii="Arial" w:hAnsi="Arial"/>
          <w:sz w:val="20"/>
          <w:szCs w:val="20"/>
        </w:rPr>
        <w:t>ure. It increased by 4.6 % to €</w:t>
      </w:r>
      <w:r>
        <w:rPr>
          <w:rFonts w:ascii="Arial" w:hAnsi="Arial"/>
          <w:sz w:val="20"/>
          <w:szCs w:val="20"/>
        </w:rPr>
        <w:t xml:space="preserve">18.10/m²/month. </w:t>
      </w:r>
      <w:r w:rsidR="00DA24EC">
        <w:rPr>
          <w:rFonts w:ascii="Arial" w:hAnsi="Arial"/>
          <w:sz w:val="20"/>
          <w:szCs w:val="20"/>
        </w:rPr>
        <w:t xml:space="preserve">The calculation </w:t>
      </w:r>
      <w:proofErr w:type="gramStart"/>
      <w:r w:rsidR="00DA24EC">
        <w:rPr>
          <w:rFonts w:ascii="Arial" w:hAnsi="Arial"/>
          <w:sz w:val="20"/>
          <w:szCs w:val="20"/>
        </w:rPr>
        <w:t>is</w:t>
      </w:r>
      <w:r>
        <w:rPr>
          <w:rFonts w:ascii="Arial" w:hAnsi="Arial"/>
          <w:sz w:val="20"/>
          <w:szCs w:val="20"/>
        </w:rPr>
        <w:t xml:space="preserve"> </w:t>
      </w:r>
      <w:r w:rsidR="00DA24EC">
        <w:rPr>
          <w:rFonts w:ascii="Arial" w:hAnsi="Arial"/>
          <w:sz w:val="20"/>
          <w:szCs w:val="20"/>
        </w:rPr>
        <w:t>based</w:t>
      </w:r>
      <w:proofErr w:type="gramEnd"/>
      <w:r w:rsidR="00DA24EC">
        <w:rPr>
          <w:rFonts w:ascii="Arial" w:hAnsi="Arial"/>
          <w:sz w:val="20"/>
          <w:szCs w:val="20"/>
        </w:rPr>
        <w:t xml:space="preserve"> on</w:t>
      </w:r>
      <w:r>
        <w:rPr>
          <w:rFonts w:ascii="Arial" w:hAnsi="Arial"/>
          <w:sz w:val="20"/>
          <w:szCs w:val="20"/>
        </w:rPr>
        <w:t xml:space="preserve"> all agreements signed in the past twelve months. Thus </w:t>
      </w:r>
      <w:r w:rsidR="00DA24EC">
        <w:rPr>
          <w:rFonts w:ascii="Arial" w:hAnsi="Arial"/>
          <w:sz w:val="20"/>
          <w:szCs w:val="20"/>
        </w:rPr>
        <w:t>the figure</w:t>
      </w:r>
      <w:r w:rsidR="00E32C38">
        <w:rPr>
          <w:rFonts w:ascii="Arial" w:hAnsi="Arial"/>
          <w:sz w:val="20"/>
          <w:szCs w:val="20"/>
        </w:rPr>
        <w:t xml:space="preserve"> includes </w:t>
      </w:r>
      <w:r>
        <w:rPr>
          <w:rFonts w:ascii="Arial" w:hAnsi="Arial"/>
          <w:sz w:val="20"/>
          <w:szCs w:val="20"/>
        </w:rPr>
        <w:t xml:space="preserve">not only the new contracts for offices in the “Ipanema” </w:t>
      </w:r>
      <w:r w:rsidR="00E32C38">
        <w:rPr>
          <w:rFonts w:ascii="Arial" w:hAnsi="Arial"/>
          <w:sz w:val="20"/>
          <w:szCs w:val="20"/>
        </w:rPr>
        <w:t xml:space="preserve">and the </w:t>
      </w:r>
      <w:proofErr w:type="spellStart"/>
      <w:r w:rsidR="00E32C38">
        <w:rPr>
          <w:rFonts w:ascii="Arial" w:hAnsi="Arial"/>
          <w:sz w:val="20"/>
          <w:szCs w:val="20"/>
        </w:rPr>
        <w:t>Deelböge</w:t>
      </w:r>
      <w:proofErr w:type="spellEnd"/>
      <w:r w:rsidR="00E32C38">
        <w:rPr>
          <w:rFonts w:ascii="Arial" w:hAnsi="Arial"/>
          <w:sz w:val="20"/>
          <w:szCs w:val="20"/>
        </w:rPr>
        <w:t xml:space="preserve"> office campus</w:t>
      </w:r>
      <w:r>
        <w:rPr>
          <w:rFonts w:ascii="Arial" w:hAnsi="Arial"/>
          <w:sz w:val="20"/>
          <w:szCs w:val="20"/>
        </w:rPr>
        <w:t>, but also the large-volume agreement for space in the “</w:t>
      </w:r>
      <w:proofErr w:type="spellStart"/>
      <w:r>
        <w:rPr>
          <w:rFonts w:ascii="Arial" w:hAnsi="Arial"/>
          <w:sz w:val="20"/>
          <w:szCs w:val="20"/>
        </w:rPr>
        <w:t>Elbtower</w:t>
      </w:r>
      <w:proofErr w:type="spellEnd"/>
      <w:r>
        <w:rPr>
          <w:rFonts w:ascii="Arial" w:hAnsi="Arial"/>
          <w:sz w:val="20"/>
          <w:szCs w:val="20"/>
        </w:rPr>
        <w:t>” concluded with Hamburg Commercial Bank in the 4th quarter of 2020.</w:t>
      </w:r>
    </w:p>
    <w:p w14:paraId="439BF49B" w14:textId="7BC345D5" w:rsidR="006C3C6E" w:rsidRPr="005803C1" w:rsidRDefault="00356784" w:rsidP="005803C1">
      <w:pPr>
        <w:pStyle w:val="Listenabsatz"/>
        <w:numPr>
          <w:ilvl w:val="0"/>
          <w:numId w:val="27"/>
        </w:numPr>
        <w:spacing w:after="0" w:line="360" w:lineRule="auto"/>
        <w:rPr>
          <w:rFonts w:ascii="Arial" w:hAnsi="Arial" w:cs="Arial"/>
          <w:color w:val="FF0000"/>
          <w:sz w:val="20"/>
          <w:szCs w:val="20"/>
        </w:rPr>
      </w:pPr>
      <w:r w:rsidRPr="005803C1">
        <w:rPr>
          <w:rFonts w:ascii="Arial" w:hAnsi="Arial"/>
          <w:sz w:val="20"/>
          <w:szCs w:val="20"/>
        </w:rPr>
        <w:t xml:space="preserve">Year on year the </w:t>
      </w:r>
      <w:r w:rsidRPr="005803C1">
        <w:rPr>
          <w:rFonts w:ascii="Arial" w:hAnsi="Arial"/>
          <w:sz w:val="20"/>
          <w:szCs w:val="20"/>
          <w:u w:val="single"/>
        </w:rPr>
        <w:t>premium rent</w:t>
      </w:r>
      <w:r w:rsidRPr="005803C1">
        <w:rPr>
          <w:rFonts w:ascii="Arial" w:hAnsi="Arial"/>
          <w:sz w:val="20"/>
          <w:szCs w:val="20"/>
        </w:rPr>
        <w:t xml:space="preserve"> cl</w:t>
      </w:r>
      <w:r w:rsidR="00C53E58" w:rsidRPr="005803C1">
        <w:rPr>
          <w:rFonts w:ascii="Arial" w:hAnsi="Arial"/>
          <w:sz w:val="20"/>
          <w:szCs w:val="20"/>
        </w:rPr>
        <w:t>imbed from €31.00/m²/month to €</w:t>
      </w:r>
      <w:r w:rsidRPr="005803C1">
        <w:rPr>
          <w:rFonts w:ascii="Arial" w:hAnsi="Arial"/>
          <w:sz w:val="20"/>
          <w:szCs w:val="20"/>
        </w:rPr>
        <w:t xml:space="preserve">31.50/m²/month. </w:t>
      </w:r>
      <w:r w:rsidRPr="005803C1">
        <w:rPr>
          <w:rFonts w:ascii="Arial" w:hAnsi="Arial"/>
          <w:i/>
          <w:sz w:val="20"/>
          <w:szCs w:val="20"/>
        </w:rPr>
        <w:t xml:space="preserve">“Rates have risen for top-quality office space in central locations. One of the reasons for this is the spiralling </w:t>
      </w:r>
      <w:r w:rsidR="00E32C38" w:rsidRPr="005803C1">
        <w:rPr>
          <w:rFonts w:ascii="Arial" w:hAnsi="Arial"/>
          <w:i/>
          <w:sz w:val="20"/>
          <w:szCs w:val="20"/>
        </w:rPr>
        <w:t xml:space="preserve">price </w:t>
      </w:r>
      <w:r w:rsidRPr="005803C1">
        <w:rPr>
          <w:rFonts w:ascii="Arial" w:hAnsi="Arial"/>
          <w:i/>
          <w:sz w:val="20"/>
          <w:szCs w:val="20"/>
        </w:rPr>
        <w:t>of construction</w:t>
      </w:r>
      <w:r w:rsidR="00E32C38" w:rsidRPr="005803C1">
        <w:rPr>
          <w:rFonts w:ascii="Arial" w:hAnsi="Arial"/>
          <w:i/>
          <w:sz w:val="20"/>
          <w:szCs w:val="20"/>
        </w:rPr>
        <w:t>,</w:t>
      </w:r>
      <w:r w:rsidRPr="005803C1">
        <w:rPr>
          <w:rFonts w:ascii="Arial" w:hAnsi="Arial"/>
          <w:i/>
          <w:sz w:val="20"/>
          <w:szCs w:val="20"/>
        </w:rPr>
        <w:t xml:space="preserve"> which </w:t>
      </w:r>
      <w:r w:rsidR="00E32C38" w:rsidRPr="005803C1">
        <w:rPr>
          <w:rFonts w:ascii="Arial" w:hAnsi="Arial"/>
          <w:i/>
          <w:sz w:val="20"/>
          <w:szCs w:val="20"/>
        </w:rPr>
        <w:t xml:space="preserve">makes it hard for many </w:t>
      </w:r>
      <w:r w:rsidRPr="005803C1">
        <w:rPr>
          <w:rFonts w:ascii="Arial" w:hAnsi="Arial"/>
          <w:i/>
          <w:sz w:val="20"/>
          <w:szCs w:val="20"/>
        </w:rPr>
        <w:t xml:space="preserve">developers </w:t>
      </w:r>
      <w:r w:rsidR="00E32C38" w:rsidRPr="005803C1">
        <w:rPr>
          <w:rFonts w:ascii="Arial" w:hAnsi="Arial"/>
          <w:i/>
          <w:sz w:val="20"/>
          <w:szCs w:val="20"/>
        </w:rPr>
        <w:t>to calculate project costs</w:t>
      </w:r>
      <w:r w:rsidRPr="005803C1">
        <w:rPr>
          <w:rFonts w:ascii="Arial" w:hAnsi="Arial"/>
          <w:i/>
          <w:sz w:val="20"/>
          <w:szCs w:val="20"/>
        </w:rPr>
        <w:t xml:space="preserve"> accurate</w:t>
      </w:r>
      <w:r w:rsidR="00E32C38" w:rsidRPr="005803C1">
        <w:rPr>
          <w:rFonts w:ascii="Arial" w:hAnsi="Arial"/>
          <w:i/>
          <w:sz w:val="20"/>
          <w:szCs w:val="20"/>
        </w:rPr>
        <w:t>ly</w:t>
      </w:r>
      <w:r w:rsidRPr="005803C1">
        <w:rPr>
          <w:rFonts w:ascii="Arial" w:hAnsi="Arial"/>
          <w:i/>
          <w:sz w:val="20"/>
          <w:szCs w:val="20"/>
        </w:rPr>
        <w:t>,”</w:t>
      </w:r>
      <w:r w:rsidRPr="005803C1">
        <w:rPr>
          <w:rFonts w:ascii="Arial" w:hAnsi="Arial"/>
          <w:sz w:val="20"/>
          <w:szCs w:val="20"/>
        </w:rPr>
        <w:t xml:space="preserve"> says </w:t>
      </w:r>
      <w:proofErr w:type="spellStart"/>
      <w:r w:rsidRPr="005803C1">
        <w:rPr>
          <w:rFonts w:ascii="Arial" w:hAnsi="Arial"/>
          <w:b/>
          <w:sz w:val="20"/>
          <w:szCs w:val="20"/>
        </w:rPr>
        <w:t>Rehberg</w:t>
      </w:r>
      <w:proofErr w:type="spellEnd"/>
      <w:r w:rsidRPr="005803C1">
        <w:rPr>
          <w:rFonts w:ascii="Arial" w:hAnsi="Arial"/>
          <w:sz w:val="20"/>
          <w:szCs w:val="20"/>
        </w:rPr>
        <w:t>, commenting on the increase.</w:t>
      </w:r>
    </w:p>
    <w:p w14:paraId="72D444E8" w14:textId="2CAE9D09" w:rsidR="0068013A" w:rsidRDefault="0068013A">
      <w:pPr>
        <w:spacing w:after="0"/>
        <w:rPr>
          <w:rFonts w:ascii="Arial" w:hAnsi="Arial" w:cs="Arial"/>
          <w:color w:val="FF0000"/>
          <w:sz w:val="20"/>
          <w:szCs w:val="20"/>
        </w:rPr>
      </w:pPr>
      <w:r>
        <w:rPr>
          <w:rFonts w:ascii="Arial" w:hAnsi="Arial" w:cs="Arial"/>
          <w:color w:val="FF0000"/>
          <w:sz w:val="20"/>
          <w:szCs w:val="20"/>
        </w:rPr>
        <w:br w:type="page"/>
      </w:r>
    </w:p>
    <w:p w14:paraId="41CB2C26" w14:textId="07F8D9D4" w:rsidR="00E642CC" w:rsidRPr="00B45CBB" w:rsidRDefault="0068013A" w:rsidP="00B45CBB">
      <w:pPr>
        <w:spacing w:after="0" w:line="360" w:lineRule="auto"/>
        <w:textAlignment w:val="baseline"/>
        <w:rPr>
          <w:rFonts w:ascii="Arial" w:hAnsi="Arial" w:cs="Arial"/>
          <w:color w:val="FF0000"/>
          <w:sz w:val="20"/>
          <w:szCs w:val="20"/>
        </w:rPr>
      </w:pPr>
      <w:r>
        <w:rPr>
          <w:rFonts w:ascii="Arial" w:hAnsi="Arial" w:cs="Arial"/>
          <w:noProof/>
          <w:color w:val="FF0000"/>
          <w:sz w:val="20"/>
          <w:szCs w:val="20"/>
          <w:lang w:val="de-DE" w:eastAsia="de-DE"/>
        </w:rPr>
        <w:lastRenderedPageBreak/>
        <w:drawing>
          <wp:anchor distT="0" distB="0" distL="114300" distR="114300" simplePos="0" relativeHeight="251658240" behindDoc="0" locked="0" layoutInCell="1" allowOverlap="1" wp14:anchorId="0B99CDAB" wp14:editId="354EA111">
            <wp:simplePos x="0" y="0"/>
            <wp:positionH relativeFrom="column">
              <wp:posOffset>3243580</wp:posOffset>
            </wp:positionH>
            <wp:positionV relativeFrom="paragraph">
              <wp:posOffset>254000</wp:posOffset>
            </wp:positionV>
            <wp:extent cx="2807970" cy="2022475"/>
            <wp:effectExtent l="19050" t="19050" r="11430" b="1587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U_2021Q1-3_en.jpg"/>
                    <pic:cNvPicPr/>
                  </pic:nvPicPr>
                  <pic:blipFill>
                    <a:blip r:embed="rId8">
                      <a:extLst>
                        <a:ext uri="{28A0092B-C50C-407E-A947-70E740481C1C}">
                          <a14:useLocalDpi xmlns:a14="http://schemas.microsoft.com/office/drawing/2010/main" val="0"/>
                        </a:ext>
                      </a:extLst>
                    </a:blip>
                    <a:stretch>
                      <a:fillRect/>
                    </a:stretch>
                  </pic:blipFill>
                  <pic:spPr>
                    <a:xfrm>
                      <a:off x="0" y="0"/>
                      <a:ext cx="2807970" cy="2022475"/>
                    </a:xfrm>
                    <a:prstGeom prst="rect">
                      <a:avLst/>
                    </a:prstGeom>
                    <a:ln w="3175">
                      <a:solidFill>
                        <a:schemeClr val="tx1"/>
                      </a:solidFill>
                    </a:ln>
                  </pic:spPr>
                </pic:pic>
              </a:graphicData>
            </a:graphic>
          </wp:anchor>
        </w:drawing>
      </w:r>
    </w:p>
    <w:tbl>
      <w:tblPr>
        <w:tblStyle w:val="Tabellenraster"/>
        <w:tblpPr w:leftFromText="141" w:rightFromText="141" w:vertAnchor="text" w:horzAnchor="margin" w:tblpY="48"/>
        <w:tblW w:w="2575" w:type="pct"/>
        <w:tblLayout w:type="fixed"/>
        <w:tblLook w:val="04A0" w:firstRow="1" w:lastRow="0" w:firstColumn="1" w:lastColumn="0" w:noHBand="0" w:noVBand="1"/>
      </w:tblPr>
      <w:tblGrid>
        <w:gridCol w:w="3681"/>
        <w:gridCol w:w="1276"/>
      </w:tblGrid>
      <w:tr w:rsidR="00126D0B" w:rsidRPr="005650DF" w14:paraId="6F68E670" w14:textId="77777777" w:rsidTr="00BC70B0">
        <w:trPr>
          <w:trHeight w:val="416"/>
        </w:trPr>
        <w:tc>
          <w:tcPr>
            <w:tcW w:w="3713" w:type="pct"/>
            <w:shd w:val="clear" w:color="auto" w:fill="1F242B" w:themeFill="accent2"/>
            <w:vAlign w:val="center"/>
          </w:tcPr>
          <w:p w14:paraId="0A78674A" w14:textId="107A7287" w:rsidR="00126D0B" w:rsidRPr="0053031B" w:rsidRDefault="00126D0B" w:rsidP="006A777A">
            <w:pPr>
              <w:widowControl w:val="0"/>
              <w:spacing w:after="0"/>
              <w:rPr>
                <w:rFonts w:ascii="Arial" w:hAnsi="Arial" w:cs="Arial"/>
                <w:b/>
                <w:sz w:val="18"/>
                <w:szCs w:val="16"/>
              </w:rPr>
            </w:pPr>
            <w:r>
              <w:rPr>
                <w:rFonts w:ascii="Arial" w:hAnsi="Arial"/>
                <w:b/>
                <w:sz w:val="18"/>
                <w:szCs w:val="20"/>
              </w:rPr>
              <w:t>Office market | Hamburg | 2021</w:t>
            </w:r>
          </w:p>
        </w:tc>
        <w:tc>
          <w:tcPr>
            <w:tcW w:w="1287" w:type="pct"/>
            <w:shd w:val="clear" w:color="auto" w:fill="1F242B" w:themeFill="accent2"/>
            <w:vAlign w:val="center"/>
          </w:tcPr>
          <w:p w14:paraId="481F2F5D" w14:textId="382EE778" w:rsidR="00126D0B" w:rsidRPr="0053031B" w:rsidRDefault="00625156" w:rsidP="001F4072">
            <w:pPr>
              <w:widowControl w:val="0"/>
              <w:spacing w:after="0"/>
              <w:jc w:val="center"/>
              <w:rPr>
                <w:rFonts w:ascii="Arial" w:hAnsi="Arial" w:cs="Arial"/>
                <w:b/>
                <w:sz w:val="18"/>
                <w:szCs w:val="16"/>
              </w:rPr>
            </w:pPr>
            <w:r>
              <w:rPr>
                <w:rFonts w:ascii="Arial" w:hAnsi="Arial"/>
                <w:b/>
                <w:sz w:val="18"/>
                <w:szCs w:val="16"/>
              </w:rPr>
              <w:t>Q 1-3</w:t>
            </w:r>
          </w:p>
        </w:tc>
      </w:tr>
      <w:tr w:rsidR="00126D0B" w:rsidRPr="00F952F7" w14:paraId="77867528" w14:textId="77777777" w:rsidTr="00BC70B0">
        <w:trPr>
          <w:trHeight w:val="283"/>
        </w:trPr>
        <w:tc>
          <w:tcPr>
            <w:tcW w:w="3713" w:type="pct"/>
            <w:vAlign w:val="center"/>
          </w:tcPr>
          <w:p w14:paraId="265D46DB" w14:textId="45BB61AB" w:rsidR="00126D0B" w:rsidRPr="000E7BC7" w:rsidRDefault="00126D0B" w:rsidP="00465B0E">
            <w:pPr>
              <w:widowControl w:val="0"/>
              <w:spacing w:before="60" w:after="60"/>
              <w:rPr>
                <w:rFonts w:ascii="Arial" w:hAnsi="Arial" w:cs="Arial"/>
                <w:b/>
                <w:sz w:val="18"/>
                <w:szCs w:val="16"/>
              </w:rPr>
            </w:pPr>
            <w:r>
              <w:rPr>
                <w:rFonts w:ascii="Arial" w:hAnsi="Arial"/>
                <w:b/>
                <w:sz w:val="18"/>
                <w:szCs w:val="16"/>
              </w:rPr>
              <w:t xml:space="preserve">Space take-up </w:t>
            </w:r>
            <w:r>
              <w:rPr>
                <w:rFonts w:ascii="Arial" w:hAnsi="Arial"/>
                <w:sz w:val="18"/>
                <w:szCs w:val="16"/>
              </w:rPr>
              <w:t>[m²]</w:t>
            </w:r>
          </w:p>
        </w:tc>
        <w:tc>
          <w:tcPr>
            <w:tcW w:w="1287" w:type="pct"/>
            <w:vAlign w:val="center"/>
          </w:tcPr>
          <w:p w14:paraId="63741640" w14:textId="49BF9E40" w:rsidR="00126D0B" w:rsidRPr="000E7BC7" w:rsidRDefault="001F4072" w:rsidP="007543F0">
            <w:pPr>
              <w:spacing w:after="0"/>
              <w:jc w:val="right"/>
              <w:rPr>
                <w:rFonts w:ascii="Arial" w:hAnsi="Arial" w:cs="Arial"/>
                <w:sz w:val="18"/>
                <w:szCs w:val="16"/>
              </w:rPr>
            </w:pPr>
            <w:r>
              <w:rPr>
                <w:rFonts w:ascii="Arial" w:hAnsi="Arial"/>
                <w:sz w:val="18"/>
                <w:szCs w:val="16"/>
              </w:rPr>
              <w:t>360,000</w:t>
            </w:r>
          </w:p>
        </w:tc>
      </w:tr>
      <w:tr w:rsidR="00126D0B" w:rsidRPr="00F952F7" w14:paraId="61B49F6B" w14:textId="77777777" w:rsidTr="00BC70B0">
        <w:trPr>
          <w:trHeight w:val="283"/>
        </w:trPr>
        <w:tc>
          <w:tcPr>
            <w:tcW w:w="3713" w:type="pct"/>
            <w:vAlign w:val="center"/>
          </w:tcPr>
          <w:p w14:paraId="7C496C8C" w14:textId="77777777" w:rsidR="00126D0B" w:rsidRPr="000E7BC7" w:rsidRDefault="00126D0B" w:rsidP="00465B0E">
            <w:pPr>
              <w:widowControl w:val="0"/>
              <w:spacing w:before="60" w:after="60"/>
              <w:rPr>
                <w:rFonts w:ascii="Arial" w:hAnsi="Arial" w:cs="Arial"/>
                <w:b/>
                <w:sz w:val="18"/>
                <w:szCs w:val="16"/>
              </w:rPr>
            </w:pPr>
            <w:r>
              <w:rPr>
                <w:rFonts w:ascii="Arial" w:hAnsi="Arial"/>
                <w:sz w:val="18"/>
                <w:szCs w:val="16"/>
              </w:rPr>
              <w:t xml:space="preserve">against prior </w:t>
            </w:r>
            <w:proofErr w:type="spellStart"/>
            <w:r>
              <w:rPr>
                <w:rFonts w:ascii="Arial" w:hAnsi="Arial"/>
                <w:sz w:val="18"/>
                <w:szCs w:val="16"/>
              </w:rPr>
              <w:t>yr</w:t>
            </w:r>
            <w:proofErr w:type="spellEnd"/>
            <w:r>
              <w:rPr>
                <w:rFonts w:ascii="Arial" w:hAnsi="Arial"/>
                <w:sz w:val="18"/>
                <w:szCs w:val="16"/>
              </w:rPr>
              <w:t xml:space="preserve"> [%]</w:t>
            </w:r>
          </w:p>
        </w:tc>
        <w:tc>
          <w:tcPr>
            <w:tcW w:w="1287" w:type="pct"/>
            <w:vAlign w:val="center"/>
          </w:tcPr>
          <w:p w14:paraId="27D64227" w14:textId="4F3C1556" w:rsidR="00126D0B" w:rsidRPr="000E7BC7" w:rsidRDefault="006A777A" w:rsidP="001F4072">
            <w:pPr>
              <w:spacing w:after="0"/>
              <w:jc w:val="right"/>
              <w:rPr>
                <w:rFonts w:ascii="Arial" w:hAnsi="Arial" w:cs="Arial"/>
                <w:sz w:val="18"/>
                <w:szCs w:val="16"/>
              </w:rPr>
            </w:pPr>
            <w:r>
              <w:rPr>
                <w:rFonts w:ascii="Arial" w:hAnsi="Arial"/>
                <w:sz w:val="18"/>
                <w:szCs w:val="16"/>
              </w:rPr>
              <w:t>+44.0</w:t>
            </w:r>
          </w:p>
        </w:tc>
      </w:tr>
      <w:tr w:rsidR="00126D0B" w:rsidRPr="00F952F7" w14:paraId="18A78594" w14:textId="77777777" w:rsidTr="00BC70B0">
        <w:trPr>
          <w:trHeight w:val="283"/>
        </w:trPr>
        <w:tc>
          <w:tcPr>
            <w:tcW w:w="3713" w:type="pct"/>
            <w:vAlign w:val="center"/>
          </w:tcPr>
          <w:p w14:paraId="6954B01F" w14:textId="3D2BFC5F" w:rsidR="00126D0B" w:rsidRPr="000E7BC7" w:rsidRDefault="00126D0B" w:rsidP="00465B0E">
            <w:pPr>
              <w:widowControl w:val="0"/>
              <w:spacing w:before="60" w:after="60"/>
              <w:rPr>
                <w:rFonts w:ascii="Arial" w:hAnsi="Arial" w:cs="Arial"/>
                <w:b/>
                <w:sz w:val="18"/>
                <w:szCs w:val="16"/>
              </w:rPr>
            </w:pPr>
            <w:r>
              <w:rPr>
                <w:rFonts w:ascii="Arial" w:hAnsi="Arial"/>
                <w:b/>
                <w:sz w:val="18"/>
                <w:szCs w:val="16"/>
              </w:rPr>
              <w:t xml:space="preserve">Premium rent </w:t>
            </w:r>
            <w:r>
              <w:rPr>
                <w:rFonts w:ascii="Arial" w:hAnsi="Arial"/>
                <w:sz w:val="18"/>
                <w:szCs w:val="16"/>
              </w:rPr>
              <w:t>[€/m²/month net of services]</w:t>
            </w:r>
          </w:p>
        </w:tc>
        <w:tc>
          <w:tcPr>
            <w:tcW w:w="1287" w:type="pct"/>
            <w:vAlign w:val="center"/>
          </w:tcPr>
          <w:p w14:paraId="70F596CF" w14:textId="734F033E" w:rsidR="00126D0B" w:rsidRPr="000E7BC7" w:rsidRDefault="001F4072" w:rsidP="003579E5">
            <w:pPr>
              <w:spacing w:after="0"/>
              <w:jc w:val="right"/>
              <w:rPr>
                <w:rFonts w:ascii="Arial" w:hAnsi="Arial" w:cs="Arial"/>
                <w:color w:val="000000" w:themeColor="text1"/>
                <w:sz w:val="18"/>
                <w:szCs w:val="16"/>
              </w:rPr>
            </w:pPr>
            <w:r>
              <w:rPr>
                <w:rFonts w:ascii="Arial" w:hAnsi="Arial"/>
                <w:sz w:val="18"/>
                <w:szCs w:val="16"/>
              </w:rPr>
              <w:t>31.50</w:t>
            </w:r>
          </w:p>
        </w:tc>
      </w:tr>
      <w:tr w:rsidR="00126D0B" w:rsidRPr="00F952F7" w14:paraId="31A55AA5" w14:textId="77777777" w:rsidTr="00BC70B0">
        <w:trPr>
          <w:trHeight w:val="283"/>
        </w:trPr>
        <w:tc>
          <w:tcPr>
            <w:tcW w:w="3713" w:type="pct"/>
            <w:vAlign w:val="center"/>
          </w:tcPr>
          <w:p w14:paraId="6DBC3456" w14:textId="77777777" w:rsidR="00126D0B" w:rsidRPr="000E7BC7" w:rsidRDefault="00126D0B" w:rsidP="00465B0E">
            <w:pPr>
              <w:widowControl w:val="0"/>
              <w:spacing w:before="60" w:after="60"/>
              <w:rPr>
                <w:rFonts w:ascii="Arial" w:hAnsi="Arial" w:cs="Arial"/>
                <w:b/>
                <w:sz w:val="18"/>
                <w:szCs w:val="16"/>
              </w:rPr>
            </w:pPr>
            <w:r>
              <w:rPr>
                <w:rFonts w:ascii="Arial" w:hAnsi="Arial"/>
                <w:sz w:val="18"/>
                <w:szCs w:val="16"/>
              </w:rPr>
              <w:t xml:space="preserve">against prior </w:t>
            </w:r>
            <w:proofErr w:type="spellStart"/>
            <w:r>
              <w:rPr>
                <w:rFonts w:ascii="Arial" w:hAnsi="Arial"/>
                <w:sz w:val="18"/>
                <w:szCs w:val="16"/>
              </w:rPr>
              <w:t>yr</w:t>
            </w:r>
            <w:proofErr w:type="spellEnd"/>
            <w:r>
              <w:rPr>
                <w:rFonts w:ascii="Arial" w:hAnsi="Arial"/>
                <w:sz w:val="18"/>
                <w:szCs w:val="16"/>
              </w:rPr>
              <w:t xml:space="preserve"> [%]</w:t>
            </w:r>
          </w:p>
        </w:tc>
        <w:tc>
          <w:tcPr>
            <w:tcW w:w="1287" w:type="pct"/>
            <w:vAlign w:val="center"/>
          </w:tcPr>
          <w:p w14:paraId="6830C292" w14:textId="07BF709B" w:rsidR="00126D0B" w:rsidRPr="000E7BC7" w:rsidRDefault="00010109" w:rsidP="001F4072">
            <w:pPr>
              <w:spacing w:after="0"/>
              <w:jc w:val="right"/>
              <w:rPr>
                <w:rFonts w:ascii="Arial" w:hAnsi="Arial" w:cs="Arial"/>
                <w:color w:val="000000" w:themeColor="text1"/>
                <w:sz w:val="18"/>
                <w:szCs w:val="16"/>
              </w:rPr>
            </w:pPr>
            <w:r>
              <w:rPr>
                <w:rFonts w:ascii="Arial" w:hAnsi="Arial"/>
                <w:color w:val="000000" w:themeColor="text1"/>
                <w:sz w:val="18"/>
                <w:szCs w:val="16"/>
              </w:rPr>
              <w:t>+3.3</w:t>
            </w:r>
          </w:p>
        </w:tc>
      </w:tr>
      <w:tr w:rsidR="00126D0B" w:rsidRPr="00F952F7" w14:paraId="7F67F22F" w14:textId="77777777" w:rsidTr="00BC70B0">
        <w:trPr>
          <w:trHeight w:val="283"/>
        </w:trPr>
        <w:tc>
          <w:tcPr>
            <w:tcW w:w="3713" w:type="pct"/>
            <w:vAlign w:val="center"/>
          </w:tcPr>
          <w:p w14:paraId="2F932C3B" w14:textId="2529BCD3" w:rsidR="00126D0B" w:rsidRPr="000E7BC7" w:rsidRDefault="00126D0B" w:rsidP="00C171C1">
            <w:pPr>
              <w:widowControl w:val="0"/>
              <w:spacing w:before="60" w:after="60"/>
              <w:rPr>
                <w:rFonts w:ascii="Arial" w:hAnsi="Arial" w:cs="Arial"/>
                <w:b/>
                <w:sz w:val="18"/>
                <w:szCs w:val="16"/>
              </w:rPr>
            </w:pPr>
            <w:r>
              <w:rPr>
                <w:rFonts w:ascii="Arial" w:hAnsi="Arial"/>
                <w:b/>
                <w:sz w:val="18"/>
                <w:szCs w:val="16"/>
              </w:rPr>
              <w:t xml:space="preserve">Average rent </w:t>
            </w:r>
            <w:r>
              <w:rPr>
                <w:rFonts w:ascii="Arial" w:hAnsi="Arial"/>
                <w:sz w:val="18"/>
                <w:szCs w:val="16"/>
              </w:rPr>
              <w:t>[€/m²/month net of services]</w:t>
            </w:r>
          </w:p>
        </w:tc>
        <w:tc>
          <w:tcPr>
            <w:tcW w:w="1287" w:type="pct"/>
            <w:vAlign w:val="center"/>
          </w:tcPr>
          <w:p w14:paraId="3C14A76E" w14:textId="304EE9F5" w:rsidR="00126D0B" w:rsidRPr="000E7BC7" w:rsidRDefault="001F4072" w:rsidP="006A777A">
            <w:pPr>
              <w:spacing w:after="0"/>
              <w:jc w:val="right"/>
              <w:rPr>
                <w:rFonts w:ascii="Arial" w:hAnsi="Arial" w:cs="Arial"/>
                <w:color w:val="000000" w:themeColor="text1"/>
                <w:sz w:val="18"/>
                <w:szCs w:val="16"/>
              </w:rPr>
            </w:pPr>
            <w:r>
              <w:rPr>
                <w:rFonts w:ascii="Arial" w:hAnsi="Arial"/>
                <w:sz w:val="18"/>
                <w:szCs w:val="16"/>
              </w:rPr>
              <w:t>18.10</w:t>
            </w:r>
          </w:p>
        </w:tc>
      </w:tr>
      <w:tr w:rsidR="00126D0B" w:rsidRPr="00F952F7" w14:paraId="55AE2FEF" w14:textId="77777777" w:rsidTr="00BC70B0">
        <w:trPr>
          <w:trHeight w:val="283"/>
        </w:trPr>
        <w:tc>
          <w:tcPr>
            <w:tcW w:w="3713" w:type="pct"/>
            <w:vAlign w:val="center"/>
          </w:tcPr>
          <w:p w14:paraId="51C3035D" w14:textId="5EEF0C29" w:rsidR="00126D0B" w:rsidRPr="000E7BC7" w:rsidRDefault="00126D0B" w:rsidP="00465B0E">
            <w:pPr>
              <w:widowControl w:val="0"/>
              <w:spacing w:before="60" w:after="60"/>
              <w:rPr>
                <w:rFonts w:ascii="Arial" w:hAnsi="Arial" w:cs="Arial"/>
                <w:b/>
                <w:sz w:val="18"/>
                <w:szCs w:val="16"/>
              </w:rPr>
            </w:pPr>
            <w:r>
              <w:rPr>
                <w:rFonts w:ascii="Arial" w:hAnsi="Arial"/>
                <w:sz w:val="18"/>
                <w:szCs w:val="16"/>
              </w:rPr>
              <w:t xml:space="preserve">against prior </w:t>
            </w:r>
            <w:proofErr w:type="spellStart"/>
            <w:r>
              <w:rPr>
                <w:rFonts w:ascii="Arial" w:hAnsi="Arial"/>
                <w:sz w:val="18"/>
                <w:szCs w:val="16"/>
              </w:rPr>
              <w:t>yr</w:t>
            </w:r>
            <w:proofErr w:type="spellEnd"/>
            <w:r>
              <w:rPr>
                <w:rFonts w:ascii="Arial" w:hAnsi="Arial"/>
                <w:sz w:val="18"/>
                <w:szCs w:val="16"/>
              </w:rPr>
              <w:t xml:space="preserve"> [%]</w:t>
            </w:r>
          </w:p>
        </w:tc>
        <w:tc>
          <w:tcPr>
            <w:tcW w:w="1287" w:type="pct"/>
            <w:vAlign w:val="center"/>
          </w:tcPr>
          <w:p w14:paraId="4164DE3A" w14:textId="1A89A0DD" w:rsidR="00126D0B" w:rsidRPr="000E7BC7" w:rsidRDefault="006A777A" w:rsidP="001F4072">
            <w:pPr>
              <w:spacing w:after="0"/>
              <w:jc w:val="right"/>
              <w:rPr>
                <w:rFonts w:ascii="Arial" w:hAnsi="Arial" w:cs="Arial"/>
                <w:color w:val="000000" w:themeColor="text1"/>
                <w:sz w:val="18"/>
                <w:szCs w:val="16"/>
              </w:rPr>
            </w:pPr>
            <w:r>
              <w:rPr>
                <w:rFonts w:ascii="Arial" w:hAnsi="Arial"/>
                <w:color w:val="000000" w:themeColor="text1"/>
                <w:sz w:val="18"/>
                <w:szCs w:val="16"/>
              </w:rPr>
              <w:t>+4.6</w:t>
            </w:r>
          </w:p>
        </w:tc>
      </w:tr>
      <w:tr w:rsidR="00126D0B" w:rsidRPr="00F952F7" w14:paraId="29F52584" w14:textId="77777777" w:rsidTr="00BC70B0">
        <w:trPr>
          <w:trHeight w:val="283"/>
        </w:trPr>
        <w:tc>
          <w:tcPr>
            <w:tcW w:w="3713" w:type="pct"/>
            <w:vAlign w:val="center"/>
          </w:tcPr>
          <w:p w14:paraId="1671CE00" w14:textId="77777777" w:rsidR="00126D0B" w:rsidRPr="000E7BC7" w:rsidRDefault="00126D0B" w:rsidP="00465B0E">
            <w:pPr>
              <w:widowControl w:val="0"/>
              <w:spacing w:before="60" w:after="60"/>
              <w:rPr>
                <w:rFonts w:ascii="Arial" w:hAnsi="Arial" w:cs="Arial"/>
                <w:sz w:val="18"/>
                <w:szCs w:val="16"/>
              </w:rPr>
            </w:pPr>
            <w:r>
              <w:rPr>
                <w:rFonts w:ascii="Arial" w:hAnsi="Arial"/>
                <w:b/>
                <w:sz w:val="18"/>
                <w:szCs w:val="16"/>
              </w:rPr>
              <w:t>Stock of office space</w:t>
            </w:r>
            <w:r>
              <w:rPr>
                <w:rFonts w:ascii="Arial" w:hAnsi="Arial"/>
                <w:sz w:val="18"/>
                <w:szCs w:val="16"/>
              </w:rPr>
              <w:t xml:space="preserve"> [millions m²]</w:t>
            </w:r>
          </w:p>
        </w:tc>
        <w:tc>
          <w:tcPr>
            <w:tcW w:w="1287" w:type="pct"/>
            <w:vAlign w:val="center"/>
          </w:tcPr>
          <w:p w14:paraId="26F8983D" w14:textId="1E35A0ED" w:rsidR="00126D0B" w:rsidRPr="000E7BC7" w:rsidRDefault="006A777A" w:rsidP="00465B0E">
            <w:pPr>
              <w:spacing w:after="0"/>
              <w:jc w:val="right"/>
              <w:rPr>
                <w:rFonts w:ascii="Arial" w:hAnsi="Arial" w:cs="Arial"/>
                <w:color w:val="000000" w:themeColor="text1"/>
                <w:sz w:val="18"/>
                <w:szCs w:val="16"/>
              </w:rPr>
            </w:pPr>
            <w:r>
              <w:rPr>
                <w:rFonts w:ascii="Arial" w:hAnsi="Arial"/>
                <w:sz w:val="18"/>
                <w:szCs w:val="16"/>
              </w:rPr>
              <w:t>14.00</w:t>
            </w:r>
          </w:p>
        </w:tc>
      </w:tr>
      <w:tr w:rsidR="00126D0B" w:rsidRPr="00F952F7" w14:paraId="66925CFD" w14:textId="77777777" w:rsidTr="00BC70B0">
        <w:trPr>
          <w:trHeight w:val="283"/>
        </w:trPr>
        <w:tc>
          <w:tcPr>
            <w:tcW w:w="3713" w:type="pct"/>
            <w:vAlign w:val="center"/>
          </w:tcPr>
          <w:p w14:paraId="3CAD0C20" w14:textId="31C6453F" w:rsidR="00126D0B" w:rsidRPr="000E7BC7" w:rsidRDefault="00126D0B" w:rsidP="00465B0E">
            <w:pPr>
              <w:widowControl w:val="0"/>
              <w:spacing w:before="60" w:after="60"/>
              <w:rPr>
                <w:rFonts w:ascii="Arial" w:hAnsi="Arial" w:cs="Arial"/>
                <w:b/>
                <w:sz w:val="18"/>
                <w:szCs w:val="16"/>
              </w:rPr>
            </w:pPr>
            <w:r>
              <w:rPr>
                <w:rFonts w:ascii="Arial" w:hAnsi="Arial"/>
                <w:b/>
                <w:sz w:val="18"/>
                <w:szCs w:val="16"/>
              </w:rPr>
              <w:t>Vacant space</w:t>
            </w:r>
            <w:r>
              <w:rPr>
                <w:rFonts w:ascii="Arial" w:hAnsi="Arial"/>
                <w:sz w:val="18"/>
                <w:szCs w:val="16"/>
              </w:rPr>
              <w:t xml:space="preserve"> incl. sub-let space [m²]</w:t>
            </w:r>
          </w:p>
        </w:tc>
        <w:tc>
          <w:tcPr>
            <w:tcW w:w="1287" w:type="pct"/>
            <w:vAlign w:val="center"/>
          </w:tcPr>
          <w:p w14:paraId="55B6F2ED" w14:textId="3983910D" w:rsidR="00126D0B" w:rsidRPr="000E7BC7" w:rsidRDefault="001F4072" w:rsidP="00E116D4">
            <w:pPr>
              <w:spacing w:after="0"/>
              <w:jc w:val="right"/>
              <w:rPr>
                <w:rFonts w:ascii="Arial" w:hAnsi="Arial" w:cs="Arial"/>
                <w:color w:val="000000" w:themeColor="text1"/>
                <w:sz w:val="18"/>
                <w:szCs w:val="16"/>
              </w:rPr>
            </w:pPr>
            <w:r>
              <w:rPr>
                <w:rFonts w:ascii="Arial" w:hAnsi="Arial"/>
                <w:sz w:val="18"/>
                <w:szCs w:val="16"/>
              </w:rPr>
              <w:t>536,700</w:t>
            </w:r>
          </w:p>
        </w:tc>
      </w:tr>
      <w:tr w:rsidR="00126D0B" w:rsidRPr="00F952F7" w14:paraId="48D02C44" w14:textId="77777777" w:rsidTr="00BC70B0">
        <w:trPr>
          <w:trHeight w:val="283"/>
        </w:trPr>
        <w:tc>
          <w:tcPr>
            <w:tcW w:w="3713" w:type="pct"/>
            <w:vAlign w:val="center"/>
          </w:tcPr>
          <w:p w14:paraId="18064F86" w14:textId="77777777" w:rsidR="00126D0B" w:rsidRPr="000E7BC7" w:rsidRDefault="00126D0B" w:rsidP="00465B0E">
            <w:pPr>
              <w:widowControl w:val="0"/>
              <w:spacing w:before="60" w:after="60"/>
              <w:rPr>
                <w:rFonts w:ascii="Arial" w:hAnsi="Arial" w:cs="Arial"/>
                <w:b/>
                <w:sz w:val="18"/>
                <w:szCs w:val="16"/>
              </w:rPr>
            </w:pPr>
            <w:r>
              <w:rPr>
                <w:rFonts w:ascii="Arial" w:hAnsi="Arial"/>
                <w:sz w:val="18"/>
                <w:szCs w:val="16"/>
              </w:rPr>
              <w:t xml:space="preserve">against prior </w:t>
            </w:r>
            <w:proofErr w:type="spellStart"/>
            <w:r>
              <w:rPr>
                <w:rFonts w:ascii="Arial" w:hAnsi="Arial"/>
                <w:sz w:val="18"/>
                <w:szCs w:val="16"/>
              </w:rPr>
              <w:t>yr</w:t>
            </w:r>
            <w:proofErr w:type="spellEnd"/>
            <w:r>
              <w:rPr>
                <w:rFonts w:ascii="Arial" w:hAnsi="Arial"/>
                <w:sz w:val="18"/>
                <w:szCs w:val="16"/>
              </w:rPr>
              <w:t xml:space="preserve"> [%]</w:t>
            </w:r>
          </w:p>
        </w:tc>
        <w:tc>
          <w:tcPr>
            <w:tcW w:w="1287" w:type="pct"/>
            <w:vAlign w:val="center"/>
          </w:tcPr>
          <w:p w14:paraId="45257396" w14:textId="34B8BE75" w:rsidR="00126D0B" w:rsidRPr="000E7BC7" w:rsidRDefault="003579E5" w:rsidP="001F4072">
            <w:pPr>
              <w:spacing w:after="0"/>
              <w:jc w:val="right"/>
              <w:rPr>
                <w:rFonts w:ascii="Arial" w:hAnsi="Arial" w:cs="Arial"/>
                <w:color w:val="000000" w:themeColor="text1"/>
                <w:sz w:val="18"/>
                <w:szCs w:val="16"/>
              </w:rPr>
            </w:pPr>
            <w:r>
              <w:rPr>
                <w:rFonts w:ascii="Arial" w:hAnsi="Arial"/>
                <w:color w:val="000000" w:themeColor="text1"/>
                <w:sz w:val="18"/>
                <w:szCs w:val="16"/>
              </w:rPr>
              <w:t>+15.8</w:t>
            </w:r>
          </w:p>
        </w:tc>
      </w:tr>
      <w:tr w:rsidR="00126D0B" w:rsidRPr="00F952F7" w14:paraId="4405FA29" w14:textId="77777777" w:rsidTr="00BC70B0">
        <w:trPr>
          <w:trHeight w:val="283"/>
        </w:trPr>
        <w:tc>
          <w:tcPr>
            <w:tcW w:w="3713" w:type="pct"/>
            <w:vAlign w:val="center"/>
          </w:tcPr>
          <w:p w14:paraId="753F0052" w14:textId="77106B0C" w:rsidR="00126D0B" w:rsidRPr="000E7BC7" w:rsidRDefault="00126D0B" w:rsidP="00465B0E">
            <w:pPr>
              <w:widowControl w:val="0"/>
              <w:spacing w:before="60" w:after="60"/>
              <w:rPr>
                <w:rFonts w:ascii="Arial" w:hAnsi="Arial" w:cs="Arial"/>
                <w:b/>
                <w:sz w:val="18"/>
                <w:szCs w:val="16"/>
              </w:rPr>
            </w:pPr>
            <w:r>
              <w:rPr>
                <w:rFonts w:ascii="Arial" w:hAnsi="Arial"/>
                <w:b/>
                <w:sz w:val="18"/>
                <w:szCs w:val="16"/>
              </w:rPr>
              <w:t>Vacancy rate</w:t>
            </w:r>
            <w:r>
              <w:rPr>
                <w:rFonts w:ascii="Arial" w:hAnsi="Arial"/>
                <w:sz w:val="18"/>
                <w:szCs w:val="16"/>
              </w:rPr>
              <w:t xml:space="preserve"> incl. sub-let space [%]</w:t>
            </w:r>
          </w:p>
        </w:tc>
        <w:tc>
          <w:tcPr>
            <w:tcW w:w="1287" w:type="pct"/>
            <w:vAlign w:val="center"/>
          </w:tcPr>
          <w:p w14:paraId="0CFC3EE8" w14:textId="683B237D" w:rsidR="00126D0B" w:rsidRPr="000E7BC7" w:rsidRDefault="006640C4" w:rsidP="0025303E">
            <w:pPr>
              <w:spacing w:after="0"/>
              <w:jc w:val="right"/>
              <w:rPr>
                <w:rFonts w:ascii="Arial" w:hAnsi="Arial" w:cs="Arial"/>
                <w:color w:val="000000" w:themeColor="text1"/>
                <w:sz w:val="18"/>
                <w:szCs w:val="16"/>
              </w:rPr>
            </w:pPr>
            <w:r>
              <w:rPr>
                <w:rFonts w:ascii="Arial" w:hAnsi="Arial"/>
                <w:color w:val="000000" w:themeColor="text1"/>
                <w:sz w:val="18"/>
                <w:szCs w:val="16"/>
              </w:rPr>
              <w:t>3.8</w:t>
            </w:r>
          </w:p>
        </w:tc>
      </w:tr>
      <w:tr w:rsidR="00126D0B" w:rsidRPr="00F952F7" w14:paraId="7921B6A7" w14:textId="77777777" w:rsidTr="00BC70B0">
        <w:trPr>
          <w:trHeight w:val="283"/>
        </w:trPr>
        <w:tc>
          <w:tcPr>
            <w:tcW w:w="3713" w:type="pct"/>
            <w:tcBorders>
              <w:bottom w:val="single" w:sz="4" w:space="0" w:color="auto"/>
            </w:tcBorders>
            <w:vAlign w:val="center"/>
          </w:tcPr>
          <w:p w14:paraId="345AD35B" w14:textId="02CF333B" w:rsidR="00126D0B" w:rsidRPr="000E7BC7" w:rsidRDefault="00126D0B" w:rsidP="0025303E">
            <w:pPr>
              <w:widowControl w:val="0"/>
              <w:spacing w:before="60" w:after="60"/>
              <w:rPr>
                <w:rFonts w:ascii="Arial" w:hAnsi="Arial" w:cs="Arial"/>
                <w:b/>
                <w:sz w:val="18"/>
                <w:szCs w:val="16"/>
              </w:rPr>
            </w:pPr>
            <w:r>
              <w:rPr>
                <w:rFonts w:ascii="Arial" w:hAnsi="Arial"/>
                <w:b/>
                <w:bCs/>
                <w:sz w:val="18"/>
                <w:szCs w:val="16"/>
              </w:rPr>
              <w:t>Completions 2021+2022</w:t>
            </w:r>
            <w:r>
              <w:rPr>
                <w:rFonts w:ascii="Arial" w:hAnsi="Arial"/>
                <w:bCs/>
                <w:sz w:val="18"/>
                <w:szCs w:val="16"/>
              </w:rPr>
              <w:t xml:space="preserve"> </w:t>
            </w:r>
            <w:r>
              <w:rPr>
                <w:rFonts w:ascii="Arial" w:hAnsi="Arial"/>
                <w:sz w:val="18"/>
                <w:szCs w:val="16"/>
              </w:rPr>
              <w:t>[m²]</w:t>
            </w:r>
          </w:p>
        </w:tc>
        <w:tc>
          <w:tcPr>
            <w:tcW w:w="1287" w:type="pct"/>
            <w:tcBorders>
              <w:bottom w:val="single" w:sz="4" w:space="0" w:color="auto"/>
            </w:tcBorders>
            <w:vAlign w:val="center"/>
          </w:tcPr>
          <w:p w14:paraId="1B6B2972" w14:textId="4D738DCC" w:rsidR="00126D0B" w:rsidRPr="000E7BC7" w:rsidRDefault="001F4072" w:rsidP="00E116D4">
            <w:pPr>
              <w:spacing w:after="0"/>
              <w:jc w:val="right"/>
              <w:rPr>
                <w:rFonts w:ascii="Arial" w:hAnsi="Arial" w:cs="Arial"/>
                <w:color w:val="000000" w:themeColor="text1"/>
                <w:sz w:val="18"/>
                <w:szCs w:val="16"/>
              </w:rPr>
            </w:pPr>
            <w:r>
              <w:rPr>
                <w:rFonts w:ascii="Arial" w:hAnsi="Arial"/>
                <w:sz w:val="18"/>
                <w:szCs w:val="16"/>
              </w:rPr>
              <w:t>268,000</w:t>
            </w:r>
          </w:p>
        </w:tc>
      </w:tr>
      <w:tr w:rsidR="00126D0B" w:rsidRPr="00F952F7" w14:paraId="087F48A7" w14:textId="77777777" w:rsidTr="00BC70B0">
        <w:trPr>
          <w:trHeight w:val="283"/>
        </w:trPr>
        <w:tc>
          <w:tcPr>
            <w:tcW w:w="3713" w:type="pct"/>
            <w:tcBorders>
              <w:bottom w:val="single" w:sz="4" w:space="0" w:color="auto"/>
            </w:tcBorders>
            <w:vAlign w:val="center"/>
          </w:tcPr>
          <w:p w14:paraId="1D69265F" w14:textId="77777777" w:rsidR="00126D0B" w:rsidRPr="000E7BC7" w:rsidRDefault="00126D0B" w:rsidP="00465B0E">
            <w:pPr>
              <w:widowControl w:val="0"/>
              <w:spacing w:before="60" w:after="60"/>
              <w:rPr>
                <w:rFonts w:ascii="Arial" w:hAnsi="Arial" w:cs="Arial"/>
                <w:b/>
                <w:sz w:val="18"/>
                <w:szCs w:val="16"/>
              </w:rPr>
            </w:pPr>
            <w:r>
              <w:rPr>
                <w:rFonts w:ascii="Arial" w:hAnsi="Arial"/>
                <w:b/>
                <w:sz w:val="18"/>
                <w:szCs w:val="16"/>
              </w:rPr>
              <w:t>Pre-let ratio</w:t>
            </w:r>
            <w:r>
              <w:rPr>
                <w:rFonts w:ascii="Arial" w:hAnsi="Arial"/>
                <w:sz w:val="18"/>
                <w:szCs w:val="16"/>
              </w:rPr>
              <w:t xml:space="preserve"> [%]</w:t>
            </w:r>
          </w:p>
        </w:tc>
        <w:tc>
          <w:tcPr>
            <w:tcW w:w="1287" w:type="pct"/>
            <w:tcBorders>
              <w:bottom w:val="single" w:sz="4" w:space="0" w:color="auto"/>
            </w:tcBorders>
            <w:vAlign w:val="center"/>
          </w:tcPr>
          <w:p w14:paraId="65F1CE2C" w14:textId="63EAF095" w:rsidR="00126D0B" w:rsidRPr="000E7BC7" w:rsidRDefault="001F4072" w:rsidP="00E116D4">
            <w:pPr>
              <w:spacing w:after="0"/>
              <w:jc w:val="right"/>
              <w:rPr>
                <w:rFonts w:ascii="Arial" w:hAnsi="Arial" w:cs="Arial"/>
                <w:color w:val="000000" w:themeColor="text1"/>
                <w:sz w:val="18"/>
                <w:szCs w:val="16"/>
              </w:rPr>
            </w:pPr>
            <w:r>
              <w:rPr>
                <w:rFonts w:ascii="Arial" w:hAnsi="Arial"/>
                <w:color w:val="000000" w:themeColor="text1"/>
                <w:sz w:val="18"/>
                <w:szCs w:val="16"/>
              </w:rPr>
              <w:t>69</w:t>
            </w:r>
          </w:p>
        </w:tc>
      </w:tr>
    </w:tbl>
    <w:p w14:paraId="20FF3D17" w14:textId="3B535BE3" w:rsidR="00655405" w:rsidRDefault="00655405" w:rsidP="00F12C0D">
      <w:pPr>
        <w:spacing w:after="0" w:line="360" w:lineRule="auto"/>
        <w:textAlignment w:val="baseline"/>
        <w:rPr>
          <w:rFonts w:ascii="Arial" w:hAnsi="Arial" w:cs="Arial"/>
          <w:b/>
          <w:sz w:val="20"/>
          <w:szCs w:val="20"/>
        </w:rPr>
      </w:pPr>
    </w:p>
    <w:p w14:paraId="6BBA9DA5" w14:textId="4D93EC99" w:rsidR="00D412A7" w:rsidRDefault="00D412A7">
      <w:pPr>
        <w:spacing w:after="0"/>
        <w:rPr>
          <w:rFonts w:ascii="Arial" w:hAnsi="Arial" w:cs="Arial"/>
          <w:b/>
          <w:sz w:val="20"/>
          <w:szCs w:val="20"/>
        </w:rPr>
      </w:pPr>
    </w:p>
    <w:p w14:paraId="0B228A32" w14:textId="6884B7E6" w:rsidR="00D412A7" w:rsidRDefault="00D412A7">
      <w:pPr>
        <w:spacing w:after="0"/>
        <w:rPr>
          <w:rFonts w:ascii="Arial" w:hAnsi="Arial" w:cs="Arial"/>
          <w:b/>
          <w:sz w:val="20"/>
          <w:szCs w:val="20"/>
        </w:rPr>
      </w:pPr>
    </w:p>
    <w:p w14:paraId="5B2F56AB" w14:textId="2C2C6E55" w:rsidR="00363DD7" w:rsidRDefault="00363DD7">
      <w:pPr>
        <w:spacing w:after="0"/>
        <w:rPr>
          <w:rFonts w:ascii="Arial" w:hAnsi="Arial" w:cs="Arial"/>
          <w:b/>
          <w:sz w:val="20"/>
          <w:szCs w:val="20"/>
        </w:rPr>
      </w:pPr>
    </w:p>
    <w:p w14:paraId="59FCD40B" w14:textId="2813218E" w:rsidR="00363DD7" w:rsidRDefault="00363DD7">
      <w:pPr>
        <w:spacing w:after="0"/>
        <w:rPr>
          <w:rFonts w:ascii="Arial" w:hAnsi="Arial" w:cs="Arial"/>
          <w:b/>
          <w:sz w:val="20"/>
          <w:szCs w:val="20"/>
        </w:rPr>
      </w:pPr>
    </w:p>
    <w:p w14:paraId="00FB1909" w14:textId="77777777" w:rsidR="00440141" w:rsidRDefault="00440141">
      <w:pPr>
        <w:spacing w:after="0"/>
        <w:rPr>
          <w:rFonts w:ascii="Arial" w:hAnsi="Arial" w:cs="Arial"/>
          <w:b/>
          <w:sz w:val="20"/>
          <w:szCs w:val="20"/>
        </w:rPr>
      </w:pPr>
    </w:p>
    <w:p w14:paraId="3AA9BC50" w14:textId="52329640" w:rsidR="00B26FFD" w:rsidRDefault="00470BCC">
      <w:pPr>
        <w:spacing w:after="0"/>
        <w:rPr>
          <w:rFonts w:ascii="Arial" w:eastAsia="Arial" w:hAnsi="Arial" w:cs="Arial"/>
          <w:b/>
          <w:color w:val="000000" w:themeColor="text1"/>
          <w:sz w:val="20"/>
          <w:szCs w:val="20"/>
        </w:rPr>
      </w:pPr>
      <w:r>
        <w:rPr>
          <w:rFonts w:ascii="Arial" w:hAnsi="Arial"/>
          <w:b/>
          <w:sz w:val="20"/>
          <w:szCs w:val="20"/>
        </w:rPr>
        <w:t>Top selected known agreements | offices in Hamburg | 1st-3rd quarters 2021</w:t>
      </w:r>
    </w:p>
    <w:tbl>
      <w:tblPr>
        <w:tblStyle w:val="Tabellenraster"/>
        <w:tblpPr w:leftFromText="141" w:rightFromText="141" w:vertAnchor="text" w:horzAnchor="margin" w:tblpY="218"/>
        <w:tblW w:w="9634" w:type="dxa"/>
        <w:tblLook w:val="04A0" w:firstRow="1" w:lastRow="0" w:firstColumn="1" w:lastColumn="0" w:noHBand="0" w:noVBand="1"/>
      </w:tblPr>
      <w:tblGrid>
        <w:gridCol w:w="2972"/>
        <w:gridCol w:w="1843"/>
        <w:gridCol w:w="2693"/>
        <w:gridCol w:w="1277"/>
        <w:gridCol w:w="849"/>
      </w:tblGrid>
      <w:tr w:rsidR="00BB2707" w:rsidRPr="0017364E" w14:paraId="7B788289" w14:textId="77777777" w:rsidTr="005803C1">
        <w:trPr>
          <w:trHeight w:val="567"/>
        </w:trPr>
        <w:tc>
          <w:tcPr>
            <w:tcW w:w="2972" w:type="dxa"/>
            <w:shd w:val="clear" w:color="auto" w:fill="1F242B" w:themeFill="accent2"/>
            <w:vAlign w:val="center"/>
          </w:tcPr>
          <w:p w14:paraId="1FF646C4" w14:textId="541E5146" w:rsidR="00BB2707" w:rsidRDefault="00BB2707" w:rsidP="00647851">
            <w:pPr>
              <w:spacing w:before="60" w:after="60"/>
              <w:jc w:val="center"/>
              <w:rPr>
                <w:rFonts w:ascii="Arial" w:hAnsi="Arial" w:cs="Arial"/>
                <w:b/>
                <w:sz w:val="18"/>
                <w:szCs w:val="16"/>
              </w:rPr>
            </w:pPr>
            <w:r>
              <w:rPr>
                <w:rFonts w:ascii="Arial" w:hAnsi="Arial"/>
                <w:b/>
                <w:sz w:val="18"/>
                <w:szCs w:val="16"/>
              </w:rPr>
              <w:t>Tenant</w:t>
            </w:r>
            <w:r w:rsidR="00BC70B0">
              <w:rPr>
                <w:rFonts w:ascii="Arial" w:hAnsi="Arial"/>
                <w:b/>
                <w:sz w:val="18"/>
                <w:szCs w:val="16"/>
              </w:rPr>
              <w:t xml:space="preserve"> </w:t>
            </w:r>
            <w:r>
              <w:rPr>
                <w:rFonts w:ascii="Arial" w:hAnsi="Arial"/>
                <w:b/>
                <w:sz w:val="18"/>
                <w:szCs w:val="16"/>
              </w:rPr>
              <w:t>/</w:t>
            </w:r>
            <w:r w:rsidR="00BC70B0">
              <w:rPr>
                <w:rFonts w:ascii="Arial" w:hAnsi="Arial"/>
                <w:b/>
                <w:sz w:val="18"/>
                <w:szCs w:val="16"/>
              </w:rPr>
              <w:t xml:space="preserve"> </w:t>
            </w:r>
            <w:r>
              <w:rPr>
                <w:rFonts w:ascii="Arial" w:hAnsi="Arial"/>
                <w:b/>
                <w:sz w:val="18"/>
                <w:szCs w:val="16"/>
              </w:rPr>
              <w:t>owner-occupier</w:t>
            </w:r>
          </w:p>
          <w:p w14:paraId="4605900A" w14:textId="77777777" w:rsidR="00BB2707" w:rsidRPr="0017364E" w:rsidRDefault="00BB2707" w:rsidP="00647851">
            <w:pPr>
              <w:spacing w:before="60" w:after="60"/>
              <w:jc w:val="center"/>
              <w:rPr>
                <w:rFonts w:ascii="Arial" w:hAnsi="Arial" w:cs="Arial"/>
                <w:b/>
                <w:sz w:val="18"/>
                <w:szCs w:val="16"/>
              </w:rPr>
            </w:pPr>
          </w:p>
        </w:tc>
        <w:tc>
          <w:tcPr>
            <w:tcW w:w="1843" w:type="dxa"/>
            <w:shd w:val="clear" w:color="auto" w:fill="1F242B" w:themeFill="accent2"/>
            <w:vAlign w:val="center"/>
          </w:tcPr>
          <w:p w14:paraId="5E73AA5F" w14:textId="304AF6D2" w:rsidR="00BB2707" w:rsidRDefault="00BB2707" w:rsidP="00647851">
            <w:pPr>
              <w:spacing w:before="60" w:after="60"/>
              <w:jc w:val="center"/>
              <w:rPr>
                <w:rFonts w:ascii="Arial" w:hAnsi="Arial" w:cs="Arial"/>
                <w:b/>
                <w:sz w:val="18"/>
                <w:szCs w:val="16"/>
              </w:rPr>
            </w:pPr>
            <w:r>
              <w:rPr>
                <w:rFonts w:ascii="Arial" w:hAnsi="Arial"/>
                <w:b/>
                <w:sz w:val="18"/>
                <w:szCs w:val="16"/>
              </w:rPr>
              <w:t>Property</w:t>
            </w:r>
            <w:r w:rsidR="00BC70B0">
              <w:rPr>
                <w:rFonts w:ascii="Arial" w:hAnsi="Arial"/>
                <w:b/>
                <w:sz w:val="18"/>
                <w:szCs w:val="16"/>
              </w:rPr>
              <w:t xml:space="preserve"> </w:t>
            </w:r>
            <w:r>
              <w:rPr>
                <w:rFonts w:ascii="Arial" w:hAnsi="Arial"/>
                <w:b/>
                <w:sz w:val="18"/>
                <w:szCs w:val="16"/>
              </w:rPr>
              <w:t>/</w:t>
            </w:r>
            <w:r w:rsidR="00BC70B0">
              <w:rPr>
                <w:rFonts w:ascii="Arial" w:hAnsi="Arial"/>
                <w:b/>
                <w:sz w:val="18"/>
                <w:szCs w:val="16"/>
              </w:rPr>
              <w:t xml:space="preserve"> </w:t>
            </w:r>
            <w:r>
              <w:rPr>
                <w:rFonts w:ascii="Arial" w:hAnsi="Arial"/>
                <w:b/>
                <w:sz w:val="18"/>
                <w:szCs w:val="16"/>
              </w:rPr>
              <w:t>project</w:t>
            </w:r>
          </w:p>
          <w:p w14:paraId="165BD714" w14:textId="77777777" w:rsidR="00BB2707" w:rsidRPr="0017364E" w:rsidRDefault="00BB2707" w:rsidP="00647851">
            <w:pPr>
              <w:spacing w:before="60" w:after="60"/>
              <w:jc w:val="center"/>
              <w:rPr>
                <w:rFonts w:ascii="Arial" w:hAnsi="Arial" w:cs="Arial"/>
                <w:b/>
                <w:sz w:val="18"/>
                <w:szCs w:val="16"/>
              </w:rPr>
            </w:pPr>
          </w:p>
        </w:tc>
        <w:tc>
          <w:tcPr>
            <w:tcW w:w="2693" w:type="dxa"/>
            <w:shd w:val="clear" w:color="auto" w:fill="1F242B" w:themeFill="accent2"/>
            <w:vAlign w:val="center"/>
          </w:tcPr>
          <w:p w14:paraId="5C56E890" w14:textId="26765B27" w:rsidR="00BB2707" w:rsidRDefault="00BB2707" w:rsidP="00647851">
            <w:pPr>
              <w:spacing w:before="60" w:after="60"/>
              <w:jc w:val="center"/>
              <w:rPr>
                <w:rFonts w:ascii="Arial" w:hAnsi="Arial" w:cs="Arial"/>
                <w:b/>
                <w:sz w:val="18"/>
                <w:szCs w:val="16"/>
              </w:rPr>
            </w:pPr>
            <w:r>
              <w:rPr>
                <w:rFonts w:ascii="Arial" w:hAnsi="Arial"/>
                <w:b/>
                <w:sz w:val="18"/>
                <w:szCs w:val="16"/>
              </w:rPr>
              <w:t>Street no.</w:t>
            </w:r>
          </w:p>
          <w:p w14:paraId="0D24D566" w14:textId="77777777" w:rsidR="00BB2707" w:rsidRPr="0017364E" w:rsidRDefault="00BB2707" w:rsidP="00647851">
            <w:pPr>
              <w:spacing w:before="60" w:after="60"/>
              <w:jc w:val="center"/>
              <w:rPr>
                <w:rFonts w:ascii="Arial" w:hAnsi="Arial" w:cs="Arial"/>
                <w:b/>
                <w:sz w:val="18"/>
                <w:szCs w:val="16"/>
              </w:rPr>
            </w:pPr>
          </w:p>
        </w:tc>
        <w:tc>
          <w:tcPr>
            <w:tcW w:w="1277" w:type="dxa"/>
            <w:shd w:val="clear" w:color="auto" w:fill="1F242B" w:themeFill="accent2"/>
            <w:vAlign w:val="center"/>
          </w:tcPr>
          <w:p w14:paraId="591B71E9" w14:textId="77777777" w:rsidR="00BB2707" w:rsidRDefault="00BB2707" w:rsidP="00647851">
            <w:pPr>
              <w:spacing w:before="60" w:after="60"/>
              <w:jc w:val="center"/>
              <w:rPr>
                <w:rFonts w:ascii="Arial" w:hAnsi="Arial" w:cs="Arial"/>
                <w:b/>
                <w:sz w:val="18"/>
                <w:szCs w:val="16"/>
              </w:rPr>
            </w:pPr>
            <w:r>
              <w:rPr>
                <w:rFonts w:ascii="Arial" w:hAnsi="Arial"/>
                <w:b/>
                <w:sz w:val="18"/>
                <w:szCs w:val="16"/>
              </w:rPr>
              <w:t>Sub-market</w:t>
            </w:r>
          </w:p>
          <w:p w14:paraId="0CEDD8E8" w14:textId="77777777" w:rsidR="00BB2707" w:rsidRPr="0017364E" w:rsidRDefault="00BB2707" w:rsidP="00647851">
            <w:pPr>
              <w:spacing w:before="60" w:after="60"/>
              <w:jc w:val="center"/>
              <w:rPr>
                <w:rFonts w:ascii="Arial" w:hAnsi="Arial" w:cs="Arial"/>
                <w:b/>
                <w:sz w:val="18"/>
                <w:szCs w:val="16"/>
              </w:rPr>
            </w:pPr>
          </w:p>
        </w:tc>
        <w:tc>
          <w:tcPr>
            <w:tcW w:w="849" w:type="dxa"/>
            <w:shd w:val="clear" w:color="auto" w:fill="1F242B" w:themeFill="accent2"/>
            <w:vAlign w:val="center"/>
          </w:tcPr>
          <w:p w14:paraId="1BA6E6EB" w14:textId="77777777" w:rsidR="00BB2707" w:rsidRPr="0017364E" w:rsidRDefault="00BB2707" w:rsidP="00647851">
            <w:pPr>
              <w:spacing w:before="60" w:after="60"/>
              <w:jc w:val="center"/>
              <w:rPr>
                <w:rFonts w:ascii="Arial" w:hAnsi="Arial" w:cs="Arial"/>
                <w:b/>
                <w:sz w:val="18"/>
                <w:szCs w:val="16"/>
              </w:rPr>
            </w:pPr>
            <w:r>
              <w:rPr>
                <w:rFonts w:ascii="Arial" w:hAnsi="Arial"/>
                <w:b/>
                <w:sz w:val="18"/>
                <w:szCs w:val="16"/>
              </w:rPr>
              <w:t>Rental area</w:t>
            </w:r>
            <w:r>
              <w:rPr>
                <w:rFonts w:ascii="Arial" w:hAnsi="Arial"/>
                <w:b/>
                <w:sz w:val="18"/>
                <w:szCs w:val="16"/>
              </w:rPr>
              <w:br/>
            </w:r>
            <w:r>
              <w:rPr>
                <w:rFonts w:ascii="Arial" w:hAnsi="Arial"/>
                <w:sz w:val="18"/>
                <w:szCs w:val="16"/>
              </w:rPr>
              <w:t>[ca. m²]</w:t>
            </w:r>
          </w:p>
        </w:tc>
      </w:tr>
      <w:tr w:rsidR="001B0844" w:rsidRPr="0017364E" w14:paraId="6B585D4E" w14:textId="77777777" w:rsidTr="005803C1">
        <w:trPr>
          <w:trHeight w:val="567"/>
        </w:trPr>
        <w:tc>
          <w:tcPr>
            <w:tcW w:w="2972" w:type="dxa"/>
            <w:shd w:val="clear" w:color="auto" w:fill="D9D9D9" w:themeFill="background1" w:themeFillShade="D9"/>
            <w:vAlign w:val="center"/>
          </w:tcPr>
          <w:p w14:paraId="5934B469" w14:textId="154F35F6" w:rsidR="001B0844" w:rsidRPr="001763CB" w:rsidRDefault="00587F74" w:rsidP="00013842">
            <w:pPr>
              <w:spacing w:before="60" w:after="60"/>
              <w:rPr>
                <w:rFonts w:ascii="Arial" w:hAnsi="Arial" w:cs="Arial"/>
                <w:sz w:val="18"/>
                <w:szCs w:val="16"/>
              </w:rPr>
            </w:pPr>
            <w:proofErr w:type="spellStart"/>
            <w:r>
              <w:rPr>
                <w:rFonts w:ascii="Arial" w:hAnsi="Arial"/>
                <w:sz w:val="18"/>
                <w:szCs w:val="16"/>
              </w:rPr>
              <w:t>Berenberg</w:t>
            </w:r>
            <w:proofErr w:type="spellEnd"/>
            <w:r>
              <w:rPr>
                <w:rFonts w:ascii="Arial" w:hAnsi="Arial"/>
                <w:sz w:val="18"/>
                <w:szCs w:val="16"/>
              </w:rPr>
              <w:t xml:space="preserve"> Bank</w:t>
            </w:r>
          </w:p>
        </w:tc>
        <w:tc>
          <w:tcPr>
            <w:tcW w:w="1843" w:type="dxa"/>
            <w:shd w:val="clear" w:color="auto" w:fill="D9D9D9" w:themeFill="background1" w:themeFillShade="D9"/>
            <w:vAlign w:val="center"/>
          </w:tcPr>
          <w:p w14:paraId="55F9F6B0" w14:textId="361D8650" w:rsidR="001B0844" w:rsidRPr="001763CB" w:rsidRDefault="00587F74" w:rsidP="00301264">
            <w:pPr>
              <w:spacing w:before="60" w:after="60"/>
              <w:rPr>
                <w:rFonts w:ascii="Arial" w:hAnsi="Arial" w:cs="Arial"/>
                <w:sz w:val="18"/>
                <w:szCs w:val="16"/>
              </w:rPr>
            </w:pPr>
            <w:r>
              <w:rPr>
                <w:rFonts w:ascii="Arial" w:hAnsi="Arial"/>
                <w:sz w:val="18"/>
                <w:szCs w:val="16"/>
              </w:rPr>
              <w:t>“Ipanema”</w:t>
            </w:r>
          </w:p>
        </w:tc>
        <w:tc>
          <w:tcPr>
            <w:tcW w:w="2693" w:type="dxa"/>
            <w:shd w:val="clear" w:color="auto" w:fill="D9D9D9" w:themeFill="background1" w:themeFillShade="D9"/>
            <w:vAlign w:val="center"/>
          </w:tcPr>
          <w:p w14:paraId="71798FE8" w14:textId="434D5271" w:rsidR="001B0844" w:rsidRPr="001763CB" w:rsidRDefault="00587F74" w:rsidP="00D57F53">
            <w:pPr>
              <w:spacing w:before="60" w:after="60"/>
              <w:rPr>
                <w:rFonts w:ascii="Arial" w:hAnsi="Arial" w:cs="Arial"/>
                <w:sz w:val="18"/>
                <w:szCs w:val="16"/>
              </w:rPr>
            </w:pPr>
            <w:proofErr w:type="spellStart"/>
            <w:r>
              <w:rPr>
                <w:rFonts w:ascii="Arial" w:hAnsi="Arial"/>
                <w:sz w:val="18"/>
                <w:szCs w:val="16"/>
              </w:rPr>
              <w:t>Überseering</w:t>
            </w:r>
            <w:proofErr w:type="spellEnd"/>
            <w:r>
              <w:rPr>
                <w:rFonts w:ascii="Arial" w:hAnsi="Arial"/>
                <w:sz w:val="18"/>
                <w:szCs w:val="16"/>
              </w:rPr>
              <w:t xml:space="preserve"> 30</w:t>
            </w:r>
          </w:p>
        </w:tc>
        <w:tc>
          <w:tcPr>
            <w:tcW w:w="1277" w:type="dxa"/>
            <w:shd w:val="clear" w:color="auto" w:fill="D9D9D9" w:themeFill="background1" w:themeFillShade="D9"/>
            <w:vAlign w:val="center"/>
          </w:tcPr>
          <w:p w14:paraId="5F92AC8B" w14:textId="15316937" w:rsidR="001B0844" w:rsidRPr="001763CB" w:rsidRDefault="00587F74" w:rsidP="006E639E">
            <w:pPr>
              <w:spacing w:before="60" w:after="60"/>
              <w:rPr>
                <w:rFonts w:ascii="Arial" w:hAnsi="Arial" w:cs="Arial"/>
                <w:sz w:val="18"/>
                <w:szCs w:val="16"/>
              </w:rPr>
            </w:pPr>
            <w:r>
              <w:rPr>
                <w:rFonts w:ascii="Arial" w:hAnsi="Arial"/>
                <w:sz w:val="18"/>
                <w:szCs w:val="16"/>
              </w:rPr>
              <w:t>City North</w:t>
            </w:r>
          </w:p>
        </w:tc>
        <w:tc>
          <w:tcPr>
            <w:tcW w:w="849" w:type="dxa"/>
            <w:shd w:val="clear" w:color="auto" w:fill="D9D9D9" w:themeFill="background1" w:themeFillShade="D9"/>
            <w:vAlign w:val="center"/>
          </w:tcPr>
          <w:p w14:paraId="18F234AE" w14:textId="1149B8F1" w:rsidR="001B0844" w:rsidRPr="001763CB" w:rsidRDefault="00587F74" w:rsidP="00823F43">
            <w:pPr>
              <w:spacing w:before="60" w:after="60"/>
              <w:jc w:val="right"/>
              <w:rPr>
                <w:rFonts w:ascii="Arial" w:hAnsi="Arial" w:cs="Arial"/>
                <w:sz w:val="18"/>
                <w:szCs w:val="16"/>
              </w:rPr>
            </w:pPr>
            <w:r>
              <w:rPr>
                <w:rFonts w:ascii="Arial" w:hAnsi="Arial"/>
                <w:sz w:val="18"/>
                <w:szCs w:val="16"/>
              </w:rPr>
              <w:t>19,200</w:t>
            </w:r>
          </w:p>
        </w:tc>
      </w:tr>
      <w:tr w:rsidR="00587F74" w:rsidRPr="0017364E" w14:paraId="422CA996" w14:textId="77777777" w:rsidTr="005803C1">
        <w:trPr>
          <w:trHeight w:val="567"/>
        </w:trPr>
        <w:tc>
          <w:tcPr>
            <w:tcW w:w="2972" w:type="dxa"/>
            <w:shd w:val="clear" w:color="auto" w:fill="auto"/>
            <w:vAlign w:val="center"/>
          </w:tcPr>
          <w:p w14:paraId="4B8A5B4E" w14:textId="1DA6D0F3" w:rsidR="00587F74" w:rsidRPr="001763CB" w:rsidRDefault="00587F74" w:rsidP="00587F74">
            <w:pPr>
              <w:spacing w:before="60" w:after="60"/>
              <w:rPr>
                <w:rFonts w:ascii="Arial" w:hAnsi="Arial" w:cs="Arial"/>
                <w:sz w:val="18"/>
                <w:szCs w:val="16"/>
              </w:rPr>
            </w:pPr>
            <w:r>
              <w:rPr>
                <w:rFonts w:ascii="Arial" w:hAnsi="Arial"/>
                <w:sz w:val="18"/>
                <w:szCs w:val="16"/>
              </w:rPr>
              <w:t>Hamburg State Prosecutor</w:t>
            </w:r>
          </w:p>
        </w:tc>
        <w:tc>
          <w:tcPr>
            <w:tcW w:w="1843" w:type="dxa"/>
            <w:shd w:val="clear" w:color="auto" w:fill="auto"/>
            <w:vAlign w:val="center"/>
          </w:tcPr>
          <w:p w14:paraId="15DDA53E" w14:textId="040D5E0F" w:rsidR="00587F74" w:rsidRPr="001763CB" w:rsidRDefault="00587F74" w:rsidP="00587F74">
            <w:pPr>
              <w:spacing w:before="60" w:after="60"/>
              <w:rPr>
                <w:rFonts w:ascii="Arial" w:hAnsi="Arial" w:cs="Arial"/>
                <w:sz w:val="18"/>
                <w:szCs w:val="16"/>
              </w:rPr>
            </w:pPr>
            <w:r>
              <w:rPr>
                <w:rFonts w:ascii="Arial" w:hAnsi="Arial"/>
                <w:sz w:val="18"/>
                <w:szCs w:val="16"/>
              </w:rPr>
              <w:t>“</w:t>
            </w:r>
            <w:proofErr w:type="spellStart"/>
            <w:r>
              <w:rPr>
                <w:rFonts w:ascii="Arial" w:hAnsi="Arial"/>
                <w:sz w:val="18"/>
                <w:szCs w:val="16"/>
              </w:rPr>
              <w:t>Michaelis</w:t>
            </w:r>
            <w:proofErr w:type="spellEnd"/>
            <w:r>
              <w:rPr>
                <w:rFonts w:ascii="Arial" w:hAnsi="Arial"/>
                <w:sz w:val="18"/>
                <w:szCs w:val="16"/>
              </w:rPr>
              <w:t xml:space="preserve"> Quartier”</w:t>
            </w:r>
          </w:p>
        </w:tc>
        <w:tc>
          <w:tcPr>
            <w:tcW w:w="2693" w:type="dxa"/>
            <w:shd w:val="clear" w:color="auto" w:fill="auto"/>
            <w:vAlign w:val="center"/>
          </w:tcPr>
          <w:p w14:paraId="7318F032" w14:textId="65EF95C0" w:rsidR="00587F74" w:rsidRPr="001763CB" w:rsidRDefault="00587F74" w:rsidP="00587F74">
            <w:pPr>
              <w:spacing w:before="60" w:after="60"/>
              <w:rPr>
                <w:rFonts w:ascii="Arial" w:hAnsi="Arial" w:cs="Arial"/>
                <w:sz w:val="18"/>
                <w:szCs w:val="16"/>
              </w:rPr>
            </w:pPr>
            <w:r>
              <w:rPr>
                <w:rFonts w:ascii="Arial" w:hAnsi="Arial"/>
                <w:sz w:val="18"/>
                <w:szCs w:val="16"/>
              </w:rPr>
              <w:t>Ludwig-Erhard-</w:t>
            </w:r>
            <w:proofErr w:type="spellStart"/>
            <w:r>
              <w:rPr>
                <w:rFonts w:ascii="Arial" w:hAnsi="Arial"/>
                <w:sz w:val="18"/>
                <w:szCs w:val="16"/>
              </w:rPr>
              <w:t>Strasse</w:t>
            </w:r>
            <w:proofErr w:type="spellEnd"/>
            <w:r>
              <w:rPr>
                <w:rFonts w:ascii="Arial" w:hAnsi="Arial"/>
                <w:sz w:val="18"/>
                <w:szCs w:val="16"/>
              </w:rPr>
              <w:t xml:space="preserve"> 11-17</w:t>
            </w:r>
          </w:p>
        </w:tc>
        <w:tc>
          <w:tcPr>
            <w:tcW w:w="1277" w:type="dxa"/>
            <w:shd w:val="clear" w:color="auto" w:fill="auto"/>
            <w:vAlign w:val="center"/>
          </w:tcPr>
          <w:p w14:paraId="1EC3A29B" w14:textId="3350C589" w:rsidR="00587F74" w:rsidRPr="001763CB" w:rsidRDefault="00587F74" w:rsidP="00587F74">
            <w:pPr>
              <w:spacing w:before="60" w:after="60"/>
              <w:rPr>
                <w:rFonts w:ascii="Arial" w:hAnsi="Arial" w:cs="Arial"/>
                <w:sz w:val="18"/>
                <w:szCs w:val="16"/>
              </w:rPr>
            </w:pPr>
            <w:r>
              <w:rPr>
                <w:rFonts w:ascii="Arial" w:hAnsi="Arial"/>
                <w:sz w:val="18"/>
                <w:szCs w:val="16"/>
              </w:rPr>
              <w:t>City</w:t>
            </w:r>
          </w:p>
        </w:tc>
        <w:tc>
          <w:tcPr>
            <w:tcW w:w="849" w:type="dxa"/>
            <w:shd w:val="clear" w:color="auto" w:fill="auto"/>
            <w:vAlign w:val="center"/>
          </w:tcPr>
          <w:p w14:paraId="5241D246" w14:textId="3CB6E9FE" w:rsidR="00587F74" w:rsidRPr="001763CB" w:rsidRDefault="00587F74" w:rsidP="00587F74">
            <w:pPr>
              <w:spacing w:before="60" w:after="60"/>
              <w:jc w:val="right"/>
              <w:rPr>
                <w:rFonts w:ascii="Arial" w:hAnsi="Arial" w:cs="Arial"/>
                <w:sz w:val="18"/>
                <w:szCs w:val="16"/>
              </w:rPr>
            </w:pPr>
            <w:r>
              <w:rPr>
                <w:rFonts w:ascii="Arial" w:hAnsi="Arial"/>
                <w:sz w:val="18"/>
                <w:szCs w:val="16"/>
              </w:rPr>
              <w:t>17,600</w:t>
            </w:r>
          </w:p>
        </w:tc>
      </w:tr>
      <w:tr w:rsidR="00587F74" w:rsidRPr="0017364E" w14:paraId="314139FB" w14:textId="77777777" w:rsidTr="005803C1">
        <w:trPr>
          <w:trHeight w:val="567"/>
        </w:trPr>
        <w:tc>
          <w:tcPr>
            <w:tcW w:w="2972" w:type="dxa"/>
            <w:shd w:val="clear" w:color="auto" w:fill="D9D9D9" w:themeFill="background1" w:themeFillShade="D9"/>
            <w:vAlign w:val="center"/>
          </w:tcPr>
          <w:p w14:paraId="174A3486" w14:textId="56699D8A" w:rsidR="005803C1" w:rsidRDefault="00587F74" w:rsidP="005803C1">
            <w:pPr>
              <w:spacing w:before="60" w:after="60"/>
              <w:rPr>
                <w:rFonts w:ascii="Arial" w:hAnsi="Arial"/>
                <w:b/>
                <w:sz w:val="18"/>
                <w:szCs w:val="16"/>
              </w:rPr>
            </w:pPr>
            <w:proofErr w:type="spellStart"/>
            <w:r>
              <w:rPr>
                <w:rFonts w:ascii="Arial" w:hAnsi="Arial"/>
                <w:sz w:val="18"/>
                <w:szCs w:val="16"/>
              </w:rPr>
              <w:t>Techniker</w:t>
            </w:r>
            <w:proofErr w:type="spellEnd"/>
            <w:r>
              <w:rPr>
                <w:rFonts w:ascii="Arial" w:hAnsi="Arial"/>
                <w:sz w:val="18"/>
                <w:szCs w:val="16"/>
              </w:rPr>
              <w:t xml:space="preserve"> </w:t>
            </w:r>
            <w:proofErr w:type="spellStart"/>
            <w:r>
              <w:rPr>
                <w:rFonts w:ascii="Arial" w:hAnsi="Arial"/>
                <w:sz w:val="18"/>
                <w:szCs w:val="16"/>
              </w:rPr>
              <w:t>Krankenkasse</w:t>
            </w:r>
            <w:proofErr w:type="spellEnd"/>
            <w:r>
              <w:rPr>
                <w:rFonts w:ascii="Arial" w:hAnsi="Arial"/>
                <w:sz w:val="18"/>
                <w:szCs w:val="16"/>
              </w:rPr>
              <w:t xml:space="preserve"> </w:t>
            </w:r>
            <w:r>
              <w:rPr>
                <w:rFonts w:ascii="Arial" w:hAnsi="Arial"/>
                <w:b/>
                <w:sz w:val="18"/>
                <w:szCs w:val="16"/>
              </w:rPr>
              <w:t>owner-</w:t>
            </w:r>
          </w:p>
          <w:p w14:paraId="38007B43" w14:textId="0E5CC04E" w:rsidR="00587F74" w:rsidRPr="001763CB" w:rsidRDefault="00587F74" w:rsidP="005803C1">
            <w:pPr>
              <w:spacing w:before="60" w:after="60"/>
              <w:rPr>
                <w:rFonts w:ascii="Arial" w:hAnsi="Arial" w:cs="Arial"/>
                <w:sz w:val="18"/>
                <w:szCs w:val="16"/>
              </w:rPr>
            </w:pPr>
            <w:r>
              <w:rPr>
                <w:rFonts w:ascii="Arial" w:hAnsi="Arial"/>
                <w:b/>
                <w:sz w:val="18"/>
                <w:szCs w:val="16"/>
              </w:rPr>
              <w:t>occupier</w:t>
            </w:r>
            <w:r w:rsidR="005803C1">
              <w:rPr>
                <w:rFonts w:ascii="Arial" w:hAnsi="Arial"/>
                <w:b/>
                <w:sz w:val="18"/>
                <w:szCs w:val="16"/>
              </w:rPr>
              <w:t xml:space="preserve"> </w:t>
            </w:r>
            <w:r>
              <w:rPr>
                <w:rFonts w:ascii="Arial" w:hAnsi="Arial"/>
                <w:sz w:val="18"/>
                <w:szCs w:val="16"/>
              </w:rPr>
              <w:t>(construction start)</w:t>
            </w:r>
          </w:p>
        </w:tc>
        <w:tc>
          <w:tcPr>
            <w:tcW w:w="1843" w:type="dxa"/>
            <w:shd w:val="clear" w:color="auto" w:fill="D9D9D9" w:themeFill="background1" w:themeFillShade="D9"/>
            <w:vAlign w:val="center"/>
          </w:tcPr>
          <w:p w14:paraId="058591FC" w14:textId="3321D452" w:rsidR="00587F74" w:rsidRPr="001763CB" w:rsidRDefault="00587F74" w:rsidP="00587F74">
            <w:pPr>
              <w:spacing w:before="60" w:after="60"/>
              <w:rPr>
                <w:rFonts w:ascii="Arial" w:hAnsi="Arial" w:cs="Arial"/>
                <w:sz w:val="18"/>
                <w:szCs w:val="16"/>
              </w:rPr>
            </w:pPr>
            <w:r>
              <w:rPr>
                <w:rFonts w:ascii="Arial" w:hAnsi="Arial"/>
                <w:sz w:val="18"/>
                <w:szCs w:val="16"/>
              </w:rPr>
              <w:t>Building extension</w:t>
            </w:r>
          </w:p>
        </w:tc>
        <w:tc>
          <w:tcPr>
            <w:tcW w:w="2693" w:type="dxa"/>
            <w:shd w:val="clear" w:color="auto" w:fill="D9D9D9" w:themeFill="background1" w:themeFillShade="D9"/>
            <w:vAlign w:val="center"/>
          </w:tcPr>
          <w:p w14:paraId="703E1F73" w14:textId="5787866D" w:rsidR="00587F74" w:rsidRPr="001763CB" w:rsidRDefault="00587F74" w:rsidP="00587F74">
            <w:pPr>
              <w:spacing w:before="60" w:after="60"/>
              <w:rPr>
                <w:rFonts w:ascii="Arial" w:hAnsi="Arial" w:cs="Arial"/>
                <w:sz w:val="18"/>
                <w:szCs w:val="16"/>
              </w:rPr>
            </w:pPr>
            <w:proofErr w:type="spellStart"/>
            <w:r>
              <w:rPr>
                <w:rFonts w:ascii="Arial" w:hAnsi="Arial"/>
                <w:sz w:val="18"/>
                <w:szCs w:val="16"/>
              </w:rPr>
              <w:t>Bramfelder</w:t>
            </w:r>
            <w:proofErr w:type="spellEnd"/>
            <w:r>
              <w:rPr>
                <w:rFonts w:ascii="Arial" w:hAnsi="Arial"/>
                <w:sz w:val="18"/>
                <w:szCs w:val="16"/>
              </w:rPr>
              <w:t xml:space="preserve"> </w:t>
            </w:r>
            <w:proofErr w:type="spellStart"/>
            <w:r>
              <w:rPr>
                <w:rFonts w:ascii="Arial" w:hAnsi="Arial"/>
                <w:sz w:val="18"/>
                <w:szCs w:val="16"/>
              </w:rPr>
              <w:t>Chaussee</w:t>
            </w:r>
            <w:proofErr w:type="spellEnd"/>
            <w:r>
              <w:rPr>
                <w:rFonts w:ascii="Arial" w:hAnsi="Arial"/>
                <w:sz w:val="18"/>
                <w:szCs w:val="16"/>
              </w:rPr>
              <w:t xml:space="preserve"> 160-164</w:t>
            </w:r>
          </w:p>
        </w:tc>
        <w:tc>
          <w:tcPr>
            <w:tcW w:w="1277" w:type="dxa"/>
            <w:shd w:val="clear" w:color="auto" w:fill="D9D9D9" w:themeFill="background1" w:themeFillShade="D9"/>
            <w:vAlign w:val="center"/>
          </w:tcPr>
          <w:p w14:paraId="1A4973BE" w14:textId="737AAB72" w:rsidR="00587F74" w:rsidRPr="001763CB" w:rsidRDefault="00587F74" w:rsidP="00587F74">
            <w:pPr>
              <w:spacing w:before="60" w:after="60"/>
              <w:rPr>
                <w:rFonts w:ascii="Arial" w:hAnsi="Arial" w:cs="Arial"/>
                <w:sz w:val="18"/>
                <w:szCs w:val="16"/>
              </w:rPr>
            </w:pPr>
            <w:r>
              <w:rPr>
                <w:rFonts w:ascii="Arial" w:hAnsi="Arial"/>
                <w:sz w:val="18"/>
                <w:szCs w:val="16"/>
              </w:rPr>
              <w:t>Hamburg East</w:t>
            </w:r>
          </w:p>
        </w:tc>
        <w:tc>
          <w:tcPr>
            <w:tcW w:w="849" w:type="dxa"/>
            <w:shd w:val="clear" w:color="auto" w:fill="D9D9D9" w:themeFill="background1" w:themeFillShade="D9"/>
            <w:vAlign w:val="center"/>
          </w:tcPr>
          <w:p w14:paraId="0EEA0855" w14:textId="5539A57F" w:rsidR="00587F74" w:rsidRPr="001763CB" w:rsidRDefault="00587F74" w:rsidP="00587F74">
            <w:pPr>
              <w:spacing w:before="60" w:after="60"/>
              <w:jc w:val="right"/>
              <w:rPr>
                <w:rFonts w:ascii="Arial" w:hAnsi="Arial" w:cs="Arial"/>
                <w:sz w:val="18"/>
                <w:szCs w:val="16"/>
              </w:rPr>
            </w:pPr>
            <w:r>
              <w:rPr>
                <w:rFonts w:ascii="Arial" w:hAnsi="Arial"/>
                <w:sz w:val="18"/>
                <w:szCs w:val="16"/>
              </w:rPr>
              <w:t>14,800</w:t>
            </w:r>
          </w:p>
        </w:tc>
      </w:tr>
      <w:tr w:rsidR="00587F74" w:rsidRPr="0017364E" w14:paraId="65060D29" w14:textId="77777777" w:rsidTr="005803C1">
        <w:trPr>
          <w:trHeight w:val="567"/>
        </w:trPr>
        <w:tc>
          <w:tcPr>
            <w:tcW w:w="2972" w:type="dxa"/>
            <w:shd w:val="clear" w:color="auto" w:fill="D9D9D9" w:themeFill="background1" w:themeFillShade="D9"/>
            <w:vAlign w:val="center"/>
          </w:tcPr>
          <w:p w14:paraId="0BF7E9D0" w14:textId="2F0AFEDD" w:rsidR="00587F74" w:rsidRPr="001763CB" w:rsidRDefault="00EC62FE" w:rsidP="00587F74">
            <w:pPr>
              <w:spacing w:before="60" w:after="60"/>
              <w:rPr>
                <w:rFonts w:ascii="Arial" w:hAnsi="Arial" w:cs="Arial"/>
                <w:sz w:val="18"/>
                <w:szCs w:val="16"/>
              </w:rPr>
            </w:pPr>
            <w:proofErr w:type="spellStart"/>
            <w:r>
              <w:rPr>
                <w:rFonts w:ascii="Arial" w:hAnsi="Arial"/>
                <w:sz w:val="18"/>
                <w:szCs w:val="16"/>
              </w:rPr>
              <w:t>Sysmex</w:t>
            </w:r>
            <w:proofErr w:type="spellEnd"/>
            <w:r>
              <w:rPr>
                <w:rFonts w:ascii="Arial" w:hAnsi="Arial"/>
                <w:sz w:val="18"/>
                <w:szCs w:val="16"/>
              </w:rPr>
              <w:t xml:space="preserve"> Deutschland</w:t>
            </w:r>
          </w:p>
        </w:tc>
        <w:tc>
          <w:tcPr>
            <w:tcW w:w="1843" w:type="dxa"/>
            <w:shd w:val="clear" w:color="auto" w:fill="D9D9D9" w:themeFill="background1" w:themeFillShade="D9"/>
            <w:vAlign w:val="center"/>
          </w:tcPr>
          <w:p w14:paraId="40D18FE1" w14:textId="52714436" w:rsidR="00E64735" w:rsidRPr="001763CB" w:rsidRDefault="00E642CC" w:rsidP="00E64735">
            <w:pPr>
              <w:spacing w:before="60" w:after="60"/>
              <w:rPr>
                <w:rFonts w:ascii="Arial" w:hAnsi="Arial" w:cs="Arial"/>
                <w:sz w:val="18"/>
                <w:szCs w:val="16"/>
              </w:rPr>
            </w:pPr>
            <w:r>
              <w:rPr>
                <w:rFonts w:ascii="Arial" w:hAnsi="Arial"/>
                <w:sz w:val="18"/>
                <w:szCs w:val="16"/>
              </w:rPr>
              <w:t>Office Campus</w:t>
            </w:r>
            <w:r>
              <w:rPr>
                <w:rFonts w:ascii="Arial" w:hAnsi="Arial"/>
                <w:sz w:val="18"/>
                <w:szCs w:val="16"/>
              </w:rPr>
              <w:br/>
            </w:r>
            <w:proofErr w:type="spellStart"/>
            <w:r>
              <w:rPr>
                <w:rFonts w:ascii="Arial" w:hAnsi="Arial"/>
                <w:sz w:val="18"/>
                <w:szCs w:val="16"/>
              </w:rPr>
              <w:t>Deelböge</w:t>
            </w:r>
            <w:proofErr w:type="spellEnd"/>
            <w:r>
              <w:rPr>
                <w:rFonts w:ascii="Arial" w:hAnsi="Arial"/>
                <w:sz w:val="18"/>
                <w:szCs w:val="16"/>
              </w:rPr>
              <w:t xml:space="preserve"> </w:t>
            </w:r>
          </w:p>
        </w:tc>
        <w:tc>
          <w:tcPr>
            <w:tcW w:w="2693" w:type="dxa"/>
            <w:shd w:val="clear" w:color="auto" w:fill="D9D9D9" w:themeFill="background1" w:themeFillShade="D9"/>
            <w:vAlign w:val="center"/>
          </w:tcPr>
          <w:p w14:paraId="428970DF" w14:textId="629C1022" w:rsidR="00587F74" w:rsidRPr="001763CB" w:rsidRDefault="00EC62FE" w:rsidP="00647851">
            <w:pPr>
              <w:spacing w:before="60" w:after="60"/>
              <w:rPr>
                <w:rFonts w:ascii="Arial" w:hAnsi="Arial" w:cs="Arial"/>
                <w:sz w:val="18"/>
                <w:szCs w:val="16"/>
              </w:rPr>
            </w:pPr>
            <w:proofErr w:type="spellStart"/>
            <w:r>
              <w:rPr>
                <w:rFonts w:ascii="Arial" w:hAnsi="Arial"/>
                <w:sz w:val="18"/>
                <w:szCs w:val="16"/>
              </w:rPr>
              <w:t>Deelböge</w:t>
            </w:r>
            <w:proofErr w:type="spellEnd"/>
            <w:r>
              <w:rPr>
                <w:rFonts w:ascii="Arial" w:hAnsi="Arial"/>
                <w:sz w:val="18"/>
                <w:szCs w:val="16"/>
              </w:rPr>
              <w:t>/Salomon-Heine-</w:t>
            </w:r>
            <w:proofErr w:type="spellStart"/>
            <w:r>
              <w:rPr>
                <w:rFonts w:ascii="Arial" w:hAnsi="Arial"/>
                <w:sz w:val="18"/>
                <w:szCs w:val="16"/>
              </w:rPr>
              <w:t>Weg</w:t>
            </w:r>
            <w:proofErr w:type="spellEnd"/>
          </w:p>
        </w:tc>
        <w:tc>
          <w:tcPr>
            <w:tcW w:w="1277" w:type="dxa"/>
            <w:shd w:val="clear" w:color="auto" w:fill="D9D9D9" w:themeFill="background1" w:themeFillShade="D9"/>
            <w:vAlign w:val="center"/>
          </w:tcPr>
          <w:p w14:paraId="2DBBF574" w14:textId="389B0D72" w:rsidR="00587F74" w:rsidRPr="001763CB" w:rsidRDefault="00EC62FE" w:rsidP="00587F74">
            <w:pPr>
              <w:spacing w:before="60" w:after="60"/>
              <w:rPr>
                <w:rFonts w:ascii="Arial" w:hAnsi="Arial" w:cs="Arial"/>
                <w:sz w:val="18"/>
                <w:szCs w:val="16"/>
              </w:rPr>
            </w:pPr>
            <w:r>
              <w:rPr>
                <w:rFonts w:ascii="Arial" w:hAnsi="Arial"/>
                <w:sz w:val="18"/>
                <w:szCs w:val="16"/>
              </w:rPr>
              <w:t>Eppendorf</w:t>
            </w:r>
          </w:p>
        </w:tc>
        <w:tc>
          <w:tcPr>
            <w:tcW w:w="849" w:type="dxa"/>
            <w:shd w:val="clear" w:color="auto" w:fill="D9D9D9" w:themeFill="background1" w:themeFillShade="D9"/>
            <w:vAlign w:val="center"/>
          </w:tcPr>
          <w:p w14:paraId="1EC41FD6" w14:textId="01490457" w:rsidR="00587F74" w:rsidRPr="001763CB" w:rsidRDefault="00EC62FE" w:rsidP="00587F74">
            <w:pPr>
              <w:spacing w:before="60" w:after="60"/>
              <w:jc w:val="right"/>
              <w:rPr>
                <w:rFonts w:ascii="Arial" w:hAnsi="Arial" w:cs="Arial"/>
                <w:sz w:val="18"/>
                <w:szCs w:val="16"/>
              </w:rPr>
            </w:pPr>
            <w:r>
              <w:rPr>
                <w:rFonts w:ascii="Arial" w:hAnsi="Arial"/>
                <w:sz w:val="18"/>
                <w:szCs w:val="16"/>
              </w:rPr>
              <w:t>13,000</w:t>
            </w:r>
          </w:p>
        </w:tc>
      </w:tr>
      <w:tr w:rsidR="00587F74" w:rsidRPr="0017364E" w14:paraId="5E29C6FD" w14:textId="77777777" w:rsidTr="005803C1">
        <w:trPr>
          <w:trHeight w:val="567"/>
        </w:trPr>
        <w:tc>
          <w:tcPr>
            <w:tcW w:w="2972" w:type="dxa"/>
            <w:shd w:val="clear" w:color="auto" w:fill="FFFFFF" w:themeFill="background1"/>
            <w:vAlign w:val="center"/>
          </w:tcPr>
          <w:p w14:paraId="01A53BDF" w14:textId="0843A24B" w:rsidR="00587F74" w:rsidRDefault="00EC62FE" w:rsidP="00587F74">
            <w:pPr>
              <w:spacing w:before="60" w:after="60"/>
              <w:rPr>
                <w:rFonts w:ascii="Arial" w:hAnsi="Arial" w:cs="Arial"/>
                <w:sz w:val="18"/>
                <w:szCs w:val="16"/>
              </w:rPr>
            </w:pPr>
            <w:r>
              <w:rPr>
                <w:rFonts w:ascii="Arial" w:hAnsi="Arial"/>
                <w:sz w:val="18"/>
                <w:szCs w:val="16"/>
              </w:rPr>
              <w:t xml:space="preserve">Signal </w:t>
            </w:r>
            <w:proofErr w:type="spellStart"/>
            <w:r>
              <w:rPr>
                <w:rFonts w:ascii="Arial" w:hAnsi="Arial"/>
                <w:sz w:val="18"/>
                <w:szCs w:val="16"/>
              </w:rPr>
              <w:t>Iduna</w:t>
            </w:r>
            <w:proofErr w:type="spellEnd"/>
          </w:p>
        </w:tc>
        <w:tc>
          <w:tcPr>
            <w:tcW w:w="1843" w:type="dxa"/>
            <w:shd w:val="clear" w:color="auto" w:fill="FFFFFF" w:themeFill="background1"/>
            <w:vAlign w:val="center"/>
          </w:tcPr>
          <w:p w14:paraId="3AF682EC" w14:textId="3096EA3E" w:rsidR="00587F74" w:rsidRPr="001763CB" w:rsidRDefault="00EC62FE" w:rsidP="00587F74">
            <w:pPr>
              <w:spacing w:before="60" w:after="60"/>
              <w:rPr>
                <w:rFonts w:ascii="Arial" w:hAnsi="Arial" w:cs="Arial"/>
                <w:sz w:val="18"/>
                <w:szCs w:val="16"/>
              </w:rPr>
            </w:pPr>
            <w:r>
              <w:rPr>
                <w:rFonts w:ascii="Arial" w:hAnsi="Arial"/>
                <w:sz w:val="18"/>
                <w:szCs w:val="16"/>
              </w:rPr>
              <w:t>“</w:t>
            </w:r>
            <w:proofErr w:type="spellStart"/>
            <w:r>
              <w:rPr>
                <w:rFonts w:ascii="Arial" w:hAnsi="Arial"/>
                <w:sz w:val="18"/>
                <w:szCs w:val="16"/>
              </w:rPr>
              <w:t>Kap</w:t>
            </w:r>
            <w:proofErr w:type="spellEnd"/>
            <w:r>
              <w:rPr>
                <w:rFonts w:ascii="Arial" w:hAnsi="Arial"/>
                <w:sz w:val="18"/>
                <w:szCs w:val="16"/>
              </w:rPr>
              <w:t xml:space="preserve"> 5”</w:t>
            </w:r>
          </w:p>
        </w:tc>
        <w:tc>
          <w:tcPr>
            <w:tcW w:w="2693" w:type="dxa"/>
            <w:shd w:val="clear" w:color="auto" w:fill="FFFFFF" w:themeFill="background1"/>
            <w:vAlign w:val="center"/>
          </w:tcPr>
          <w:p w14:paraId="1E097852" w14:textId="3A5A0F63" w:rsidR="00587F74" w:rsidRPr="00B55F57" w:rsidRDefault="00EC62FE" w:rsidP="00587F74">
            <w:pPr>
              <w:spacing w:before="60" w:after="60"/>
              <w:rPr>
                <w:rFonts w:ascii="Arial" w:hAnsi="Arial" w:cs="Arial"/>
                <w:sz w:val="18"/>
                <w:szCs w:val="16"/>
              </w:rPr>
            </w:pPr>
            <w:proofErr w:type="spellStart"/>
            <w:r>
              <w:rPr>
                <w:rFonts w:ascii="Arial" w:hAnsi="Arial"/>
                <w:sz w:val="18"/>
                <w:szCs w:val="16"/>
              </w:rPr>
              <w:t>Kapstadtring</w:t>
            </w:r>
            <w:proofErr w:type="spellEnd"/>
            <w:r>
              <w:rPr>
                <w:rFonts w:ascii="Arial" w:hAnsi="Arial"/>
                <w:sz w:val="18"/>
                <w:szCs w:val="16"/>
              </w:rPr>
              <w:t xml:space="preserve"> 5</w:t>
            </w:r>
          </w:p>
        </w:tc>
        <w:tc>
          <w:tcPr>
            <w:tcW w:w="1277" w:type="dxa"/>
            <w:shd w:val="clear" w:color="auto" w:fill="FFFFFF" w:themeFill="background1"/>
            <w:vAlign w:val="center"/>
          </w:tcPr>
          <w:p w14:paraId="6C59A5E6" w14:textId="1B510DF4" w:rsidR="00587F74" w:rsidRDefault="00EC62FE" w:rsidP="00587F74">
            <w:pPr>
              <w:spacing w:before="60" w:after="60"/>
              <w:rPr>
                <w:rFonts w:ascii="Arial" w:hAnsi="Arial" w:cs="Arial"/>
                <w:sz w:val="18"/>
                <w:szCs w:val="16"/>
              </w:rPr>
            </w:pPr>
            <w:r>
              <w:rPr>
                <w:rFonts w:ascii="Arial" w:hAnsi="Arial"/>
                <w:sz w:val="18"/>
                <w:szCs w:val="16"/>
              </w:rPr>
              <w:t>City North</w:t>
            </w:r>
          </w:p>
        </w:tc>
        <w:tc>
          <w:tcPr>
            <w:tcW w:w="849" w:type="dxa"/>
            <w:shd w:val="clear" w:color="auto" w:fill="FFFFFF" w:themeFill="background1"/>
            <w:vAlign w:val="center"/>
          </w:tcPr>
          <w:p w14:paraId="463E46AA" w14:textId="64A1B548" w:rsidR="00587F74" w:rsidRDefault="00EC62FE" w:rsidP="00587F74">
            <w:pPr>
              <w:spacing w:before="60" w:after="60"/>
              <w:jc w:val="right"/>
              <w:rPr>
                <w:rFonts w:ascii="Arial" w:hAnsi="Arial" w:cs="Arial"/>
                <w:sz w:val="18"/>
                <w:szCs w:val="16"/>
              </w:rPr>
            </w:pPr>
            <w:r>
              <w:rPr>
                <w:rFonts w:ascii="Arial" w:hAnsi="Arial"/>
                <w:sz w:val="18"/>
                <w:szCs w:val="16"/>
              </w:rPr>
              <w:t>13,000</w:t>
            </w:r>
          </w:p>
        </w:tc>
      </w:tr>
    </w:tbl>
    <w:p w14:paraId="2AA4DAB3" w14:textId="77777777" w:rsidR="00CF7C1F" w:rsidRDefault="00CF7C1F" w:rsidP="00CF2C0D">
      <w:pPr>
        <w:widowControl w:val="0"/>
        <w:spacing w:after="0"/>
        <w:rPr>
          <w:rFonts w:ascii="Arial" w:hAnsi="Arial" w:cs="Arial"/>
          <w:sz w:val="16"/>
          <w:szCs w:val="16"/>
        </w:rPr>
      </w:pPr>
    </w:p>
    <w:p w14:paraId="3F7844C6" w14:textId="4021E20A" w:rsidR="00B55F57" w:rsidRDefault="00B55F57" w:rsidP="00B55F57">
      <w:pPr>
        <w:widowControl w:val="0"/>
        <w:spacing w:after="0"/>
        <w:rPr>
          <w:rFonts w:ascii="Arial" w:hAnsi="Arial" w:cs="Arial"/>
          <w:sz w:val="16"/>
          <w:szCs w:val="16"/>
        </w:rPr>
      </w:pPr>
      <w:r>
        <w:rPr>
          <w:rFonts w:ascii="Arial" w:hAnsi="Arial"/>
          <w:sz w:val="16"/>
          <w:szCs w:val="16"/>
        </w:rPr>
        <w:t xml:space="preserve">Transactions occurring in the quarter covered by this report </w:t>
      </w:r>
      <w:proofErr w:type="gramStart"/>
      <w:r>
        <w:rPr>
          <w:rFonts w:ascii="Arial" w:hAnsi="Arial"/>
          <w:sz w:val="16"/>
          <w:szCs w:val="16"/>
        </w:rPr>
        <w:t>are highlighted</w:t>
      </w:r>
      <w:proofErr w:type="gramEnd"/>
      <w:r>
        <w:rPr>
          <w:rFonts w:ascii="Arial" w:hAnsi="Arial"/>
          <w:sz w:val="16"/>
          <w:szCs w:val="16"/>
        </w:rPr>
        <w:t>.</w:t>
      </w:r>
    </w:p>
    <w:p w14:paraId="1B31561C" w14:textId="77777777" w:rsidR="00653ABB" w:rsidRDefault="00653ABB" w:rsidP="00A3554C">
      <w:pPr>
        <w:spacing w:after="0" w:line="360" w:lineRule="auto"/>
        <w:rPr>
          <w:rFonts w:ascii="Arial" w:eastAsia="Arial" w:hAnsi="Arial" w:cs="Arial"/>
          <w:color w:val="000000" w:themeColor="text1"/>
          <w:sz w:val="20"/>
          <w:szCs w:val="20"/>
        </w:rPr>
      </w:pPr>
    </w:p>
    <w:p w14:paraId="10570D34" w14:textId="613768B1" w:rsidR="003D75A6" w:rsidRPr="000A5ED1" w:rsidRDefault="00FB4C38" w:rsidP="00A3554C">
      <w:pPr>
        <w:spacing w:after="0" w:line="360" w:lineRule="auto"/>
        <w:rPr>
          <w:rFonts w:ascii="Arial" w:eastAsia="Arial" w:hAnsi="Arial" w:cs="Arial"/>
          <w:b/>
          <w:color w:val="000000" w:themeColor="text1"/>
          <w:sz w:val="20"/>
          <w:szCs w:val="20"/>
        </w:rPr>
      </w:pPr>
      <w:r>
        <w:rPr>
          <w:rFonts w:ascii="Arial" w:hAnsi="Arial"/>
          <w:color w:val="000000" w:themeColor="text1"/>
          <w:sz w:val="20"/>
          <w:szCs w:val="20"/>
        </w:rPr>
        <w:t xml:space="preserve">The complete </w:t>
      </w:r>
      <w:hyperlink r:id="rId9" w:history="1">
        <w:r>
          <w:rPr>
            <w:rStyle w:val="Hyperlink"/>
            <w:rFonts w:ascii="Arial" w:hAnsi="Arial"/>
            <w:sz w:val="20"/>
            <w:szCs w:val="20"/>
          </w:rPr>
          <w:t>office market survey</w:t>
        </w:r>
      </w:hyperlink>
      <w:r>
        <w:rPr>
          <w:rFonts w:ascii="Arial" w:hAnsi="Arial"/>
          <w:color w:val="000000" w:themeColor="text1"/>
          <w:sz w:val="20"/>
          <w:szCs w:val="20"/>
        </w:rPr>
        <w:t xml:space="preserve"> will soon be available and </w:t>
      </w:r>
      <w:proofErr w:type="gramStart"/>
      <w:r>
        <w:rPr>
          <w:rFonts w:ascii="Arial" w:hAnsi="Arial"/>
          <w:color w:val="000000" w:themeColor="text1"/>
          <w:sz w:val="20"/>
          <w:szCs w:val="20"/>
        </w:rPr>
        <w:t>can be downloaded</w:t>
      </w:r>
      <w:proofErr w:type="gramEnd"/>
      <w:r>
        <w:rPr>
          <w:rFonts w:ascii="Arial" w:hAnsi="Arial"/>
          <w:color w:val="000000" w:themeColor="text1"/>
          <w:sz w:val="20"/>
          <w:szCs w:val="20"/>
        </w:rPr>
        <w:t xml:space="preserve"> from our website.</w:t>
      </w:r>
    </w:p>
    <w:p w14:paraId="0627459A" w14:textId="77777777" w:rsidR="00950C77" w:rsidRPr="00A3554C" w:rsidRDefault="00950C77" w:rsidP="00A3554C">
      <w:pPr>
        <w:spacing w:after="0" w:line="360" w:lineRule="auto"/>
        <w:rPr>
          <w:rFonts w:ascii="Arial" w:hAnsi="Arial" w:cs="Arial"/>
          <w:sz w:val="20"/>
          <w:szCs w:val="20"/>
        </w:rPr>
      </w:pPr>
      <w:bookmarkStart w:id="0" w:name="_GoBack"/>
      <w:bookmarkEnd w:id="0"/>
    </w:p>
    <w:p w14:paraId="37791DEA" w14:textId="77777777" w:rsidR="00F12C0D" w:rsidRPr="0090748B" w:rsidRDefault="00F12C0D" w:rsidP="00F12C0D">
      <w:pPr>
        <w:spacing w:after="0" w:line="360" w:lineRule="auto"/>
        <w:rPr>
          <w:rFonts w:ascii="Arial" w:hAnsi="Arial" w:cs="Arial"/>
          <w:b/>
          <w:sz w:val="16"/>
          <w:szCs w:val="16"/>
        </w:rPr>
      </w:pPr>
      <w:r>
        <w:rPr>
          <w:rFonts w:ascii="Arial" w:hAnsi="Arial"/>
          <w:b/>
          <w:sz w:val="16"/>
          <w:szCs w:val="16"/>
        </w:rPr>
        <w:t>About Grossmann &amp; Berger</w:t>
      </w:r>
    </w:p>
    <w:p w14:paraId="2179DB0B" w14:textId="77777777" w:rsidR="004A6CA8" w:rsidRPr="004A6CA8" w:rsidRDefault="0068013A" w:rsidP="004A6CA8">
      <w:pPr>
        <w:spacing w:after="0" w:line="360" w:lineRule="auto"/>
        <w:rPr>
          <w:rFonts w:ascii="Arial" w:hAnsi="Arial" w:cs="Arial"/>
          <w:vanish/>
          <w:sz w:val="16"/>
          <w:szCs w:val="16"/>
          <w:specVanish/>
        </w:rPr>
      </w:pPr>
      <w:hyperlink r:id="rId10" w:history="1">
        <w:r w:rsidR="004A6CA8">
          <w:rPr>
            <w:rStyle w:val="Hyperlink"/>
            <w:rFonts w:ascii="Arial" w:hAnsi="Arial"/>
            <w:snapToGrid w:val="0"/>
            <w:sz w:val="16"/>
            <w:szCs w:val="16"/>
          </w:rPr>
          <w:t>Grossmann &amp; Berger GmbH</w:t>
        </w:r>
      </w:hyperlink>
      <w:r w:rsidR="004A6CA8">
        <w:rPr>
          <w:rFonts w:ascii="Arial" w:hAnsi="Arial"/>
          <w:snapToGrid w:val="0"/>
          <w:sz w:val="16"/>
          <w:szCs w:val="16"/>
        </w:rPr>
        <w:t xml:space="preserve"> is one of the leading service providers in the business of selling and letting commercial and residential properties in North Germany. In addition to its main office in Hamburg, the company has 20 local offices. This allows Grossmann &amp; Berger to cover the entire North German market. In May 2021 </w:t>
      </w:r>
      <w:proofErr w:type="gramStart"/>
      <w:r w:rsidR="004A6CA8">
        <w:rPr>
          <w:rFonts w:ascii="Arial" w:hAnsi="Arial"/>
          <w:snapToGrid w:val="0"/>
          <w:sz w:val="16"/>
          <w:szCs w:val="16"/>
        </w:rPr>
        <w:t xml:space="preserve">the company was augmented by </w:t>
      </w:r>
      <w:hyperlink r:id="rId11" w:history="1">
        <w:r w:rsidR="004A6CA8">
          <w:rPr>
            <w:rStyle w:val="Hyperlink"/>
            <w:rFonts w:ascii="Arial" w:hAnsi="Arial"/>
            <w:snapToGrid w:val="0"/>
            <w:sz w:val="16"/>
            <w:szCs w:val="16"/>
          </w:rPr>
          <w:t>E &amp; G Real Estate</w:t>
        </w:r>
      </w:hyperlink>
      <w:r w:rsidR="004A6CA8">
        <w:rPr>
          <w:rFonts w:ascii="Arial" w:hAnsi="Arial"/>
          <w:snapToGrid w:val="0"/>
          <w:sz w:val="16"/>
          <w:szCs w:val="16"/>
        </w:rPr>
        <w:t xml:space="preserve"> and</w:t>
      </w:r>
      <w:r w:rsidR="004A6CA8">
        <w:rPr>
          <w:rFonts w:ascii="Arial" w:hAnsi="Arial"/>
          <w:snapToGrid w:val="0"/>
          <w:sz w:val="16"/>
          <w:szCs w:val="16"/>
        </w:rPr>
        <w:br/>
      </w:r>
      <w:hyperlink r:id="rId12" w:history="1">
        <w:r w:rsidR="004A6CA8">
          <w:rPr>
            <w:rStyle w:val="Hyperlink"/>
            <w:rFonts w:ascii="Arial" w:hAnsi="Arial"/>
            <w:snapToGrid w:val="0"/>
            <w:sz w:val="16"/>
            <w:szCs w:val="16"/>
          </w:rPr>
          <w:t xml:space="preserve">E &amp; G Private </w:t>
        </w:r>
        <w:proofErr w:type="spellStart"/>
        <w:r w:rsidR="004A6CA8">
          <w:rPr>
            <w:rStyle w:val="Hyperlink"/>
            <w:rFonts w:ascii="Arial" w:hAnsi="Arial"/>
            <w:snapToGrid w:val="0"/>
            <w:sz w:val="16"/>
            <w:szCs w:val="16"/>
          </w:rPr>
          <w:t>Immobilien</w:t>
        </w:r>
        <w:proofErr w:type="spellEnd"/>
        <w:proofErr w:type="gramEnd"/>
      </w:hyperlink>
      <w:r w:rsidR="004A6CA8">
        <w:rPr>
          <w:rFonts w:ascii="Arial" w:hAnsi="Arial"/>
          <w:snapToGrid w:val="0"/>
          <w:sz w:val="16"/>
          <w:szCs w:val="16"/>
        </w:rPr>
        <w:t xml:space="preserve">, so that Grossmann &amp; Berger also operates in the two South German metropolitan areas of Stuttgart and Munich. Drawing on their comprehensive expertise in the real estate business, some 250 employees provide the full range of relevant services. They also benefit from the company’s more than 85 years standing in the industry. </w:t>
      </w:r>
      <w:r w:rsidR="004A6CA8">
        <w:rPr>
          <w:rFonts w:ascii="Arial" w:hAnsi="Arial"/>
          <w:sz w:val="16"/>
          <w:szCs w:val="16"/>
        </w:rPr>
        <w:t xml:space="preserve">Grossmann &amp; Berger belongs to the HASPA Group and is a founding member of the national commercial real estate network </w:t>
      </w:r>
      <w:hyperlink r:id="rId13" w:history="1">
        <w:r w:rsidR="004A6CA8">
          <w:rPr>
            <w:rStyle w:val="Hyperlink"/>
            <w:rFonts w:ascii="Arial" w:hAnsi="Arial"/>
            <w:sz w:val="16"/>
            <w:szCs w:val="16"/>
          </w:rPr>
          <w:t>German Property Partners</w:t>
        </w:r>
      </w:hyperlink>
      <w:r w:rsidR="004A6CA8">
        <w:rPr>
          <w:rFonts w:ascii="Arial" w:hAnsi="Arial"/>
          <w:sz w:val="16"/>
          <w:szCs w:val="16"/>
        </w:rPr>
        <w:t xml:space="preserve"> (GPP).</w:t>
      </w:r>
    </w:p>
    <w:p w14:paraId="5AD4EE3D" w14:textId="77777777" w:rsidR="004A6CA8" w:rsidRPr="004A6CA8" w:rsidRDefault="004A6CA8" w:rsidP="004A6CA8">
      <w:pPr>
        <w:spacing w:after="0" w:line="360" w:lineRule="auto"/>
        <w:rPr>
          <w:rFonts w:ascii="Arial" w:hAnsi="Arial" w:cs="Arial"/>
          <w:sz w:val="16"/>
          <w:szCs w:val="16"/>
        </w:rPr>
      </w:pPr>
      <w:r>
        <w:rPr>
          <w:rFonts w:ascii="Arial" w:hAnsi="Arial"/>
          <w:sz w:val="16"/>
          <w:szCs w:val="16"/>
        </w:rPr>
        <w:t xml:space="preserve"> </w:t>
      </w:r>
    </w:p>
    <w:p w14:paraId="05139D71" w14:textId="77777777" w:rsidR="00F12C0D" w:rsidRPr="00583E25" w:rsidRDefault="00F12C0D" w:rsidP="00F12C0D">
      <w:pPr>
        <w:spacing w:after="0" w:line="360" w:lineRule="auto"/>
        <w:rPr>
          <w:rFonts w:ascii="Arial" w:hAnsi="Arial" w:cs="Arial"/>
          <w:sz w:val="16"/>
          <w:szCs w:val="16"/>
        </w:rPr>
      </w:pPr>
    </w:p>
    <w:p w14:paraId="08EA4FC5" w14:textId="1B65B7B0" w:rsidR="005803C1" w:rsidRPr="005803C1" w:rsidRDefault="00F12C0D" w:rsidP="00F12C0D">
      <w:pPr>
        <w:spacing w:after="0" w:line="360" w:lineRule="auto"/>
        <w:rPr>
          <w:rFonts w:ascii="Arial" w:hAnsi="Arial"/>
          <w:sz w:val="16"/>
          <w:szCs w:val="16"/>
        </w:rPr>
      </w:pPr>
      <w:r>
        <w:rPr>
          <w:rFonts w:ascii="Arial" w:hAnsi="Arial"/>
          <w:sz w:val="16"/>
          <w:szCs w:val="16"/>
        </w:rPr>
        <w:t>Please consult our website for Grossmann &amp; Berger’s</w:t>
      </w:r>
      <w:hyperlink r:id="rId14" w:history="1">
        <w:r>
          <w:rPr>
            <w:rStyle w:val="Hyperlink"/>
            <w:rFonts w:ascii="Arial" w:hAnsi="Arial"/>
            <w:sz w:val="16"/>
            <w:szCs w:val="16"/>
          </w:rPr>
          <w:t xml:space="preserve"> data privacy policy.</w:t>
        </w:r>
      </w:hyperlink>
      <w:r>
        <w:rPr>
          <w:rFonts w:ascii="Arial" w:hAnsi="Arial"/>
          <w:sz w:val="16"/>
          <w:szCs w:val="16"/>
        </w:rPr>
        <w:t xml:space="preserve">  Here you will also be able to access our </w:t>
      </w:r>
      <w:hyperlink r:id="rId15" w:history="1">
        <w:r>
          <w:rPr>
            <w:rStyle w:val="Hyperlink"/>
            <w:rFonts w:ascii="Arial" w:hAnsi="Arial"/>
            <w:sz w:val="16"/>
            <w:szCs w:val="16"/>
          </w:rPr>
          <w:t xml:space="preserve"> press kit </w:t>
        </w:r>
      </w:hyperlink>
      <w:r>
        <w:rPr>
          <w:rFonts w:ascii="Arial" w:hAnsi="Arial"/>
          <w:sz w:val="16"/>
          <w:szCs w:val="16"/>
        </w:rPr>
        <w:t xml:space="preserve"> and the associated </w:t>
      </w:r>
      <w:hyperlink r:id="rId16" w:history="1">
        <w:r>
          <w:rPr>
            <w:rStyle w:val="Hyperlink"/>
            <w:rFonts w:ascii="Arial" w:hAnsi="Arial"/>
            <w:sz w:val="16"/>
            <w:szCs w:val="16"/>
          </w:rPr>
          <w:t>Terms of Use</w:t>
        </w:r>
      </w:hyperlink>
      <w:r>
        <w:rPr>
          <w:rFonts w:ascii="Arial" w:hAnsi="Arial"/>
          <w:sz w:val="16"/>
          <w:szCs w:val="16"/>
        </w:rPr>
        <w:t xml:space="preserve">. If in future you would prefer not to receive any more information from our press office, please e-mail us at </w:t>
      </w:r>
      <w:hyperlink r:id="rId17" w:history="1">
        <w:r>
          <w:rPr>
            <w:rStyle w:val="Hyperlink"/>
            <w:rFonts w:ascii="Arial" w:hAnsi="Arial"/>
            <w:sz w:val="16"/>
            <w:szCs w:val="16"/>
          </w:rPr>
          <w:t>presse@grossmann-berger.de</w:t>
        </w:r>
      </w:hyperlink>
      <w:r>
        <w:rPr>
          <w:rFonts w:ascii="Arial" w:hAnsi="Arial"/>
          <w:sz w:val="16"/>
          <w:szCs w:val="16"/>
        </w:rPr>
        <w:t xml:space="preserve"> quoting as reference "</w:t>
      </w:r>
      <w:proofErr w:type="spellStart"/>
      <w:r>
        <w:rPr>
          <w:rFonts w:ascii="Arial" w:hAnsi="Arial"/>
          <w:sz w:val="16"/>
          <w:szCs w:val="16"/>
        </w:rPr>
        <w:t>Abmeldung</w:t>
      </w:r>
      <w:proofErr w:type="spellEnd"/>
      <w:r>
        <w:rPr>
          <w:rFonts w:ascii="Arial" w:hAnsi="Arial"/>
          <w:sz w:val="16"/>
          <w:szCs w:val="16"/>
        </w:rPr>
        <w:t xml:space="preserve"> </w:t>
      </w:r>
      <w:proofErr w:type="spellStart"/>
      <w:r>
        <w:rPr>
          <w:rFonts w:ascii="Arial" w:hAnsi="Arial"/>
          <w:sz w:val="16"/>
          <w:szCs w:val="16"/>
        </w:rPr>
        <w:t>aus</w:t>
      </w:r>
      <w:proofErr w:type="spellEnd"/>
      <w:r>
        <w:rPr>
          <w:rFonts w:ascii="Arial" w:hAnsi="Arial"/>
          <w:sz w:val="16"/>
          <w:szCs w:val="16"/>
        </w:rPr>
        <w:t xml:space="preserve"> </w:t>
      </w:r>
      <w:proofErr w:type="spellStart"/>
      <w:r>
        <w:rPr>
          <w:rFonts w:ascii="Arial" w:hAnsi="Arial"/>
          <w:sz w:val="16"/>
          <w:szCs w:val="16"/>
        </w:rPr>
        <w:t>Presseverteiler</w:t>
      </w:r>
      <w:proofErr w:type="spellEnd"/>
      <w:r>
        <w:rPr>
          <w:rFonts w:ascii="Arial" w:hAnsi="Arial"/>
          <w:sz w:val="16"/>
          <w:szCs w:val="16"/>
        </w:rPr>
        <w:t>” / “Unsubscribe from press mailing list”.</w:t>
      </w:r>
    </w:p>
    <w:sectPr w:rsidR="005803C1" w:rsidRPr="005803C1" w:rsidSect="00D83CB7">
      <w:headerReference w:type="default" r:id="rId18"/>
      <w:footerReference w:type="default" r:id="rId19"/>
      <w:headerReference w:type="first" r:id="rId20"/>
      <w:footerReference w:type="first" r:id="rId21"/>
      <w:pgSz w:w="11904" w:h="16840"/>
      <w:pgMar w:top="284" w:right="1134" w:bottom="1440" w:left="1134" w:header="567" w:footer="1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9389EB" w14:textId="77777777" w:rsidR="00850EEB" w:rsidRDefault="00850EEB">
      <w:r>
        <w:separator/>
      </w:r>
    </w:p>
  </w:endnote>
  <w:endnote w:type="continuationSeparator" w:id="0">
    <w:p w14:paraId="3EB40DD4" w14:textId="77777777" w:rsidR="00850EEB" w:rsidRDefault="00850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kkurat-Fett">
    <w:altName w:val="Akkurat Norm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Mark OT Light">
    <w:panose1 w:val="020B0504020201010104"/>
    <w:charset w:val="00"/>
    <w:family w:val="swiss"/>
    <w:notTrueType/>
    <w:pitch w:val="variable"/>
    <w:sig w:usb0="A00000EF" w:usb1="5000FCFB" w:usb2="00000000" w:usb3="00000000" w:csb0="00000001" w:csb1="00000000"/>
  </w:font>
  <w:font w:name="Mark OT">
    <w:panose1 w:val="020B0504020201010104"/>
    <w:charset w:val="00"/>
    <w:family w:val="swiss"/>
    <w:notTrueType/>
    <w:pitch w:val="variable"/>
    <w:sig w:usb0="A00000EF" w:usb1="5000FCFB"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E402D" w14:textId="02040DB3" w:rsidR="00D83CB7" w:rsidRPr="00D83CB7" w:rsidRDefault="00D83CB7" w:rsidP="00D83CB7">
    <w:pPr>
      <w:pStyle w:val="Fuzeile"/>
      <w:tabs>
        <w:tab w:val="left" w:pos="4145"/>
        <w:tab w:val="right" w:pos="9636"/>
      </w:tabs>
      <w:ind w:left="-426"/>
      <w:jc w:val="center"/>
      <w:rPr>
        <w:rFonts w:ascii="Arial" w:hAnsi="Arial" w:cs="Arial"/>
        <w:color w:val="918F90"/>
        <w:sz w:val="18"/>
        <w:szCs w:val="18"/>
      </w:rPr>
    </w:pPr>
    <w:r>
      <w:rPr>
        <w:rFonts w:ascii="Arial" w:hAnsi="Arial"/>
        <w:b/>
        <w:bCs/>
        <w:color w:val="918F90"/>
        <w:sz w:val="18"/>
        <w:szCs w:val="18"/>
      </w:rPr>
      <w:t xml:space="preserve">Grossmann &amp; Berger GmbH </w:t>
    </w:r>
    <w:r>
      <w:rPr>
        <w:rFonts w:ascii="Arial" w:hAnsi="Arial"/>
        <w:color w:val="918F90"/>
        <w:sz w:val="18"/>
        <w:szCs w:val="18"/>
      </w:rPr>
      <w:t xml:space="preserve">| </w:t>
    </w:r>
    <w:proofErr w:type="spellStart"/>
    <w:r>
      <w:rPr>
        <w:rFonts w:ascii="Arial" w:hAnsi="Arial"/>
        <w:color w:val="918F90"/>
        <w:sz w:val="18"/>
        <w:szCs w:val="18"/>
      </w:rPr>
      <w:t>Bleichenbrücke</w:t>
    </w:r>
    <w:proofErr w:type="spellEnd"/>
    <w:r>
      <w:rPr>
        <w:rFonts w:ascii="Arial" w:hAnsi="Arial"/>
        <w:color w:val="918F90"/>
        <w:sz w:val="18"/>
        <w:szCs w:val="18"/>
      </w:rPr>
      <w:t xml:space="preserve"> 9 | 20354 Hamburg | Tel. +49 (0)40/350 80 2-0 | www.grossmann-berger.de</w:t>
    </w:r>
  </w:p>
  <w:p w14:paraId="5440A7EF" w14:textId="41FD89F9" w:rsidR="00CE455F" w:rsidRPr="00BB15DA" w:rsidRDefault="00BB15DA" w:rsidP="00D83CB7">
    <w:pPr>
      <w:pStyle w:val="Fuzeile"/>
      <w:tabs>
        <w:tab w:val="left" w:pos="4145"/>
        <w:tab w:val="right" w:pos="9636"/>
      </w:tabs>
      <w:jc w:val="right"/>
      <w:rPr>
        <w:rFonts w:ascii="Arial" w:hAnsi="Arial" w:cs="Arial"/>
        <w:color w:val="918F90"/>
        <w:sz w:val="18"/>
        <w:szCs w:val="18"/>
      </w:rPr>
    </w:pPr>
    <w:r>
      <w:rPr>
        <w:rStyle w:val="Seitenzahl"/>
        <w:rFonts w:ascii="Arial" w:hAnsi="Arial"/>
        <w:color w:val="918F90"/>
        <w:sz w:val="18"/>
        <w:szCs w:val="18"/>
      </w:rPr>
      <w:tab/>
    </w:r>
    <w:r>
      <w:rPr>
        <w:rStyle w:val="Seitenzahl"/>
        <w:rFonts w:ascii="Arial" w:hAnsi="Arial"/>
        <w:color w:val="918F90"/>
        <w:sz w:val="18"/>
        <w:szCs w:val="18"/>
      </w:rPr>
      <w:tab/>
    </w:r>
    <w:r w:rsidR="00CE455F" w:rsidRPr="00D83CB7">
      <w:rPr>
        <w:rStyle w:val="Seitenzahl"/>
        <w:rFonts w:ascii="Arial" w:hAnsi="Arial" w:cs="Arial"/>
        <w:color w:val="000000" w:themeColor="text1"/>
        <w:sz w:val="18"/>
        <w:szCs w:val="18"/>
      </w:rPr>
      <w:fldChar w:fldCharType="begin"/>
    </w:r>
    <w:r w:rsidR="00CE455F" w:rsidRPr="00D83CB7">
      <w:rPr>
        <w:rStyle w:val="Seitenzahl"/>
        <w:rFonts w:ascii="Arial" w:hAnsi="Arial" w:cs="Arial"/>
        <w:color w:val="000000" w:themeColor="text1"/>
        <w:sz w:val="18"/>
        <w:szCs w:val="18"/>
      </w:rPr>
      <w:instrText xml:space="preserve"> PAGE </w:instrText>
    </w:r>
    <w:r w:rsidR="00CE455F" w:rsidRPr="00D83CB7">
      <w:rPr>
        <w:rStyle w:val="Seitenzahl"/>
        <w:rFonts w:ascii="Arial" w:hAnsi="Arial" w:cs="Arial"/>
        <w:color w:val="000000" w:themeColor="text1"/>
        <w:sz w:val="18"/>
        <w:szCs w:val="18"/>
      </w:rPr>
      <w:fldChar w:fldCharType="separate"/>
    </w:r>
    <w:r w:rsidR="0068013A">
      <w:rPr>
        <w:rStyle w:val="Seitenzahl"/>
        <w:rFonts w:ascii="Arial" w:hAnsi="Arial" w:cs="Arial"/>
        <w:noProof/>
        <w:color w:val="000000" w:themeColor="text1"/>
        <w:sz w:val="18"/>
        <w:szCs w:val="18"/>
      </w:rPr>
      <w:t>2</w:t>
    </w:r>
    <w:r w:rsidR="00CE455F" w:rsidRPr="00D83CB7">
      <w:rPr>
        <w:rStyle w:val="Seitenzahl"/>
        <w:rFonts w:ascii="Arial" w:hAnsi="Arial" w:cs="Arial"/>
        <w:color w:val="000000" w:themeColor="text1"/>
        <w:sz w:val="18"/>
        <w:szCs w:val="18"/>
      </w:rPr>
      <w:fldChar w:fldCharType="end"/>
    </w:r>
    <w:r>
      <w:rPr>
        <w:rStyle w:val="Seitenzahl"/>
        <w:rFonts w:ascii="Arial" w:hAnsi="Arial"/>
        <w:color w:val="000000" w:themeColor="text1"/>
        <w:sz w:val="18"/>
        <w:szCs w:val="18"/>
      </w:rPr>
      <w:t xml:space="preserve"> / </w:t>
    </w:r>
    <w:r w:rsidR="00CE455F" w:rsidRPr="00D83CB7">
      <w:rPr>
        <w:rStyle w:val="Seitenzahl"/>
        <w:rFonts w:ascii="Arial" w:hAnsi="Arial" w:cs="Arial"/>
        <w:color w:val="000000" w:themeColor="text1"/>
        <w:sz w:val="18"/>
        <w:szCs w:val="18"/>
      </w:rPr>
      <w:fldChar w:fldCharType="begin"/>
    </w:r>
    <w:r w:rsidR="00CE455F" w:rsidRPr="00D83CB7">
      <w:rPr>
        <w:rStyle w:val="Seitenzahl"/>
        <w:rFonts w:ascii="Arial" w:hAnsi="Arial" w:cs="Arial"/>
        <w:color w:val="000000" w:themeColor="text1"/>
        <w:sz w:val="18"/>
        <w:szCs w:val="18"/>
      </w:rPr>
      <w:instrText xml:space="preserve"> NUMPAGES </w:instrText>
    </w:r>
    <w:r w:rsidR="00CE455F" w:rsidRPr="00D83CB7">
      <w:rPr>
        <w:rStyle w:val="Seitenzahl"/>
        <w:rFonts w:ascii="Arial" w:hAnsi="Arial" w:cs="Arial"/>
        <w:color w:val="000000" w:themeColor="text1"/>
        <w:sz w:val="18"/>
        <w:szCs w:val="18"/>
      </w:rPr>
      <w:fldChar w:fldCharType="separate"/>
    </w:r>
    <w:r w:rsidR="0068013A">
      <w:rPr>
        <w:rStyle w:val="Seitenzahl"/>
        <w:rFonts w:ascii="Arial" w:hAnsi="Arial" w:cs="Arial"/>
        <w:noProof/>
        <w:color w:val="000000" w:themeColor="text1"/>
        <w:sz w:val="18"/>
        <w:szCs w:val="18"/>
      </w:rPr>
      <w:t>2</w:t>
    </w:r>
    <w:r w:rsidR="00CE455F" w:rsidRPr="00D83CB7">
      <w:rPr>
        <w:rStyle w:val="Seitenzahl"/>
        <w:rFonts w:ascii="Arial" w:hAnsi="Arial" w:cs="Arial"/>
        <w:color w:val="000000" w:themeColor="text1"/>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709B1" w14:textId="77777777" w:rsidR="008C608D" w:rsidRDefault="008C608D">
    <w:pPr>
      <w:pStyle w:val="Fuzeile"/>
    </w:pPr>
    <w:r>
      <w:rPr>
        <w:noProof/>
        <w:lang w:val="de-DE" w:eastAsia="de-DE"/>
      </w:rPr>
      <w:drawing>
        <wp:anchor distT="0" distB="0" distL="0" distR="0" simplePos="0" relativeHeight="251659264" behindDoc="0" locked="0" layoutInCell="0" allowOverlap="1" wp14:anchorId="3C8AE65D" wp14:editId="37B4444B">
          <wp:simplePos x="0" y="0"/>
          <wp:positionH relativeFrom="column">
            <wp:posOffset>-617220</wp:posOffset>
          </wp:positionH>
          <wp:positionV relativeFrom="page">
            <wp:posOffset>9429750</wp:posOffset>
          </wp:positionV>
          <wp:extent cx="7346950" cy="1197610"/>
          <wp:effectExtent l="0" t="0" r="6350" b="2540"/>
          <wp:wrapThrough wrapText="bothSides">
            <wp:wrapPolygon edited="0">
              <wp:start x="19322" y="0"/>
              <wp:lineTo x="19322" y="5497"/>
              <wp:lineTo x="0" y="5841"/>
              <wp:lineTo x="0" y="21302"/>
              <wp:lineTo x="21563" y="21302"/>
              <wp:lineTo x="21563" y="5841"/>
              <wp:lineTo x="20723" y="5497"/>
              <wp:lineTo x="20723" y="0"/>
              <wp:lineTo x="19322" y="0"/>
            </wp:wrapPolygon>
          </wp:wrapThrough>
          <wp:docPr id="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1129_Logo_A4_GPP.pdf"/>
                  <pic:cNvPicPr/>
                </pic:nvPicPr>
                <pic:blipFill>
                  <a:blip r:embed="rId1">
                    <a:extLst>
                      <a:ext uri="{28A0092B-C50C-407E-A947-70E740481C1C}">
                        <a14:useLocalDpi xmlns:a14="http://schemas.microsoft.com/office/drawing/2010/main" val="0"/>
                      </a:ext>
                    </a:extLst>
                  </a:blip>
                  <a:stretch>
                    <a:fillRect/>
                  </a:stretch>
                </pic:blipFill>
                <pic:spPr>
                  <a:xfrm>
                    <a:off x="0" y="0"/>
                    <a:ext cx="7346950" cy="119761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1B5FB4" w14:textId="77777777" w:rsidR="00850EEB" w:rsidRDefault="00850EEB">
      <w:r>
        <w:separator/>
      </w:r>
    </w:p>
  </w:footnote>
  <w:footnote w:type="continuationSeparator" w:id="0">
    <w:p w14:paraId="4AAA2BB1" w14:textId="77777777" w:rsidR="00850EEB" w:rsidRDefault="00850E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9A270" w14:textId="52D6B619" w:rsidR="006138CB" w:rsidRPr="009E3ADA" w:rsidRDefault="00E36E5F" w:rsidP="006138CB">
    <w:pPr>
      <w:jc w:val="right"/>
      <w:rPr>
        <w:rFonts w:ascii="Arial" w:hAnsi="Arial" w:cs="Arial"/>
        <w:color w:val="918F90"/>
        <w:sz w:val="28"/>
        <w:szCs w:val="28"/>
      </w:rPr>
    </w:pPr>
    <w:r>
      <w:rPr>
        <w:rFonts w:ascii="Arial" w:hAnsi="Arial"/>
        <w:noProof/>
        <w:color w:val="918F90"/>
        <w:sz w:val="28"/>
        <w:szCs w:val="28"/>
        <w:lang w:val="de-DE" w:eastAsia="de-DE"/>
      </w:rPr>
      <mc:AlternateContent>
        <mc:Choice Requires="wps">
          <w:drawing>
            <wp:anchor distT="0" distB="0" distL="114300" distR="114300" simplePos="0" relativeHeight="251663360" behindDoc="0" locked="0" layoutInCell="1" allowOverlap="1" wp14:anchorId="1214ACBC" wp14:editId="36AB530C">
              <wp:simplePos x="0" y="0"/>
              <wp:positionH relativeFrom="margin">
                <wp:posOffset>-76451</wp:posOffset>
              </wp:positionH>
              <wp:positionV relativeFrom="paragraph">
                <wp:posOffset>7620</wp:posOffset>
              </wp:positionV>
              <wp:extent cx="4778734" cy="281940"/>
              <wp:effectExtent l="0" t="0" r="0" b="381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8734" cy="281940"/>
                      </a:xfrm>
                      <a:prstGeom prst="rect">
                        <a:avLst/>
                      </a:prstGeom>
                      <a:noFill/>
                      <a:ln w="9525">
                        <a:noFill/>
                        <a:miter lim="800000"/>
                        <a:headEnd/>
                        <a:tailEnd/>
                      </a:ln>
                    </wps:spPr>
                    <wps:txbx>
                      <w:txbxContent>
                        <w:p w14:paraId="6DEA5BF5" w14:textId="5511A8D8" w:rsidR="00E36E5F" w:rsidRPr="001E3456" w:rsidRDefault="00E36E5F" w:rsidP="00E36E5F">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Britt Finke | Tel.: +49 (0)40/350 802-993 | b.finke@grossmann-berger.de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14ACBC" id="_x0000_t202" coordsize="21600,21600" o:spt="202" path="m,l,21600r21600,l21600,xe">
              <v:stroke joinstyle="miter"/>
              <v:path gradientshapeok="t" o:connecttype="rect"/>
            </v:shapetype>
            <v:shape id="Textfeld 2" o:spid="_x0000_s1026" type="#_x0000_t202" style="position:absolute;left:0;text-align:left;margin-left:-6pt;margin-top:.6pt;width:376.3pt;height:22.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" filled="f" stroked="f">
              <v:textbox>
                <w:txbxContent>
                  <w:p w14:paraId="6DEA5BF5" w14:textId="5511A8D8" w:rsidR="00E36E5F" w:rsidRPr="001E3456" w:rsidRDefault="00E36E5F" w:rsidP="00E36E5F">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Britt Finke | Tel.: +49 (0)40/350 802-993 | b.finke@grossmann-berger.de</w:t>
                    </w:r>
                  </w:p>
                </w:txbxContent>
              </v:textbox>
              <w10:wrap anchorx="margin"/>
            </v:shape>
          </w:pict>
        </mc:Fallback>
      </mc:AlternateContent>
    </w:r>
    <w:r>
      <w:rPr>
        <w:rFonts w:ascii="Arial" w:hAnsi="Arial"/>
        <w:color w:val="918F90"/>
        <w:sz w:val="28"/>
        <w:szCs w:val="28"/>
      </w:rPr>
      <w:t>Press release</w:t>
    </w:r>
  </w:p>
  <w:p w14:paraId="25B9848C" w14:textId="77777777" w:rsidR="00CE455F" w:rsidRDefault="00CE455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758FA" w14:textId="77777777" w:rsidR="00D83CB7" w:rsidRDefault="00E5203C" w:rsidP="000C770D">
    <w:pPr>
      <w:jc w:val="right"/>
      <w:rPr>
        <w:rFonts w:ascii="Arial" w:hAnsi="Arial" w:cs="Arial"/>
        <w:color w:val="918F90"/>
        <w:sz w:val="28"/>
        <w:szCs w:val="28"/>
      </w:rPr>
    </w:pPr>
    <w:r>
      <w:rPr>
        <w:rFonts w:ascii="Arial" w:hAnsi="Arial"/>
        <w:noProof/>
        <w:color w:val="918F90"/>
        <w:sz w:val="28"/>
        <w:szCs w:val="28"/>
        <w:lang w:val="de-DE" w:eastAsia="de-DE"/>
      </w:rPr>
      <mc:AlternateContent>
        <mc:Choice Requires="wps">
          <w:drawing>
            <wp:anchor distT="0" distB="0" distL="114300" distR="114300" simplePos="0" relativeHeight="251661312" behindDoc="0" locked="0" layoutInCell="1" allowOverlap="1" wp14:anchorId="18539D83" wp14:editId="582F9011">
              <wp:simplePos x="0" y="0"/>
              <wp:positionH relativeFrom="column">
                <wp:posOffset>-87123</wp:posOffset>
              </wp:positionH>
              <wp:positionV relativeFrom="paragraph">
                <wp:posOffset>5080</wp:posOffset>
              </wp:positionV>
              <wp:extent cx="4778734" cy="281940"/>
              <wp:effectExtent l="0" t="0" r="0" b="381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8734" cy="281940"/>
                      </a:xfrm>
                      <a:prstGeom prst="rect">
                        <a:avLst/>
                      </a:prstGeom>
                      <a:noFill/>
                      <a:ln w="9525">
                        <a:noFill/>
                        <a:miter lim="800000"/>
                        <a:headEnd/>
                        <a:tailEnd/>
                      </a:ln>
                    </wps:spPr>
                    <wps:txbx>
                      <w:txbxContent>
                        <w:p w14:paraId="371F1D6A" w14:textId="76476FCB" w:rsidR="00E5203C" w:rsidRPr="001E3456" w:rsidRDefault="00E5203C" w:rsidP="00E5203C">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Britt Finke | Tel.: +49 (0)40/350 802-993 | b.finke@grossmann-berger.de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539D83" id="_x0000_t202" coordsize="21600,21600" o:spt="202" path="m,l,21600r21600,l21600,xe">
              <v:stroke joinstyle="miter"/>
              <v:path gradientshapeok="t" o:connecttype="rect"/>
            </v:shapetype>
            <v:shape id="_x0000_s1027" type="#_x0000_t202" style="position:absolute;left:0;text-align:left;margin-left:-6.85pt;margin-top:.4pt;width:376.3pt;height:2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" filled="f" stroked="f">
              <v:textbox>
                <w:txbxContent>
                  <w:p w14:paraId="371F1D6A" w14:textId="76476FCB" w:rsidR="00E5203C" w:rsidRPr="001E3456" w:rsidRDefault="00E5203C" w:rsidP="00E5203C">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Britt Finke | Tel.: +49 (0)40/350 802-993 | b.finke@grossmann-berger.de</w:t>
                    </w:r>
                  </w:p>
                </w:txbxContent>
              </v:textbox>
            </v:shape>
          </w:pict>
        </mc:Fallback>
      </mc:AlternateContent>
    </w:r>
    <w:r>
      <w:rPr>
        <w:rFonts w:ascii="Arial" w:hAnsi="Arial"/>
        <w:color w:val="918F90"/>
        <w:sz w:val="28"/>
        <w:szCs w:val="28"/>
      </w:rPr>
      <w:t>Press release</w:t>
    </w:r>
  </w:p>
  <w:p w14:paraId="47ED31F5" w14:textId="77777777" w:rsidR="000C770D" w:rsidRDefault="000C770D" w:rsidP="000C770D">
    <w:pPr>
      <w:jc w:val="right"/>
      <w:rPr>
        <w:rFonts w:ascii="Arial" w:hAnsi="Arial" w:cs="Arial"/>
        <w:color w:val="918F9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796F5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4D015A8"/>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D57C894E"/>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4470FC18"/>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F5847D82"/>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9664F6C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89E7B6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D124CE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6AAE25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4B695F8"/>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9DFA040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D511BE"/>
    <w:multiLevelType w:val="multilevel"/>
    <w:tmpl w:val="D1926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3877515"/>
    <w:multiLevelType w:val="hybridMultilevel"/>
    <w:tmpl w:val="EA008F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80F77D8"/>
    <w:multiLevelType w:val="hybridMultilevel"/>
    <w:tmpl w:val="F2B82A0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DF305C1"/>
    <w:multiLevelType w:val="hybridMultilevel"/>
    <w:tmpl w:val="BD4E00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4A13444"/>
    <w:multiLevelType w:val="multilevel"/>
    <w:tmpl w:val="9A3A45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F931CD0"/>
    <w:multiLevelType w:val="hybridMultilevel"/>
    <w:tmpl w:val="14A2D56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2507BD0"/>
    <w:multiLevelType w:val="multilevel"/>
    <w:tmpl w:val="3CF05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3064DC"/>
    <w:multiLevelType w:val="hybridMultilevel"/>
    <w:tmpl w:val="602C0CE0"/>
    <w:lvl w:ilvl="0" w:tplc="035054B6">
      <w:numFmt w:val="bullet"/>
      <w:lvlText w:val="-"/>
      <w:lvlJc w:val="left"/>
      <w:pPr>
        <w:ind w:left="-349" w:hanging="360"/>
      </w:pPr>
      <w:rPr>
        <w:rFonts w:ascii="Arial" w:eastAsia="Times New Roman" w:hAnsi="Arial" w:hint="default"/>
      </w:rPr>
    </w:lvl>
    <w:lvl w:ilvl="1" w:tplc="04070003" w:tentative="1">
      <w:start w:val="1"/>
      <w:numFmt w:val="bullet"/>
      <w:lvlText w:val="o"/>
      <w:lvlJc w:val="left"/>
      <w:pPr>
        <w:ind w:left="371" w:hanging="360"/>
      </w:pPr>
      <w:rPr>
        <w:rFonts w:ascii="Courier New" w:hAnsi="Courier New" w:hint="default"/>
      </w:rPr>
    </w:lvl>
    <w:lvl w:ilvl="2" w:tplc="04070005" w:tentative="1">
      <w:start w:val="1"/>
      <w:numFmt w:val="bullet"/>
      <w:lvlText w:val=""/>
      <w:lvlJc w:val="left"/>
      <w:pPr>
        <w:ind w:left="1091" w:hanging="360"/>
      </w:pPr>
      <w:rPr>
        <w:rFonts w:ascii="Wingdings" w:hAnsi="Wingdings" w:hint="default"/>
      </w:rPr>
    </w:lvl>
    <w:lvl w:ilvl="3" w:tplc="04070001" w:tentative="1">
      <w:start w:val="1"/>
      <w:numFmt w:val="bullet"/>
      <w:lvlText w:val=""/>
      <w:lvlJc w:val="left"/>
      <w:pPr>
        <w:ind w:left="1811" w:hanging="360"/>
      </w:pPr>
      <w:rPr>
        <w:rFonts w:ascii="Symbol" w:hAnsi="Symbol" w:hint="default"/>
      </w:rPr>
    </w:lvl>
    <w:lvl w:ilvl="4" w:tplc="04070003" w:tentative="1">
      <w:start w:val="1"/>
      <w:numFmt w:val="bullet"/>
      <w:lvlText w:val="o"/>
      <w:lvlJc w:val="left"/>
      <w:pPr>
        <w:ind w:left="2531" w:hanging="360"/>
      </w:pPr>
      <w:rPr>
        <w:rFonts w:ascii="Courier New" w:hAnsi="Courier New" w:hint="default"/>
      </w:rPr>
    </w:lvl>
    <w:lvl w:ilvl="5" w:tplc="04070005" w:tentative="1">
      <w:start w:val="1"/>
      <w:numFmt w:val="bullet"/>
      <w:lvlText w:val=""/>
      <w:lvlJc w:val="left"/>
      <w:pPr>
        <w:ind w:left="3251" w:hanging="360"/>
      </w:pPr>
      <w:rPr>
        <w:rFonts w:ascii="Wingdings" w:hAnsi="Wingdings" w:hint="default"/>
      </w:rPr>
    </w:lvl>
    <w:lvl w:ilvl="6" w:tplc="04070001" w:tentative="1">
      <w:start w:val="1"/>
      <w:numFmt w:val="bullet"/>
      <w:lvlText w:val=""/>
      <w:lvlJc w:val="left"/>
      <w:pPr>
        <w:ind w:left="3971" w:hanging="360"/>
      </w:pPr>
      <w:rPr>
        <w:rFonts w:ascii="Symbol" w:hAnsi="Symbol" w:hint="default"/>
      </w:rPr>
    </w:lvl>
    <w:lvl w:ilvl="7" w:tplc="04070003" w:tentative="1">
      <w:start w:val="1"/>
      <w:numFmt w:val="bullet"/>
      <w:lvlText w:val="o"/>
      <w:lvlJc w:val="left"/>
      <w:pPr>
        <w:ind w:left="4691" w:hanging="360"/>
      </w:pPr>
      <w:rPr>
        <w:rFonts w:ascii="Courier New" w:hAnsi="Courier New" w:hint="default"/>
      </w:rPr>
    </w:lvl>
    <w:lvl w:ilvl="8" w:tplc="04070005" w:tentative="1">
      <w:start w:val="1"/>
      <w:numFmt w:val="bullet"/>
      <w:lvlText w:val=""/>
      <w:lvlJc w:val="left"/>
      <w:pPr>
        <w:ind w:left="5411" w:hanging="360"/>
      </w:pPr>
      <w:rPr>
        <w:rFonts w:ascii="Wingdings" w:hAnsi="Wingdings" w:hint="default"/>
      </w:rPr>
    </w:lvl>
  </w:abstractNum>
  <w:abstractNum w:abstractNumId="19" w15:restartNumberingAfterBreak="0">
    <w:nsid w:val="5B9E0F46"/>
    <w:multiLevelType w:val="hybridMultilevel"/>
    <w:tmpl w:val="23EA4108"/>
    <w:lvl w:ilvl="0" w:tplc="1FD6B322">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5FEF1FE5"/>
    <w:multiLevelType w:val="hybridMultilevel"/>
    <w:tmpl w:val="FC5AA5D8"/>
    <w:lvl w:ilvl="0" w:tplc="725CC09E">
      <w:start w:val="18"/>
      <w:numFmt w:val="bullet"/>
      <w:lvlText w:val="-"/>
      <w:lvlJc w:val="left"/>
      <w:pPr>
        <w:ind w:left="1087" w:hanging="360"/>
      </w:pPr>
      <w:rPr>
        <w:rFonts w:ascii="Arial" w:eastAsia="Arial" w:hAnsi="Arial" w:cs="Arial" w:hint="default"/>
      </w:rPr>
    </w:lvl>
    <w:lvl w:ilvl="1" w:tplc="04070003" w:tentative="1">
      <w:start w:val="1"/>
      <w:numFmt w:val="bullet"/>
      <w:lvlText w:val="o"/>
      <w:lvlJc w:val="left"/>
      <w:pPr>
        <w:ind w:left="1807" w:hanging="360"/>
      </w:pPr>
      <w:rPr>
        <w:rFonts w:ascii="Courier New" w:hAnsi="Courier New" w:cs="Courier New" w:hint="default"/>
      </w:rPr>
    </w:lvl>
    <w:lvl w:ilvl="2" w:tplc="04070005" w:tentative="1">
      <w:start w:val="1"/>
      <w:numFmt w:val="bullet"/>
      <w:lvlText w:val=""/>
      <w:lvlJc w:val="left"/>
      <w:pPr>
        <w:ind w:left="2527" w:hanging="360"/>
      </w:pPr>
      <w:rPr>
        <w:rFonts w:ascii="Wingdings" w:hAnsi="Wingdings" w:hint="default"/>
      </w:rPr>
    </w:lvl>
    <w:lvl w:ilvl="3" w:tplc="04070001" w:tentative="1">
      <w:start w:val="1"/>
      <w:numFmt w:val="bullet"/>
      <w:lvlText w:val=""/>
      <w:lvlJc w:val="left"/>
      <w:pPr>
        <w:ind w:left="3247" w:hanging="360"/>
      </w:pPr>
      <w:rPr>
        <w:rFonts w:ascii="Symbol" w:hAnsi="Symbol" w:hint="default"/>
      </w:rPr>
    </w:lvl>
    <w:lvl w:ilvl="4" w:tplc="04070003" w:tentative="1">
      <w:start w:val="1"/>
      <w:numFmt w:val="bullet"/>
      <w:lvlText w:val="o"/>
      <w:lvlJc w:val="left"/>
      <w:pPr>
        <w:ind w:left="3967" w:hanging="360"/>
      </w:pPr>
      <w:rPr>
        <w:rFonts w:ascii="Courier New" w:hAnsi="Courier New" w:cs="Courier New" w:hint="default"/>
      </w:rPr>
    </w:lvl>
    <w:lvl w:ilvl="5" w:tplc="04070005" w:tentative="1">
      <w:start w:val="1"/>
      <w:numFmt w:val="bullet"/>
      <w:lvlText w:val=""/>
      <w:lvlJc w:val="left"/>
      <w:pPr>
        <w:ind w:left="4687" w:hanging="360"/>
      </w:pPr>
      <w:rPr>
        <w:rFonts w:ascii="Wingdings" w:hAnsi="Wingdings" w:hint="default"/>
      </w:rPr>
    </w:lvl>
    <w:lvl w:ilvl="6" w:tplc="04070001" w:tentative="1">
      <w:start w:val="1"/>
      <w:numFmt w:val="bullet"/>
      <w:lvlText w:val=""/>
      <w:lvlJc w:val="left"/>
      <w:pPr>
        <w:ind w:left="5407" w:hanging="360"/>
      </w:pPr>
      <w:rPr>
        <w:rFonts w:ascii="Symbol" w:hAnsi="Symbol" w:hint="default"/>
      </w:rPr>
    </w:lvl>
    <w:lvl w:ilvl="7" w:tplc="04070003" w:tentative="1">
      <w:start w:val="1"/>
      <w:numFmt w:val="bullet"/>
      <w:lvlText w:val="o"/>
      <w:lvlJc w:val="left"/>
      <w:pPr>
        <w:ind w:left="6127" w:hanging="360"/>
      </w:pPr>
      <w:rPr>
        <w:rFonts w:ascii="Courier New" w:hAnsi="Courier New" w:cs="Courier New" w:hint="default"/>
      </w:rPr>
    </w:lvl>
    <w:lvl w:ilvl="8" w:tplc="04070005" w:tentative="1">
      <w:start w:val="1"/>
      <w:numFmt w:val="bullet"/>
      <w:lvlText w:val=""/>
      <w:lvlJc w:val="left"/>
      <w:pPr>
        <w:ind w:left="6847" w:hanging="360"/>
      </w:pPr>
      <w:rPr>
        <w:rFonts w:ascii="Wingdings" w:hAnsi="Wingdings" w:hint="default"/>
      </w:rPr>
    </w:lvl>
  </w:abstractNum>
  <w:abstractNum w:abstractNumId="21" w15:restartNumberingAfterBreak="0">
    <w:nsid w:val="60DD473C"/>
    <w:multiLevelType w:val="hybridMultilevel"/>
    <w:tmpl w:val="3D72A5E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61AF4A4D"/>
    <w:multiLevelType w:val="hybridMultilevel"/>
    <w:tmpl w:val="7EB0B168"/>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15:restartNumberingAfterBreak="0">
    <w:nsid w:val="67BD0102"/>
    <w:multiLevelType w:val="hybridMultilevel"/>
    <w:tmpl w:val="8CD6741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8F54FC7"/>
    <w:multiLevelType w:val="hybridMultilevel"/>
    <w:tmpl w:val="7A00E706"/>
    <w:lvl w:ilvl="0" w:tplc="B6F8B6B2">
      <w:numFmt w:val="bullet"/>
      <w:lvlText w:val="-"/>
      <w:lvlJc w:val="left"/>
      <w:pPr>
        <w:ind w:left="1080" w:hanging="360"/>
      </w:pPr>
      <w:rPr>
        <w:rFonts w:ascii="Arial" w:eastAsia="Cambria"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5" w15:restartNumberingAfterBreak="0">
    <w:nsid w:val="6A9D4FD2"/>
    <w:multiLevelType w:val="hybridMultilevel"/>
    <w:tmpl w:val="EB5A7A7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291629E"/>
    <w:multiLevelType w:val="hybridMultilevel"/>
    <w:tmpl w:val="169A696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8"/>
  </w:num>
  <w:num w:numId="13">
    <w:abstractNumId w:val="24"/>
  </w:num>
  <w:num w:numId="14">
    <w:abstractNumId w:val="20"/>
  </w:num>
  <w:num w:numId="15">
    <w:abstractNumId w:val="21"/>
  </w:num>
  <w:num w:numId="16">
    <w:abstractNumId w:val="14"/>
  </w:num>
  <w:num w:numId="17">
    <w:abstractNumId w:val="13"/>
  </w:num>
  <w:num w:numId="18">
    <w:abstractNumId w:val="12"/>
  </w:num>
  <w:num w:numId="19">
    <w:abstractNumId w:val="16"/>
  </w:num>
  <w:num w:numId="20">
    <w:abstractNumId w:val="17"/>
  </w:num>
  <w:num w:numId="21">
    <w:abstractNumId w:val="26"/>
  </w:num>
  <w:num w:numId="22">
    <w:abstractNumId w:val="15"/>
  </w:num>
  <w:num w:numId="23">
    <w:abstractNumId w:val="11"/>
  </w:num>
  <w:num w:numId="24">
    <w:abstractNumId w:val="22"/>
  </w:num>
  <w:num w:numId="25">
    <w:abstractNumId w:val="25"/>
  </w:num>
  <w:num w:numId="26">
    <w:abstractNumId w:val="23"/>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embedSystemFonts/>
  <w:activeWritingStyle w:appName="MSWord" w:lang="de-DE" w:vendorID="64" w:dllVersion="131078" w:nlCheck="1" w:checkStyle="0"/>
  <w:activeWritingStyle w:appName="MSWord" w:lang="en-US" w:vendorID="64" w:dllVersion="131078" w:nlCheck="1" w:checkStyle="0"/>
  <w:activeWritingStyle w:appName="MSWord" w:lang="en-GB" w:vendorID="64" w:dllVersion="131078" w:nlCheck="1" w:checkStyle="0"/>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bruch" w:val="0"/>
  </w:docVars>
  <w:rsids>
    <w:rsidRoot w:val="004661EE"/>
    <w:rsid w:val="00000C9B"/>
    <w:rsid w:val="00004F2C"/>
    <w:rsid w:val="00010109"/>
    <w:rsid w:val="000105E8"/>
    <w:rsid w:val="00012B3B"/>
    <w:rsid w:val="00013842"/>
    <w:rsid w:val="000159FE"/>
    <w:rsid w:val="00017B11"/>
    <w:rsid w:val="00020E53"/>
    <w:rsid w:val="00022F16"/>
    <w:rsid w:val="00023D78"/>
    <w:rsid w:val="00026DC2"/>
    <w:rsid w:val="0003075C"/>
    <w:rsid w:val="00032A2D"/>
    <w:rsid w:val="00033337"/>
    <w:rsid w:val="00034AB0"/>
    <w:rsid w:val="000357E9"/>
    <w:rsid w:val="00037784"/>
    <w:rsid w:val="00041B84"/>
    <w:rsid w:val="0004323A"/>
    <w:rsid w:val="000528C2"/>
    <w:rsid w:val="00053F6A"/>
    <w:rsid w:val="00056C1C"/>
    <w:rsid w:val="00057A4A"/>
    <w:rsid w:val="00060743"/>
    <w:rsid w:val="00066796"/>
    <w:rsid w:val="0007181C"/>
    <w:rsid w:val="00073133"/>
    <w:rsid w:val="000766D7"/>
    <w:rsid w:val="0007670A"/>
    <w:rsid w:val="000847AA"/>
    <w:rsid w:val="00084B37"/>
    <w:rsid w:val="0009653E"/>
    <w:rsid w:val="00097786"/>
    <w:rsid w:val="000A252B"/>
    <w:rsid w:val="000A290E"/>
    <w:rsid w:val="000A7D42"/>
    <w:rsid w:val="000B1606"/>
    <w:rsid w:val="000B174E"/>
    <w:rsid w:val="000B3315"/>
    <w:rsid w:val="000C118E"/>
    <w:rsid w:val="000C770D"/>
    <w:rsid w:val="000D27FF"/>
    <w:rsid w:val="000D2874"/>
    <w:rsid w:val="000D3E9F"/>
    <w:rsid w:val="000D65F9"/>
    <w:rsid w:val="000E03F3"/>
    <w:rsid w:val="000E27A9"/>
    <w:rsid w:val="000E2A43"/>
    <w:rsid w:val="000E404B"/>
    <w:rsid w:val="000E52FF"/>
    <w:rsid w:val="000E7457"/>
    <w:rsid w:val="000E7BC7"/>
    <w:rsid w:val="000F7242"/>
    <w:rsid w:val="001029C4"/>
    <w:rsid w:val="00104638"/>
    <w:rsid w:val="00106319"/>
    <w:rsid w:val="0011486D"/>
    <w:rsid w:val="0011512F"/>
    <w:rsid w:val="001169A3"/>
    <w:rsid w:val="00121E33"/>
    <w:rsid w:val="00122A3F"/>
    <w:rsid w:val="00126550"/>
    <w:rsid w:val="00126D0B"/>
    <w:rsid w:val="0013014A"/>
    <w:rsid w:val="001324D6"/>
    <w:rsid w:val="00135BD2"/>
    <w:rsid w:val="00135E09"/>
    <w:rsid w:val="0014445B"/>
    <w:rsid w:val="001522BE"/>
    <w:rsid w:val="00154825"/>
    <w:rsid w:val="001552BC"/>
    <w:rsid w:val="0016200B"/>
    <w:rsid w:val="00163A27"/>
    <w:rsid w:val="0016611C"/>
    <w:rsid w:val="0017364E"/>
    <w:rsid w:val="0017516B"/>
    <w:rsid w:val="001763CB"/>
    <w:rsid w:val="00176F1D"/>
    <w:rsid w:val="0018068D"/>
    <w:rsid w:val="00190846"/>
    <w:rsid w:val="00195E4A"/>
    <w:rsid w:val="001A1E48"/>
    <w:rsid w:val="001A2ABE"/>
    <w:rsid w:val="001A360C"/>
    <w:rsid w:val="001A4740"/>
    <w:rsid w:val="001B0844"/>
    <w:rsid w:val="001C0250"/>
    <w:rsid w:val="001C24F9"/>
    <w:rsid w:val="001D14DA"/>
    <w:rsid w:val="001D4EC2"/>
    <w:rsid w:val="001E01CC"/>
    <w:rsid w:val="001E6995"/>
    <w:rsid w:val="001F0339"/>
    <w:rsid w:val="001F096F"/>
    <w:rsid w:val="001F1513"/>
    <w:rsid w:val="001F4072"/>
    <w:rsid w:val="0020305C"/>
    <w:rsid w:val="00205769"/>
    <w:rsid w:val="00210C50"/>
    <w:rsid w:val="00211ED2"/>
    <w:rsid w:val="00212FEC"/>
    <w:rsid w:val="002131BB"/>
    <w:rsid w:val="00214978"/>
    <w:rsid w:val="0022086D"/>
    <w:rsid w:val="0022128D"/>
    <w:rsid w:val="0022251E"/>
    <w:rsid w:val="00223F7F"/>
    <w:rsid w:val="002248B2"/>
    <w:rsid w:val="00226296"/>
    <w:rsid w:val="00227E31"/>
    <w:rsid w:val="00230F81"/>
    <w:rsid w:val="00231F4E"/>
    <w:rsid w:val="002341EE"/>
    <w:rsid w:val="00237341"/>
    <w:rsid w:val="002432BE"/>
    <w:rsid w:val="002434F9"/>
    <w:rsid w:val="00251D5F"/>
    <w:rsid w:val="0025303E"/>
    <w:rsid w:val="00254C6F"/>
    <w:rsid w:val="00255679"/>
    <w:rsid w:val="00261428"/>
    <w:rsid w:val="002640D2"/>
    <w:rsid w:val="00267258"/>
    <w:rsid w:val="0027266B"/>
    <w:rsid w:val="00280B5A"/>
    <w:rsid w:val="00281E80"/>
    <w:rsid w:val="00282732"/>
    <w:rsid w:val="00282D89"/>
    <w:rsid w:val="002834B0"/>
    <w:rsid w:val="00283671"/>
    <w:rsid w:val="002837B6"/>
    <w:rsid w:val="00284A5D"/>
    <w:rsid w:val="00284E27"/>
    <w:rsid w:val="00294B7D"/>
    <w:rsid w:val="002A11A2"/>
    <w:rsid w:val="002A1973"/>
    <w:rsid w:val="002A2943"/>
    <w:rsid w:val="002A32F5"/>
    <w:rsid w:val="002A382D"/>
    <w:rsid w:val="002A7686"/>
    <w:rsid w:val="002B0DAB"/>
    <w:rsid w:val="002B14F6"/>
    <w:rsid w:val="002B19FD"/>
    <w:rsid w:val="002C055A"/>
    <w:rsid w:val="002C2392"/>
    <w:rsid w:val="002C5947"/>
    <w:rsid w:val="002C60E4"/>
    <w:rsid w:val="002C7D6D"/>
    <w:rsid w:val="002D16A8"/>
    <w:rsid w:val="002D1C5C"/>
    <w:rsid w:val="002D1E20"/>
    <w:rsid w:val="002D4556"/>
    <w:rsid w:val="002D525C"/>
    <w:rsid w:val="002D68BA"/>
    <w:rsid w:val="002D7CF8"/>
    <w:rsid w:val="002E0757"/>
    <w:rsid w:val="002E4FA1"/>
    <w:rsid w:val="002E5837"/>
    <w:rsid w:val="002E6860"/>
    <w:rsid w:val="002E73AF"/>
    <w:rsid w:val="002F0411"/>
    <w:rsid w:val="002F767E"/>
    <w:rsid w:val="00301264"/>
    <w:rsid w:val="003033FA"/>
    <w:rsid w:val="00304EAC"/>
    <w:rsid w:val="0030699E"/>
    <w:rsid w:val="003073BD"/>
    <w:rsid w:val="00312D28"/>
    <w:rsid w:val="00314914"/>
    <w:rsid w:val="00315D47"/>
    <w:rsid w:val="003246F0"/>
    <w:rsid w:val="0032582A"/>
    <w:rsid w:val="00325E2A"/>
    <w:rsid w:val="003272F3"/>
    <w:rsid w:val="003300AB"/>
    <w:rsid w:val="0033511D"/>
    <w:rsid w:val="00337AAB"/>
    <w:rsid w:val="00345716"/>
    <w:rsid w:val="0034786C"/>
    <w:rsid w:val="003517C9"/>
    <w:rsid w:val="00353A4B"/>
    <w:rsid w:val="00356784"/>
    <w:rsid w:val="003579E5"/>
    <w:rsid w:val="00357EC4"/>
    <w:rsid w:val="00361F02"/>
    <w:rsid w:val="00363DD7"/>
    <w:rsid w:val="00370000"/>
    <w:rsid w:val="00372819"/>
    <w:rsid w:val="00372924"/>
    <w:rsid w:val="00373507"/>
    <w:rsid w:val="00377771"/>
    <w:rsid w:val="0038230E"/>
    <w:rsid w:val="00382529"/>
    <w:rsid w:val="00393E4D"/>
    <w:rsid w:val="00397AD9"/>
    <w:rsid w:val="003A00C9"/>
    <w:rsid w:val="003A25A4"/>
    <w:rsid w:val="003A31A6"/>
    <w:rsid w:val="003A3D97"/>
    <w:rsid w:val="003B1C09"/>
    <w:rsid w:val="003B49E4"/>
    <w:rsid w:val="003B4CCF"/>
    <w:rsid w:val="003B7C7A"/>
    <w:rsid w:val="003C0E45"/>
    <w:rsid w:val="003C4D42"/>
    <w:rsid w:val="003C57EB"/>
    <w:rsid w:val="003C6AB4"/>
    <w:rsid w:val="003C7E96"/>
    <w:rsid w:val="003D4104"/>
    <w:rsid w:val="003D75A6"/>
    <w:rsid w:val="003E099F"/>
    <w:rsid w:val="003E167F"/>
    <w:rsid w:val="003E2B3F"/>
    <w:rsid w:val="003E4DF9"/>
    <w:rsid w:val="003E58D5"/>
    <w:rsid w:val="003E631E"/>
    <w:rsid w:val="003E684D"/>
    <w:rsid w:val="003E6983"/>
    <w:rsid w:val="003F1FE3"/>
    <w:rsid w:val="003F3EBE"/>
    <w:rsid w:val="003F665D"/>
    <w:rsid w:val="003F6E4C"/>
    <w:rsid w:val="0040086D"/>
    <w:rsid w:val="004017D8"/>
    <w:rsid w:val="00402D3C"/>
    <w:rsid w:val="00405188"/>
    <w:rsid w:val="00411E03"/>
    <w:rsid w:val="004123B1"/>
    <w:rsid w:val="00414EB4"/>
    <w:rsid w:val="00423634"/>
    <w:rsid w:val="004303A1"/>
    <w:rsid w:val="0043562D"/>
    <w:rsid w:val="00437A05"/>
    <w:rsid w:val="00440141"/>
    <w:rsid w:val="00440DC9"/>
    <w:rsid w:val="004506D2"/>
    <w:rsid w:val="00450AE4"/>
    <w:rsid w:val="00452892"/>
    <w:rsid w:val="00456F40"/>
    <w:rsid w:val="00457511"/>
    <w:rsid w:val="004604E4"/>
    <w:rsid w:val="004609BD"/>
    <w:rsid w:val="004661EE"/>
    <w:rsid w:val="00466741"/>
    <w:rsid w:val="00467736"/>
    <w:rsid w:val="00470064"/>
    <w:rsid w:val="0047091F"/>
    <w:rsid w:val="00470BCC"/>
    <w:rsid w:val="0047313D"/>
    <w:rsid w:val="0047391C"/>
    <w:rsid w:val="00476156"/>
    <w:rsid w:val="00476F2C"/>
    <w:rsid w:val="00481938"/>
    <w:rsid w:val="00483945"/>
    <w:rsid w:val="004844BE"/>
    <w:rsid w:val="0048599E"/>
    <w:rsid w:val="00491420"/>
    <w:rsid w:val="004A1122"/>
    <w:rsid w:val="004A2BEA"/>
    <w:rsid w:val="004A3C64"/>
    <w:rsid w:val="004A569B"/>
    <w:rsid w:val="004A5AEA"/>
    <w:rsid w:val="004A6CA8"/>
    <w:rsid w:val="004A78AB"/>
    <w:rsid w:val="004A7FB6"/>
    <w:rsid w:val="004B0198"/>
    <w:rsid w:val="004B2FDA"/>
    <w:rsid w:val="004B480A"/>
    <w:rsid w:val="004B509C"/>
    <w:rsid w:val="004B5D36"/>
    <w:rsid w:val="004C0CA2"/>
    <w:rsid w:val="004C3F08"/>
    <w:rsid w:val="004C502D"/>
    <w:rsid w:val="004C638E"/>
    <w:rsid w:val="004D50C0"/>
    <w:rsid w:val="004D522A"/>
    <w:rsid w:val="004D772A"/>
    <w:rsid w:val="004E1CAB"/>
    <w:rsid w:val="004E339B"/>
    <w:rsid w:val="004E4273"/>
    <w:rsid w:val="004E4562"/>
    <w:rsid w:val="004E5E8F"/>
    <w:rsid w:val="004F077F"/>
    <w:rsid w:val="004F4CFB"/>
    <w:rsid w:val="004F5914"/>
    <w:rsid w:val="005023DD"/>
    <w:rsid w:val="00503D8C"/>
    <w:rsid w:val="00507B16"/>
    <w:rsid w:val="00520211"/>
    <w:rsid w:val="00522B84"/>
    <w:rsid w:val="00525884"/>
    <w:rsid w:val="0053031B"/>
    <w:rsid w:val="00531A7F"/>
    <w:rsid w:val="00533F59"/>
    <w:rsid w:val="00534BAD"/>
    <w:rsid w:val="005360E8"/>
    <w:rsid w:val="0053705C"/>
    <w:rsid w:val="005405CF"/>
    <w:rsid w:val="005428C5"/>
    <w:rsid w:val="00543C55"/>
    <w:rsid w:val="00545507"/>
    <w:rsid w:val="005507D3"/>
    <w:rsid w:val="0055393B"/>
    <w:rsid w:val="005554C7"/>
    <w:rsid w:val="00556F58"/>
    <w:rsid w:val="00557716"/>
    <w:rsid w:val="00560C86"/>
    <w:rsid w:val="00567D57"/>
    <w:rsid w:val="00575083"/>
    <w:rsid w:val="005768D5"/>
    <w:rsid w:val="005803C1"/>
    <w:rsid w:val="00582B99"/>
    <w:rsid w:val="00587F74"/>
    <w:rsid w:val="00590903"/>
    <w:rsid w:val="005A1D8C"/>
    <w:rsid w:val="005A2CCD"/>
    <w:rsid w:val="005A5C40"/>
    <w:rsid w:val="005A5D29"/>
    <w:rsid w:val="005A617A"/>
    <w:rsid w:val="005A7774"/>
    <w:rsid w:val="005B0765"/>
    <w:rsid w:val="005B0FC9"/>
    <w:rsid w:val="005B394C"/>
    <w:rsid w:val="005B623D"/>
    <w:rsid w:val="005B66D3"/>
    <w:rsid w:val="005C37D1"/>
    <w:rsid w:val="005C4556"/>
    <w:rsid w:val="005C5302"/>
    <w:rsid w:val="005D185A"/>
    <w:rsid w:val="005D1DAB"/>
    <w:rsid w:val="005D307B"/>
    <w:rsid w:val="005D603E"/>
    <w:rsid w:val="005D75EE"/>
    <w:rsid w:val="005E1425"/>
    <w:rsid w:val="005E2ABB"/>
    <w:rsid w:val="005E3419"/>
    <w:rsid w:val="005E362E"/>
    <w:rsid w:val="005E4B4E"/>
    <w:rsid w:val="005E7B61"/>
    <w:rsid w:val="005F1B2F"/>
    <w:rsid w:val="005F4552"/>
    <w:rsid w:val="005F5C8E"/>
    <w:rsid w:val="005F7593"/>
    <w:rsid w:val="00600C8E"/>
    <w:rsid w:val="006029D7"/>
    <w:rsid w:val="00602CCA"/>
    <w:rsid w:val="0061109D"/>
    <w:rsid w:val="00612AA0"/>
    <w:rsid w:val="00612FE1"/>
    <w:rsid w:val="006138CB"/>
    <w:rsid w:val="006201E1"/>
    <w:rsid w:val="006224C4"/>
    <w:rsid w:val="006225EA"/>
    <w:rsid w:val="00623750"/>
    <w:rsid w:val="00625156"/>
    <w:rsid w:val="006261DF"/>
    <w:rsid w:val="006262E9"/>
    <w:rsid w:val="00626680"/>
    <w:rsid w:val="006323CC"/>
    <w:rsid w:val="006359E9"/>
    <w:rsid w:val="00636EC5"/>
    <w:rsid w:val="00640CD0"/>
    <w:rsid w:val="00641270"/>
    <w:rsid w:val="00642074"/>
    <w:rsid w:val="00642409"/>
    <w:rsid w:val="006424F8"/>
    <w:rsid w:val="00644AED"/>
    <w:rsid w:val="0064719C"/>
    <w:rsid w:val="00647851"/>
    <w:rsid w:val="006517DA"/>
    <w:rsid w:val="00652204"/>
    <w:rsid w:val="00653ABB"/>
    <w:rsid w:val="00655405"/>
    <w:rsid w:val="00656301"/>
    <w:rsid w:val="00657936"/>
    <w:rsid w:val="0066326B"/>
    <w:rsid w:val="00663428"/>
    <w:rsid w:val="006640C4"/>
    <w:rsid w:val="0068013A"/>
    <w:rsid w:val="00681CAB"/>
    <w:rsid w:val="006842EF"/>
    <w:rsid w:val="006865DA"/>
    <w:rsid w:val="00695E58"/>
    <w:rsid w:val="0069757D"/>
    <w:rsid w:val="006977FA"/>
    <w:rsid w:val="006A1329"/>
    <w:rsid w:val="006A3FA5"/>
    <w:rsid w:val="006A66F9"/>
    <w:rsid w:val="006A777A"/>
    <w:rsid w:val="006C3C6E"/>
    <w:rsid w:val="006E2EF9"/>
    <w:rsid w:val="006E5C9C"/>
    <w:rsid w:val="006E639E"/>
    <w:rsid w:val="006E644F"/>
    <w:rsid w:val="006F1774"/>
    <w:rsid w:val="006F1E2A"/>
    <w:rsid w:val="006F5757"/>
    <w:rsid w:val="006F6BF1"/>
    <w:rsid w:val="00711680"/>
    <w:rsid w:val="007126FF"/>
    <w:rsid w:val="00714890"/>
    <w:rsid w:val="00717A20"/>
    <w:rsid w:val="00720DFF"/>
    <w:rsid w:val="007227E9"/>
    <w:rsid w:val="00724D6F"/>
    <w:rsid w:val="00730E23"/>
    <w:rsid w:val="00732079"/>
    <w:rsid w:val="0073477C"/>
    <w:rsid w:val="007543F0"/>
    <w:rsid w:val="00760153"/>
    <w:rsid w:val="00762CC5"/>
    <w:rsid w:val="00763617"/>
    <w:rsid w:val="00764A52"/>
    <w:rsid w:val="00766A89"/>
    <w:rsid w:val="00774D89"/>
    <w:rsid w:val="00782411"/>
    <w:rsid w:val="007906B4"/>
    <w:rsid w:val="007970A0"/>
    <w:rsid w:val="007A2199"/>
    <w:rsid w:val="007B1D95"/>
    <w:rsid w:val="007B215B"/>
    <w:rsid w:val="007B3E67"/>
    <w:rsid w:val="007B4617"/>
    <w:rsid w:val="007C41FD"/>
    <w:rsid w:val="007D19A7"/>
    <w:rsid w:val="007D587E"/>
    <w:rsid w:val="007D5CE6"/>
    <w:rsid w:val="007E6598"/>
    <w:rsid w:val="007E759D"/>
    <w:rsid w:val="007F2DBE"/>
    <w:rsid w:val="007F2F67"/>
    <w:rsid w:val="007F33B6"/>
    <w:rsid w:val="007F43AB"/>
    <w:rsid w:val="007F4E12"/>
    <w:rsid w:val="007F642D"/>
    <w:rsid w:val="007F756A"/>
    <w:rsid w:val="00801CFE"/>
    <w:rsid w:val="00807379"/>
    <w:rsid w:val="00812471"/>
    <w:rsid w:val="00823F43"/>
    <w:rsid w:val="008261A5"/>
    <w:rsid w:val="00830824"/>
    <w:rsid w:val="0083382E"/>
    <w:rsid w:val="00835744"/>
    <w:rsid w:val="00836A75"/>
    <w:rsid w:val="00842AD1"/>
    <w:rsid w:val="00843056"/>
    <w:rsid w:val="0085083D"/>
    <w:rsid w:val="00850EEB"/>
    <w:rsid w:val="00855325"/>
    <w:rsid w:val="00862A99"/>
    <w:rsid w:val="00862E34"/>
    <w:rsid w:val="00865915"/>
    <w:rsid w:val="00871832"/>
    <w:rsid w:val="00883F52"/>
    <w:rsid w:val="00884856"/>
    <w:rsid w:val="00886CCE"/>
    <w:rsid w:val="0089000C"/>
    <w:rsid w:val="008942C6"/>
    <w:rsid w:val="00896B33"/>
    <w:rsid w:val="008A57FE"/>
    <w:rsid w:val="008A62FB"/>
    <w:rsid w:val="008A6FC2"/>
    <w:rsid w:val="008A77B7"/>
    <w:rsid w:val="008B0D95"/>
    <w:rsid w:val="008B0F67"/>
    <w:rsid w:val="008B26FD"/>
    <w:rsid w:val="008B2F6A"/>
    <w:rsid w:val="008B51C6"/>
    <w:rsid w:val="008B6B2C"/>
    <w:rsid w:val="008C04E1"/>
    <w:rsid w:val="008C0E8F"/>
    <w:rsid w:val="008C15FD"/>
    <w:rsid w:val="008C3A2D"/>
    <w:rsid w:val="008C608D"/>
    <w:rsid w:val="008C782E"/>
    <w:rsid w:val="008D61B3"/>
    <w:rsid w:val="008E461D"/>
    <w:rsid w:val="008E6D4E"/>
    <w:rsid w:val="008F08E5"/>
    <w:rsid w:val="008F0E75"/>
    <w:rsid w:val="008F0EA4"/>
    <w:rsid w:val="008F38F6"/>
    <w:rsid w:val="008F5213"/>
    <w:rsid w:val="008F69E2"/>
    <w:rsid w:val="009000CF"/>
    <w:rsid w:val="009003ED"/>
    <w:rsid w:val="00904E1E"/>
    <w:rsid w:val="0090748B"/>
    <w:rsid w:val="00913EFA"/>
    <w:rsid w:val="009155C2"/>
    <w:rsid w:val="00920C9C"/>
    <w:rsid w:val="00922754"/>
    <w:rsid w:val="00925781"/>
    <w:rsid w:val="009258D0"/>
    <w:rsid w:val="00926753"/>
    <w:rsid w:val="00926D96"/>
    <w:rsid w:val="009275BE"/>
    <w:rsid w:val="00935AB3"/>
    <w:rsid w:val="0093659D"/>
    <w:rsid w:val="009447D4"/>
    <w:rsid w:val="00950C77"/>
    <w:rsid w:val="00955991"/>
    <w:rsid w:val="00962189"/>
    <w:rsid w:val="009646C4"/>
    <w:rsid w:val="009734CE"/>
    <w:rsid w:val="00983B83"/>
    <w:rsid w:val="0098460C"/>
    <w:rsid w:val="00990251"/>
    <w:rsid w:val="00992B56"/>
    <w:rsid w:val="00996030"/>
    <w:rsid w:val="00996E1A"/>
    <w:rsid w:val="00997000"/>
    <w:rsid w:val="009B4392"/>
    <w:rsid w:val="009B79CE"/>
    <w:rsid w:val="009B7D09"/>
    <w:rsid w:val="009C14B3"/>
    <w:rsid w:val="009D24DA"/>
    <w:rsid w:val="009D5D75"/>
    <w:rsid w:val="009D7601"/>
    <w:rsid w:val="009E0C0B"/>
    <w:rsid w:val="009E349F"/>
    <w:rsid w:val="009F32A2"/>
    <w:rsid w:val="009F4C68"/>
    <w:rsid w:val="009F54CE"/>
    <w:rsid w:val="009F5C23"/>
    <w:rsid w:val="00A06264"/>
    <w:rsid w:val="00A128E3"/>
    <w:rsid w:val="00A1639A"/>
    <w:rsid w:val="00A17A14"/>
    <w:rsid w:val="00A20D8F"/>
    <w:rsid w:val="00A215C9"/>
    <w:rsid w:val="00A30B7F"/>
    <w:rsid w:val="00A31351"/>
    <w:rsid w:val="00A32F0C"/>
    <w:rsid w:val="00A3554C"/>
    <w:rsid w:val="00A37DC2"/>
    <w:rsid w:val="00A5364B"/>
    <w:rsid w:val="00A566BC"/>
    <w:rsid w:val="00A60999"/>
    <w:rsid w:val="00A615E0"/>
    <w:rsid w:val="00A6235C"/>
    <w:rsid w:val="00A6458E"/>
    <w:rsid w:val="00A65E2B"/>
    <w:rsid w:val="00A7200E"/>
    <w:rsid w:val="00A74AA0"/>
    <w:rsid w:val="00A7546D"/>
    <w:rsid w:val="00A77100"/>
    <w:rsid w:val="00A773B2"/>
    <w:rsid w:val="00A91138"/>
    <w:rsid w:val="00A92BB1"/>
    <w:rsid w:val="00AA4426"/>
    <w:rsid w:val="00AA4D97"/>
    <w:rsid w:val="00AB1E81"/>
    <w:rsid w:val="00AC23A6"/>
    <w:rsid w:val="00AD17B7"/>
    <w:rsid w:val="00AD6DE7"/>
    <w:rsid w:val="00AE33D7"/>
    <w:rsid w:val="00AF08D2"/>
    <w:rsid w:val="00AF64D0"/>
    <w:rsid w:val="00B069C5"/>
    <w:rsid w:val="00B06D1B"/>
    <w:rsid w:val="00B077D5"/>
    <w:rsid w:val="00B10EEE"/>
    <w:rsid w:val="00B1615B"/>
    <w:rsid w:val="00B16A78"/>
    <w:rsid w:val="00B200E4"/>
    <w:rsid w:val="00B25046"/>
    <w:rsid w:val="00B26FFD"/>
    <w:rsid w:val="00B27E63"/>
    <w:rsid w:val="00B35AFE"/>
    <w:rsid w:val="00B35B6D"/>
    <w:rsid w:val="00B35DC6"/>
    <w:rsid w:val="00B3619D"/>
    <w:rsid w:val="00B4232D"/>
    <w:rsid w:val="00B45CBB"/>
    <w:rsid w:val="00B4764C"/>
    <w:rsid w:val="00B51699"/>
    <w:rsid w:val="00B53FAF"/>
    <w:rsid w:val="00B55F57"/>
    <w:rsid w:val="00B63153"/>
    <w:rsid w:val="00B64846"/>
    <w:rsid w:val="00B6527D"/>
    <w:rsid w:val="00B66C16"/>
    <w:rsid w:val="00B72D7B"/>
    <w:rsid w:val="00B73B3A"/>
    <w:rsid w:val="00B74507"/>
    <w:rsid w:val="00B75718"/>
    <w:rsid w:val="00B75A04"/>
    <w:rsid w:val="00B75E7E"/>
    <w:rsid w:val="00B77EAB"/>
    <w:rsid w:val="00B86001"/>
    <w:rsid w:val="00B90261"/>
    <w:rsid w:val="00B92FD0"/>
    <w:rsid w:val="00B93817"/>
    <w:rsid w:val="00B9682D"/>
    <w:rsid w:val="00B96FB1"/>
    <w:rsid w:val="00B97144"/>
    <w:rsid w:val="00BA0B96"/>
    <w:rsid w:val="00BA6688"/>
    <w:rsid w:val="00BB15DA"/>
    <w:rsid w:val="00BB2707"/>
    <w:rsid w:val="00BB340D"/>
    <w:rsid w:val="00BB438E"/>
    <w:rsid w:val="00BB6417"/>
    <w:rsid w:val="00BB6511"/>
    <w:rsid w:val="00BB658C"/>
    <w:rsid w:val="00BC1B54"/>
    <w:rsid w:val="00BC2A3A"/>
    <w:rsid w:val="00BC39B1"/>
    <w:rsid w:val="00BC5039"/>
    <w:rsid w:val="00BC64EC"/>
    <w:rsid w:val="00BC70B0"/>
    <w:rsid w:val="00BD073D"/>
    <w:rsid w:val="00BD215A"/>
    <w:rsid w:val="00BD380C"/>
    <w:rsid w:val="00BD481F"/>
    <w:rsid w:val="00BE4198"/>
    <w:rsid w:val="00BE4332"/>
    <w:rsid w:val="00BE7700"/>
    <w:rsid w:val="00BF3AFD"/>
    <w:rsid w:val="00C00F4E"/>
    <w:rsid w:val="00C023E8"/>
    <w:rsid w:val="00C04A14"/>
    <w:rsid w:val="00C13C5D"/>
    <w:rsid w:val="00C1438E"/>
    <w:rsid w:val="00C1606C"/>
    <w:rsid w:val="00C171C1"/>
    <w:rsid w:val="00C205D6"/>
    <w:rsid w:val="00C23180"/>
    <w:rsid w:val="00C41492"/>
    <w:rsid w:val="00C4789F"/>
    <w:rsid w:val="00C502EC"/>
    <w:rsid w:val="00C50874"/>
    <w:rsid w:val="00C53E58"/>
    <w:rsid w:val="00C5466E"/>
    <w:rsid w:val="00C560AB"/>
    <w:rsid w:val="00C63201"/>
    <w:rsid w:val="00C63ACA"/>
    <w:rsid w:val="00C6520E"/>
    <w:rsid w:val="00C657CE"/>
    <w:rsid w:val="00C65D69"/>
    <w:rsid w:val="00C667F3"/>
    <w:rsid w:val="00C67D85"/>
    <w:rsid w:val="00C702B5"/>
    <w:rsid w:val="00C70389"/>
    <w:rsid w:val="00C733F1"/>
    <w:rsid w:val="00C8495F"/>
    <w:rsid w:val="00C904B6"/>
    <w:rsid w:val="00C90A75"/>
    <w:rsid w:val="00C9231A"/>
    <w:rsid w:val="00C935BC"/>
    <w:rsid w:val="00C96646"/>
    <w:rsid w:val="00C96DF4"/>
    <w:rsid w:val="00CA2701"/>
    <w:rsid w:val="00CA58B6"/>
    <w:rsid w:val="00CA6A66"/>
    <w:rsid w:val="00CC1337"/>
    <w:rsid w:val="00CC2514"/>
    <w:rsid w:val="00CC3E33"/>
    <w:rsid w:val="00CC48DF"/>
    <w:rsid w:val="00CC4EF0"/>
    <w:rsid w:val="00CD3056"/>
    <w:rsid w:val="00CD3FCA"/>
    <w:rsid w:val="00CD42E0"/>
    <w:rsid w:val="00CD4A91"/>
    <w:rsid w:val="00CD4FDC"/>
    <w:rsid w:val="00CD70E7"/>
    <w:rsid w:val="00CD733D"/>
    <w:rsid w:val="00CD7363"/>
    <w:rsid w:val="00CE0BB9"/>
    <w:rsid w:val="00CE0C1F"/>
    <w:rsid w:val="00CE3370"/>
    <w:rsid w:val="00CE455F"/>
    <w:rsid w:val="00CF0BF9"/>
    <w:rsid w:val="00CF2BB3"/>
    <w:rsid w:val="00CF2C0D"/>
    <w:rsid w:val="00CF3112"/>
    <w:rsid w:val="00CF5957"/>
    <w:rsid w:val="00CF7C1F"/>
    <w:rsid w:val="00D04BA2"/>
    <w:rsid w:val="00D077B0"/>
    <w:rsid w:val="00D13CCA"/>
    <w:rsid w:val="00D22D42"/>
    <w:rsid w:val="00D23BCC"/>
    <w:rsid w:val="00D27952"/>
    <w:rsid w:val="00D27B75"/>
    <w:rsid w:val="00D31A57"/>
    <w:rsid w:val="00D36D8D"/>
    <w:rsid w:val="00D412A7"/>
    <w:rsid w:val="00D41EEF"/>
    <w:rsid w:val="00D45711"/>
    <w:rsid w:val="00D4622E"/>
    <w:rsid w:val="00D500FC"/>
    <w:rsid w:val="00D5144F"/>
    <w:rsid w:val="00D51597"/>
    <w:rsid w:val="00D5326E"/>
    <w:rsid w:val="00D55867"/>
    <w:rsid w:val="00D57F53"/>
    <w:rsid w:val="00D634A3"/>
    <w:rsid w:val="00D64145"/>
    <w:rsid w:val="00D702C8"/>
    <w:rsid w:val="00D7232A"/>
    <w:rsid w:val="00D72339"/>
    <w:rsid w:val="00D73E47"/>
    <w:rsid w:val="00D74ABB"/>
    <w:rsid w:val="00D83CB7"/>
    <w:rsid w:val="00D8438D"/>
    <w:rsid w:val="00D85232"/>
    <w:rsid w:val="00D868B0"/>
    <w:rsid w:val="00D916E0"/>
    <w:rsid w:val="00D9242A"/>
    <w:rsid w:val="00D95394"/>
    <w:rsid w:val="00D97FA8"/>
    <w:rsid w:val="00DA24EC"/>
    <w:rsid w:val="00DC7B25"/>
    <w:rsid w:val="00DD4100"/>
    <w:rsid w:val="00DD681C"/>
    <w:rsid w:val="00DD6B73"/>
    <w:rsid w:val="00DE23F8"/>
    <w:rsid w:val="00DE3897"/>
    <w:rsid w:val="00DE7CC2"/>
    <w:rsid w:val="00DF2587"/>
    <w:rsid w:val="00E05CF6"/>
    <w:rsid w:val="00E112C9"/>
    <w:rsid w:val="00E116D4"/>
    <w:rsid w:val="00E1194F"/>
    <w:rsid w:val="00E1314C"/>
    <w:rsid w:val="00E158F7"/>
    <w:rsid w:val="00E2087E"/>
    <w:rsid w:val="00E23DD5"/>
    <w:rsid w:val="00E2636D"/>
    <w:rsid w:val="00E27AA7"/>
    <w:rsid w:val="00E32C38"/>
    <w:rsid w:val="00E34976"/>
    <w:rsid w:val="00E36818"/>
    <w:rsid w:val="00E36E5F"/>
    <w:rsid w:val="00E370F7"/>
    <w:rsid w:val="00E4063D"/>
    <w:rsid w:val="00E42887"/>
    <w:rsid w:val="00E47B97"/>
    <w:rsid w:val="00E5203C"/>
    <w:rsid w:val="00E634CC"/>
    <w:rsid w:val="00E642CC"/>
    <w:rsid w:val="00E64735"/>
    <w:rsid w:val="00E67D78"/>
    <w:rsid w:val="00E705BE"/>
    <w:rsid w:val="00E82F0E"/>
    <w:rsid w:val="00E9556E"/>
    <w:rsid w:val="00E95F89"/>
    <w:rsid w:val="00E96065"/>
    <w:rsid w:val="00E96FAC"/>
    <w:rsid w:val="00EA129F"/>
    <w:rsid w:val="00EA1AD8"/>
    <w:rsid w:val="00EB54B0"/>
    <w:rsid w:val="00EB7653"/>
    <w:rsid w:val="00EB7A31"/>
    <w:rsid w:val="00EB7C48"/>
    <w:rsid w:val="00EC3E35"/>
    <w:rsid w:val="00EC62FE"/>
    <w:rsid w:val="00ED0582"/>
    <w:rsid w:val="00ED1A9F"/>
    <w:rsid w:val="00ED7374"/>
    <w:rsid w:val="00EE2C4F"/>
    <w:rsid w:val="00EE31F6"/>
    <w:rsid w:val="00EE36DC"/>
    <w:rsid w:val="00EE77BB"/>
    <w:rsid w:val="00EF4F10"/>
    <w:rsid w:val="00F00799"/>
    <w:rsid w:val="00F044EE"/>
    <w:rsid w:val="00F10B9E"/>
    <w:rsid w:val="00F12C0D"/>
    <w:rsid w:val="00F135B3"/>
    <w:rsid w:val="00F172FE"/>
    <w:rsid w:val="00F20E26"/>
    <w:rsid w:val="00F21E4A"/>
    <w:rsid w:val="00F3124F"/>
    <w:rsid w:val="00F319CE"/>
    <w:rsid w:val="00F3320B"/>
    <w:rsid w:val="00F4044F"/>
    <w:rsid w:val="00F40E92"/>
    <w:rsid w:val="00F41947"/>
    <w:rsid w:val="00F435AA"/>
    <w:rsid w:val="00F4603A"/>
    <w:rsid w:val="00F51D9B"/>
    <w:rsid w:val="00F65B78"/>
    <w:rsid w:val="00F66D09"/>
    <w:rsid w:val="00F66FF2"/>
    <w:rsid w:val="00F72197"/>
    <w:rsid w:val="00F75C84"/>
    <w:rsid w:val="00F76ABD"/>
    <w:rsid w:val="00F76C6A"/>
    <w:rsid w:val="00F82829"/>
    <w:rsid w:val="00F83BF1"/>
    <w:rsid w:val="00F90CB9"/>
    <w:rsid w:val="00F92D87"/>
    <w:rsid w:val="00F97373"/>
    <w:rsid w:val="00FA0254"/>
    <w:rsid w:val="00FA6854"/>
    <w:rsid w:val="00FB064F"/>
    <w:rsid w:val="00FB0F6B"/>
    <w:rsid w:val="00FB144F"/>
    <w:rsid w:val="00FB159A"/>
    <w:rsid w:val="00FB4C38"/>
    <w:rsid w:val="00FB4D77"/>
    <w:rsid w:val="00FB4EA7"/>
    <w:rsid w:val="00FC0A53"/>
    <w:rsid w:val="00FC1895"/>
    <w:rsid w:val="00FC3388"/>
    <w:rsid w:val="00FC497D"/>
    <w:rsid w:val="00FD076B"/>
    <w:rsid w:val="00FD160F"/>
    <w:rsid w:val="00FD2589"/>
    <w:rsid w:val="00FD41F3"/>
    <w:rsid w:val="00FE031D"/>
    <w:rsid w:val="00FE3843"/>
    <w:rsid w:val="00FF35F3"/>
    <w:rsid w:val="00FF37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CF9775E"/>
  <w15:docId w15:val="{E99F8CDE-CA98-4BBD-81F4-2328D96A4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2"/>
        <w:szCs w:val="22"/>
        <w:lang w:val="en-GB"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517C9"/>
    <w:pPr>
      <w:spacing w:after="200"/>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format1">
    <w:name w:val="Absatzformat 1"/>
    <w:basedOn w:val="Standard"/>
    <w:uiPriority w:val="99"/>
    <w:rsid w:val="007906B4"/>
    <w:pPr>
      <w:widowControl w:val="0"/>
      <w:autoSpaceDE w:val="0"/>
      <w:autoSpaceDN w:val="0"/>
      <w:adjustRightInd w:val="0"/>
      <w:spacing w:after="85" w:line="288" w:lineRule="auto"/>
      <w:textAlignment w:val="center"/>
    </w:pPr>
    <w:rPr>
      <w:rFonts w:ascii="Akkurat-Fett" w:hAnsi="Akkurat-Fett" w:cs="Akkurat-Fett"/>
      <w:color w:val="000000"/>
      <w:sz w:val="16"/>
      <w:szCs w:val="16"/>
    </w:rPr>
  </w:style>
  <w:style w:type="paragraph" w:styleId="Sprechblasentext">
    <w:name w:val="Balloon Text"/>
    <w:basedOn w:val="Standard"/>
    <w:link w:val="SprechblasentextZchn"/>
    <w:uiPriority w:val="99"/>
    <w:rsid w:val="00F044EE"/>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F044EE"/>
    <w:rPr>
      <w:rFonts w:ascii="Tahoma" w:hAnsi="Tahoma" w:cs="Tahoma"/>
      <w:sz w:val="16"/>
      <w:szCs w:val="16"/>
    </w:rPr>
  </w:style>
  <w:style w:type="paragraph" w:styleId="Listenabsatz">
    <w:name w:val="List Paragraph"/>
    <w:basedOn w:val="Standard"/>
    <w:uiPriority w:val="99"/>
    <w:qFormat/>
    <w:rsid w:val="00F044EE"/>
    <w:pPr>
      <w:ind w:left="720"/>
      <w:contextualSpacing/>
    </w:pPr>
  </w:style>
  <w:style w:type="paragraph" w:styleId="StandardWeb">
    <w:name w:val="Normal (Web)"/>
    <w:basedOn w:val="Standard"/>
    <w:uiPriority w:val="99"/>
    <w:rsid w:val="00D72339"/>
    <w:pPr>
      <w:spacing w:before="100" w:beforeAutospacing="1" w:after="100" w:afterAutospacing="1"/>
    </w:pPr>
    <w:rPr>
      <w:rFonts w:ascii="Times New Roman" w:eastAsia="Times New Roman" w:hAnsi="Times New Roman"/>
      <w:lang w:eastAsia="de-DE"/>
    </w:rPr>
  </w:style>
  <w:style w:type="paragraph" w:styleId="Kopfzeile">
    <w:name w:val="header"/>
    <w:basedOn w:val="Standard"/>
    <w:link w:val="KopfzeileZchn"/>
    <w:uiPriority w:val="99"/>
    <w:rsid w:val="00CF5957"/>
    <w:pPr>
      <w:tabs>
        <w:tab w:val="center" w:pos="4536"/>
        <w:tab w:val="right" w:pos="9072"/>
      </w:tabs>
    </w:pPr>
  </w:style>
  <w:style w:type="character" w:customStyle="1" w:styleId="KopfzeileZchn">
    <w:name w:val="Kopfzeile Zchn"/>
    <w:basedOn w:val="Absatz-Standardschriftart"/>
    <w:link w:val="Kopfzeile"/>
    <w:uiPriority w:val="99"/>
    <w:semiHidden/>
    <w:locked/>
    <w:rsid w:val="00886CCE"/>
    <w:rPr>
      <w:rFonts w:cs="Times New Roman"/>
      <w:sz w:val="24"/>
      <w:szCs w:val="24"/>
      <w:lang w:eastAsia="en-US"/>
    </w:rPr>
  </w:style>
  <w:style w:type="paragraph" w:styleId="Fuzeile">
    <w:name w:val="footer"/>
    <w:basedOn w:val="Standard"/>
    <w:link w:val="FuzeileZchn"/>
    <w:uiPriority w:val="99"/>
    <w:rsid w:val="00CF5957"/>
    <w:pPr>
      <w:tabs>
        <w:tab w:val="center" w:pos="4536"/>
        <w:tab w:val="right" w:pos="9072"/>
      </w:tabs>
    </w:pPr>
  </w:style>
  <w:style w:type="character" w:customStyle="1" w:styleId="FuzeileZchn">
    <w:name w:val="Fußzeile Zchn"/>
    <w:basedOn w:val="Absatz-Standardschriftart"/>
    <w:link w:val="Fuzeile"/>
    <w:uiPriority w:val="99"/>
    <w:semiHidden/>
    <w:locked/>
    <w:rsid w:val="00886CCE"/>
    <w:rPr>
      <w:rFonts w:cs="Times New Roman"/>
      <w:sz w:val="24"/>
      <w:szCs w:val="24"/>
      <w:lang w:eastAsia="en-US"/>
    </w:rPr>
  </w:style>
  <w:style w:type="paragraph" w:styleId="Textkrper">
    <w:name w:val="Body Text"/>
    <w:basedOn w:val="Standard"/>
    <w:link w:val="TextkrperZchn"/>
    <w:uiPriority w:val="99"/>
    <w:rsid w:val="00CF5957"/>
    <w:pPr>
      <w:spacing w:after="0" w:line="240" w:lineRule="atLeast"/>
    </w:pPr>
    <w:rPr>
      <w:rFonts w:ascii="Helv" w:hAnsi="Helv"/>
      <w:color w:val="000000"/>
      <w:sz w:val="20"/>
      <w:szCs w:val="20"/>
      <w:lang w:eastAsia="de-DE"/>
    </w:rPr>
  </w:style>
  <w:style w:type="character" w:customStyle="1" w:styleId="TextkrperZchn">
    <w:name w:val="Textkörper Zchn"/>
    <w:basedOn w:val="Absatz-Standardschriftart"/>
    <w:link w:val="Textkrper"/>
    <w:uiPriority w:val="99"/>
    <w:semiHidden/>
    <w:locked/>
    <w:rsid w:val="00886CCE"/>
    <w:rPr>
      <w:rFonts w:cs="Times New Roman"/>
      <w:sz w:val="24"/>
      <w:szCs w:val="24"/>
      <w:lang w:eastAsia="en-US"/>
    </w:rPr>
  </w:style>
  <w:style w:type="character" w:styleId="Hyperlink">
    <w:name w:val="Hyperlink"/>
    <w:basedOn w:val="Absatz-Standardschriftart"/>
    <w:uiPriority w:val="99"/>
    <w:rsid w:val="00CF5957"/>
    <w:rPr>
      <w:rFonts w:cs="Times New Roman"/>
      <w:color w:val="0000FF"/>
      <w:u w:val="single"/>
    </w:rPr>
  </w:style>
  <w:style w:type="character" w:styleId="Seitenzahl">
    <w:name w:val="page number"/>
    <w:basedOn w:val="Absatz-Standardschriftart"/>
    <w:uiPriority w:val="99"/>
    <w:rsid w:val="00862E34"/>
    <w:rPr>
      <w:rFonts w:cs="Times New Roman"/>
    </w:rPr>
  </w:style>
  <w:style w:type="character" w:styleId="BesuchterLink">
    <w:name w:val="FollowedHyperlink"/>
    <w:basedOn w:val="Absatz-Standardschriftart"/>
    <w:uiPriority w:val="99"/>
    <w:semiHidden/>
    <w:unhideWhenUsed/>
    <w:rsid w:val="004B2FDA"/>
    <w:rPr>
      <w:color w:val="92A4C2" w:themeColor="followedHyperlink"/>
      <w:u w:val="single"/>
    </w:rPr>
  </w:style>
  <w:style w:type="paragraph" w:customStyle="1" w:styleId="Default">
    <w:name w:val="Default"/>
    <w:rsid w:val="00EE36DC"/>
    <w:pPr>
      <w:autoSpaceDE w:val="0"/>
      <w:autoSpaceDN w:val="0"/>
      <w:adjustRightInd w:val="0"/>
    </w:pPr>
    <w:rPr>
      <w:rFonts w:ascii="Arial" w:hAnsi="Arial" w:cs="Arial"/>
      <w:color w:val="000000"/>
      <w:sz w:val="24"/>
      <w:szCs w:val="24"/>
    </w:rPr>
  </w:style>
  <w:style w:type="character" w:styleId="Fett">
    <w:name w:val="Strong"/>
    <w:basedOn w:val="Absatz-Standardschriftart"/>
    <w:uiPriority w:val="22"/>
    <w:qFormat/>
    <w:locked/>
    <w:rsid w:val="00382529"/>
    <w:rPr>
      <w:b/>
      <w:bCs/>
    </w:rPr>
  </w:style>
  <w:style w:type="table" w:styleId="Tabellenraster">
    <w:name w:val="Table Grid"/>
    <w:basedOn w:val="NormaleTabelle"/>
    <w:uiPriority w:val="59"/>
    <w:locked/>
    <w:rsid w:val="002C0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iesstextNL">
    <w:name w:val="Fliesstext NL"/>
    <w:basedOn w:val="Standard"/>
    <w:uiPriority w:val="99"/>
    <w:rsid w:val="002C055A"/>
    <w:pPr>
      <w:autoSpaceDE w:val="0"/>
      <w:autoSpaceDN w:val="0"/>
      <w:adjustRightInd w:val="0"/>
      <w:spacing w:after="0" w:line="220" w:lineRule="atLeast"/>
      <w:jc w:val="both"/>
      <w:textAlignment w:val="center"/>
    </w:pPr>
    <w:rPr>
      <w:rFonts w:ascii="Mark OT Light" w:hAnsi="Mark OT Light" w:cs="Mark OT Light"/>
      <w:color w:val="000000"/>
      <w:spacing w:val="-4"/>
      <w:sz w:val="18"/>
      <w:szCs w:val="18"/>
      <w:lang w:eastAsia="de-DE"/>
    </w:rPr>
  </w:style>
  <w:style w:type="paragraph" w:customStyle="1" w:styleId="GrafikHeadlineNL">
    <w:name w:val="Grafik Headline NL"/>
    <w:basedOn w:val="FliesstextNL"/>
    <w:uiPriority w:val="99"/>
    <w:rsid w:val="002C055A"/>
    <w:rPr>
      <w:rFonts w:ascii="Mark OT" w:hAnsi="Mark OT" w:cs="Mark OT"/>
      <w:b/>
      <w:bCs/>
    </w:rPr>
  </w:style>
  <w:style w:type="paragraph" w:customStyle="1" w:styleId="HeadlineNL">
    <w:name w:val="Headline NL"/>
    <w:basedOn w:val="FliesstextNL"/>
    <w:uiPriority w:val="99"/>
    <w:rsid w:val="002C055A"/>
    <w:pPr>
      <w:spacing w:line="400" w:lineRule="atLeast"/>
    </w:pPr>
    <w:rPr>
      <w:rFonts w:ascii="Mark OT" w:hAnsi="Mark OT" w:cs="Mark OT"/>
      <w:b/>
      <w:bCs/>
      <w:spacing w:val="0"/>
      <w:sz w:val="28"/>
      <w:szCs w:val="28"/>
    </w:rPr>
  </w:style>
  <w:style w:type="paragraph" w:customStyle="1" w:styleId="SublineNL">
    <w:name w:val="Subline NL"/>
    <w:basedOn w:val="FliesstextNL"/>
    <w:uiPriority w:val="99"/>
    <w:rsid w:val="002C055A"/>
    <w:pPr>
      <w:spacing w:line="320" w:lineRule="atLeast"/>
    </w:pPr>
    <w:rPr>
      <w:spacing w:val="0"/>
      <w:sz w:val="28"/>
      <w:szCs w:val="28"/>
    </w:rPr>
  </w:style>
  <w:style w:type="character" w:styleId="Kommentarzeichen">
    <w:name w:val="annotation reference"/>
    <w:basedOn w:val="Absatz-Standardschriftart"/>
    <w:uiPriority w:val="99"/>
    <w:semiHidden/>
    <w:unhideWhenUsed/>
    <w:rsid w:val="00567D57"/>
    <w:rPr>
      <w:sz w:val="16"/>
      <w:szCs w:val="16"/>
    </w:rPr>
  </w:style>
  <w:style w:type="paragraph" w:styleId="Kommentartext">
    <w:name w:val="annotation text"/>
    <w:basedOn w:val="Standard"/>
    <w:link w:val="KommentartextZchn"/>
    <w:uiPriority w:val="99"/>
    <w:semiHidden/>
    <w:unhideWhenUsed/>
    <w:rsid w:val="00567D57"/>
    <w:rPr>
      <w:sz w:val="20"/>
      <w:szCs w:val="20"/>
    </w:rPr>
  </w:style>
  <w:style w:type="character" w:customStyle="1" w:styleId="KommentartextZchn">
    <w:name w:val="Kommentartext Zchn"/>
    <w:basedOn w:val="Absatz-Standardschriftart"/>
    <w:link w:val="Kommentartext"/>
    <w:uiPriority w:val="99"/>
    <w:semiHidden/>
    <w:rsid w:val="00567D57"/>
    <w:rPr>
      <w:sz w:val="20"/>
      <w:szCs w:val="20"/>
      <w:lang w:eastAsia="en-US"/>
    </w:rPr>
  </w:style>
  <w:style w:type="paragraph" w:styleId="Kommentarthema">
    <w:name w:val="annotation subject"/>
    <w:basedOn w:val="Kommentartext"/>
    <w:next w:val="Kommentartext"/>
    <w:link w:val="KommentarthemaZchn"/>
    <w:uiPriority w:val="99"/>
    <w:semiHidden/>
    <w:unhideWhenUsed/>
    <w:rsid w:val="00567D57"/>
    <w:rPr>
      <w:b/>
      <w:bCs/>
    </w:rPr>
  </w:style>
  <w:style w:type="character" w:customStyle="1" w:styleId="KommentarthemaZchn">
    <w:name w:val="Kommentarthema Zchn"/>
    <w:basedOn w:val="KommentartextZchn"/>
    <w:link w:val="Kommentarthema"/>
    <w:uiPriority w:val="99"/>
    <w:semiHidden/>
    <w:rsid w:val="00567D57"/>
    <w:rPr>
      <w:b/>
      <w:bCs/>
      <w:sz w:val="20"/>
      <w:szCs w:val="20"/>
      <w:lang w:eastAsia="en-US"/>
    </w:rPr>
  </w:style>
  <w:style w:type="paragraph" w:customStyle="1" w:styleId="ZitatTextNL">
    <w:name w:val="Zitat Text NL"/>
    <w:basedOn w:val="FliesstextNL"/>
    <w:uiPriority w:val="99"/>
    <w:rsid w:val="0004323A"/>
    <w:pPr>
      <w:suppressAutoHyphens/>
    </w:pPr>
    <w:rPr>
      <w:rFonts w:ascii="Mark OT" w:hAnsi="Mark OT" w:cs="Mark OT"/>
      <w:b/>
      <w:bCs/>
      <w:spacing w:val="0"/>
    </w:rPr>
  </w:style>
  <w:style w:type="character" w:styleId="Hervorhebung">
    <w:name w:val="Emphasis"/>
    <w:basedOn w:val="Absatz-Standardschriftart"/>
    <w:uiPriority w:val="20"/>
    <w:qFormat/>
    <w:locked/>
    <w:rsid w:val="0004323A"/>
    <w:rPr>
      <w:i/>
      <w:iCs/>
    </w:rPr>
  </w:style>
  <w:style w:type="character" w:styleId="HTMLZitat">
    <w:name w:val="HTML Cite"/>
    <w:basedOn w:val="Absatz-Standardschriftart"/>
    <w:uiPriority w:val="99"/>
    <w:semiHidden/>
    <w:unhideWhenUsed/>
    <w:rsid w:val="003B1C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85092">
      <w:bodyDiv w:val="1"/>
      <w:marLeft w:val="0"/>
      <w:marRight w:val="0"/>
      <w:marTop w:val="0"/>
      <w:marBottom w:val="0"/>
      <w:divBdr>
        <w:top w:val="none" w:sz="0" w:space="0" w:color="auto"/>
        <w:left w:val="none" w:sz="0" w:space="0" w:color="auto"/>
        <w:bottom w:val="none" w:sz="0" w:space="0" w:color="auto"/>
        <w:right w:val="none" w:sz="0" w:space="0" w:color="auto"/>
      </w:divBdr>
    </w:div>
    <w:div w:id="111441686">
      <w:bodyDiv w:val="1"/>
      <w:marLeft w:val="0"/>
      <w:marRight w:val="0"/>
      <w:marTop w:val="0"/>
      <w:marBottom w:val="0"/>
      <w:divBdr>
        <w:top w:val="none" w:sz="0" w:space="0" w:color="auto"/>
        <w:left w:val="none" w:sz="0" w:space="0" w:color="auto"/>
        <w:bottom w:val="none" w:sz="0" w:space="0" w:color="auto"/>
        <w:right w:val="none" w:sz="0" w:space="0" w:color="auto"/>
      </w:divBdr>
    </w:div>
    <w:div w:id="425925692">
      <w:bodyDiv w:val="1"/>
      <w:marLeft w:val="0"/>
      <w:marRight w:val="0"/>
      <w:marTop w:val="0"/>
      <w:marBottom w:val="0"/>
      <w:divBdr>
        <w:top w:val="none" w:sz="0" w:space="0" w:color="auto"/>
        <w:left w:val="none" w:sz="0" w:space="0" w:color="auto"/>
        <w:bottom w:val="none" w:sz="0" w:space="0" w:color="auto"/>
        <w:right w:val="none" w:sz="0" w:space="0" w:color="auto"/>
      </w:divBdr>
      <w:divsChild>
        <w:div w:id="886913749">
          <w:marLeft w:val="0"/>
          <w:marRight w:val="0"/>
          <w:marTop w:val="0"/>
          <w:marBottom w:val="0"/>
          <w:divBdr>
            <w:top w:val="none" w:sz="0" w:space="0" w:color="auto"/>
            <w:left w:val="none" w:sz="0" w:space="0" w:color="auto"/>
            <w:bottom w:val="none" w:sz="0" w:space="0" w:color="auto"/>
            <w:right w:val="none" w:sz="0" w:space="0" w:color="auto"/>
          </w:divBdr>
          <w:divsChild>
            <w:div w:id="2099672467">
              <w:marLeft w:val="0"/>
              <w:marRight w:val="0"/>
              <w:marTop w:val="0"/>
              <w:marBottom w:val="0"/>
              <w:divBdr>
                <w:top w:val="none" w:sz="0" w:space="0" w:color="auto"/>
                <w:left w:val="none" w:sz="0" w:space="0" w:color="auto"/>
                <w:bottom w:val="none" w:sz="0" w:space="0" w:color="auto"/>
                <w:right w:val="none" w:sz="0" w:space="0" w:color="auto"/>
              </w:divBdr>
              <w:divsChild>
                <w:div w:id="97261843">
                  <w:marLeft w:val="0"/>
                  <w:marRight w:val="0"/>
                  <w:marTop w:val="0"/>
                  <w:marBottom w:val="0"/>
                  <w:divBdr>
                    <w:top w:val="none" w:sz="0" w:space="0" w:color="auto"/>
                    <w:left w:val="none" w:sz="0" w:space="0" w:color="auto"/>
                    <w:bottom w:val="none" w:sz="0" w:space="0" w:color="auto"/>
                    <w:right w:val="none" w:sz="0" w:space="0" w:color="auto"/>
                  </w:divBdr>
                  <w:divsChild>
                    <w:div w:id="1225792571">
                      <w:marLeft w:val="0"/>
                      <w:marRight w:val="0"/>
                      <w:marTop w:val="0"/>
                      <w:marBottom w:val="0"/>
                      <w:divBdr>
                        <w:top w:val="none" w:sz="0" w:space="0" w:color="auto"/>
                        <w:left w:val="none" w:sz="0" w:space="0" w:color="auto"/>
                        <w:bottom w:val="none" w:sz="0" w:space="0" w:color="auto"/>
                        <w:right w:val="none" w:sz="0" w:space="0" w:color="auto"/>
                      </w:divBdr>
                      <w:divsChild>
                        <w:div w:id="117572393">
                          <w:marLeft w:val="0"/>
                          <w:marRight w:val="0"/>
                          <w:marTop w:val="45"/>
                          <w:marBottom w:val="0"/>
                          <w:divBdr>
                            <w:top w:val="none" w:sz="0" w:space="0" w:color="auto"/>
                            <w:left w:val="none" w:sz="0" w:space="0" w:color="auto"/>
                            <w:bottom w:val="none" w:sz="0" w:space="0" w:color="auto"/>
                            <w:right w:val="none" w:sz="0" w:space="0" w:color="auto"/>
                          </w:divBdr>
                          <w:divsChild>
                            <w:div w:id="2033844504">
                              <w:marLeft w:val="0"/>
                              <w:marRight w:val="0"/>
                              <w:marTop w:val="0"/>
                              <w:marBottom w:val="0"/>
                              <w:divBdr>
                                <w:top w:val="none" w:sz="0" w:space="0" w:color="auto"/>
                                <w:left w:val="none" w:sz="0" w:space="0" w:color="auto"/>
                                <w:bottom w:val="none" w:sz="0" w:space="0" w:color="auto"/>
                                <w:right w:val="none" w:sz="0" w:space="0" w:color="auto"/>
                              </w:divBdr>
                              <w:divsChild>
                                <w:div w:id="1336225925">
                                  <w:marLeft w:val="10530"/>
                                  <w:marRight w:val="0"/>
                                  <w:marTop w:val="0"/>
                                  <w:marBottom w:val="0"/>
                                  <w:divBdr>
                                    <w:top w:val="none" w:sz="0" w:space="0" w:color="auto"/>
                                    <w:left w:val="none" w:sz="0" w:space="0" w:color="auto"/>
                                    <w:bottom w:val="none" w:sz="0" w:space="0" w:color="auto"/>
                                    <w:right w:val="none" w:sz="0" w:space="0" w:color="auto"/>
                                  </w:divBdr>
                                  <w:divsChild>
                                    <w:div w:id="1318996912">
                                      <w:marLeft w:val="0"/>
                                      <w:marRight w:val="0"/>
                                      <w:marTop w:val="0"/>
                                      <w:marBottom w:val="0"/>
                                      <w:divBdr>
                                        <w:top w:val="none" w:sz="0" w:space="0" w:color="auto"/>
                                        <w:left w:val="none" w:sz="0" w:space="0" w:color="auto"/>
                                        <w:bottom w:val="none" w:sz="0" w:space="0" w:color="auto"/>
                                        <w:right w:val="none" w:sz="0" w:space="0" w:color="auto"/>
                                      </w:divBdr>
                                      <w:divsChild>
                                        <w:div w:id="1324351777">
                                          <w:marLeft w:val="0"/>
                                          <w:marRight w:val="0"/>
                                          <w:marTop w:val="0"/>
                                          <w:marBottom w:val="0"/>
                                          <w:divBdr>
                                            <w:top w:val="none" w:sz="0" w:space="0" w:color="auto"/>
                                            <w:left w:val="none" w:sz="0" w:space="0" w:color="auto"/>
                                            <w:bottom w:val="none" w:sz="0" w:space="0" w:color="auto"/>
                                            <w:right w:val="none" w:sz="0" w:space="0" w:color="auto"/>
                                          </w:divBdr>
                                          <w:divsChild>
                                            <w:div w:id="221989635">
                                              <w:marLeft w:val="0"/>
                                              <w:marRight w:val="0"/>
                                              <w:marTop w:val="0"/>
                                              <w:marBottom w:val="0"/>
                                              <w:divBdr>
                                                <w:top w:val="none" w:sz="0" w:space="0" w:color="auto"/>
                                                <w:left w:val="none" w:sz="0" w:space="0" w:color="auto"/>
                                                <w:bottom w:val="none" w:sz="0" w:space="0" w:color="auto"/>
                                                <w:right w:val="none" w:sz="0" w:space="0" w:color="auto"/>
                                              </w:divBdr>
                                              <w:divsChild>
                                                <w:div w:id="855114812">
                                                  <w:marLeft w:val="0"/>
                                                  <w:marRight w:val="0"/>
                                                  <w:marTop w:val="0"/>
                                                  <w:marBottom w:val="0"/>
                                                  <w:divBdr>
                                                    <w:top w:val="none" w:sz="0" w:space="0" w:color="auto"/>
                                                    <w:left w:val="none" w:sz="0" w:space="0" w:color="auto"/>
                                                    <w:bottom w:val="none" w:sz="0" w:space="0" w:color="auto"/>
                                                    <w:right w:val="none" w:sz="0" w:space="0" w:color="auto"/>
                                                  </w:divBdr>
                                                  <w:divsChild>
                                                    <w:div w:id="987974419">
                                                      <w:marLeft w:val="0"/>
                                                      <w:marRight w:val="0"/>
                                                      <w:marTop w:val="0"/>
                                                      <w:marBottom w:val="0"/>
                                                      <w:divBdr>
                                                        <w:top w:val="none" w:sz="0" w:space="0" w:color="auto"/>
                                                        <w:left w:val="none" w:sz="0" w:space="0" w:color="auto"/>
                                                        <w:bottom w:val="none" w:sz="0" w:space="0" w:color="auto"/>
                                                        <w:right w:val="none" w:sz="0" w:space="0" w:color="auto"/>
                                                      </w:divBdr>
                                                      <w:divsChild>
                                                        <w:div w:id="979649846">
                                                          <w:marLeft w:val="0"/>
                                                          <w:marRight w:val="0"/>
                                                          <w:marTop w:val="0"/>
                                                          <w:marBottom w:val="0"/>
                                                          <w:divBdr>
                                                            <w:top w:val="none" w:sz="0" w:space="0" w:color="auto"/>
                                                            <w:left w:val="none" w:sz="0" w:space="0" w:color="auto"/>
                                                            <w:bottom w:val="none" w:sz="0" w:space="0" w:color="auto"/>
                                                            <w:right w:val="none" w:sz="0" w:space="0" w:color="auto"/>
                                                          </w:divBdr>
                                                          <w:divsChild>
                                                            <w:div w:id="2047217953">
                                                              <w:marLeft w:val="0"/>
                                                              <w:marRight w:val="0"/>
                                                              <w:marTop w:val="0"/>
                                                              <w:marBottom w:val="0"/>
                                                              <w:divBdr>
                                                                <w:top w:val="none" w:sz="0" w:space="0" w:color="auto"/>
                                                                <w:left w:val="none" w:sz="0" w:space="0" w:color="auto"/>
                                                                <w:bottom w:val="none" w:sz="0" w:space="0" w:color="auto"/>
                                                                <w:right w:val="none" w:sz="0" w:space="0" w:color="auto"/>
                                                              </w:divBdr>
                                                              <w:divsChild>
                                                                <w:div w:id="19301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3628865">
      <w:bodyDiv w:val="1"/>
      <w:marLeft w:val="0"/>
      <w:marRight w:val="0"/>
      <w:marTop w:val="0"/>
      <w:marBottom w:val="0"/>
      <w:divBdr>
        <w:top w:val="none" w:sz="0" w:space="0" w:color="auto"/>
        <w:left w:val="none" w:sz="0" w:space="0" w:color="auto"/>
        <w:bottom w:val="none" w:sz="0" w:space="0" w:color="auto"/>
        <w:right w:val="none" w:sz="0" w:space="0" w:color="auto"/>
      </w:divBdr>
      <w:divsChild>
        <w:div w:id="1233275600">
          <w:marLeft w:val="0"/>
          <w:marRight w:val="0"/>
          <w:marTop w:val="825"/>
          <w:marBottom w:val="750"/>
          <w:divBdr>
            <w:top w:val="none" w:sz="0" w:space="0" w:color="auto"/>
            <w:left w:val="none" w:sz="0" w:space="0" w:color="auto"/>
            <w:bottom w:val="none" w:sz="0" w:space="0" w:color="auto"/>
            <w:right w:val="none" w:sz="0" w:space="0" w:color="auto"/>
          </w:divBdr>
          <w:divsChild>
            <w:div w:id="52774215">
              <w:marLeft w:val="0"/>
              <w:marRight w:val="0"/>
              <w:marTop w:val="0"/>
              <w:marBottom w:val="0"/>
              <w:divBdr>
                <w:top w:val="none" w:sz="0" w:space="0" w:color="auto"/>
                <w:left w:val="none" w:sz="0" w:space="0" w:color="auto"/>
                <w:bottom w:val="none" w:sz="0" w:space="0" w:color="auto"/>
                <w:right w:val="none" w:sz="0" w:space="0" w:color="auto"/>
              </w:divBdr>
              <w:divsChild>
                <w:div w:id="1301308883">
                  <w:marLeft w:val="0"/>
                  <w:marRight w:val="14400"/>
                  <w:marTop w:val="0"/>
                  <w:marBottom w:val="0"/>
                  <w:divBdr>
                    <w:top w:val="none" w:sz="0" w:space="0" w:color="auto"/>
                    <w:left w:val="none" w:sz="0" w:space="0" w:color="auto"/>
                    <w:bottom w:val="none" w:sz="0" w:space="0" w:color="auto"/>
                    <w:right w:val="none" w:sz="0" w:space="0" w:color="auto"/>
                  </w:divBdr>
                  <w:divsChild>
                    <w:div w:id="174734405">
                      <w:marLeft w:val="0"/>
                      <w:marRight w:val="0"/>
                      <w:marTop w:val="0"/>
                      <w:marBottom w:val="0"/>
                      <w:divBdr>
                        <w:top w:val="none" w:sz="0" w:space="0" w:color="auto"/>
                        <w:left w:val="none" w:sz="0" w:space="0" w:color="auto"/>
                        <w:bottom w:val="none" w:sz="0" w:space="0" w:color="auto"/>
                        <w:right w:val="none" w:sz="0" w:space="0" w:color="auto"/>
                      </w:divBdr>
                      <w:divsChild>
                        <w:div w:id="9194837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836209">
      <w:bodyDiv w:val="1"/>
      <w:marLeft w:val="0"/>
      <w:marRight w:val="0"/>
      <w:marTop w:val="0"/>
      <w:marBottom w:val="0"/>
      <w:divBdr>
        <w:top w:val="none" w:sz="0" w:space="0" w:color="auto"/>
        <w:left w:val="none" w:sz="0" w:space="0" w:color="auto"/>
        <w:bottom w:val="none" w:sz="0" w:space="0" w:color="auto"/>
        <w:right w:val="none" w:sz="0" w:space="0" w:color="auto"/>
      </w:divBdr>
      <w:divsChild>
        <w:div w:id="821585798">
          <w:marLeft w:val="0"/>
          <w:marRight w:val="0"/>
          <w:marTop w:val="0"/>
          <w:marBottom w:val="0"/>
          <w:divBdr>
            <w:top w:val="none" w:sz="0" w:space="0" w:color="auto"/>
            <w:left w:val="none" w:sz="0" w:space="0" w:color="auto"/>
            <w:bottom w:val="none" w:sz="0" w:space="0" w:color="auto"/>
            <w:right w:val="none" w:sz="0" w:space="0" w:color="auto"/>
          </w:divBdr>
          <w:divsChild>
            <w:div w:id="1215041588">
              <w:marLeft w:val="0"/>
              <w:marRight w:val="0"/>
              <w:marTop w:val="0"/>
              <w:marBottom w:val="0"/>
              <w:divBdr>
                <w:top w:val="none" w:sz="0" w:space="0" w:color="auto"/>
                <w:left w:val="none" w:sz="0" w:space="0" w:color="auto"/>
                <w:bottom w:val="none" w:sz="0" w:space="0" w:color="auto"/>
                <w:right w:val="none" w:sz="0" w:space="0" w:color="auto"/>
              </w:divBdr>
              <w:divsChild>
                <w:div w:id="2009867565">
                  <w:marLeft w:val="0"/>
                  <w:marRight w:val="0"/>
                  <w:marTop w:val="0"/>
                  <w:marBottom w:val="0"/>
                  <w:divBdr>
                    <w:top w:val="none" w:sz="0" w:space="0" w:color="auto"/>
                    <w:left w:val="none" w:sz="0" w:space="0" w:color="auto"/>
                    <w:bottom w:val="none" w:sz="0" w:space="0" w:color="auto"/>
                    <w:right w:val="none" w:sz="0" w:space="0" w:color="auto"/>
                  </w:divBdr>
                  <w:divsChild>
                    <w:div w:id="489103285">
                      <w:marLeft w:val="0"/>
                      <w:marRight w:val="0"/>
                      <w:marTop w:val="0"/>
                      <w:marBottom w:val="0"/>
                      <w:divBdr>
                        <w:top w:val="none" w:sz="0" w:space="0" w:color="auto"/>
                        <w:left w:val="none" w:sz="0" w:space="0" w:color="auto"/>
                        <w:bottom w:val="none" w:sz="0" w:space="0" w:color="auto"/>
                        <w:right w:val="none" w:sz="0" w:space="0" w:color="auto"/>
                      </w:divBdr>
                      <w:divsChild>
                        <w:div w:id="1384913999">
                          <w:marLeft w:val="0"/>
                          <w:marRight w:val="0"/>
                          <w:marTop w:val="45"/>
                          <w:marBottom w:val="0"/>
                          <w:divBdr>
                            <w:top w:val="none" w:sz="0" w:space="0" w:color="auto"/>
                            <w:left w:val="none" w:sz="0" w:space="0" w:color="auto"/>
                            <w:bottom w:val="none" w:sz="0" w:space="0" w:color="auto"/>
                            <w:right w:val="none" w:sz="0" w:space="0" w:color="auto"/>
                          </w:divBdr>
                          <w:divsChild>
                            <w:div w:id="1288976640">
                              <w:marLeft w:val="1800"/>
                              <w:marRight w:val="3810"/>
                              <w:marTop w:val="0"/>
                              <w:marBottom w:val="0"/>
                              <w:divBdr>
                                <w:top w:val="none" w:sz="0" w:space="0" w:color="auto"/>
                                <w:left w:val="none" w:sz="0" w:space="0" w:color="auto"/>
                                <w:bottom w:val="none" w:sz="0" w:space="0" w:color="auto"/>
                                <w:right w:val="none" w:sz="0" w:space="0" w:color="auto"/>
                              </w:divBdr>
                              <w:divsChild>
                                <w:div w:id="998923496">
                                  <w:marLeft w:val="0"/>
                                  <w:marRight w:val="0"/>
                                  <w:marTop w:val="0"/>
                                  <w:marBottom w:val="0"/>
                                  <w:divBdr>
                                    <w:top w:val="none" w:sz="0" w:space="0" w:color="auto"/>
                                    <w:left w:val="none" w:sz="0" w:space="0" w:color="auto"/>
                                    <w:bottom w:val="none" w:sz="0" w:space="0" w:color="auto"/>
                                    <w:right w:val="none" w:sz="0" w:space="0" w:color="auto"/>
                                  </w:divBdr>
                                  <w:divsChild>
                                    <w:div w:id="1894462646">
                                      <w:marLeft w:val="0"/>
                                      <w:marRight w:val="0"/>
                                      <w:marTop w:val="0"/>
                                      <w:marBottom w:val="0"/>
                                      <w:divBdr>
                                        <w:top w:val="none" w:sz="0" w:space="0" w:color="auto"/>
                                        <w:left w:val="none" w:sz="0" w:space="0" w:color="auto"/>
                                        <w:bottom w:val="none" w:sz="0" w:space="0" w:color="auto"/>
                                        <w:right w:val="none" w:sz="0" w:space="0" w:color="auto"/>
                                      </w:divBdr>
                                      <w:divsChild>
                                        <w:div w:id="1058819270">
                                          <w:marLeft w:val="0"/>
                                          <w:marRight w:val="0"/>
                                          <w:marTop w:val="0"/>
                                          <w:marBottom w:val="0"/>
                                          <w:divBdr>
                                            <w:top w:val="none" w:sz="0" w:space="0" w:color="auto"/>
                                            <w:left w:val="none" w:sz="0" w:space="0" w:color="auto"/>
                                            <w:bottom w:val="none" w:sz="0" w:space="0" w:color="auto"/>
                                            <w:right w:val="none" w:sz="0" w:space="0" w:color="auto"/>
                                          </w:divBdr>
                                          <w:divsChild>
                                            <w:div w:id="1834487000">
                                              <w:marLeft w:val="0"/>
                                              <w:marRight w:val="0"/>
                                              <w:marTop w:val="100"/>
                                              <w:marBottom w:val="100"/>
                                              <w:divBdr>
                                                <w:top w:val="none" w:sz="0" w:space="0" w:color="auto"/>
                                                <w:left w:val="none" w:sz="0" w:space="0" w:color="auto"/>
                                                <w:bottom w:val="none" w:sz="0" w:space="0" w:color="auto"/>
                                                <w:right w:val="none" w:sz="0" w:space="0" w:color="auto"/>
                                              </w:divBdr>
                                              <w:divsChild>
                                                <w:div w:id="493490447">
                                                  <w:marLeft w:val="0"/>
                                                  <w:marRight w:val="0"/>
                                                  <w:marTop w:val="0"/>
                                                  <w:marBottom w:val="0"/>
                                                  <w:divBdr>
                                                    <w:top w:val="none" w:sz="0" w:space="0" w:color="auto"/>
                                                    <w:left w:val="none" w:sz="0" w:space="0" w:color="auto"/>
                                                    <w:bottom w:val="none" w:sz="0" w:space="0" w:color="auto"/>
                                                    <w:right w:val="none" w:sz="0" w:space="0" w:color="auto"/>
                                                  </w:divBdr>
                                                  <w:divsChild>
                                                    <w:div w:id="290523207">
                                                      <w:marLeft w:val="0"/>
                                                      <w:marRight w:val="0"/>
                                                      <w:marTop w:val="0"/>
                                                      <w:marBottom w:val="0"/>
                                                      <w:divBdr>
                                                        <w:top w:val="none" w:sz="0" w:space="0" w:color="auto"/>
                                                        <w:left w:val="none" w:sz="0" w:space="0" w:color="auto"/>
                                                        <w:bottom w:val="none" w:sz="0" w:space="0" w:color="auto"/>
                                                        <w:right w:val="none" w:sz="0" w:space="0" w:color="auto"/>
                                                      </w:divBdr>
                                                      <w:divsChild>
                                                        <w:div w:id="1056851096">
                                                          <w:marLeft w:val="0"/>
                                                          <w:marRight w:val="0"/>
                                                          <w:marTop w:val="0"/>
                                                          <w:marBottom w:val="0"/>
                                                          <w:divBdr>
                                                            <w:top w:val="none" w:sz="0" w:space="0" w:color="auto"/>
                                                            <w:left w:val="none" w:sz="0" w:space="0" w:color="auto"/>
                                                            <w:bottom w:val="none" w:sz="0" w:space="0" w:color="auto"/>
                                                            <w:right w:val="none" w:sz="0" w:space="0" w:color="auto"/>
                                                          </w:divBdr>
                                                          <w:divsChild>
                                                            <w:div w:id="17360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7208446">
      <w:bodyDiv w:val="1"/>
      <w:marLeft w:val="0"/>
      <w:marRight w:val="0"/>
      <w:marTop w:val="0"/>
      <w:marBottom w:val="0"/>
      <w:divBdr>
        <w:top w:val="none" w:sz="0" w:space="0" w:color="auto"/>
        <w:left w:val="none" w:sz="0" w:space="0" w:color="auto"/>
        <w:bottom w:val="none" w:sz="0" w:space="0" w:color="auto"/>
        <w:right w:val="none" w:sz="0" w:space="0" w:color="auto"/>
      </w:divBdr>
    </w:div>
    <w:div w:id="1513228288">
      <w:bodyDiv w:val="1"/>
      <w:marLeft w:val="0"/>
      <w:marRight w:val="0"/>
      <w:marTop w:val="0"/>
      <w:marBottom w:val="0"/>
      <w:divBdr>
        <w:top w:val="none" w:sz="0" w:space="0" w:color="auto"/>
        <w:left w:val="none" w:sz="0" w:space="0" w:color="auto"/>
        <w:bottom w:val="none" w:sz="0" w:space="0" w:color="auto"/>
        <w:right w:val="none" w:sz="0" w:space="0" w:color="auto"/>
      </w:divBdr>
    </w:div>
    <w:div w:id="1843080526">
      <w:marLeft w:val="0"/>
      <w:marRight w:val="0"/>
      <w:marTop w:val="0"/>
      <w:marBottom w:val="0"/>
      <w:divBdr>
        <w:top w:val="none" w:sz="0" w:space="0" w:color="auto"/>
        <w:left w:val="none" w:sz="0" w:space="0" w:color="auto"/>
        <w:bottom w:val="none" w:sz="0" w:space="0" w:color="auto"/>
        <w:right w:val="none" w:sz="0" w:space="0" w:color="auto"/>
      </w:divBdr>
    </w:div>
    <w:div w:id="2014411746">
      <w:bodyDiv w:val="1"/>
      <w:marLeft w:val="0"/>
      <w:marRight w:val="0"/>
      <w:marTop w:val="0"/>
      <w:marBottom w:val="0"/>
      <w:divBdr>
        <w:top w:val="none" w:sz="0" w:space="0" w:color="auto"/>
        <w:left w:val="none" w:sz="0" w:space="0" w:color="auto"/>
        <w:bottom w:val="none" w:sz="0" w:space="0" w:color="auto"/>
        <w:right w:val="none" w:sz="0" w:space="0" w:color="auto"/>
      </w:divBdr>
    </w:div>
    <w:div w:id="2130007028">
      <w:bodyDiv w:val="1"/>
      <w:marLeft w:val="0"/>
      <w:marRight w:val="0"/>
      <w:marTop w:val="0"/>
      <w:marBottom w:val="0"/>
      <w:divBdr>
        <w:top w:val="none" w:sz="0" w:space="0" w:color="auto"/>
        <w:left w:val="none" w:sz="0" w:space="0" w:color="auto"/>
        <w:bottom w:val="none" w:sz="0" w:space="0" w:color="auto"/>
        <w:right w:val="none" w:sz="0" w:space="0" w:color="auto"/>
      </w:divBdr>
    </w:div>
    <w:div w:id="2140568504">
      <w:bodyDiv w:val="1"/>
      <w:marLeft w:val="0"/>
      <w:marRight w:val="0"/>
      <w:marTop w:val="0"/>
      <w:marBottom w:val="0"/>
      <w:divBdr>
        <w:top w:val="none" w:sz="0" w:space="0" w:color="auto"/>
        <w:left w:val="none" w:sz="0" w:space="0" w:color="auto"/>
        <w:bottom w:val="none" w:sz="0" w:space="0" w:color="auto"/>
        <w:right w:val="none" w:sz="0" w:space="0" w:color="auto"/>
      </w:divBdr>
      <w:divsChild>
        <w:div w:id="84495818">
          <w:marLeft w:val="518"/>
          <w:marRight w:val="0"/>
          <w:marTop w:val="0"/>
          <w:marBottom w:val="0"/>
          <w:divBdr>
            <w:top w:val="none" w:sz="0" w:space="0" w:color="auto"/>
            <w:left w:val="none" w:sz="0" w:space="0" w:color="auto"/>
            <w:bottom w:val="none" w:sz="0" w:space="0" w:color="auto"/>
            <w:right w:val="none" w:sz="0" w:space="0" w:color="auto"/>
          </w:divBdr>
        </w:div>
        <w:div w:id="448554726">
          <w:marLeft w:val="1238"/>
          <w:marRight w:val="0"/>
          <w:marTop w:val="0"/>
          <w:marBottom w:val="0"/>
          <w:divBdr>
            <w:top w:val="none" w:sz="0" w:space="0" w:color="auto"/>
            <w:left w:val="none" w:sz="0" w:space="0" w:color="auto"/>
            <w:bottom w:val="none" w:sz="0" w:space="0" w:color="auto"/>
            <w:right w:val="none" w:sz="0" w:space="0" w:color="auto"/>
          </w:divBdr>
        </w:div>
        <w:div w:id="1683389385">
          <w:marLeft w:val="1238"/>
          <w:marRight w:val="0"/>
          <w:marTop w:val="0"/>
          <w:marBottom w:val="0"/>
          <w:divBdr>
            <w:top w:val="none" w:sz="0" w:space="0" w:color="auto"/>
            <w:left w:val="none" w:sz="0" w:space="0" w:color="auto"/>
            <w:bottom w:val="none" w:sz="0" w:space="0" w:color="auto"/>
            <w:right w:val="none" w:sz="0" w:space="0" w:color="auto"/>
          </w:divBdr>
        </w:div>
        <w:div w:id="298728355">
          <w:marLeft w:val="123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germanpropertypartners.de/d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eug-immobilien.de/privat-immobilien" TargetMode="External"/><Relationship Id="rId17" Type="http://schemas.openxmlformats.org/officeDocument/2006/relationships/hyperlink" Target="mailto:presse@grossmann-berger.de" TargetMode="External"/><Relationship Id="rId2" Type="http://schemas.openxmlformats.org/officeDocument/2006/relationships/numbering" Target="numbering.xml"/><Relationship Id="rId16" Type="http://schemas.openxmlformats.org/officeDocument/2006/relationships/hyperlink" Target="file:///\\file01\Marketing\Presse\5_PresseMITTEILUNGEN\Marktbericht%20B&#252;ro\2020\2020%20Q2\20180517_Dokumentation%20der%20Verarbeitungstaetigkeit%20nach%20DSGVO_Presse.doc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ug-immobilien.de/gewerbe-immobilien" TargetMode="External"/><Relationship Id="rId5" Type="http://schemas.openxmlformats.org/officeDocument/2006/relationships/webSettings" Target="webSettings.xml"/><Relationship Id="rId15" Type="http://schemas.openxmlformats.org/officeDocument/2006/relationships/hyperlink" Target="https://www.grossmann-berger.de/news/pressemappe/" TargetMode="External"/><Relationship Id="rId23" Type="http://schemas.openxmlformats.org/officeDocument/2006/relationships/theme" Target="theme/theme1.xml"/><Relationship Id="rId10" Type="http://schemas.openxmlformats.org/officeDocument/2006/relationships/hyperlink" Target="https://www.grossmann-berger.d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rossmann-berger.com/marktbericht/gewerbe/hamburg-buero/" TargetMode="External"/><Relationship Id="rId14" Type="http://schemas.openxmlformats.org/officeDocument/2006/relationships/hyperlink" Target="https://www.grossmann-berger.de/datenschutz/"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G&amp;B Farben für Word_2019">
  <a:themeElements>
    <a:clrScheme name="G&amp;B Farben">
      <a:dk1>
        <a:srgbClr val="000000"/>
      </a:dk1>
      <a:lt1>
        <a:sysClr val="window" lastClr="FFFFFF"/>
      </a:lt1>
      <a:dk2>
        <a:srgbClr val="1F242B"/>
      </a:dk2>
      <a:lt2>
        <a:srgbClr val="E4E2E4"/>
      </a:lt2>
      <a:accent1>
        <a:srgbClr val="FDC300"/>
      </a:accent1>
      <a:accent2>
        <a:srgbClr val="1F242B"/>
      </a:accent2>
      <a:accent3>
        <a:srgbClr val="FFD444"/>
      </a:accent3>
      <a:accent4>
        <a:srgbClr val="FFE17E"/>
      </a:accent4>
      <a:accent5>
        <a:srgbClr val="838490"/>
      </a:accent5>
      <a:accent6>
        <a:srgbClr val="E4E2E4"/>
      </a:accent6>
      <a:hlink>
        <a:srgbClr val="4A5A73"/>
      </a:hlink>
      <a:folHlink>
        <a:srgbClr val="92A4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05A8A-CB3C-4C92-957F-72E001782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844</Words>
  <Characters>5117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 bi</dc:creator>
  <cp:lastModifiedBy>Britt Finke</cp:lastModifiedBy>
  <cp:revision>8</cp:revision>
  <cp:lastPrinted>2021-09-30T14:01:00Z</cp:lastPrinted>
  <dcterms:created xsi:type="dcterms:W3CDTF">2021-09-30T15:05:00Z</dcterms:created>
  <dcterms:modified xsi:type="dcterms:W3CDTF">2021-10-04T13:02:00Z</dcterms:modified>
</cp:coreProperties>
</file>