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F28A" w14:textId="5BEA021C" w:rsidR="001533C6" w:rsidRPr="000E30AF" w:rsidRDefault="001533C6" w:rsidP="001533C6">
      <w:pPr>
        <w:spacing w:after="0" w:line="360" w:lineRule="auto"/>
        <w:rPr>
          <w:rFonts w:ascii="Arial" w:hAnsi="Arial" w:cs="Arial"/>
          <w:b/>
          <w:sz w:val="28"/>
          <w:szCs w:val="28"/>
        </w:rPr>
      </w:pPr>
      <w:r>
        <w:rPr>
          <w:rFonts w:ascii="Arial" w:hAnsi="Arial"/>
          <w:b/>
        </w:rPr>
        <w:t>Hamburg: Office letting market, 1st quarter of 2022</w:t>
      </w:r>
      <w:r>
        <w:rPr>
          <w:rFonts w:ascii="Arial" w:hAnsi="Arial"/>
          <w:b/>
        </w:rPr>
        <w:br/>
      </w:r>
      <w:r w:rsidRPr="000E30AF">
        <w:rPr>
          <w:rFonts w:ascii="Arial" w:hAnsi="Arial"/>
          <w:b/>
          <w:sz w:val="28"/>
          <w:szCs w:val="28"/>
        </w:rPr>
        <w:t xml:space="preserve">Escalator clause </w:t>
      </w:r>
      <w:r w:rsidR="00B212E6" w:rsidRPr="000E30AF">
        <w:rPr>
          <w:rFonts w:ascii="Arial" w:hAnsi="Arial"/>
          <w:b/>
          <w:sz w:val="28"/>
          <w:szCs w:val="28"/>
        </w:rPr>
        <w:t>becoming</w:t>
      </w:r>
      <w:r w:rsidRPr="000E30AF">
        <w:rPr>
          <w:rFonts w:ascii="Arial" w:hAnsi="Arial"/>
          <w:b/>
          <w:sz w:val="28"/>
          <w:szCs w:val="28"/>
        </w:rPr>
        <w:t xml:space="preserve"> a </w:t>
      </w:r>
      <w:r w:rsidR="00B212E6" w:rsidRPr="000E30AF">
        <w:rPr>
          <w:rFonts w:ascii="Arial" w:hAnsi="Arial"/>
          <w:b/>
          <w:sz w:val="28"/>
          <w:szCs w:val="28"/>
        </w:rPr>
        <w:t>key</w:t>
      </w:r>
      <w:r w:rsidRPr="000E30AF">
        <w:rPr>
          <w:rFonts w:ascii="Arial" w:hAnsi="Arial"/>
          <w:b/>
          <w:sz w:val="28"/>
          <w:szCs w:val="28"/>
        </w:rPr>
        <w:t xml:space="preserve"> issue during lease negotiations</w:t>
      </w:r>
    </w:p>
    <w:p w14:paraId="18597652" w14:textId="77777777" w:rsidR="001533C6" w:rsidRPr="0090748B" w:rsidRDefault="001533C6" w:rsidP="001533C6">
      <w:pPr>
        <w:spacing w:after="0" w:line="360" w:lineRule="auto"/>
        <w:jc w:val="both"/>
        <w:rPr>
          <w:rFonts w:ascii="Arial" w:hAnsi="Arial" w:cs="Arial"/>
          <w:b/>
          <w:sz w:val="20"/>
          <w:szCs w:val="20"/>
        </w:rPr>
      </w:pPr>
    </w:p>
    <w:p w14:paraId="60A6A83F" w14:textId="44CB82EA" w:rsidR="00BF4F54" w:rsidRDefault="001533C6" w:rsidP="001533C6">
      <w:pPr>
        <w:spacing w:after="0" w:line="360" w:lineRule="auto"/>
        <w:rPr>
          <w:rFonts w:ascii="Arial" w:hAnsi="Arial" w:cs="Arial"/>
          <w:sz w:val="20"/>
          <w:szCs w:val="20"/>
        </w:rPr>
      </w:pPr>
      <w:r>
        <w:rPr>
          <w:rFonts w:ascii="Arial" w:hAnsi="Arial"/>
          <w:b/>
          <w:sz w:val="20"/>
          <w:szCs w:val="20"/>
        </w:rPr>
        <w:t>Hamburg, 31st March 2022</w:t>
      </w:r>
      <w:r>
        <w:rPr>
          <w:rFonts w:ascii="Arial" w:hAnsi="Arial"/>
          <w:sz w:val="20"/>
          <w:szCs w:val="20"/>
        </w:rPr>
        <w:t xml:space="preserve"> – Companies in Hamburg have been very active during the 1st quarter of 2022, with take-up of office space at 135,000 m². </w:t>
      </w:r>
      <w:r>
        <w:rPr>
          <w:rFonts w:ascii="Arial" w:hAnsi="Arial"/>
          <w:i/>
          <w:sz w:val="20"/>
          <w:szCs w:val="20"/>
        </w:rPr>
        <w:t xml:space="preserve">“Concerns about the German economy sparked by Russia’s attack on Ukraine </w:t>
      </w:r>
      <w:r w:rsidR="006C2F8D">
        <w:rPr>
          <w:rFonts w:ascii="Arial" w:hAnsi="Arial"/>
          <w:i/>
          <w:sz w:val="20"/>
          <w:szCs w:val="20"/>
        </w:rPr>
        <w:t>are</w:t>
      </w:r>
      <w:r>
        <w:rPr>
          <w:rFonts w:ascii="Arial" w:hAnsi="Arial"/>
          <w:i/>
          <w:sz w:val="20"/>
          <w:szCs w:val="20"/>
        </w:rPr>
        <w:t xml:space="preserve"> not, for the moment, reflected on the market for office space in Hamburg. On the contrary, most companies have been “doing their homework” over recent months, </w:t>
      </w:r>
      <w:r w:rsidR="00D47121">
        <w:rPr>
          <w:rFonts w:ascii="Arial" w:hAnsi="Arial"/>
          <w:i/>
          <w:sz w:val="20"/>
          <w:szCs w:val="20"/>
        </w:rPr>
        <w:t xml:space="preserve">and </w:t>
      </w:r>
      <w:r>
        <w:rPr>
          <w:rFonts w:ascii="Arial" w:hAnsi="Arial"/>
          <w:i/>
          <w:sz w:val="20"/>
          <w:szCs w:val="20"/>
        </w:rPr>
        <w:t xml:space="preserve">are now ready to view properties and implement </w:t>
      </w:r>
      <w:r w:rsidR="00B212E6">
        <w:rPr>
          <w:rFonts w:ascii="Arial" w:hAnsi="Arial"/>
          <w:i/>
          <w:sz w:val="20"/>
          <w:szCs w:val="20"/>
        </w:rPr>
        <w:t xml:space="preserve">re-organization </w:t>
      </w:r>
      <w:r>
        <w:rPr>
          <w:rFonts w:ascii="Arial" w:hAnsi="Arial"/>
          <w:i/>
          <w:sz w:val="20"/>
          <w:szCs w:val="20"/>
        </w:rPr>
        <w:t xml:space="preserve">plans </w:t>
      </w:r>
      <w:r w:rsidR="00B212E6">
        <w:rPr>
          <w:rFonts w:ascii="Arial" w:hAnsi="Arial"/>
          <w:i/>
          <w:sz w:val="20"/>
          <w:szCs w:val="20"/>
        </w:rPr>
        <w:t>for their future business needs</w:t>
      </w:r>
      <w:r>
        <w:rPr>
          <w:rFonts w:ascii="Arial" w:hAnsi="Arial"/>
          <w:i/>
          <w:sz w:val="20"/>
          <w:szCs w:val="20"/>
        </w:rPr>
        <w:t>. This is especially true of large companies,”</w:t>
      </w:r>
      <w:r>
        <w:rPr>
          <w:rFonts w:ascii="Arial" w:hAnsi="Arial"/>
          <w:sz w:val="20"/>
          <w:szCs w:val="20"/>
        </w:rPr>
        <w:t xml:space="preserve"> says </w:t>
      </w:r>
      <w:r>
        <w:rPr>
          <w:rFonts w:ascii="Arial" w:hAnsi="Arial"/>
          <w:b/>
          <w:sz w:val="20"/>
          <w:szCs w:val="20"/>
        </w:rPr>
        <w:t xml:space="preserve">Andreas </w:t>
      </w:r>
      <w:proofErr w:type="spellStart"/>
      <w:r>
        <w:rPr>
          <w:rFonts w:ascii="Arial" w:hAnsi="Arial"/>
          <w:b/>
          <w:sz w:val="20"/>
          <w:szCs w:val="20"/>
        </w:rPr>
        <w:t>Rehberg</w:t>
      </w:r>
      <w:proofErr w:type="spellEnd"/>
      <w:r>
        <w:rPr>
          <w:rFonts w:ascii="Arial" w:hAnsi="Arial"/>
          <w:sz w:val="20"/>
          <w:szCs w:val="20"/>
        </w:rPr>
        <w:t>, spokesperson for the managing</w:t>
      </w:r>
      <w:r w:rsidR="000E30AF">
        <w:rPr>
          <w:rFonts w:ascii="Arial" w:hAnsi="Arial"/>
          <w:sz w:val="20"/>
          <w:szCs w:val="20"/>
        </w:rPr>
        <w:t xml:space="preserve"> board of Grossmann &amp; Berger, </w:t>
      </w:r>
      <w:r>
        <w:rPr>
          <w:rFonts w:ascii="Arial" w:hAnsi="Arial"/>
          <w:sz w:val="20"/>
          <w:szCs w:val="20"/>
        </w:rPr>
        <w:t xml:space="preserve">member of German Property Partners (GPP). Against the 1st quarter of 2021 the volume of turnover rose by some 4 %. </w:t>
      </w:r>
      <w:r>
        <w:rPr>
          <w:rFonts w:ascii="Arial" w:hAnsi="Arial"/>
          <w:i/>
          <w:sz w:val="20"/>
          <w:szCs w:val="20"/>
        </w:rPr>
        <w:t xml:space="preserve">“Thanks to the current increase in inflation, an escalator clause designed to protect the contracting parties against risks such as inflation, has become a key part of rental negotiations. In particular when longer-term agreements are signed off plan, the escalator clause </w:t>
      </w:r>
      <w:r w:rsidR="00D47121">
        <w:rPr>
          <w:rFonts w:ascii="Arial" w:hAnsi="Arial"/>
          <w:i/>
          <w:sz w:val="20"/>
          <w:szCs w:val="20"/>
        </w:rPr>
        <w:t>plays a crucial role</w:t>
      </w:r>
      <w:r>
        <w:rPr>
          <w:rFonts w:ascii="Arial" w:hAnsi="Arial"/>
          <w:i/>
          <w:sz w:val="20"/>
          <w:szCs w:val="20"/>
        </w:rPr>
        <w:t>,”</w:t>
      </w:r>
      <w:r>
        <w:rPr>
          <w:rFonts w:ascii="Arial" w:hAnsi="Arial"/>
          <w:sz w:val="20"/>
          <w:szCs w:val="20"/>
        </w:rPr>
        <w:t xml:space="preserve"> </w:t>
      </w:r>
      <w:proofErr w:type="spellStart"/>
      <w:r>
        <w:rPr>
          <w:rFonts w:ascii="Arial" w:hAnsi="Arial"/>
          <w:b/>
          <w:sz w:val="20"/>
          <w:szCs w:val="20"/>
        </w:rPr>
        <w:t>Rehberg</w:t>
      </w:r>
      <w:proofErr w:type="spellEnd"/>
      <w:r>
        <w:rPr>
          <w:rFonts w:ascii="Arial" w:hAnsi="Arial"/>
          <w:sz w:val="20"/>
          <w:szCs w:val="20"/>
        </w:rPr>
        <w:t xml:space="preserve"> adds.</w:t>
      </w:r>
    </w:p>
    <w:p w14:paraId="30717DE2" w14:textId="77777777" w:rsidR="001D69DE" w:rsidRDefault="001D69DE" w:rsidP="001533C6">
      <w:pPr>
        <w:spacing w:after="0" w:line="360" w:lineRule="auto"/>
        <w:rPr>
          <w:rFonts w:ascii="Arial" w:hAnsi="Arial" w:cs="Arial"/>
          <w:sz w:val="20"/>
          <w:szCs w:val="20"/>
        </w:rPr>
      </w:pPr>
    </w:p>
    <w:p w14:paraId="7491727E" w14:textId="77777777" w:rsidR="001533C6" w:rsidRPr="00C171C1" w:rsidRDefault="001533C6" w:rsidP="001533C6">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AE24469" w14:textId="01D656AD" w:rsidR="001533C6" w:rsidRDefault="003E41FB"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Between January and March 2022, as in the 1st quarter of 2021, four agreements were signed for premises in the </w:t>
      </w:r>
      <w:r>
        <w:rPr>
          <w:rFonts w:ascii="Arial" w:hAnsi="Arial"/>
          <w:sz w:val="20"/>
          <w:szCs w:val="20"/>
          <w:u w:val="single"/>
        </w:rPr>
        <w:t>size category</w:t>
      </w:r>
      <w:r>
        <w:rPr>
          <w:rFonts w:ascii="Arial" w:hAnsi="Arial"/>
          <w:sz w:val="20"/>
          <w:szCs w:val="20"/>
        </w:rPr>
        <w:t xml:space="preserve"> of 5,000 m² or more</w:t>
      </w:r>
      <w:r w:rsidR="00D47121">
        <w:rPr>
          <w:rFonts w:ascii="Arial" w:hAnsi="Arial"/>
          <w:sz w:val="20"/>
          <w:szCs w:val="20"/>
        </w:rPr>
        <w:t>.</w:t>
      </w:r>
      <w:r>
        <w:rPr>
          <w:rFonts w:ascii="Arial" w:hAnsi="Arial"/>
          <w:sz w:val="20"/>
          <w:szCs w:val="20"/>
        </w:rPr>
        <w:t xml:space="preserve"> The leases included those taken by Veolia </w:t>
      </w:r>
      <w:proofErr w:type="spellStart"/>
      <w:r>
        <w:rPr>
          <w:rFonts w:ascii="Arial" w:hAnsi="Arial"/>
          <w:sz w:val="20"/>
          <w:szCs w:val="20"/>
        </w:rPr>
        <w:t>Umweltservice</w:t>
      </w:r>
      <w:proofErr w:type="spellEnd"/>
      <w:r>
        <w:rPr>
          <w:rFonts w:ascii="Arial" w:hAnsi="Arial"/>
          <w:sz w:val="20"/>
          <w:szCs w:val="20"/>
        </w:rPr>
        <w:t xml:space="preserve">, </w:t>
      </w:r>
      <w:proofErr w:type="spellStart"/>
      <w:r>
        <w:rPr>
          <w:rFonts w:ascii="Arial" w:hAnsi="Arial"/>
          <w:sz w:val="20"/>
          <w:szCs w:val="20"/>
        </w:rPr>
        <w:t>Evotec</w:t>
      </w:r>
      <w:proofErr w:type="spellEnd"/>
      <w:r>
        <w:rPr>
          <w:rFonts w:ascii="Arial" w:hAnsi="Arial"/>
          <w:sz w:val="20"/>
          <w:szCs w:val="20"/>
        </w:rPr>
        <w:t xml:space="preserve"> and </w:t>
      </w:r>
      <w:proofErr w:type="spellStart"/>
      <w:r>
        <w:rPr>
          <w:rFonts w:ascii="Arial" w:hAnsi="Arial"/>
          <w:sz w:val="20"/>
          <w:szCs w:val="20"/>
        </w:rPr>
        <w:t>Vestas</w:t>
      </w:r>
      <w:proofErr w:type="spellEnd"/>
      <w:r>
        <w:rPr>
          <w:rFonts w:ascii="Arial" w:hAnsi="Arial"/>
          <w:sz w:val="20"/>
          <w:szCs w:val="20"/>
        </w:rPr>
        <w:t xml:space="preserve"> Deutschland. Nevertheless, year on year this size category no longer accounted for the largest </w:t>
      </w:r>
      <w:r w:rsidR="00B212E6">
        <w:rPr>
          <w:rFonts w:ascii="Arial" w:hAnsi="Arial"/>
          <w:sz w:val="20"/>
          <w:szCs w:val="20"/>
        </w:rPr>
        <w:t>proportion</w:t>
      </w:r>
      <w:r>
        <w:rPr>
          <w:rFonts w:ascii="Arial" w:hAnsi="Arial"/>
          <w:sz w:val="20"/>
          <w:szCs w:val="20"/>
        </w:rPr>
        <w:t xml:space="preserve"> of take-up (35 % in 2021) because the lion’s share (27 %) had shifted to the 2,000 to 5,000-square-metre sector. The larger size category comprised 20 % of take-up, thus moving down to second place.</w:t>
      </w:r>
    </w:p>
    <w:p w14:paraId="256734B5" w14:textId="25E65770" w:rsidR="001533C6" w:rsidRDefault="00E31133"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The proportion of </w:t>
      </w:r>
      <w:r>
        <w:rPr>
          <w:rFonts w:ascii="Arial" w:hAnsi="Arial"/>
          <w:sz w:val="20"/>
          <w:szCs w:val="20"/>
          <w:u w:val="single"/>
        </w:rPr>
        <w:t>owner-occupier</w:t>
      </w:r>
      <w:r>
        <w:rPr>
          <w:rFonts w:ascii="Arial" w:hAnsi="Arial"/>
          <w:sz w:val="20"/>
          <w:szCs w:val="20"/>
        </w:rPr>
        <w:t xml:space="preserve"> transactions grew from 5</w:t>
      </w:r>
      <w:r w:rsidR="00B229DF">
        <w:rPr>
          <w:rFonts w:ascii="Arial" w:hAnsi="Arial"/>
          <w:sz w:val="20"/>
          <w:szCs w:val="20"/>
        </w:rPr>
        <w:t> %</w:t>
      </w:r>
      <w:r>
        <w:rPr>
          <w:rFonts w:ascii="Arial" w:hAnsi="Arial"/>
          <w:sz w:val="20"/>
          <w:szCs w:val="20"/>
        </w:rPr>
        <w:t xml:space="preserve"> to 16 %</w:t>
      </w:r>
      <w:r w:rsidR="00B229DF">
        <w:rPr>
          <w:rFonts w:ascii="Arial" w:hAnsi="Arial"/>
          <w:sz w:val="20"/>
          <w:szCs w:val="20"/>
        </w:rPr>
        <w:t>,</w:t>
      </w:r>
      <w:r>
        <w:rPr>
          <w:rFonts w:ascii="Arial" w:hAnsi="Arial"/>
          <w:sz w:val="20"/>
          <w:szCs w:val="20"/>
        </w:rPr>
        <w:t xml:space="preserve"> but at 21,000 m² the total was low for Hamburg.</w:t>
      </w:r>
    </w:p>
    <w:p w14:paraId="035DBEF4" w14:textId="6808B1CB" w:rsidR="00642904" w:rsidRDefault="003E0779"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Since Hamburg companies are increasingly taking space in central locations in order to attract and keep employees, City and HafenCity sub-markets flourished. This is evident from the fact that their share of take-up is higher than in other districts at 29 % and 19 %. </w:t>
      </w:r>
      <w:r>
        <w:rPr>
          <w:rFonts w:ascii="Arial" w:hAnsi="Arial"/>
          <w:i/>
          <w:sz w:val="20"/>
          <w:szCs w:val="20"/>
        </w:rPr>
        <w:t>“Location and the quality of the building have top priority together with a degree of saving on space requirements,”</w:t>
      </w:r>
      <w:r>
        <w:rPr>
          <w:rFonts w:ascii="Arial" w:hAnsi="Arial"/>
          <w:sz w:val="20"/>
          <w:szCs w:val="20"/>
        </w:rPr>
        <w:t xml:space="preserve"> </w:t>
      </w:r>
      <w:proofErr w:type="spellStart"/>
      <w:r>
        <w:rPr>
          <w:rFonts w:ascii="Arial" w:hAnsi="Arial"/>
          <w:b/>
          <w:sz w:val="20"/>
          <w:szCs w:val="20"/>
        </w:rPr>
        <w:t>Rehberg</w:t>
      </w:r>
      <w:proofErr w:type="spellEnd"/>
      <w:r>
        <w:rPr>
          <w:rFonts w:ascii="Arial" w:hAnsi="Arial"/>
          <w:sz w:val="20"/>
          <w:szCs w:val="20"/>
        </w:rPr>
        <w:t xml:space="preserve"> remarks. Hamburg East </w:t>
      </w:r>
      <w:r>
        <w:rPr>
          <w:rFonts w:ascii="Arial" w:hAnsi="Arial"/>
          <w:sz w:val="20"/>
          <w:szCs w:val="20"/>
          <w:u w:val="single"/>
        </w:rPr>
        <w:t>sub-market</w:t>
      </w:r>
      <w:r>
        <w:rPr>
          <w:rFonts w:ascii="Arial" w:hAnsi="Arial"/>
          <w:sz w:val="20"/>
          <w:szCs w:val="20"/>
        </w:rPr>
        <w:t xml:space="preserve"> also accounted for a double-figure share of take-up (12 %), partly due to the </w:t>
      </w:r>
      <w:proofErr w:type="spellStart"/>
      <w:r>
        <w:rPr>
          <w:rFonts w:ascii="Arial" w:hAnsi="Arial"/>
          <w:sz w:val="20"/>
          <w:szCs w:val="20"/>
        </w:rPr>
        <w:t>Evotec</w:t>
      </w:r>
      <w:proofErr w:type="spellEnd"/>
      <w:r>
        <w:rPr>
          <w:rFonts w:ascii="Arial" w:hAnsi="Arial"/>
          <w:sz w:val="20"/>
          <w:szCs w:val="20"/>
        </w:rPr>
        <w:t xml:space="preserve"> lease for 5,300 m² of space. </w:t>
      </w:r>
    </w:p>
    <w:p w14:paraId="3E7336C9" w14:textId="3099BA13" w:rsidR="00E31133" w:rsidRDefault="00642904"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Year on year the </w:t>
      </w:r>
      <w:r>
        <w:rPr>
          <w:rFonts w:ascii="Arial" w:hAnsi="Arial"/>
          <w:sz w:val="20"/>
          <w:szCs w:val="20"/>
          <w:u w:val="single"/>
        </w:rPr>
        <w:t>premium rent</w:t>
      </w:r>
      <w:r>
        <w:rPr>
          <w:rFonts w:ascii="Arial" w:hAnsi="Arial"/>
          <w:sz w:val="20"/>
          <w:szCs w:val="20"/>
        </w:rPr>
        <w:t xml:space="preserve"> in Hamburg increased by 50 cents/m²/month, the </w:t>
      </w:r>
      <w:r>
        <w:rPr>
          <w:rFonts w:ascii="Arial" w:hAnsi="Arial"/>
          <w:sz w:val="20"/>
          <w:szCs w:val="20"/>
          <w:u w:val="single"/>
        </w:rPr>
        <w:t>average rent</w:t>
      </w:r>
      <w:r>
        <w:rPr>
          <w:rFonts w:ascii="Arial" w:hAnsi="Arial"/>
          <w:sz w:val="20"/>
          <w:szCs w:val="20"/>
        </w:rPr>
        <w:t xml:space="preserve"> by 60 cents/m²/month.</w:t>
      </w:r>
    </w:p>
    <w:p w14:paraId="650993EF" w14:textId="594B31F4" w:rsidR="003D512D" w:rsidRDefault="00305C18" w:rsidP="001533C6">
      <w:pPr>
        <w:pStyle w:val="Listenabsatz"/>
        <w:numPr>
          <w:ilvl w:val="0"/>
          <w:numId w:val="16"/>
        </w:numPr>
        <w:spacing w:after="0" w:line="360" w:lineRule="auto"/>
        <w:ind w:left="360"/>
        <w:rPr>
          <w:rFonts w:ascii="Arial" w:hAnsi="Arial" w:cs="Arial"/>
          <w:sz w:val="20"/>
          <w:szCs w:val="20"/>
        </w:rPr>
      </w:pPr>
      <w:r>
        <w:rPr>
          <w:rFonts w:ascii="Arial" w:hAnsi="Arial"/>
          <w:sz w:val="20"/>
          <w:szCs w:val="20"/>
        </w:rPr>
        <w:t xml:space="preserve">The amount of </w:t>
      </w:r>
      <w:r>
        <w:rPr>
          <w:rFonts w:ascii="Arial" w:hAnsi="Arial"/>
          <w:sz w:val="20"/>
          <w:szCs w:val="20"/>
          <w:u w:val="single"/>
        </w:rPr>
        <w:t>office space available</w:t>
      </w:r>
      <w:r>
        <w:rPr>
          <w:rFonts w:ascii="Arial" w:hAnsi="Arial"/>
          <w:sz w:val="20"/>
          <w:szCs w:val="20"/>
        </w:rPr>
        <w:t xml:space="preserve"> within six months fell by about 6 % within the space of a year to 493,200 m². For the first time the </w:t>
      </w:r>
      <w:r>
        <w:rPr>
          <w:rFonts w:ascii="Arial" w:hAnsi="Arial"/>
          <w:sz w:val="20"/>
          <w:szCs w:val="20"/>
          <w:u w:val="single"/>
        </w:rPr>
        <w:t>vacancy rate</w:t>
      </w:r>
      <w:r>
        <w:rPr>
          <w:rFonts w:ascii="Arial" w:hAnsi="Arial"/>
          <w:sz w:val="20"/>
          <w:szCs w:val="20"/>
        </w:rPr>
        <w:t xml:space="preserve"> including sub-let space started to fall back again, from 3.8 % to 3.5 %. </w:t>
      </w:r>
      <w:r>
        <w:rPr>
          <w:rFonts w:ascii="Arial" w:hAnsi="Arial"/>
          <w:i/>
          <w:sz w:val="20"/>
          <w:szCs w:val="20"/>
        </w:rPr>
        <w:t>“In view of delays within the supply chain and shortages of materials due to the situation in Ukraine, some fit-out or completion dates for new-builds may be pushed back. In the longer term however, one may count on a growing supply of space,”</w:t>
      </w:r>
      <w:r>
        <w:rPr>
          <w:rFonts w:ascii="Arial" w:hAnsi="Arial"/>
          <w:sz w:val="20"/>
          <w:szCs w:val="20"/>
        </w:rPr>
        <w:t xml:space="preserve"> says </w:t>
      </w:r>
      <w:proofErr w:type="spellStart"/>
      <w:r>
        <w:rPr>
          <w:rFonts w:ascii="Arial" w:hAnsi="Arial"/>
          <w:b/>
          <w:sz w:val="20"/>
          <w:szCs w:val="20"/>
        </w:rPr>
        <w:t>Rehberg</w:t>
      </w:r>
      <w:proofErr w:type="spellEnd"/>
      <w:r>
        <w:rPr>
          <w:rFonts w:ascii="Arial" w:hAnsi="Arial"/>
          <w:sz w:val="20"/>
          <w:szCs w:val="20"/>
        </w:rPr>
        <w:t xml:space="preserve"> confidently. As matters stand at present, some 53 office buildings will be completed between 2022 and 2023, offering a total volume of 578,000 m². The pre-let ratio was some 60 %.</w:t>
      </w:r>
    </w:p>
    <w:p w14:paraId="4C2649DF" w14:textId="7D5103FC" w:rsidR="00052659" w:rsidRPr="00B45CBB" w:rsidRDefault="00E60898" w:rsidP="00052659">
      <w:pPr>
        <w:pStyle w:val="FliesstextNL"/>
        <w:rPr>
          <w:rFonts w:ascii="Arial" w:hAnsi="Arial" w:cs="Arial"/>
          <w:color w:val="FF0000"/>
          <w:sz w:val="20"/>
          <w:szCs w:val="20"/>
        </w:rPr>
      </w:pPr>
      <w:bookmarkStart w:id="0" w:name="_GoBack"/>
      <w:bookmarkEnd w:id="0"/>
      <w:r>
        <w:rPr>
          <w:rFonts w:ascii="Arial" w:hAnsi="Arial" w:cs="Arial"/>
          <w:b/>
          <w:noProof/>
          <w:sz w:val="20"/>
          <w:szCs w:val="20"/>
          <w:lang w:val="de-DE"/>
        </w:rPr>
        <w:lastRenderedPageBreak/>
        <w:drawing>
          <wp:anchor distT="0" distB="0" distL="114300" distR="114300" simplePos="0" relativeHeight="251658240" behindDoc="0" locked="0" layoutInCell="1" allowOverlap="1" wp14:anchorId="28A6F7C6" wp14:editId="6BAAD83E">
            <wp:simplePos x="0" y="0"/>
            <wp:positionH relativeFrom="column">
              <wp:posOffset>3243580</wp:posOffset>
            </wp:positionH>
            <wp:positionV relativeFrom="paragraph">
              <wp:posOffset>178435</wp:posOffset>
            </wp:positionV>
            <wp:extent cx="2888615" cy="2395220"/>
            <wp:effectExtent l="19050" t="19050" r="26035" b="2413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B-office-market-Hamburg-1Q2022-take-up.JPG"/>
                    <pic:cNvPicPr/>
                  </pic:nvPicPr>
                  <pic:blipFill>
                    <a:blip r:embed="rId8">
                      <a:extLst>
                        <a:ext uri="{28A0092B-C50C-407E-A947-70E740481C1C}">
                          <a14:useLocalDpi xmlns:a14="http://schemas.microsoft.com/office/drawing/2010/main" val="0"/>
                        </a:ext>
                      </a:extLst>
                    </a:blip>
                    <a:stretch>
                      <a:fillRect/>
                    </a:stretch>
                  </pic:blipFill>
                  <pic:spPr>
                    <a:xfrm>
                      <a:off x="0" y="0"/>
                      <a:ext cx="2888615" cy="239522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913"/>
        <w:gridCol w:w="1161"/>
      </w:tblGrid>
      <w:tr w:rsidR="001533C6" w:rsidRPr="005650DF" w14:paraId="4FF9FD53" w14:textId="77777777" w:rsidTr="001533C6">
        <w:trPr>
          <w:trHeight w:val="416"/>
        </w:trPr>
        <w:tc>
          <w:tcPr>
            <w:tcW w:w="3856" w:type="pct"/>
            <w:shd w:val="clear" w:color="auto" w:fill="000000" w:themeFill="text1"/>
            <w:vAlign w:val="center"/>
          </w:tcPr>
          <w:p w14:paraId="73ECD5FC" w14:textId="77777777" w:rsidR="001533C6" w:rsidRPr="001533C6" w:rsidRDefault="001533C6" w:rsidP="00DF03C8">
            <w:pPr>
              <w:widowControl w:val="0"/>
              <w:spacing w:after="0"/>
              <w:rPr>
                <w:rFonts w:ascii="Arial" w:hAnsi="Arial" w:cs="Arial"/>
                <w:b/>
                <w:color w:val="FFFFFF" w:themeColor="background1"/>
                <w:sz w:val="18"/>
                <w:szCs w:val="16"/>
              </w:rPr>
            </w:pPr>
            <w:r>
              <w:rPr>
                <w:rFonts w:ascii="Arial" w:hAnsi="Arial"/>
                <w:b/>
                <w:color w:val="FFFFFF" w:themeColor="background1"/>
                <w:sz w:val="18"/>
                <w:szCs w:val="20"/>
              </w:rPr>
              <w:t>Office market | Hamburg | 2022</w:t>
            </w:r>
          </w:p>
        </w:tc>
        <w:tc>
          <w:tcPr>
            <w:tcW w:w="1144" w:type="pct"/>
            <w:shd w:val="clear" w:color="auto" w:fill="000000" w:themeFill="text1"/>
            <w:vAlign w:val="center"/>
          </w:tcPr>
          <w:p w14:paraId="5FDA2CEA" w14:textId="77777777" w:rsidR="001533C6" w:rsidRPr="001533C6" w:rsidRDefault="001533C6" w:rsidP="00DF03C8">
            <w:pPr>
              <w:widowControl w:val="0"/>
              <w:spacing w:after="0"/>
              <w:jc w:val="center"/>
              <w:rPr>
                <w:rFonts w:ascii="Arial" w:hAnsi="Arial" w:cs="Arial"/>
                <w:b/>
                <w:color w:val="FFFFFF" w:themeColor="background1"/>
                <w:sz w:val="18"/>
                <w:szCs w:val="16"/>
              </w:rPr>
            </w:pPr>
            <w:r>
              <w:rPr>
                <w:rFonts w:ascii="Arial" w:hAnsi="Arial"/>
                <w:b/>
                <w:color w:val="FFFFFF" w:themeColor="background1"/>
                <w:sz w:val="18"/>
                <w:szCs w:val="16"/>
              </w:rPr>
              <w:t>Q1</w:t>
            </w:r>
          </w:p>
        </w:tc>
      </w:tr>
      <w:tr w:rsidR="001533C6" w:rsidRPr="00F952F7" w14:paraId="70B142AA" w14:textId="77777777" w:rsidTr="00DF03C8">
        <w:trPr>
          <w:trHeight w:val="283"/>
        </w:trPr>
        <w:tc>
          <w:tcPr>
            <w:tcW w:w="3856" w:type="pct"/>
            <w:vAlign w:val="center"/>
          </w:tcPr>
          <w:p w14:paraId="44783DB5"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53E41973" w14:textId="77777777" w:rsidR="001533C6" w:rsidRPr="000E7BC7" w:rsidRDefault="006E2677" w:rsidP="00DF03C8">
            <w:pPr>
              <w:spacing w:after="0"/>
              <w:jc w:val="right"/>
              <w:rPr>
                <w:rFonts w:ascii="Arial" w:hAnsi="Arial" w:cs="Arial"/>
                <w:sz w:val="18"/>
                <w:szCs w:val="16"/>
              </w:rPr>
            </w:pPr>
            <w:r>
              <w:rPr>
                <w:rFonts w:ascii="Arial" w:hAnsi="Arial"/>
                <w:sz w:val="18"/>
                <w:szCs w:val="16"/>
              </w:rPr>
              <w:t>135,000</w:t>
            </w:r>
          </w:p>
        </w:tc>
      </w:tr>
      <w:tr w:rsidR="001533C6" w:rsidRPr="00F952F7" w14:paraId="1DDBF1A6" w14:textId="77777777" w:rsidTr="00DF03C8">
        <w:trPr>
          <w:trHeight w:val="283"/>
        </w:trPr>
        <w:tc>
          <w:tcPr>
            <w:tcW w:w="3856" w:type="pct"/>
            <w:vAlign w:val="center"/>
          </w:tcPr>
          <w:p w14:paraId="5B57778E"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926FE8" w14:textId="77777777" w:rsidR="001533C6" w:rsidRPr="000E7BC7" w:rsidRDefault="001533C6" w:rsidP="006E2677">
            <w:pPr>
              <w:spacing w:after="0"/>
              <w:jc w:val="right"/>
              <w:rPr>
                <w:rFonts w:ascii="Arial" w:hAnsi="Arial" w:cs="Arial"/>
                <w:sz w:val="18"/>
                <w:szCs w:val="16"/>
              </w:rPr>
            </w:pPr>
            <w:r>
              <w:rPr>
                <w:rFonts w:ascii="Arial" w:hAnsi="Arial"/>
                <w:sz w:val="18"/>
                <w:szCs w:val="16"/>
              </w:rPr>
              <w:t>+3.8</w:t>
            </w:r>
          </w:p>
        </w:tc>
      </w:tr>
      <w:tr w:rsidR="001533C6" w:rsidRPr="00F952F7" w14:paraId="077C5AA1" w14:textId="77777777" w:rsidTr="00DF03C8">
        <w:trPr>
          <w:trHeight w:val="283"/>
        </w:trPr>
        <w:tc>
          <w:tcPr>
            <w:tcW w:w="3856" w:type="pct"/>
            <w:vAlign w:val="center"/>
          </w:tcPr>
          <w:p w14:paraId="19D22308"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2D96A673"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sz w:val="18"/>
                <w:szCs w:val="16"/>
              </w:rPr>
              <w:t>31.50</w:t>
            </w:r>
          </w:p>
        </w:tc>
      </w:tr>
      <w:tr w:rsidR="001533C6" w:rsidRPr="00F952F7" w14:paraId="20E3055B" w14:textId="77777777" w:rsidTr="00DF03C8">
        <w:trPr>
          <w:trHeight w:val="283"/>
        </w:trPr>
        <w:tc>
          <w:tcPr>
            <w:tcW w:w="3856" w:type="pct"/>
            <w:vAlign w:val="center"/>
          </w:tcPr>
          <w:p w14:paraId="48AD8597"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3EAC70D"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color w:val="000000" w:themeColor="text1"/>
                <w:sz w:val="18"/>
                <w:szCs w:val="16"/>
              </w:rPr>
              <w:t>+1.6</w:t>
            </w:r>
          </w:p>
        </w:tc>
      </w:tr>
      <w:tr w:rsidR="001533C6" w:rsidRPr="00F952F7" w14:paraId="6F451023" w14:textId="77777777" w:rsidTr="00DF03C8">
        <w:trPr>
          <w:trHeight w:val="283"/>
        </w:trPr>
        <w:tc>
          <w:tcPr>
            <w:tcW w:w="3856" w:type="pct"/>
            <w:vAlign w:val="center"/>
          </w:tcPr>
          <w:p w14:paraId="40514069"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0820D982"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sz w:val="18"/>
                <w:szCs w:val="16"/>
              </w:rPr>
              <w:t>18.50</w:t>
            </w:r>
          </w:p>
        </w:tc>
      </w:tr>
      <w:tr w:rsidR="001533C6" w:rsidRPr="00F952F7" w14:paraId="0E42EFC7" w14:textId="77777777" w:rsidTr="00DF03C8">
        <w:trPr>
          <w:trHeight w:val="283"/>
        </w:trPr>
        <w:tc>
          <w:tcPr>
            <w:tcW w:w="3856" w:type="pct"/>
            <w:vAlign w:val="center"/>
          </w:tcPr>
          <w:p w14:paraId="47890C98"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FB5030D"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color w:val="000000" w:themeColor="text1"/>
                <w:sz w:val="18"/>
                <w:szCs w:val="16"/>
              </w:rPr>
              <w:t>+3.4</w:t>
            </w:r>
          </w:p>
        </w:tc>
      </w:tr>
      <w:tr w:rsidR="001533C6" w:rsidRPr="00F952F7" w14:paraId="2518123F" w14:textId="77777777" w:rsidTr="00DF03C8">
        <w:trPr>
          <w:trHeight w:val="283"/>
        </w:trPr>
        <w:tc>
          <w:tcPr>
            <w:tcW w:w="3856" w:type="pct"/>
            <w:vAlign w:val="center"/>
          </w:tcPr>
          <w:p w14:paraId="38F5680E" w14:textId="77777777" w:rsidR="001533C6" w:rsidRPr="000E7BC7" w:rsidRDefault="001533C6" w:rsidP="00DF03C8">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39A5B4DB" w14:textId="77777777" w:rsidR="001533C6" w:rsidRPr="000E7BC7" w:rsidRDefault="001533C6" w:rsidP="00DF03C8">
            <w:pPr>
              <w:spacing w:after="0"/>
              <w:jc w:val="right"/>
              <w:rPr>
                <w:rFonts w:ascii="Arial" w:hAnsi="Arial" w:cs="Arial"/>
                <w:color w:val="000000" w:themeColor="text1"/>
                <w:sz w:val="18"/>
                <w:szCs w:val="16"/>
              </w:rPr>
            </w:pPr>
            <w:r>
              <w:rPr>
                <w:rFonts w:ascii="Arial" w:hAnsi="Arial"/>
                <w:sz w:val="18"/>
                <w:szCs w:val="16"/>
              </w:rPr>
              <w:t>14.0</w:t>
            </w:r>
          </w:p>
        </w:tc>
      </w:tr>
      <w:tr w:rsidR="001533C6" w:rsidRPr="00F952F7" w14:paraId="5213204C" w14:textId="77777777" w:rsidTr="00DF03C8">
        <w:trPr>
          <w:trHeight w:val="283"/>
        </w:trPr>
        <w:tc>
          <w:tcPr>
            <w:tcW w:w="3856" w:type="pct"/>
            <w:vAlign w:val="center"/>
          </w:tcPr>
          <w:p w14:paraId="2780C8D0"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12A4A9CF" w14:textId="77777777" w:rsidR="001533C6" w:rsidRPr="000E7BC7" w:rsidRDefault="006E2677" w:rsidP="006E2677">
            <w:pPr>
              <w:spacing w:after="0"/>
              <w:jc w:val="right"/>
              <w:rPr>
                <w:rFonts w:ascii="Arial" w:hAnsi="Arial" w:cs="Arial"/>
                <w:color w:val="000000" w:themeColor="text1"/>
                <w:sz w:val="18"/>
                <w:szCs w:val="16"/>
              </w:rPr>
            </w:pPr>
            <w:r>
              <w:rPr>
                <w:rFonts w:ascii="Arial" w:hAnsi="Arial"/>
                <w:sz w:val="18"/>
                <w:szCs w:val="16"/>
              </w:rPr>
              <w:t>493,200</w:t>
            </w:r>
          </w:p>
        </w:tc>
      </w:tr>
      <w:tr w:rsidR="001533C6" w:rsidRPr="00F952F7" w14:paraId="64C1EF13" w14:textId="77777777" w:rsidTr="00DF03C8">
        <w:trPr>
          <w:trHeight w:val="283"/>
        </w:trPr>
        <w:tc>
          <w:tcPr>
            <w:tcW w:w="3856" w:type="pct"/>
            <w:vAlign w:val="center"/>
          </w:tcPr>
          <w:p w14:paraId="42CAE2FE" w14:textId="77777777" w:rsidR="001533C6" w:rsidRPr="000E7BC7" w:rsidRDefault="001533C6" w:rsidP="00DF03C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7C730CE0" w14:textId="77777777" w:rsidR="001533C6" w:rsidRPr="000E7BC7" w:rsidRDefault="006C77F1" w:rsidP="006E2677">
            <w:pPr>
              <w:spacing w:after="0"/>
              <w:jc w:val="right"/>
              <w:rPr>
                <w:rFonts w:ascii="Arial" w:hAnsi="Arial" w:cs="Arial"/>
                <w:color w:val="000000" w:themeColor="text1"/>
                <w:sz w:val="18"/>
                <w:szCs w:val="16"/>
              </w:rPr>
            </w:pPr>
            <w:r>
              <w:rPr>
                <w:rFonts w:ascii="Arial" w:hAnsi="Arial"/>
                <w:color w:val="000000" w:themeColor="text1"/>
                <w:sz w:val="18"/>
                <w:szCs w:val="16"/>
              </w:rPr>
              <w:t>-5.9</w:t>
            </w:r>
          </w:p>
        </w:tc>
      </w:tr>
      <w:tr w:rsidR="001533C6" w:rsidRPr="00F952F7" w14:paraId="40CB2D96" w14:textId="77777777" w:rsidTr="00DF03C8">
        <w:trPr>
          <w:trHeight w:val="283"/>
        </w:trPr>
        <w:tc>
          <w:tcPr>
            <w:tcW w:w="3856" w:type="pct"/>
            <w:vAlign w:val="center"/>
          </w:tcPr>
          <w:p w14:paraId="7EFD95EC"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616D7FC2" w14:textId="77777777" w:rsidR="001533C6" w:rsidRPr="000E7BC7" w:rsidRDefault="001533C6" w:rsidP="006E2677">
            <w:pPr>
              <w:spacing w:after="0"/>
              <w:jc w:val="right"/>
              <w:rPr>
                <w:rFonts w:ascii="Arial" w:hAnsi="Arial" w:cs="Arial"/>
                <w:color w:val="000000" w:themeColor="text1"/>
                <w:sz w:val="18"/>
                <w:szCs w:val="16"/>
              </w:rPr>
            </w:pPr>
            <w:r>
              <w:rPr>
                <w:rFonts w:ascii="Arial" w:hAnsi="Arial"/>
                <w:color w:val="000000" w:themeColor="text1"/>
                <w:sz w:val="18"/>
                <w:szCs w:val="16"/>
              </w:rPr>
              <w:t>3.5</w:t>
            </w:r>
          </w:p>
        </w:tc>
      </w:tr>
      <w:tr w:rsidR="001533C6" w:rsidRPr="00F952F7" w14:paraId="5E4D6219" w14:textId="77777777" w:rsidTr="00DF03C8">
        <w:trPr>
          <w:trHeight w:val="283"/>
        </w:trPr>
        <w:tc>
          <w:tcPr>
            <w:tcW w:w="3856" w:type="pct"/>
            <w:tcBorders>
              <w:bottom w:val="single" w:sz="4" w:space="0" w:color="auto"/>
            </w:tcBorders>
            <w:vAlign w:val="center"/>
          </w:tcPr>
          <w:p w14:paraId="4DA0B3D9" w14:textId="77777777" w:rsidR="001533C6" w:rsidRPr="000E7BC7" w:rsidRDefault="001533C6" w:rsidP="00DF03C8">
            <w:pPr>
              <w:widowControl w:val="0"/>
              <w:spacing w:before="60" w:after="60"/>
              <w:rPr>
                <w:rFonts w:ascii="Arial" w:hAnsi="Arial" w:cs="Arial"/>
                <w:b/>
                <w:sz w:val="18"/>
                <w:szCs w:val="16"/>
              </w:rPr>
            </w:pPr>
            <w:r>
              <w:rPr>
                <w:rFonts w:ascii="Arial" w:hAnsi="Arial"/>
                <w:b/>
                <w:bCs/>
                <w:sz w:val="18"/>
                <w:szCs w:val="16"/>
              </w:rPr>
              <w:t>Completions 2022+2023</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29207C4D" w14:textId="77777777" w:rsidR="001533C6" w:rsidRPr="000E7BC7" w:rsidRDefault="006E2677" w:rsidP="00DF03C8">
            <w:pPr>
              <w:spacing w:after="0"/>
              <w:jc w:val="right"/>
              <w:rPr>
                <w:rFonts w:ascii="Arial" w:hAnsi="Arial" w:cs="Arial"/>
                <w:color w:val="000000" w:themeColor="text1"/>
                <w:sz w:val="18"/>
                <w:szCs w:val="16"/>
              </w:rPr>
            </w:pPr>
            <w:r>
              <w:rPr>
                <w:rFonts w:ascii="Arial" w:hAnsi="Arial"/>
                <w:sz w:val="18"/>
                <w:szCs w:val="16"/>
              </w:rPr>
              <w:t>578,000</w:t>
            </w:r>
          </w:p>
        </w:tc>
      </w:tr>
      <w:tr w:rsidR="001533C6" w:rsidRPr="00F952F7" w14:paraId="39ED958F" w14:textId="77777777" w:rsidTr="00DF03C8">
        <w:trPr>
          <w:trHeight w:val="283"/>
        </w:trPr>
        <w:tc>
          <w:tcPr>
            <w:tcW w:w="3856" w:type="pct"/>
            <w:tcBorders>
              <w:bottom w:val="single" w:sz="4" w:space="0" w:color="auto"/>
            </w:tcBorders>
            <w:vAlign w:val="center"/>
          </w:tcPr>
          <w:p w14:paraId="59B947E6" w14:textId="77777777" w:rsidR="001533C6" w:rsidRPr="000E7BC7" w:rsidRDefault="001533C6" w:rsidP="00DF03C8">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34083532" w14:textId="77777777" w:rsidR="001533C6" w:rsidRPr="000E7BC7" w:rsidRDefault="006E2677" w:rsidP="00DF03C8">
            <w:pPr>
              <w:spacing w:after="0"/>
              <w:jc w:val="right"/>
              <w:rPr>
                <w:rFonts w:ascii="Arial" w:hAnsi="Arial" w:cs="Arial"/>
                <w:color w:val="000000" w:themeColor="text1"/>
                <w:sz w:val="18"/>
                <w:szCs w:val="16"/>
              </w:rPr>
            </w:pPr>
            <w:r>
              <w:rPr>
                <w:rFonts w:ascii="Arial" w:hAnsi="Arial"/>
                <w:color w:val="000000" w:themeColor="text1"/>
                <w:sz w:val="18"/>
                <w:szCs w:val="16"/>
              </w:rPr>
              <w:t>60</w:t>
            </w:r>
          </w:p>
        </w:tc>
      </w:tr>
    </w:tbl>
    <w:p w14:paraId="2776974B" w14:textId="3B245EAE" w:rsidR="001533C6" w:rsidRDefault="001533C6" w:rsidP="001533C6">
      <w:pPr>
        <w:spacing w:after="0"/>
        <w:rPr>
          <w:rFonts w:ascii="Arial" w:hAnsi="Arial" w:cs="Arial"/>
          <w:b/>
          <w:sz w:val="20"/>
          <w:szCs w:val="20"/>
        </w:rPr>
      </w:pPr>
    </w:p>
    <w:p w14:paraId="0B96EC8B" w14:textId="77777777" w:rsidR="001533C6" w:rsidRDefault="001533C6" w:rsidP="001533C6">
      <w:pPr>
        <w:spacing w:after="0"/>
        <w:rPr>
          <w:rFonts w:ascii="Arial" w:hAnsi="Arial" w:cs="Arial"/>
          <w:b/>
          <w:sz w:val="20"/>
          <w:szCs w:val="20"/>
        </w:rPr>
      </w:pPr>
    </w:p>
    <w:p w14:paraId="0C22423E" w14:textId="77777777" w:rsidR="001533C6" w:rsidRDefault="001533C6" w:rsidP="001533C6">
      <w:pPr>
        <w:spacing w:after="0"/>
        <w:rPr>
          <w:rFonts w:ascii="Arial" w:hAnsi="Arial" w:cs="Arial"/>
          <w:b/>
          <w:sz w:val="20"/>
          <w:szCs w:val="20"/>
        </w:rPr>
      </w:pPr>
    </w:p>
    <w:p w14:paraId="1953F707" w14:textId="77777777" w:rsidR="006C77F1" w:rsidRDefault="006C77F1" w:rsidP="001533C6">
      <w:pPr>
        <w:spacing w:after="0"/>
        <w:rPr>
          <w:rFonts w:ascii="Arial" w:hAnsi="Arial" w:cs="Arial"/>
          <w:b/>
          <w:sz w:val="20"/>
          <w:szCs w:val="20"/>
        </w:rPr>
      </w:pPr>
    </w:p>
    <w:p w14:paraId="45388B5A" w14:textId="2D3778F1" w:rsidR="001533C6" w:rsidRDefault="001533C6" w:rsidP="001533C6">
      <w:pPr>
        <w:spacing w:after="0"/>
        <w:rPr>
          <w:rFonts w:ascii="Arial" w:eastAsia="Arial" w:hAnsi="Arial" w:cs="Arial"/>
          <w:b/>
          <w:color w:val="000000" w:themeColor="text1"/>
          <w:sz w:val="20"/>
          <w:szCs w:val="20"/>
        </w:rPr>
      </w:pPr>
      <w:r>
        <w:rPr>
          <w:rFonts w:ascii="Arial" w:hAnsi="Arial"/>
          <w:b/>
          <w:sz w:val="20"/>
          <w:szCs w:val="20"/>
        </w:rPr>
        <w:t xml:space="preserve">Top selected known agreements | offices in Hamburg | </w:t>
      </w:r>
      <w:r w:rsidR="00325649">
        <w:rPr>
          <w:rFonts w:ascii="Arial" w:hAnsi="Arial"/>
          <w:b/>
          <w:sz w:val="20"/>
          <w:szCs w:val="20"/>
        </w:rPr>
        <w:t>1Q</w:t>
      </w:r>
      <w:r>
        <w:rPr>
          <w:rFonts w:ascii="Arial" w:hAnsi="Arial"/>
          <w:b/>
          <w:sz w:val="20"/>
          <w:szCs w:val="20"/>
        </w:rPr>
        <w:t>2022</w:t>
      </w:r>
    </w:p>
    <w:tbl>
      <w:tblPr>
        <w:tblStyle w:val="Tabellenraster"/>
        <w:tblpPr w:leftFromText="141" w:rightFromText="141" w:vertAnchor="text" w:horzAnchor="margin" w:tblpXSpec="center" w:tblpY="218"/>
        <w:tblW w:w="9810" w:type="dxa"/>
        <w:jc w:val="center"/>
        <w:tblLook w:val="04A0" w:firstRow="1" w:lastRow="0" w:firstColumn="1" w:lastColumn="0" w:noHBand="0" w:noVBand="1"/>
      </w:tblPr>
      <w:tblGrid>
        <w:gridCol w:w="2581"/>
        <w:gridCol w:w="2126"/>
        <w:gridCol w:w="2835"/>
        <w:gridCol w:w="1436"/>
        <w:gridCol w:w="832"/>
      </w:tblGrid>
      <w:tr w:rsidR="006C77F1" w:rsidRPr="0017364E" w14:paraId="60919A6D" w14:textId="77777777" w:rsidTr="00E719C8">
        <w:trPr>
          <w:trHeight w:val="567"/>
          <w:jc w:val="center"/>
        </w:trPr>
        <w:tc>
          <w:tcPr>
            <w:tcW w:w="2581" w:type="dxa"/>
            <w:shd w:val="clear" w:color="auto" w:fill="000000" w:themeFill="text1"/>
            <w:vAlign w:val="center"/>
          </w:tcPr>
          <w:p w14:paraId="2546E44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Tenant/owner-occupier</w:t>
            </w:r>
          </w:p>
          <w:p w14:paraId="2BB100F7"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126" w:type="dxa"/>
            <w:shd w:val="clear" w:color="auto" w:fill="000000" w:themeFill="text1"/>
            <w:vAlign w:val="center"/>
          </w:tcPr>
          <w:p w14:paraId="407ED6E7"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Property/project</w:t>
            </w:r>
          </w:p>
          <w:p w14:paraId="5D072738"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835" w:type="dxa"/>
            <w:shd w:val="clear" w:color="auto" w:fill="000000" w:themeFill="text1"/>
            <w:vAlign w:val="center"/>
          </w:tcPr>
          <w:p w14:paraId="76787E3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Street no.</w:t>
            </w:r>
          </w:p>
          <w:p w14:paraId="078FBD69"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1436" w:type="dxa"/>
            <w:shd w:val="clear" w:color="auto" w:fill="000000" w:themeFill="text1"/>
            <w:vAlign w:val="center"/>
          </w:tcPr>
          <w:p w14:paraId="30621121"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Sub-market</w:t>
            </w:r>
          </w:p>
          <w:p w14:paraId="3D37EA5E"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832" w:type="dxa"/>
            <w:shd w:val="clear" w:color="auto" w:fill="000000" w:themeFill="text1"/>
            <w:vAlign w:val="center"/>
          </w:tcPr>
          <w:p w14:paraId="2526E7A6"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Rental area</w:t>
            </w:r>
            <w:r>
              <w:rPr>
                <w:rFonts w:ascii="Arial" w:hAnsi="Arial"/>
                <w:b/>
                <w:color w:val="FFFFFF" w:themeColor="background1"/>
                <w:sz w:val="18"/>
                <w:szCs w:val="16"/>
              </w:rPr>
              <w:br/>
            </w:r>
            <w:r>
              <w:rPr>
                <w:rFonts w:ascii="Arial" w:hAnsi="Arial"/>
                <w:color w:val="FFFFFF" w:themeColor="background1"/>
                <w:sz w:val="18"/>
                <w:szCs w:val="16"/>
              </w:rPr>
              <w:t>[ca. m²]</w:t>
            </w:r>
          </w:p>
        </w:tc>
      </w:tr>
      <w:tr w:rsidR="006C77F1" w:rsidRPr="0017364E" w14:paraId="77DBE2C5" w14:textId="77777777" w:rsidTr="00E719C8">
        <w:trPr>
          <w:trHeight w:val="567"/>
          <w:jc w:val="center"/>
        </w:trPr>
        <w:tc>
          <w:tcPr>
            <w:tcW w:w="2581" w:type="dxa"/>
            <w:shd w:val="clear" w:color="auto" w:fill="auto"/>
            <w:vAlign w:val="center"/>
          </w:tcPr>
          <w:p w14:paraId="4CDE409B" w14:textId="569FDF76" w:rsidR="00276FB2" w:rsidRPr="006C77F1" w:rsidRDefault="00325649" w:rsidP="00045697">
            <w:pPr>
              <w:spacing w:before="60" w:after="60"/>
              <w:rPr>
                <w:rFonts w:ascii="Arial" w:hAnsi="Arial" w:cs="Arial"/>
                <w:sz w:val="20"/>
                <w:szCs w:val="20"/>
              </w:rPr>
            </w:pPr>
            <w:r>
              <w:rPr>
                <w:rFonts w:ascii="Arial" w:hAnsi="Arial"/>
                <w:sz w:val="20"/>
                <w:szCs w:val="20"/>
              </w:rPr>
              <w:t>C</w:t>
            </w:r>
            <w:r w:rsidR="00276FB2">
              <w:rPr>
                <w:rFonts w:ascii="Arial" w:hAnsi="Arial"/>
                <w:sz w:val="20"/>
                <w:szCs w:val="20"/>
              </w:rPr>
              <w:t>onfidential</w:t>
            </w:r>
          </w:p>
        </w:tc>
        <w:tc>
          <w:tcPr>
            <w:tcW w:w="2126" w:type="dxa"/>
            <w:shd w:val="clear" w:color="auto" w:fill="auto"/>
            <w:vAlign w:val="center"/>
          </w:tcPr>
          <w:p w14:paraId="05616190" w14:textId="77777777" w:rsidR="00276FB2" w:rsidRPr="006C77F1" w:rsidRDefault="00276FB2" w:rsidP="00045697">
            <w:pPr>
              <w:spacing w:after="0"/>
              <w:rPr>
                <w:rFonts w:ascii="Arial" w:hAnsi="Arial" w:cs="Arial"/>
                <w:color w:val="000000"/>
                <w:sz w:val="20"/>
                <w:szCs w:val="20"/>
                <w:lang w:eastAsia="de-DE"/>
              </w:rPr>
            </w:pPr>
          </w:p>
        </w:tc>
        <w:tc>
          <w:tcPr>
            <w:tcW w:w="2835" w:type="dxa"/>
            <w:shd w:val="clear" w:color="auto" w:fill="auto"/>
            <w:vAlign w:val="center"/>
          </w:tcPr>
          <w:p w14:paraId="03E89055" w14:textId="77777777" w:rsidR="00276FB2" w:rsidRPr="006C77F1" w:rsidRDefault="006C77F1" w:rsidP="00045697">
            <w:pPr>
              <w:spacing w:after="0"/>
              <w:rPr>
                <w:rFonts w:ascii="Arial" w:hAnsi="Arial" w:cs="Arial"/>
                <w:color w:val="000000"/>
                <w:sz w:val="20"/>
                <w:szCs w:val="20"/>
              </w:rPr>
            </w:pPr>
            <w:proofErr w:type="spellStart"/>
            <w:r>
              <w:rPr>
                <w:rFonts w:ascii="Arial" w:hAnsi="Arial"/>
                <w:color w:val="000000"/>
                <w:sz w:val="20"/>
                <w:szCs w:val="20"/>
              </w:rPr>
              <w:t>Versmannstrasse</w:t>
            </w:r>
            <w:proofErr w:type="spellEnd"/>
            <w:r>
              <w:rPr>
                <w:rFonts w:ascii="Arial" w:hAnsi="Arial"/>
                <w:color w:val="000000"/>
                <w:sz w:val="20"/>
                <w:szCs w:val="20"/>
              </w:rPr>
              <w:t>, “</w:t>
            </w:r>
            <w:proofErr w:type="spellStart"/>
            <w:r>
              <w:rPr>
                <w:rFonts w:ascii="Arial" w:hAnsi="Arial"/>
                <w:color w:val="000000"/>
                <w:sz w:val="20"/>
                <w:szCs w:val="20"/>
              </w:rPr>
              <w:t>Elbbrückenquartier</w:t>
            </w:r>
            <w:proofErr w:type="spellEnd"/>
            <w:r>
              <w:rPr>
                <w:rFonts w:ascii="Arial" w:hAnsi="Arial"/>
                <w:color w:val="000000"/>
                <w:sz w:val="20"/>
                <w:szCs w:val="20"/>
              </w:rPr>
              <w:t>”</w:t>
            </w:r>
          </w:p>
        </w:tc>
        <w:tc>
          <w:tcPr>
            <w:tcW w:w="1436" w:type="dxa"/>
            <w:shd w:val="clear" w:color="auto" w:fill="auto"/>
            <w:vAlign w:val="center"/>
          </w:tcPr>
          <w:p w14:paraId="0BF5B724" w14:textId="77777777" w:rsidR="00276FB2" w:rsidRPr="006C77F1" w:rsidRDefault="00276FB2" w:rsidP="00045697">
            <w:pPr>
              <w:spacing w:after="0"/>
              <w:rPr>
                <w:rFonts w:ascii="Arial" w:hAnsi="Arial" w:cs="Arial"/>
                <w:color w:val="000000"/>
                <w:sz w:val="20"/>
                <w:szCs w:val="20"/>
              </w:rPr>
            </w:pPr>
            <w:r>
              <w:rPr>
                <w:rFonts w:ascii="Arial" w:hAnsi="Arial"/>
                <w:color w:val="000000"/>
                <w:sz w:val="20"/>
                <w:szCs w:val="20"/>
              </w:rPr>
              <w:t>HafenCity</w:t>
            </w:r>
          </w:p>
        </w:tc>
        <w:tc>
          <w:tcPr>
            <w:tcW w:w="832" w:type="dxa"/>
            <w:shd w:val="clear" w:color="auto" w:fill="auto"/>
            <w:vAlign w:val="center"/>
          </w:tcPr>
          <w:p w14:paraId="6C7FA4A3" w14:textId="77777777" w:rsidR="00276FB2" w:rsidRPr="006C77F1" w:rsidRDefault="00276FB2" w:rsidP="00045697">
            <w:pPr>
              <w:spacing w:after="0"/>
              <w:jc w:val="right"/>
              <w:rPr>
                <w:rFonts w:ascii="Arial" w:hAnsi="Arial" w:cs="Arial"/>
                <w:color w:val="000000"/>
                <w:sz w:val="20"/>
                <w:szCs w:val="20"/>
              </w:rPr>
            </w:pPr>
            <w:r>
              <w:rPr>
                <w:rFonts w:ascii="Arial" w:hAnsi="Arial"/>
                <w:color w:val="000000"/>
                <w:sz w:val="20"/>
                <w:szCs w:val="20"/>
              </w:rPr>
              <w:t xml:space="preserve">11,500 </w:t>
            </w:r>
          </w:p>
        </w:tc>
      </w:tr>
      <w:tr w:rsidR="006C77F1" w:rsidRPr="006E2677" w14:paraId="155379B5" w14:textId="77777777" w:rsidTr="00E719C8">
        <w:trPr>
          <w:trHeight w:val="567"/>
          <w:jc w:val="center"/>
        </w:trPr>
        <w:tc>
          <w:tcPr>
            <w:tcW w:w="2581" w:type="dxa"/>
            <w:shd w:val="clear" w:color="auto" w:fill="auto"/>
            <w:vAlign w:val="center"/>
          </w:tcPr>
          <w:p w14:paraId="49978C96" w14:textId="77777777" w:rsidR="00276FB2" w:rsidRPr="006C77F1" w:rsidRDefault="00276FB2" w:rsidP="00045697">
            <w:pPr>
              <w:spacing w:after="0"/>
              <w:rPr>
                <w:rFonts w:ascii="Arial" w:hAnsi="Arial" w:cs="Arial"/>
                <w:color w:val="000000"/>
                <w:sz w:val="20"/>
                <w:szCs w:val="20"/>
              </w:rPr>
            </w:pPr>
            <w:r>
              <w:rPr>
                <w:rFonts w:ascii="Arial" w:hAnsi="Arial"/>
                <w:color w:val="000000"/>
                <w:sz w:val="20"/>
                <w:szCs w:val="20"/>
              </w:rPr>
              <w:t xml:space="preserve">Veolia </w:t>
            </w:r>
            <w:proofErr w:type="spellStart"/>
            <w:r>
              <w:rPr>
                <w:rFonts w:ascii="Arial" w:hAnsi="Arial"/>
                <w:color w:val="000000"/>
                <w:sz w:val="20"/>
                <w:szCs w:val="20"/>
              </w:rPr>
              <w:t>Umweltservice</w:t>
            </w:r>
            <w:proofErr w:type="spellEnd"/>
          </w:p>
        </w:tc>
        <w:tc>
          <w:tcPr>
            <w:tcW w:w="2126" w:type="dxa"/>
            <w:shd w:val="clear" w:color="auto" w:fill="auto"/>
            <w:vAlign w:val="center"/>
          </w:tcPr>
          <w:p w14:paraId="55F93B6B" w14:textId="77777777" w:rsidR="00276FB2" w:rsidRPr="0027363B" w:rsidRDefault="00276FB2" w:rsidP="0027363B">
            <w:pPr>
              <w:spacing w:after="0"/>
              <w:rPr>
                <w:rFonts w:ascii="Arial" w:hAnsi="Arial" w:cs="Arial"/>
                <w:color w:val="000000"/>
                <w:sz w:val="20"/>
                <w:szCs w:val="20"/>
              </w:rPr>
            </w:pPr>
            <w:r>
              <w:rPr>
                <w:rFonts w:ascii="Arial" w:hAnsi="Arial"/>
                <w:color w:val="000000"/>
                <w:sz w:val="20"/>
                <w:szCs w:val="20"/>
              </w:rPr>
              <w:t>“EDGE HafenCity”</w:t>
            </w:r>
          </w:p>
        </w:tc>
        <w:tc>
          <w:tcPr>
            <w:tcW w:w="2835" w:type="dxa"/>
            <w:shd w:val="clear" w:color="auto" w:fill="auto"/>
            <w:vAlign w:val="center"/>
          </w:tcPr>
          <w:p w14:paraId="55696B69" w14:textId="77777777" w:rsidR="00276FB2" w:rsidRPr="006C77F1" w:rsidRDefault="00276FB2" w:rsidP="00045697">
            <w:pPr>
              <w:spacing w:before="60" w:after="60"/>
              <w:rPr>
                <w:rFonts w:ascii="Arial" w:hAnsi="Arial" w:cs="Arial"/>
                <w:sz w:val="20"/>
                <w:szCs w:val="20"/>
              </w:rPr>
            </w:pPr>
            <w:proofErr w:type="spellStart"/>
            <w:r>
              <w:rPr>
                <w:rFonts w:ascii="Arial" w:hAnsi="Arial"/>
                <w:color w:val="000000"/>
                <w:sz w:val="20"/>
                <w:szCs w:val="20"/>
              </w:rPr>
              <w:t>Amerigo</w:t>
            </w:r>
            <w:proofErr w:type="spellEnd"/>
            <w:r>
              <w:rPr>
                <w:rFonts w:ascii="Arial" w:hAnsi="Arial"/>
                <w:color w:val="000000"/>
                <w:sz w:val="20"/>
                <w:szCs w:val="20"/>
              </w:rPr>
              <w:t>-Vespucci-</w:t>
            </w:r>
            <w:proofErr w:type="spellStart"/>
            <w:r>
              <w:rPr>
                <w:rFonts w:ascii="Arial" w:hAnsi="Arial"/>
                <w:color w:val="000000"/>
                <w:sz w:val="20"/>
                <w:szCs w:val="20"/>
              </w:rPr>
              <w:t>Platz</w:t>
            </w:r>
            <w:proofErr w:type="spellEnd"/>
            <w:r>
              <w:rPr>
                <w:rFonts w:ascii="Arial" w:hAnsi="Arial"/>
                <w:color w:val="000000"/>
                <w:sz w:val="20"/>
                <w:szCs w:val="20"/>
              </w:rPr>
              <w:t xml:space="preserve"> 1</w:t>
            </w:r>
          </w:p>
        </w:tc>
        <w:tc>
          <w:tcPr>
            <w:tcW w:w="1436" w:type="dxa"/>
            <w:shd w:val="clear" w:color="auto" w:fill="auto"/>
            <w:vAlign w:val="center"/>
          </w:tcPr>
          <w:p w14:paraId="484A786E" w14:textId="77777777" w:rsidR="00276FB2" w:rsidRPr="006C77F1" w:rsidRDefault="00276FB2" w:rsidP="0027363B">
            <w:pPr>
              <w:spacing w:after="0"/>
              <w:rPr>
                <w:rFonts w:ascii="Arial" w:hAnsi="Arial" w:cs="Arial"/>
                <w:color w:val="000000"/>
                <w:sz w:val="20"/>
                <w:szCs w:val="20"/>
              </w:rPr>
            </w:pPr>
            <w:r>
              <w:rPr>
                <w:rFonts w:ascii="Arial" w:hAnsi="Arial"/>
                <w:color w:val="000000"/>
                <w:sz w:val="20"/>
                <w:szCs w:val="20"/>
              </w:rPr>
              <w:t>HafenCity</w:t>
            </w:r>
          </w:p>
        </w:tc>
        <w:tc>
          <w:tcPr>
            <w:tcW w:w="832" w:type="dxa"/>
            <w:shd w:val="clear" w:color="auto" w:fill="auto"/>
            <w:vAlign w:val="center"/>
          </w:tcPr>
          <w:p w14:paraId="6BFAF344" w14:textId="77777777" w:rsidR="00276FB2" w:rsidRPr="006C77F1" w:rsidRDefault="00276FB2" w:rsidP="0027363B">
            <w:pPr>
              <w:spacing w:before="60" w:after="60"/>
              <w:rPr>
                <w:rFonts w:ascii="Arial" w:hAnsi="Arial" w:cs="Arial"/>
                <w:color w:val="000000"/>
                <w:sz w:val="20"/>
                <w:szCs w:val="20"/>
              </w:rPr>
            </w:pPr>
            <w:r>
              <w:rPr>
                <w:rFonts w:ascii="Arial" w:hAnsi="Arial"/>
                <w:color w:val="000000"/>
                <w:sz w:val="20"/>
                <w:szCs w:val="20"/>
              </w:rPr>
              <w:t>5,700</w:t>
            </w:r>
          </w:p>
        </w:tc>
      </w:tr>
      <w:tr w:rsidR="006C77F1" w:rsidRPr="0017364E" w14:paraId="10468498" w14:textId="77777777" w:rsidTr="00E719C8">
        <w:trPr>
          <w:trHeight w:val="567"/>
          <w:jc w:val="center"/>
        </w:trPr>
        <w:tc>
          <w:tcPr>
            <w:tcW w:w="2581" w:type="dxa"/>
            <w:shd w:val="clear" w:color="auto" w:fill="auto"/>
            <w:vAlign w:val="center"/>
          </w:tcPr>
          <w:p w14:paraId="3E70CDED" w14:textId="77777777" w:rsidR="00276FB2" w:rsidRPr="006C77F1" w:rsidRDefault="0027363B" w:rsidP="00045697">
            <w:pPr>
              <w:spacing w:after="0"/>
              <w:rPr>
                <w:rFonts w:ascii="Arial" w:hAnsi="Arial" w:cs="Arial"/>
                <w:color w:val="000000"/>
                <w:sz w:val="20"/>
                <w:szCs w:val="20"/>
              </w:rPr>
            </w:pPr>
            <w:proofErr w:type="spellStart"/>
            <w:r>
              <w:rPr>
                <w:rFonts w:ascii="Arial" w:hAnsi="Arial"/>
                <w:color w:val="000000"/>
                <w:sz w:val="20"/>
                <w:szCs w:val="20"/>
              </w:rPr>
              <w:t>Evotec</w:t>
            </w:r>
            <w:proofErr w:type="spellEnd"/>
          </w:p>
        </w:tc>
        <w:tc>
          <w:tcPr>
            <w:tcW w:w="2126" w:type="dxa"/>
            <w:shd w:val="clear" w:color="auto" w:fill="auto"/>
            <w:vAlign w:val="center"/>
          </w:tcPr>
          <w:p w14:paraId="0898C748" w14:textId="77777777" w:rsidR="00276FB2" w:rsidRPr="006C77F1" w:rsidRDefault="00276FB2" w:rsidP="00045697">
            <w:pPr>
              <w:spacing w:after="0"/>
              <w:rPr>
                <w:rFonts w:ascii="Arial" w:hAnsi="Arial" w:cs="Arial"/>
                <w:color w:val="000000"/>
                <w:sz w:val="20"/>
                <w:szCs w:val="20"/>
              </w:rPr>
            </w:pPr>
            <w:proofErr w:type="spellStart"/>
            <w:r>
              <w:rPr>
                <w:rFonts w:ascii="Arial" w:hAnsi="Arial"/>
                <w:color w:val="000000"/>
                <w:sz w:val="20"/>
                <w:szCs w:val="20"/>
              </w:rPr>
              <w:t>Essener</w:t>
            </w:r>
            <w:proofErr w:type="spellEnd"/>
            <w:r>
              <w:rPr>
                <w:rFonts w:ascii="Arial" w:hAnsi="Arial"/>
                <w:color w:val="000000"/>
                <w:sz w:val="20"/>
                <w:szCs w:val="20"/>
              </w:rPr>
              <w:t xml:space="preserve"> </w:t>
            </w:r>
            <w:proofErr w:type="spellStart"/>
            <w:r>
              <w:rPr>
                <w:rFonts w:ascii="Arial" w:hAnsi="Arial"/>
                <w:color w:val="000000"/>
                <w:sz w:val="20"/>
                <w:szCs w:val="20"/>
              </w:rPr>
              <w:t>Bogen</w:t>
            </w:r>
            <w:proofErr w:type="spellEnd"/>
            <w:r>
              <w:rPr>
                <w:rFonts w:ascii="Arial" w:hAnsi="Arial"/>
                <w:color w:val="000000"/>
                <w:sz w:val="20"/>
                <w:szCs w:val="20"/>
              </w:rPr>
              <w:t xml:space="preserve"> 6a-d</w:t>
            </w:r>
          </w:p>
        </w:tc>
        <w:tc>
          <w:tcPr>
            <w:tcW w:w="2835" w:type="dxa"/>
            <w:shd w:val="clear" w:color="auto" w:fill="auto"/>
            <w:vAlign w:val="center"/>
          </w:tcPr>
          <w:p w14:paraId="6821C1E3" w14:textId="77777777" w:rsidR="00276FB2" w:rsidRPr="006C77F1" w:rsidRDefault="00276FB2" w:rsidP="00045697">
            <w:pPr>
              <w:spacing w:before="60" w:after="60"/>
              <w:rPr>
                <w:rFonts w:ascii="Arial" w:hAnsi="Arial" w:cs="Arial"/>
                <w:sz w:val="20"/>
                <w:szCs w:val="20"/>
              </w:rPr>
            </w:pPr>
            <w:proofErr w:type="spellStart"/>
            <w:r>
              <w:rPr>
                <w:rFonts w:ascii="Arial" w:hAnsi="Arial"/>
                <w:color w:val="000000"/>
                <w:sz w:val="20"/>
                <w:szCs w:val="20"/>
              </w:rPr>
              <w:t>Essener</w:t>
            </w:r>
            <w:proofErr w:type="spellEnd"/>
            <w:r>
              <w:rPr>
                <w:rFonts w:ascii="Arial" w:hAnsi="Arial"/>
                <w:color w:val="000000"/>
                <w:sz w:val="20"/>
                <w:szCs w:val="20"/>
              </w:rPr>
              <w:t xml:space="preserve"> </w:t>
            </w:r>
            <w:proofErr w:type="spellStart"/>
            <w:r>
              <w:rPr>
                <w:rFonts w:ascii="Arial" w:hAnsi="Arial"/>
                <w:color w:val="000000"/>
                <w:sz w:val="20"/>
                <w:szCs w:val="20"/>
              </w:rPr>
              <w:t>Bogen</w:t>
            </w:r>
            <w:proofErr w:type="spellEnd"/>
            <w:r>
              <w:rPr>
                <w:rFonts w:ascii="Arial" w:hAnsi="Arial"/>
                <w:color w:val="000000"/>
                <w:sz w:val="20"/>
                <w:szCs w:val="20"/>
              </w:rPr>
              <w:t xml:space="preserve"> 6a-d</w:t>
            </w:r>
          </w:p>
        </w:tc>
        <w:tc>
          <w:tcPr>
            <w:tcW w:w="1436" w:type="dxa"/>
            <w:shd w:val="clear" w:color="auto" w:fill="auto"/>
            <w:vAlign w:val="center"/>
          </w:tcPr>
          <w:p w14:paraId="72180C29" w14:textId="77777777" w:rsidR="00276FB2" w:rsidRPr="006C77F1" w:rsidRDefault="00276FB2" w:rsidP="0027363B">
            <w:pPr>
              <w:spacing w:after="0"/>
              <w:rPr>
                <w:rFonts w:ascii="Arial" w:hAnsi="Arial" w:cs="Arial"/>
                <w:color w:val="000000"/>
                <w:sz w:val="20"/>
                <w:szCs w:val="20"/>
              </w:rPr>
            </w:pPr>
            <w:r>
              <w:rPr>
                <w:rFonts w:ascii="Arial" w:hAnsi="Arial"/>
                <w:color w:val="000000"/>
                <w:sz w:val="20"/>
                <w:szCs w:val="20"/>
              </w:rPr>
              <w:t>Hamburg East</w:t>
            </w:r>
          </w:p>
        </w:tc>
        <w:tc>
          <w:tcPr>
            <w:tcW w:w="832" w:type="dxa"/>
            <w:shd w:val="clear" w:color="auto" w:fill="auto"/>
            <w:vAlign w:val="center"/>
          </w:tcPr>
          <w:p w14:paraId="1F9773E9" w14:textId="77777777" w:rsidR="00276FB2" w:rsidRPr="0027363B" w:rsidRDefault="00276FB2" w:rsidP="0027363B">
            <w:pPr>
              <w:spacing w:before="60" w:after="60"/>
              <w:rPr>
                <w:rFonts w:ascii="Arial" w:hAnsi="Arial" w:cs="Arial"/>
                <w:color w:val="000000"/>
                <w:sz w:val="20"/>
                <w:szCs w:val="20"/>
              </w:rPr>
            </w:pPr>
            <w:r>
              <w:rPr>
                <w:rFonts w:ascii="Arial" w:hAnsi="Arial"/>
                <w:color w:val="000000"/>
                <w:sz w:val="20"/>
                <w:szCs w:val="20"/>
              </w:rPr>
              <w:t>5,300</w:t>
            </w:r>
          </w:p>
        </w:tc>
      </w:tr>
      <w:tr w:rsidR="006C77F1" w:rsidRPr="0017364E" w14:paraId="234EA95A" w14:textId="77777777" w:rsidTr="00E719C8">
        <w:trPr>
          <w:trHeight w:val="567"/>
          <w:jc w:val="center"/>
        </w:trPr>
        <w:tc>
          <w:tcPr>
            <w:tcW w:w="2581" w:type="dxa"/>
            <w:shd w:val="clear" w:color="auto" w:fill="auto"/>
            <w:vAlign w:val="center"/>
          </w:tcPr>
          <w:p w14:paraId="7C59719D" w14:textId="77777777" w:rsidR="00276FB2" w:rsidRPr="006C77F1" w:rsidRDefault="00276FB2" w:rsidP="0027363B">
            <w:pPr>
              <w:spacing w:after="0"/>
              <w:rPr>
                <w:rFonts w:ascii="Arial" w:hAnsi="Arial" w:cs="Arial"/>
                <w:color w:val="000000"/>
                <w:sz w:val="20"/>
                <w:szCs w:val="20"/>
              </w:rPr>
            </w:pPr>
            <w:r>
              <w:rPr>
                <w:rFonts w:ascii="Arial" w:hAnsi="Arial"/>
                <w:color w:val="000000"/>
                <w:sz w:val="20"/>
                <w:szCs w:val="20"/>
              </w:rPr>
              <w:t>Vestas Deutschland</w:t>
            </w:r>
          </w:p>
        </w:tc>
        <w:tc>
          <w:tcPr>
            <w:tcW w:w="2126" w:type="dxa"/>
            <w:shd w:val="clear" w:color="auto" w:fill="auto"/>
            <w:vAlign w:val="center"/>
          </w:tcPr>
          <w:p w14:paraId="0E688F4C" w14:textId="77777777" w:rsidR="00276FB2" w:rsidRPr="006C77F1" w:rsidRDefault="00045697" w:rsidP="0027363B">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ConneXion</w:t>
            </w:r>
            <w:proofErr w:type="spellEnd"/>
            <w:r>
              <w:rPr>
                <w:rFonts w:ascii="Arial" w:hAnsi="Arial"/>
                <w:color w:val="000000"/>
                <w:sz w:val="20"/>
                <w:szCs w:val="20"/>
              </w:rPr>
              <w:t xml:space="preserve"> Office”</w:t>
            </w:r>
          </w:p>
        </w:tc>
        <w:tc>
          <w:tcPr>
            <w:tcW w:w="2835" w:type="dxa"/>
            <w:shd w:val="clear" w:color="auto" w:fill="auto"/>
            <w:vAlign w:val="center"/>
          </w:tcPr>
          <w:p w14:paraId="5C4E0271" w14:textId="77777777" w:rsidR="00276FB2" w:rsidRPr="006C77F1" w:rsidRDefault="00276FB2" w:rsidP="00045697">
            <w:pPr>
              <w:spacing w:before="60" w:after="60"/>
              <w:rPr>
                <w:rFonts w:ascii="Arial" w:hAnsi="Arial" w:cs="Arial"/>
                <w:sz w:val="20"/>
                <w:szCs w:val="20"/>
              </w:rPr>
            </w:pPr>
            <w:proofErr w:type="spellStart"/>
            <w:r>
              <w:rPr>
                <w:rFonts w:ascii="Arial" w:hAnsi="Arial"/>
                <w:color w:val="000000"/>
                <w:sz w:val="20"/>
                <w:szCs w:val="20"/>
              </w:rPr>
              <w:t>Klostertor</w:t>
            </w:r>
            <w:proofErr w:type="spellEnd"/>
            <w:r>
              <w:rPr>
                <w:rFonts w:ascii="Arial" w:hAnsi="Arial"/>
                <w:color w:val="000000"/>
                <w:sz w:val="20"/>
                <w:szCs w:val="20"/>
              </w:rPr>
              <w:t xml:space="preserve"> 1</w:t>
            </w:r>
          </w:p>
        </w:tc>
        <w:tc>
          <w:tcPr>
            <w:tcW w:w="1436" w:type="dxa"/>
            <w:shd w:val="clear" w:color="auto" w:fill="auto"/>
            <w:vAlign w:val="center"/>
          </w:tcPr>
          <w:p w14:paraId="37C08CDB" w14:textId="77777777" w:rsidR="00276FB2" w:rsidRPr="006C77F1" w:rsidRDefault="00276FB2" w:rsidP="0027363B">
            <w:pPr>
              <w:spacing w:before="60" w:after="60"/>
              <w:rPr>
                <w:rFonts w:ascii="Arial" w:hAnsi="Arial" w:cs="Arial"/>
                <w:color w:val="000000"/>
                <w:sz w:val="20"/>
                <w:szCs w:val="20"/>
              </w:rPr>
            </w:pPr>
            <w:r>
              <w:rPr>
                <w:rFonts w:ascii="Arial" w:hAnsi="Arial"/>
                <w:color w:val="000000"/>
                <w:sz w:val="20"/>
                <w:szCs w:val="20"/>
              </w:rPr>
              <w:t>City</w:t>
            </w:r>
          </w:p>
        </w:tc>
        <w:tc>
          <w:tcPr>
            <w:tcW w:w="832" w:type="dxa"/>
            <w:shd w:val="clear" w:color="auto" w:fill="auto"/>
            <w:vAlign w:val="center"/>
          </w:tcPr>
          <w:p w14:paraId="70E8854C" w14:textId="77777777" w:rsidR="00276FB2" w:rsidRPr="006C77F1" w:rsidRDefault="00276FB2" w:rsidP="0027363B">
            <w:pPr>
              <w:spacing w:before="60" w:after="60"/>
              <w:rPr>
                <w:rFonts w:ascii="Arial" w:hAnsi="Arial" w:cs="Arial"/>
                <w:color w:val="000000"/>
                <w:sz w:val="20"/>
                <w:szCs w:val="20"/>
              </w:rPr>
            </w:pPr>
            <w:r>
              <w:rPr>
                <w:rFonts w:ascii="Arial" w:hAnsi="Arial"/>
                <w:color w:val="000000"/>
                <w:sz w:val="20"/>
                <w:szCs w:val="20"/>
              </w:rPr>
              <w:t>5,200</w:t>
            </w:r>
          </w:p>
        </w:tc>
      </w:tr>
      <w:tr w:rsidR="006C77F1" w:rsidRPr="0017364E" w14:paraId="42E15EBD" w14:textId="77777777" w:rsidTr="00E719C8">
        <w:trPr>
          <w:trHeight w:val="567"/>
          <w:jc w:val="center"/>
        </w:trPr>
        <w:tc>
          <w:tcPr>
            <w:tcW w:w="2581" w:type="dxa"/>
            <w:shd w:val="clear" w:color="auto" w:fill="FFFFFF" w:themeFill="background1"/>
            <w:vAlign w:val="center"/>
          </w:tcPr>
          <w:p w14:paraId="1BC3952C" w14:textId="77777777" w:rsidR="00276FB2" w:rsidRPr="006C77F1" w:rsidRDefault="00045697" w:rsidP="0027363B">
            <w:pPr>
              <w:spacing w:after="0"/>
              <w:rPr>
                <w:rFonts w:ascii="Arial" w:hAnsi="Arial" w:cs="Arial"/>
                <w:color w:val="000000"/>
                <w:sz w:val="20"/>
                <w:szCs w:val="20"/>
              </w:rPr>
            </w:pPr>
            <w:proofErr w:type="spellStart"/>
            <w:r>
              <w:rPr>
                <w:rFonts w:ascii="Arial" w:hAnsi="Arial"/>
                <w:color w:val="000000"/>
                <w:sz w:val="20"/>
                <w:szCs w:val="20"/>
              </w:rPr>
              <w:t>Hapag</w:t>
            </w:r>
            <w:proofErr w:type="spellEnd"/>
            <w:r>
              <w:rPr>
                <w:rFonts w:ascii="Arial" w:hAnsi="Arial"/>
                <w:color w:val="000000"/>
                <w:sz w:val="20"/>
                <w:szCs w:val="20"/>
              </w:rPr>
              <w:t xml:space="preserve">-Lloyd </w:t>
            </w:r>
            <w:proofErr w:type="spellStart"/>
            <w:r>
              <w:rPr>
                <w:rFonts w:ascii="Arial" w:hAnsi="Arial"/>
                <w:color w:val="000000"/>
                <w:sz w:val="20"/>
                <w:szCs w:val="20"/>
              </w:rPr>
              <w:t>Kreuzfahrten</w:t>
            </w:r>
            <w:proofErr w:type="spellEnd"/>
            <w:r>
              <w:rPr>
                <w:rFonts w:ascii="Arial" w:hAnsi="Arial"/>
                <w:color w:val="000000"/>
                <w:sz w:val="20"/>
                <w:szCs w:val="20"/>
              </w:rPr>
              <w:t xml:space="preserve"> (Cruise line)</w:t>
            </w:r>
          </w:p>
        </w:tc>
        <w:tc>
          <w:tcPr>
            <w:tcW w:w="2126" w:type="dxa"/>
            <w:shd w:val="clear" w:color="auto" w:fill="FFFFFF" w:themeFill="background1"/>
            <w:vAlign w:val="center"/>
          </w:tcPr>
          <w:p w14:paraId="393E8AA8" w14:textId="77777777" w:rsidR="00276FB2" w:rsidRPr="006C77F1" w:rsidRDefault="00045697" w:rsidP="0027363B">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Europapassage</w:t>
            </w:r>
            <w:proofErr w:type="spellEnd"/>
            <w:r>
              <w:rPr>
                <w:rFonts w:ascii="Arial" w:hAnsi="Arial"/>
                <w:color w:val="000000"/>
                <w:sz w:val="20"/>
                <w:szCs w:val="20"/>
              </w:rPr>
              <w:t>”</w:t>
            </w:r>
          </w:p>
        </w:tc>
        <w:tc>
          <w:tcPr>
            <w:tcW w:w="2835" w:type="dxa"/>
            <w:shd w:val="clear" w:color="auto" w:fill="FFFFFF" w:themeFill="background1"/>
            <w:vAlign w:val="center"/>
          </w:tcPr>
          <w:p w14:paraId="2F5A286C" w14:textId="77777777" w:rsidR="00276FB2" w:rsidRPr="006C77F1" w:rsidRDefault="00276FB2" w:rsidP="00045697">
            <w:pPr>
              <w:spacing w:before="60" w:after="60"/>
              <w:rPr>
                <w:rFonts w:ascii="Arial" w:hAnsi="Arial" w:cs="Arial"/>
                <w:sz w:val="20"/>
                <w:szCs w:val="20"/>
              </w:rPr>
            </w:pPr>
            <w:proofErr w:type="spellStart"/>
            <w:r>
              <w:rPr>
                <w:rFonts w:ascii="Arial" w:hAnsi="Arial"/>
                <w:color w:val="000000"/>
                <w:sz w:val="20"/>
                <w:szCs w:val="20"/>
              </w:rPr>
              <w:t>Hermannstrasse</w:t>
            </w:r>
            <w:proofErr w:type="spellEnd"/>
            <w:r>
              <w:rPr>
                <w:rFonts w:ascii="Arial" w:hAnsi="Arial"/>
                <w:color w:val="000000"/>
                <w:sz w:val="20"/>
                <w:szCs w:val="20"/>
              </w:rPr>
              <w:t xml:space="preserve"> 9</w:t>
            </w:r>
          </w:p>
        </w:tc>
        <w:tc>
          <w:tcPr>
            <w:tcW w:w="1436" w:type="dxa"/>
            <w:shd w:val="clear" w:color="auto" w:fill="FFFFFF" w:themeFill="background1"/>
            <w:vAlign w:val="center"/>
          </w:tcPr>
          <w:p w14:paraId="30CD8576" w14:textId="77777777" w:rsidR="00276FB2" w:rsidRPr="006C77F1" w:rsidRDefault="00276FB2" w:rsidP="0027363B">
            <w:pPr>
              <w:spacing w:before="60" w:after="60"/>
              <w:rPr>
                <w:rFonts w:ascii="Arial" w:hAnsi="Arial" w:cs="Arial"/>
                <w:color w:val="000000"/>
                <w:sz w:val="20"/>
                <w:szCs w:val="20"/>
              </w:rPr>
            </w:pPr>
            <w:r>
              <w:rPr>
                <w:rFonts w:ascii="Arial" w:hAnsi="Arial"/>
                <w:color w:val="000000"/>
                <w:sz w:val="20"/>
                <w:szCs w:val="20"/>
              </w:rPr>
              <w:t>City</w:t>
            </w:r>
          </w:p>
        </w:tc>
        <w:tc>
          <w:tcPr>
            <w:tcW w:w="832" w:type="dxa"/>
            <w:shd w:val="clear" w:color="auto" w:fill="FFFFFF" w:themeFill="background1"/>
            <w:vAlign w:val="center"/>
          </w:tcPr>
          <w:p w14:paraId="5785CB9E" w14:textId="77777777" w:rsidR="00276FB2" w:rsidRPr="0027363B" w:rsidRDefault="00276FB2" w:rsidP="0027363B">
            <w:pPr>
              <w:spacing w:before="60" w:after="60"/>
              <w:rPr>
                <w:rFonts w:ascii="Arial" w:hAnsi="Arial" w:cs="Arial"/>
                <w:color w:val="000000"/>
                <w:sz w:val="20"/>
                <w:szCs w:val="20"/>
              </w:rPr>
            </w:pPr>
            <w:r>
              <w:rPr>
                <w:rFonts w:ascii="Arial" w:hAnsi="Arial"/>
                <w:color w:val="000000"/>
                <w:sz w:val="20"/>
                <w:szCs w:val="20"/>
              </w:rPr>
              <w:t>4,600</w:t>
            </w:r>
          </w:p>
        </w:tc>
      </w:tr>
    </w:tbl>
    <w:p w14:paraId="5AFC598B" w14:textId="77777777" w:rsidR="001533C6" w:rsidRDefault="001533C6" w:rsidP="001533C6">
      <w:pPr>
        <w:widowControl w:val="0"/>
        <w:spacing w:after="0"/>
        <w:rPr>
          <w:rFonts w:ascii="Arial" w:hAnsi="Arial" w:cs="Arial"/>
          <w:sz w:val="16"/>
          <w:szCs w:val="16"/>
        </w:rPr>
      </w:pPr>
    </w:p>
    <w:p w14:paraId="1E03FE05" w14:textId="77777777" w:rsidR="001533C6" w:rsidRDefault="001533C6" w:rsidP="001533C6">
      <w:pPr>
        <w:spacing w:after="0" w:line="360" w:lineRule="auto"/>
        <w:rPr>
          <w:rFonts w:ascii="Arial" w:eastAsia="Arial" w:hAnsi="Arial" w:cs="Arial"/>
          <w:color w:val="000000" w:themeColor="text1"/>
          <w:sz w:val="20"/>
          <w:szCs w:val="20"/>
        </w:rPr>
      </w:pPr>
    </w:p>
    <w:p w14:paraId="1A34B519" w14:textId="02549481" w:rsidR="001533C6" w:rsidRPr="000A5ED1" w:rsidRDefault="001533C6" w:rsidP="001533C6">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The</w:t>
      </w:r>
      <w:hyperlink r:id="rId9" w:history="1">
        <w:r w:rsidRPr="001D69DE">
          <w:rPr>
            <w:rStyle w:val="Hyperlink"/>
            <w:rFonts w:ascii="Arial" w:hAnsi="Arial"/>
            <w:sz w:val="20"/>
            <w:szCs w:val="20"/>
            <w:u w:val="none"/>
          </w:rPr>
          <w:t xml:space="preserve"> </w:t>
        </w:r>
        <w:r w:rsidR="00325649">
          <w:rPr>
            <w:rStyle w:val="Hyperlink"/>
            <w:rFonts w:ascii="Arial" w:hAnsi="Arial"/>
            <w:sz w:val="20"/>
            <w:szCs w:val="20"/>
          </w:rPr>
          <w:t xml:space="preserve">market survey office letting </w:t>
        </w:r>
        <w:r>
          <w:rPr>
            <w:rStyle w:val="Hyperlink"/>
            <w:rFonts w:ascii="Arial" w:hAnsi="Arial"/>
            <w:sz w:val="20"/>
            <w:szCs w:val="20"/>
          </w:rPr>
          <w:t>Hamburg 2022/Q1</w:t>
        </w:r>
      </w:hyperlink>
      <w:r>
        <w:rPr>
          <w:rFonts w:ascii="Arial" w:hAnsi="Arial"/>
          <w:color w:val="000000" w:themeColor="text1"/>
          <w:sz w:val="20"/>
          <w:szCs w:val="20"/>
        </w:rPr>
        <w:t xml:space="preserve"> will soon be available to download from our website.</w:t>
      </w:r>
    </w:p>
    <w:p w14:paraId="73144B28" w14:textId="77777777" w:rsidR="001533C6" w:rsidRPr="00A3554C" w:rsidRDefault="001533C6" w:rsidP="001533C6">
      <w:pPr>
        <w:spacing w:after="0" w:line="360" w:lineRule="auto"/>
        <w:rPr>
          <w:rFonts w:ascii="Arial" w:hAnsi="Arial" w:cs="Arial"/>
          <w:sz w:val="20"/>
          <w:szCs w:val="20"/>
        </w:rPr>
      </w:pPr>
    </w:p>
    <w:p w14:paraId="6C943DE2" w14:textId="77777777" w:rsidR="001533C6" w:rsidRPr="0090748B" w:rsidRDefault="001533C6" w:rsidP="001533C6">
      <w:pPr>
        <w:spacing w:after="0" w:line="360" w:lineRule="auto"/>
        <w:rPr>
          <w:rFonts w:ascii="Arial" w:hAnsi="Arial" w:cs="Arial"/>
          <w:b/>
          <w:sz w:val="16"/>
          <w:szCs w:val="16"/>
        </w:rPr>
      </w:pPr>
      <w:r>
        <w:rPr>
          <w:rFonts w:ascii="Arial" w:hAnsi="Arial"/>
          <w:b/>
          <w:sz w:val="16"/>
          <w:szCs w:val="16"/>
        </w:rPr>
        <w:t>About Grossmann &amp; Berger</w:t>
      </w:r>
    </w:p>
    <w:p w14:paraId="0E16E6CA" w14:textId="77777777" w:rsidR="001533C6" w:rsidRPr="004A6CA8" w:rsidRDefault="00E719C8" w:rsidP="001533C6">
      <w:pPr>
        <w:spacing w:after="0" w:line="360" w:lineRule="auto"/>
        <w:rPr>
          <w:rFonts w:ascii="Arial" w:hAnsi="Arial" w:cs="Arial"/>
          <w:vanish/>
          <w:sz w:val="16"/>
          <w:szCs w:val="16"/>
          <w:specVanish/>
        </w:rPr>
      </w:pPr>
      <w:hyperlink r:id="rId10" w:history="1">
        <w:r w:rsidR="001533C6">
          <w:rPr>
            <w:rStyle w:val="Hyperlink"/>
            <w:rFonts w:ascii="Arial" w:hAnsi="Arial"/>
            <w:snapToGrid w:val="0"/>
            <w:sz w:val="16"/>
            <w:szCs w:val="16"/>
          </w:rPr>
          <w:t>Grossmann &amp; Berger GmbH</w:t>
        </w:r>
      </w:hyperlink>
      <w:r w:rsidR="001533C6">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the company was augmented by </w:t>
      </w:r>
      <w:hyperlink r:id="rId11" w:history="1">
        <w:r w:rsidR="001533C6">
          <w:rPr>
            <w:rStyle w:val="Hyperlink"/>
            <w:rFonts w:ascii="Arial" w:hAnsi="Arial"/>
            <w:snapToGrid w:val="0"/>
            <w:sz w:val="16"/>
            <w:szCs w:val="16"/>
          </w:rPr>
          <w:t>E &amp; G Real Estate</w:t>
        </w:r>
      </w:hyperlink>
      <w:r w:rsidR="001533C6">
        <w:rPr>
          <w:rFonts w:ascii="Arial" w:hAnsi="Arial"/>
          <w:snapToGrid w:val="0"/>
          <w:sz w:val="16"/>
          <w:szCs w:val="16"/>
        </w:rPr>
        <w:t xml:space="preserve"> and</w:t>
      </w:r>
      <w:r w:rsidR="001533C6">
        <w:rPr>
          <w:rFonts w:ascii="Arial" w:hAnsi="Arial"/>
          <w:snapToGrid w:val="0"/>
          <w:sz w:val="16"/>
          <w:szCs w:val="16"/>
        </w:rPr>
        <w:br/>
      </w:r>
      <w:hyperlink r:id="rId12" w:history="1">
        <w:r w:rsidR="001533C6">
          <w:rPr>
            <w:rStyle w:val="Hyperlink"/>
            <w:rFonts w:ascii="Arial" w:hAnsi="Arial"/>
            <w:snapToGrid w:val="0"/>
            <w:sz w:val="16"/>
            <w:szCs w:val="16"/>
          </w:rPr>
          <w:t xml:space="preserve">E &amp; G Private </w:t>
        </w:r>
        <w:proofErr w:type="spellStart"/>
        <w:r w:rsidR="001533C6">
          <w:rPr>
            <w:rStyle w:val="Hyperlink"/>
            <w:rFonts w:ascii="Arial" w:hAnsi="Arial"/>
            <w:snapToGrid w:val="0"/>
            <w:sz w:val="16"/>
            <w:szCs w:val="16"/>
          </w:rPr>
          <w:t>Immobilien</w:t>
        </w:r>
        <w:proofErr w:type="spellEnd"/>
      </w:hyperlink>
      <w:r w:rsidR="001533C6">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1533C6">
        <w:rPr>
          <w:rFonts w:ascii="Arial" w:hAnsi="Arial"/>
          <w:sz w:val="16"/>
          <w:szCs w:val="16"/>
        </w:rPr>
        <w:t xml:space="preserve">Grossmann &amp; Berger belongs to the HASPA Group and is a founding member of the national commercial real estate network </w:t>
      </w:r>
      <w:hyperlink r:id="rId13" w:history="1">
        <w:r w:rsidR="001533C6">
          <w:rPr>
            <w:rStyle w:val="Hyperlink"/>
            <w:rFonts w:ascii="Arial" w:hAnsi="Arial"/>
            <w:sz w:val="16"/>
            <w:szCs w:val="16"/>
          </w:rPr>
          <w:t>German Property Partners</w:t>
        </w:r>
      </w:hyperlink>
      <w:r w:rsidR="001533C6">
        <w:rPr>
          <w:rFonts w:ascii="Arial" w:hAnsi="Arial"/>
          <w:sz w:val="16"/>
          <w:szCs w:val="16"/>
        </w:rPr>
        <w:t xml:space="preserve"> (GPP).</w:t>
      </w:r>
    </w:p>
    <w:p w14:paraId="1FA08536" w14:textId="77777777" w:rsidR="001533C6" w:rsidRPr="004A6CA8" w:rsidRDefault="001533C6" w:rsidP="001533C6">
      <w:pPr>
        <w:spacing w:after="0" w:line="360" w:lineRule="auto"/>
        <w:rPr>
          <w:rFonts w:ascii="Arial" w:hAnsi="Arial" w:cs="Arial"/>
          <w:sz w:val="16"/>
          <w:szCs w:val="16"/>
        </w:rPr>
      </w:pPr>
      <w:r>
        <w:rPr>
          <w:rFonts w:ascii="Arial" w:hAnsi="Arial"/>
          <w:sz w:val="16"/>
          <w:szCs w:val="16"/>
        </w:rPr>
        <w:t xml:space="preserve"> </w:t>
      </w:r>
    </w:p>
    <w:p w14:paraId="6C233A70" w14:textId="77777777" w:rsidR="001533C6" w:rsidRPr="00583E25" w:rsidRDefault="001533C6" w:rsidP="001533C6">
      <w:pPr>
        <w:spacing w:after="0" w:line="360" w:lineRule="auto"/>
        <w:rPr>
          <w:rFonts w:ascii="Arial" w:hAnsi="Arial" w:cs="Arial"/>
          <w:sz w:val="16"/>
          <w:szCs w:val="16"/>
        </w:rPr>
      </w:pPr>
    </w:p>
    <w:p w14:paraId="1E85C204" w14:textId="209F56E4" w:rsidR="00503D8C" w:rsidRPr="001533C6" w:rsidRDefault="001533C6" w:rsidP="001533C6">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4" w:history="1">
        <w:r w:rsidRPr="00325649">
          <w:rPr>
            <w:rStyle w:val="Hyperlink"/>
            <w:rFonts w:ascii="Arial" w:hAnsi="Arial"/>
            <w:sz w:val="16"/>
            <w:szCs w:val="16"/>
            <w:u w:val="none"/>
          </w:rPr>
          <w:t xml:space="preserve"> </w:t>
        </w:r>
        <w:r>
          <w:rPr>
            <w:rStyle w:val="Hyperlink"/>
            <w:rFonts w:ascii="Arial" w:hAnsi="Arial"/>
            <w:sz w:val="16"/>
            <w:szCs w:val="16"/>
          </w:rPr>
          <w:t>data privacy policy</w:t>
        </w:r>
        <w:r w:rsidRPr="00325649">
          <w:rPr>
            <w:rStyle w:val="Hyperlink"/>
            <w:rFonts w:ascii="Arial" w:hAnsi="Arial"/>
            <w:sz w:val="16"/>
            <w:szCs w:val="16"/>
            <w:u w:val="none"/>
          </w:rPr>
          <w:t>.</w:t>
        </w:r>
      </w:hyperlink>
      <w:r w:rsidR="00325649">
        <w:rPr>
          <w:rFonts w:ascii="Arial" w:hAnsi="Arial"/>
          <w:sz w:val="16"/>
          <w:szCs w:val="16"/>
        </w:rPr>
        <w:t xml:space="preserve"> </w:t>
      </w:r>
      <w:r>
        <w:rPr>
          <w:rFonts w:ascii="Arial" w:hAnsi="Arial"/>
          <w:sz w:val="16"/>
          <w:szCs w:val="16"/>
        </w:rPr>
        <w:t xml:space="preserve">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1533C6"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7188" w14:textId="77777777" w:rsidR="009B57C4" w:rsidRDefault="009B57C4">
      <w:r>
        <w:separator/>
      </w:r>
    </w:p>
  </w:endnote>
  <w:endnote w:type="continuationSeparator" w:id="0">
    <w:p w14:paraId="6496EC0D" w14:textId="77777777" w:rsidR="009B57C4" w:rsidRDefault="009B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64F"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6B083F2C" w14:textId="6937C90D"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E719C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E719C8">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8FA3" w14:textId="77777777" w:rsidR="008C608D" w:rsidRDefault="008C608D">
    <w:pPr>
      <w:pStyle w:val="Fuzeile"/>
    </w:pPr>
    <w:r>
      <w:rPr>
        <w:noProof/>
        <w:lang w:val="de-DE" w:eastAsia="de-DE"/>
      </w:rPr>
      <w:drawing>
        <wp:anchor distT="0" distB="0" distL="0" distR="0" simplePos="0" relativeHeight="251659264" behindDoc="0" locked="0" layoutInCell="0" allowOverlap="1" wp14:anchorId="1F47B225" wp14:editId="1C89EA7E">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89509" w14:textId="77777777" w:rsidR="009B57C4" w:rsidRDefault="009B57C4">
      <w:r>
        <w:separator/>
      </w:r>
    </w:p>
  </w:footnote>
  <w:footnote w:type="continuationSeparator" w:id="0">
    <w:p w14:paraId="23C77B60" w14:textId="77777777" w:rsidR="009B57C4" w:rsidRDefault="009B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9A0F"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3743D6D" wp14:editId="4D656D57">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71F5AE53"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3679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rsidR="00E5203C" w:rsidRPr="001E3456" w:rsidRDefault="00E5203C" w:rsidP="00E5203C">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Britt Finke | Tel.:</w:t>
                    </w:r>
                    <w:r>
                      <w:rPr>
                        <w:sz w:val="16"/>
                        <w:szCs w:val="16"/>
                        <w:rFonts w:ascii="Arial" w:hAnsi="Arial"/>
                      </w:rPr>
                      <w:t xml:space="preserve"> </w:t>
                    </w:r>
                    <w:r>
                      <w:rPr>
                        <w:sz w:val="16"/>
                        <w:szCs w:val="16"/>
                        <w:rFonts w:ascii="Arial" w:hAnsi="Arial"/>
                      </w:rPr>
                      <w:t xml:space="preserve">+49 (0)40/350 802-993 | b.finke@grossmann-berger.de</w:t>
                    </w:r>
                  </w:p>
                </w:txbxContent>
              </v:textbox>
            </v:shape>
          </w:pict>
        </mc:Fallback>
      </mc:AlternateContent>
    </w:r>
    <w:r>
      <w:rPr>
        <w:rFonts w:ascii="Arial" w:hAnsi="Arial"/>
        <w:color w:val="918F90"/>
        <w:sz w:val="28"/>
        <w:szCs w:val="28"/>
      </w:rPr>
      <w:t>Press release</w:t>
    </w:r>
  </w:p>
  <w:p w14:paraId="2B6D33E7"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CE5"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47208E6D" wp14:editId="4704D40C">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65C9F499"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A1027"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rsidR="00E5203C" w:rsidRPr="001E3456" w:rsidRDefault="00E5203C" w:rsidP="00E5203C">
                    <w:pPr>
                      <w:spacing w:after="0"/>
                      <w:rPr>
                        <w:sz w:val="16"/>
                        <w:szCs w:val="16"/>
                        <w:rFonts w:ascii="Arial" w:hAnsi="Arial" w:cs="Arial"/>
                      </w:rPr>
                    </w:pPr>
                    <w:r>
                      <w:rPr>
                        <w:sz w:val="16"/>
                        <w:szCs w:val="16"/>
                        <w:b/>
                        <w:rFonts w:ascii="Arial" w:hAnsi="Arial"/>
                      </w:rPr>
                      <w:t xml:space="preserve">Press contact:</w:t>
                    </w:r>
                    <w:r>
                      <w:rPr>
                        <w:sz w:val="16"/>
                        <w:szCs w:val="16"/>
                        <w:rFonts w:ascii="Arial" w:hAnsi="Arial"/>
                      </w:rPr>
                      <w:t xml:space="preserve"> </w:t>
                    </w:r>
                    <w:r>
                      <w:rPr>
                        <w:sz w:val="16"/>
                        <w:szCs w:val="16"/>
                        <w:rFonts w:ascii="Arial" w:hAnsi="Arial"/>
                      </w:rPr>
                      <w:t xml:space="preserve">Britt Finke | Tel.:</w:t>
                    </w:r>
                    <w:r>
                      <w:rPr>
                        <w:sz w:val="16"/>
                        <w:szCs w:val="16"/>
                        <w:rFonts w:ascii="Arial" w:hAnsi="Arial"/>
                      </w:rPr>
                      <w:t xml:space="preserve"> </w:t>
                    </w:r>
                    <w:r>
                      <w:rPr>
                        <w:sz w:val="16"/>
                        <w:szCs w:val="16"/>
                        <w:rFonts w:ascii="Arial" w:hAnsi="Arial"/>
                      </w:rPr>
                      <w:t xml:space="preserve">+49 (0)40/350 802-993 | b.finke@grossmann-berger.de</w:t>
                    </w:r>
                  </w:p>
                </w:txbxContent>
              </v:textbox>
            </v:shape>
          </w:pict>
        </mc:Fallback>
      </mc:AlternateContent>
    </w:r>
    <w:r>
      <w:rPr>
        <w:rFonts w:ascii="Arial" w:hAnsi="Arial"/>
        <w:color w:val="918F90"/>
        <w:sz w:val="28"/>
        <w:szCs w:val="28"/>
      </w:rPr>
      <w:t>Press release</w:t>
    </w:r>
  </w:p>
  <w:p w14:paraId="6FE6CB1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4661EE"/>
    <w:rsid w:val="000159FE"/>
    <w:rsid w:val="00022F16"/>
    <w:rsid w:val="00023D78"/>
    <w:rsid w:val="0003075C"/>
    <w:rsid w:val="00045697"/>
    <w:rsid w:val="00052659"/>
    <w:rsid w:val="00060743"/>
    <w:rsid w:val="00066796"/>
    <w:rsid w:val="000766D7"/>
    <w:rsid w:val="000A5AC1"/>
    <w:rsid w:val="000B3315"/>
    <w:rsid w:val="000C3226"/>
    <w:rsid w:val="000C770D"/>
    <w:rsid w:val="000E03F3"/>
    <w:rsid w:val="000E30AF"/>
    <w:rsid w:val="001029C4"/>
    <w:rsid w:val="0011080A"/>
    <w:rsid w:val="0011486D"/>
    <w:rsid w:val="00121E33"/>
    <w:rsid w:val="00126550"/>
    <w:rsid w:val="00126EEF"/>
    <w:rsid w:val="001324D6"/>
    <w:rsid w:val="00135BD2"/>
    <w:rsid w:val="001533C6"/>
    <w:rsid w:val="00154825"/>
    <w:rsid w:val="00155DAF"/>
    <w:rsid w:val="0017516B"/>
    <w:rsid w:val="001755E2"/>
    <w:rsid w:val="00176F1D"/>
    <w:rsid w:val="001801C0"/>
    <w:rsid w:val="00195B90"/>
    <w:rsid w:val="001A2ABE"/>
    <w:rsid w:val="001A360C"/>
    <w:rsid w:val="001D14DA"/>
    <w:rsid w:val="001D69DE"/>
    <w:rsid w:val="001E6995"/>
    <w:rsid w:val="001E7013"/>
    <w:rsid w:val="001F1513"/>
    <w:rsid w:val="00205769"/>
    <w:rsid w:val="00212FEC"/>
    <w:rsid w:val="002131BB"/>
    <w:rsid w:val="0022086D"/>
    <w:rsid w:val="00227E31"/>
    <w:rsid w:val="00230F81"/>
    <w:rsid w:val="00233D8F"/>
    <w:rsid w:val="00254C6F"/>
    <w:rsid w:val="0027266B"/>
    <w:rsid w:val="0027363B"/>
    <w:rsid w:val="00276FB2"/>
    <w:rsid w:val="00281E80"/>
    <w:rsid w:val="002834B0"/>
    <w:rsid w:val="00283671"/>
    <w:rsid w:val="00284E27"/>
    <w:rsid w:val="002A1973"/>
    <w:rsid w:val="002C2392"/>
    <w:rsid w:val="002D1C5C"/>
    <w:rsid w:val="002D1E20"/>
    <w:rsid w:val="002D584C"/>
    <w:rsid w:val="002E6860"/>
    <w:rsid w:val="002F0411"/>
    <w:rsid w:val="00305C18"/>
    <w:rsid w:val="003100F1"/>
    <w:rsid w:val="003112F5"/>
    <w:rsid w:val="00325649"/>
    <w:rsid w:val="00325E2A"/>
    <w:rsid w:val="0034786C"/>
    <w:rsid w:val="003517C9"/>
    <w:rsid w:val="00370000"/>
    <w:rsid w:val="00373507"/>
    <w:rsid w:val="0038230E"/>
    <w:rsid w:val="00382529"/>
    <w:rsid w:val="00394A86"/>
    <w:rsid w:val="003B4CCF"/>
    <w:rsid w:val="003C4FD8"/>
    <w:rsid w:val="003C6AB4"/>
    <w:rsid w:val="003D512D"/>
    <w:rsid w:val="003E0779"/>
    <w:rsid w:val="003E099F"/>
    <w:rsid w:val="003E41FB"/>
    <w:rsid w:val="0040086D"/>
    <w:rsid w:val="004017D8"/>
    <w:rsid w:val="00411E03"/>
    <w:rsid w:val="004123B1"/>
    <w:rsid w:val="004205FA"/>
    <w:rsid w:val="00423E06"/>
    <w:rsid w:val="004303A1"/>
    <w:rsid w:val="00440DC9"/>
    <w:rsid w:val="004506D2"/>
    <w:rsid w:val="00455AB1"/>
    <w:rsid w:val="00456F40"/>
    <w:rsid w:val="004609BD"/>
    <w:rsid w:val="004661EE"/>
    <w:rsid w:val="00466741"/>
    <w:rsid w:val="004904E8"/>
    <w:rsid w:val="004A2BEA"/>
    <w:rsid w:val="004A3C64"/>
    <w:rsid w:val="004A5AEA"/>
    <w:rsid w:val="004B2FDA"/>
    <w:rsid w:val="004B480A"/>
    <w:rsid w:val="004E339B"/>
    <w:rsid w:val="004E4562"/>
    <w:rsid w:val="004F077F"/>
    <w:rsid w:val="005023DD"/>
    <w:rsid w:val="00503D8C"/>
    <w:rsid w:val="00522B84"/>
    <w:rsid w:val="00526DD0"/>
    <w:rsid w:val="00531A7F"/>
    <w:rsid w:val="005428C5"/>
    <w:rsid w:val="00543C55"/>
    <w:rsid w:val="005554C7"/>
    <w:rsid w:val="00582B99"/>
    <w:rsid w:val="00590903"/>
    <w:rsid w:val="005A040F"/>
    <w:rsid w:val="005B0FC9"/>
    <w:rsid w:val="005B66D3"/>
    <w:rsid w:val="005C4556"/>
    <w:rsid w:val="005C5302"/>
    <w:rsid w:val="005E362E"/>
    <w:rsid w:val="005E4B48"/>
    <w:rsid w:val="00600E64"/>
    <w:rsid w:val="0061109D"/>
    <w:rsid w:val="00612AA0"/>
    <w:rsid w:val="006138CB"/>
    <w:rsid w:val="006224C4"/>
    <w:rsid w:val="006225EA"/>
    <w:rsid w:val="006261DF"/>
    <w:rsid w:val="00642074"/>
    <w:rsid w:val="00642904"/>
    <w:rsid w:val="00656B29"/>
    <w:rsid w:val="00683F13"/>
    <w:rsid w:val="0069521D"/>
    <w:rsid w:val="00695E58"/>
    <w:rsid w:val="006A1329"/>
    <w:rsid w:val="006A66F9"/>
    <w:rsid w:val="006C2F8D"/>
    <w:rsid w:val="006C77F1"/>
    <w:rsid w:val="006E2677"/>
    <w:rsid w:val="006F2EE8"/>
    <w:rsid w:val="00720DFF"/>
    <w:rsid w:val="007466E0"/>
    <w:rsid w:val="00762CC5"/>
    <w:rsid w:val="007846B3"/>
    <w:rsid w:val="007906B4"/>
    <w:rsid w:val="007A3012"/>
    <w:rsid w:val="007A5FCF"/>
    <w:rsid w:val="007A7F58"/>
    <w:rsid w:val="007E759D"/>
    <w:rsid w:val="007F49FD"/>
    <w:rsid w:val="008115D5"/>
    <w:rsid w:val="00812471"/>
    <w:rsid w:val="008261A5"/>
    <w:rsid w:val="008336A3"/>
    <w:rsid w:val="0083382E"/>
    <w:rsid w:val="00853339"/>
    <w:rsid w:val="00855325"/>
    <w:rsid w:val="00862E34"/>
    <w:rsid w:val="00865915"/>
    <w:rsid w:val="00871832"/>
    <w:rsid w:val="00886CCE"/>
    <w:rsid w:val="00895028"/>
    <w:rsid w:val="00896B33"/>
    <w:rsid w:val="008A00C5"/>
    <w:rsid w:val="008A62FB"/>
    <w:rsid w:val="008A77B7"/>
    <w:rsid w:val="008B0F67"/>
    <w:rsid w:val="008C608D"/>
    <w:rsid w:val="008E1C5F"/>
    <w:rsid w:val="008E461D"/>
    <w:rsid w:val="008F08E5"/>
    <w:rsid w:val="008F0EA4"/>
    <w:rsid w:val="008F5213"/>
    <w:rsid w:val="0090748B"/>
    <w:rsid w:val="00920C9C"/>
    <w:rsid w:val="00922754"/>
    <w:rsid w:val="00925781"/>
    <w:rsid w:val="009258D0"/>
    <w:rsid w:val="00935AB3"/>
    <w:rsid w:val="00957DE0"/>
    <w:rsid w:val="009734CE"/>
    <w:rsid w:val="009864F4"/>
    <w:rsid w:val="00996E1A"/>
    <w:rsid w:val="009B57C4"/>
    <w:rsid w:val="009D24DA"/>
    <w:rsid w:val="009D5D75"/>
    <w:rsid w:val="009F32A2"/>
    <w:rsid w:val="009F54CE"/>
    <w:rsid w:val="00A06264"/>
    <w:rsid w:val="00A1639A"/>
    <w:rsid w:val="00A215C9"/>
    <w:rsid w:val="00A5364B"/>
    <w:rsid w:val="00A615E0"/>
    <w:rsid w:val="00A65E2B"/>
    <w:rsid w:val="00A74AA0"/>
    <w:rsid w:val="00A7546D"/>
    <w:rsid w:val="00A77100"/>
    <w:rsid w:val="00AA4D97"/>
    <w:rsid w:val="00AD17B7"/>
    <w:rsid w:val="00B077D5"/>
    <w:rsid w:val="00B150EF"/>
    <w:rsid w:val="00B200E4"/>
    <w:rsid w:val="00B212E6"/>
    <w:rsid w:val="00B229DF"/>
    <w:rsid w:val="00B35B6D"/>
    <w:rsid w:val="00B35DC6"/>
    <w:rsid w:val="00B51699"/>
    <w:rsid w:val="00B53FAF"/>
    <w:rsid w:val="00B559C4"/>
    <w:rsid w:val="00B63153"/>
    <w:rsid w:val="00B6527D"/>
    <w:rsid w:val="00B73550"/>
    <w:rsid w:val="00B73B3A"/>
    <w:rsid w:val="00B74507"/>
    <w:rsid w:val="00B75718"/>
    <w:rsid w:val="00B75E7E"/>
    <w:rsid w:val="00B92005"/>
    <w:rsid w:val="00B93817"/>
    <w:rsid w:val="00BA0B96"/>
    <w:rsid w:val="00BB15DA"/>
    <w:rsid w:val="00BB340D"/>
    <w:rsid w:val="00BC2A3A"/>
    <w:rsid w:val="00BC64EC"/>
    <w:rsid w:val="00BD073D"/>
    <w:rsid w:val="00BF3AFD"/>
    <w:rsid w:val="00BF4F54"/>
    <w:rsid w:val="00C1606C"/>
    <w:rsid w:val="00C23180"/>
    <w:rsid w:val="00C41492"/>
    <w:rsid w:val="00C519D3"/>
    <w:rsid w:val="00C702B5"/>
    <w:rsid w:val="00C70389"/>
    <w:rsid w:val="00C72EED"/>
    <w:rsid w:val="00C812DA"/>
    <w:rsid w:val="00C8617F"/>
    <w:rsid w:val="00C904B6"/>
    <w:rsid w:val="00C96DF4"/>
    <w:rsid w:val="00CC1337"/>
    <w:rsid w:val="00CC48DF"/>
    <w:rsid w:val="00CD0EFC"/>
    <w:rsid w:val="00CD70E7"/>
    <w:rsid w:val="00CD7363"/>
    <w:rsid w:val="00CE0C1F"/>
    <w:rsid w:val="00CE455F"/>
    <w:rsid w:val="00CE687E"/>
    <w:rsid w:val="00CF0BF9"/>
    <w:rsid w:val="00CF0C9B"/>
    <w:rsid w:val="00CF5957"/>
    <w:rsid w:val="00D04BA2"/>
    <w:rsid w:val="00D077B0"/>
    <w:rsid w:val="00D22D42"/>
    <w:rsid w:val="00D36D8D"/>
    <w:rsid w:val="00D45711"/>
    <w:rsid w:val="00D47121"/>
    <w:rsid w:val="00D500FC"/>
    <w:rsid w:val="00D51597"/>
    <w:rsid w:val="00D5326E"/>
    <w:rsid w:val="00D55867"/>
    <w:rsid w:val="00D634A3"/>
    <w:rsid w:val="00D72339"/>
    <w:rsid w:val="00D73E47"/>
    <w:rsid w:val="00D74ABB"/>
    <w:rsid w:val="00D83CB7"/>
    <w:rsid w:val="00D97FA8"/>
    <w:rsid w:val="00DA054B"/>
    <w:rsid w:val="00DC7B25"/>
    <w:rsid w:val="00DD6B73"/>
    <w:rsid w:val="00E112C9"/>
    <w:rsid w:val="00E158F7"/>
    <w:rsid w:val="00E2087E"/>
    <w:rsid w:val="00E31133"/>
    <w:rsid w:val="00E36818"/>
    <w:rsid w:val="00E47B97"/>
    <w:rsid w:val="00E5203C"/>
    <w:rsid w:val="00E60898"/>
    <w:rsid w:val="00E634CC"/>
    <w:rsid w:val="00E719C8"/>
    <w:rsid w:val="00E82F0E"/>
    <w:rsid w:val="00E96FAC"/>
    <w:rsid w:val="00EA129F"/>
    <w:rsid w:val="00ED0582"/>
    <w:rsid w:val="00EE31F6"/>
    <w:rsid w:val="00EE36DC"/>
    <w:rsid w:val="00F044EE"/>
    <w:rsid w:val="00F13885"/>
    <w:rsid w:val="00F26E7B"/>
    <w:rsid w:val="00F32759"/>
    <w:rsid w:val="00F3320B"/>
    <w:rsid w:val="00F40E92"/>
    <w:rsid w:val="00F41947"/>
    <w:rsid w:val="00F435AA"/>
    <w:rsid w:val="00F55FC0"/>
    <w:rsid w:val="00F635B4"/>
    <w:rsid w:val="00F750C9"/>
    <w:rsid w:val="00F76C6A"/>
    <w:rsid w:val="00F83BF1"/>
    <w:rsid w:val="00F90CB9"/>
    <w:rsid w:val="00F944DB"/>
    <w:rsid w:val="00F97373"/>
    <w:rsid w:val="00FA6854"/>
    <w:rsid w:val="00FB064F"/>
    <w:rsid w:val="00FB144F"/>
    <w:rsid w:val="00FB159A"/>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0BBF27"/>
  <w15:docId w15:val="{484CA6E4-C10D-4F01-ADC4-35FC7DC8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1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F32759"/>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character" w:styleId="Kommentarzeichen">
    <w:name w:val="annotation reference"/>
    <w:basedOn w:val="Absatz-Standardschriftart"/>
    <w:uiPriority w:val="99"/>
    <w:semiHidden/>
    <w:unhideWhenUsed/>
    <w:rsid w:val="00B73550"/>
    <w:rPr>
      <w:sz w:val="16"/>
      <w:szCs w:val="16"/>
    </w:rPr>
  </w:style>
  <w:style w:type="paragraph" w:styleId="Kommentartext">
    <w:name w:val="annotation text"/>
    <w:basedOn w:val="Standard"/>
    <w:link w:val="KommentartextZchn"/>
    <w:uiPriority w:val="99"/>
    <w:semiHidden/>
    <w:unhideWhenUsed/>
    <w:rsid w:val="00B73550"/>
    <w:rPr>
      <w:sz w:val="20"/>
      <w:szCs w:val="20"/>
    </w:rPr>
  </w:style>
  <w:style w:type="character" w:customStyle="1" w:styleId="KommentartextZchn">
    <w:name w:val="Kommentartext Zchn"/>
    <w:basedOn w:val="Absatz-Standardschriftart"/>
    <w:link w:val="Kommentartext"/>
    <w:uiPriority w:val="99"/>
    <w:semiHidden/>
    <w:rsid w:val="00B73550"/>
    <w:rPr>
      <w:sz w:val="20"/>
      <w:szCs w:val="20"/>
      <w:lang w:eastAsia="en-US"/>
    </w:rPr>
  </w:style>
  <w:style w:type="paragraph" w:styleId="Kommentarthema">
    <w:name w:val="annotation subject"/>
    <w:basedOn w:val="Kommentartext"/>
    <w:next w:val="Kommentartext"/>
    <w:link w:val="KommentarthemaZchn"/>
    <w:uiPriority w:val="99"/>
    <w:semiHidden/>
    <w:unhideWhenUsed/>
    <w:rsid w:val="00B73550"/>
    <w:rPr>
      <w:b/>
      <w:bCs/>
    </w:rPr>
  </w:style>
  <w:style w:type="character" w:customStyle="1" w:styleId="KommentarthemaZchn">
    <w:name w:val="Kommentarthema Zchn"/>
    <w:basedOn w:val="KommentartextZchn"/>
    <w:link w:val="Kommentarthema"/>
    <w:uiPriority w:val="99"/>
    <w:semiHidden/>
    <w:rsid w:val="00B73550"/>
    <w:rPr>
      <w:b/>
      <w:bCs/>
      <w:sz w:val="20"/>
      <w:szCs w:val="20"/>
      <w:lang w:eastAsia="en-US"/>
    </w:rPr>
  </w:style>
  <w:style w:type="character" w:styleId="Hervorhebung">
    <w:name w:val="Emphasis"/>
    <w:basedOn w:val="Absatz-Standardschriftart"/>
    <w:uiPriority w:val="20"/>
    <w:qFormat/>
    <w:locked/>
    <w:rsid w:val="00B55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365639114">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1482-98F4-4F06-B4E8-28B41920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20</cp:revision>
  <cp:lastPrinted>2022-04-04T06:47:00Z</cp:lastPrinted>
  <dcterms:created xsi:type="dcterms:W3CDTF">2022-03-30T13:20:00Z</dcterms:created>
  <dcterms:modified xsi:type="dcterms:W3CDTF">2022-04-04T13:37:00Z</dcterms:modified>
</cp:coreProperties>
</file>