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12EB8" w14:textId="5513BDC6" w:rsidR="00437A05" w:rsidRPr="005D1DAB" w:rsidRDefault="007970A0" w:rsidP="000C770D">
      <w:pPr>
        <w:spacing w:after="0" w:line="360" w:lineRule="auto"/>
        <w:rPr>
          <w:rFonts w:ascii="Arial" w:hAnsi="Arial" w:cs="Arial"/>
          <w:b/>
          <w:sz w:val="28"/>
          <w:szCs w:val="28"/>
        </w:rPr>
      </w:pPr>
      <w:r>
        <w:rPr>
          <w:rFonts w:ascii="Arial" w:hAnsi="Arial"/>
          <w:b/>
        </w:rPr>
        <w:t>Hamburg: Office letting market 1st-4th quarters of 2021</w:t>
      </w:r>
      <w:r>
        <w:rPr>
          <w:rFonts w:ascii="Arial" w:hAnsi="Arial"/>
          <w:b/>
        </w:rPr>
        <w:br/>
        <w:t>Hamburg’s diversified economy eases the return to normal</w:t>
      </w:r>
      <w:r w:rsidR="007D682F">
        <w:rPr>
          <w:rFonts w:ascii="Arial" w:hAnsi="Arial"/>
          <w:b/>
        </w:rPr>
        <w:t xml:space="preserve"> business</w:t>
      </w:r>
    </w:p>
    <w:p w14:paraId="5DC3EAC5" w14:textId="77777777" w:rsidR="00590903" w:rsidRPr="0090748B" w:rsidRDefault="00590903" w:rsidP="00590903">
      <w:pPr>
        <w:spacing w:after="0" w:line="360" w:lineRule="auto"/>
        <w:jc w:val="both"/>
        <w:rPr>
          <w:rFonts w:ascii="Arial" w:hAnsi="Arial" w:cs="Arial"/>
          <w:b/>
          <w:sz w:val="20"/>
          <w:szCs w:val="20"/>
        </w:rPr>
      </w:pPr>
    </w:p>
    <w:p w14:paraId="1CE4666C" w14:textId="2919DDC2" w:rsidR="00EE77BB" w:rsidRDefault="0089000C" w:rsidP="00E4646F">
      <w:pPr>
        <w:spacing w:after="0" w:line="360" w:lineRule="auto"/>
        <w:rPr>
          <w:rFonts w:ascii="Arial" w:hAnsi="Arial" w:cs="Arial"/>
          <w:sz w:val="20"/>
          <w:szCs w:val="20"/>
        </w:rPr>
      </w:pPr>
      <w:r>
        <w:rPr>
          <w:rFonts w:ascii="Arial" w:hAnsi="Arial"/>
          <w:b/>
          <w:sz w:val="20"/>
          <w:szCs w:val="20"/>
        </w:rPr>
        <w:t>Hamburg, 4 January 2022</w:t>
      </w:r>
      <w:r>
        <w:rPr>
          <w:rFonts w:ascii="Arial" w:hAnsi="Arial"/>
          <w:sz w:val="20"/>
          <w:szCs w:val="20"/>
        </w:rPr>
        <w:t xml:space="preserve"> – At the end of another year marked by the COVID pandemic, it is apparent that the Hamburg office letting market has fared better than in 2020. Year on year, take-up of office space in this metropolis on the Elbe grew by 44 % to total 490,000 m² at the end of the 4th quarter of 2021. </w:t>
      </w:r>
      <w:r w:rsidRPr="00267CDB">
        <w:rPr>
          <w:rFonts w:ascii="Arial" w:hAnsi="Arial"/>
          <w:sz w:val="20"/>
          <w:szCs w:val="20"/>
        </w:rPr>
        <w:t xml:space="preserve">Summarizing the situation </w:t>
      </w:r>
      <w:r w:rsidRPr="00267CDB">
        <w:rPr>
          <w:rFonts w:ascii="Arial" w:hAnsi="Arial"/>
          <w:b/>
          <w:sz w:val="20"/>
          <w:szCs w:val="20"/>
        </w:rPr>
        <w:t xml:space="preserve">Andreas </w:t>
      </w:r>
      <w:proofErr w:type="spellStart"/>
      <w:r w:rsidRPr="00267CDB">
        <w:rPr>
          <w:rFonts w:ascii="Arial" w:hAnsi="Arial"/>
          <w:b/>
          <w:sz w:val="20"/>
          <w:szCs w:val="20"/>
        </w:rPr>
        <w:t>Rehberg</w:t>
      </w:r>
      <w:proofErr w:type="spellEnd"/>
      <w:r w:rsidRPr="00267CDB">
        <w:rPr>
          <w:rFonts w:ascii="Arial" w:hAnsi="Arial"/>
          <w:sz w:val="20"/>
          <w:szCs w:val="20"/>
        </w:rPr>
        <w:t>, spokesperson for the management board of Grossmann &amp; Berger, a member of German Property Partners (GPP), says,</w:t>
      </w:r>
      <w:r w:rsidR="007D682F">
        <w:rPr>
          <w:rFonts w:ascii="Arial" w:hAnsi="Arial"/>
          <w:sz w:val="20"/>
          <w:szCs w:val="20"/>
        </w:rPr>
        <w:t xml:space="preserve"> </w:t>
      </w:r>
      <w:r>
        <w:rPr>
          <w:rFonts w:ascii="Arial" w:hAnsi="Arial"/>
          <w:i/>
          <w:sz w:val="20"/>
          <w:szCs w:val="20"/>
        </w:rPr>
        <w:t xml:space="preserve">“This surge </w:t>
      </w:r>
      <w:r w:rsidR="007D682F">
        <w:rPr>
          <w:rFonts w:ascii="Arial" w:hAnsi="Arial"/>
          <w:i/>
          <w:sz w:val="20"/>
          <w:szCs w:val="20"/>
        </w:rPr>
        <w:t>definite</w:t>
      </w:r>
      <w:r w:rsidR="00E0694B">
        <w:rPr>
          <w:rFonts w:ascii="Arial" w:hAnsi="Arial"/>
          <w:i/>
          <w:sz w:val="20"/>
          <w:szCs w:val="20"/>
        </w:rPr>
        <w:t>ly</w:t>
      </w:r>
      <w:r w:rsidR="007D682F">
        <w:rPr>
          <w:rFonts w:ascii="Arial" w:hAnsi="Arial"/>
          <w:i/>
          <w:sz w:val="20"/>
          <w:szCs w:val="20"/>
        </w:rPr>
        <w:t xml:space="preserve"> </w:t>
      </w:r>
      <w:r>
        <w:rPr>
          <w:rFonts w:ascii="Arial" w:hAnsi="Arial"/>
          <w:i/>
          <w:sz w:val="20"/>
          <w:szCs w:val="20"/>
        </w:rPr>
        <w:t>speaks of a market recovery. As in the past, Hamburg benefits from the diversity of its economy.</w:t>
      </w:r>
      <w:r>
        <w:rPr>
          <w:rFonts w:ascii="Arial" w:hAnsi="Arial"/>
          <w:i/>
          <w:color w:val="0070C0"/>
          <w:sz w:val="20"/>
          <w:szCs w:val="20"/>
        </w:rPr>
        <w:t xml:space="preserve"> </w:t>
      </w:r>
      <w:r>
        <w:rPr>
          <w:rFonts w:ascii="Arial" w:hAnsi="Arial"/>
          <w:i/>
          <w:sz w:val="20"/>
          <w:szCs w:val="20"/>
        </w:rPr>
        <w:t xml:space="preserve">It has been very noticeable that service sector firms have been seeking considerably more office space in recent months. They tended to focus on space that was available at the time. Companies which </w:t>
      </w:r>
      <w:r w:rsidR="00267CDB">
        <w:rPr>
          <w:rFonts w:ascii="Arial" w:hAnsi="Arial"/>
          <w:i/>
          <w:sz w:val="20"/>
          <w:szCs w:val="20"/>
        </w:rPr>
        <w:t>consider</w:t>
      </w:r>
      <w:r>
        <w:rPr>
          <w:rFonts w:ascii="Arial" w:hAnsi="Arial"/>
          <w:i/>
          <w:sz w:val="20"/>
          <w:szCs w:val="20"/>
        </w:rPr>
        <w:t xml:space="preserve"> only a few locations have as little choice now as before the pandemic.</w:t>
      </w:r>
      <w:r w:rsidR="00267CDB">
        <w:rPr>
          <w:rFonts w:ascii="Arial" w:hAnsi="Arial"/>
          <w:sz w:val="20"/>
          <w:szCs w:val="20"/>
        </w:rPr>
        <w:t xml:space="preserve"> </w:t>
      </w:r>
      <w:r>
        <w:rPr>
          <w:rFonts w:ascii="Arial" w:hAnsi="Arial"/>
          <w:i/>
          <w:sz w:val="20"/>
          <w:szCs w:val="20"/>
        </w:rPr>
        <w:t xml:space="preserve">If the fourth wave of the pandemic ebbs as forecast and supply chains return to normal in </w:t>
      </w:r>
      <w:r w:rsidR="00831898">
        <w:rPr>
          <w:rFonts w:ascii="Arial" w:hAnsi="Arial"/>
          <w:i/>
          <w:sz w:val="20"/>
          <w:szCs w:val="20"/>
        </w:rPr>
        <w:t>mid-2022</w:t>
      </w:r>
      <w:r>
        <w:rPr>
          <w:rFonts w:ascii="Arial" w:hAnsi="Arial"/>
          <w:i/>
          <w:sz w:val="20"/>
          <w:szCs w:val="20"/>
        </w:rPr>
        <w:t xml:space="preserve">, we expect to see increasing demand for offices in Hamburg. We believe take-up of office space will </w:t>
      </w:r>
      <w:r w:rsidR="007D682F">
        <w:rPr>
          <w:rFonts w:ascii="Arial" w:hAnsi="Arial"/>
          <w:i/>
          <w:sz w:val="20"/>
          <w:szCs w:val="20"/>
        </w:rPr>
        <w:t>exceed</w:t>
      </w:r>
      <w:r>
        <w:rPr>
          <w:rFonts w:ascii="Arial" w:hAnsi="Arial"/>
          <w:i/>
          <w:sz w:val="20"/>
          <w:szCs w:val="20"/>
        </w:rPr>
        <w:t xml:space="preserve"> 500,000 square metres by the end of 2022.”</w:t>
      </w:r>
    </w:p>
    <w:p w14:paraId="5D164B10" w14:textId="77777777" w:rsidR="004D681E" w:rsidRDefault="004D681E" w:rsidP="00C171C1">
      <w:pPr>
        <w:spacing w:after="0" w:line="360" w:lineRule="auto"/>
        <w:textAlignment w:val="baseline"/>
        <w:rPr>
          <w:rFonts w:ascii="Arial" w:hAnsi="Arial" w:cs="Arial"/>
          <w:b/>
          <w:sz w:val="20"/>
          <w:szCs w:val="20"/>
        </w:rPr>
      </w:pPr>
    </w:p>
    <w:p w14:paraId="5037A73B" w14:textId="0047C9D3" w:rsidR="002D525C" w:rsidRPr="00C171C1" w:rsidRDefault="006F5757" w:rsidP="00C171C1">
      <w:pPr>
        <w:spacing w:after="0" w:line="360" w:lineRule="auto"/>
        <w:textAlignment w:val="baseline"/>
        <w:rPr>
          <w:rFonts w:ascii="Arial" w:hAnsi="Arial" w:cs="Arial"/>
          <w:b/>
          <w:sz w:val="20"/>
          <w:szCs w:val="20"/>
        </w:rPr>
      </w:pPr>
      <w:r>
        <w:rPr>
          <w:rFonts w:ascii="Arial" w:hAnsi="Arial"/>
          <w:b/>
          <w:sz w:val="20"/>
          <w:szCs w:val="20"/>
        </w:rPr>
        <w:t xml:space="preserve">Market details: </w:t>
      </w:r>
    </w:p>
    <w:p w14:paraId="1B80C998" w14:textId="7D30AE0A" w:rsidR="00A22C60" w:rsidRDefault="00533CEB" w:rsidP="00994121">
      <w:pPr>
        <w:pStyle w:val="Listenabsatz"/>
        <w:numPr>
          <w:ilvl w:val="0"/>
          <w:numId w:val="26"/>
        </w:numPr>
        <w:spacing w:after="0" w:line="360" w:lineRule="auto"/>
        <w:ind w:left="360"/>
        <w:rPr>
          <w:rFonts w:ascii="Arial" w:hAnsi="Arial" w:cs="Arial"/>
          <w:sz w:val="20"/>
          <w:szCs w:val="20"/>
        </w:rPr>
      </w:pPr>
      <w:r>
        <w:rPr>
          <w:rFonts w:ascii="Arial" w:hAnsi="Arial"/>
          <w:sz w:val="20"/>
          <w:szCs w:val="20"/>
        </w:rPr>
        <w:t xml:space="preserve">One indication that Hamburg’s office market has stabilized is that the number of agreements for premises offering more than 5,000 m² </w:t>
      </w:r>
      <w:r w:rsidR="007D682F">
        <w:rPr>
          <w:rFonts w:ascii="Arial" w:hAnsi="Arial"/>
          <w:sz w:val="20"/>
          <w:szCs w:val="20"/>
        </w:rPr>
        <w:t xml:space="preserve">of space </w:t>
      </w:r>
      <w:r>
        <w:rPr>
          <w:rFonts w:ascii="Arial" w:hAnsi="Arial"/>
          <w:sz w:val="20"/>
          <w:szCs w:val="20"/>
        </w:rPr>
        <w:t xml:space="preserve">rose from eight to eleven year on year. Seven agreements were noted in the </w:t>
      </w:r>
      <w:r>
        <w:rPr>
          <w:rFonts w:ascii="Arial" w:hAnsi="Arial"/>
          <w:sz w:val="20"/>
          <w:szCs w:val="20"/>
          <w:u w:val="single"/>
        </w:rPr>
        <w:t>size category</w:t>
      </w:r>
      <w:r>
        <w:rPr>
          <w:rFonts w:ascii="Arial" w:hAnsi="Arial"/>
          <w:sz w:val="20"/>
          <w:szCs w:val="20"/>
        </w:rPr>
        <w:t xml:space="preserve"> upwards of 10,000 m²</w:t>
      </w:r>
      <w:r w:rsidR="00AF3257">
        <w:rPr>
          <w:rFonts w:ascii="Arial" w:hAnsi="Arial"/>
          <w:sz w:val="20"/>
          <w:szCs w:val="20"/>
        </w:rPr>
        <w:t>.</w:t>
      </w:r>
      <w:bookmarkStart w:id="0" w:name="_GoBack"/>
      <w:bookmarkEnd w:id="0"/>
    </w:p>
    <w:p w14:paraId="64A6874D" w14:textId="58D0E29C" w:rsidR="00B01446" w:rsidRDefault="009176CA" w:rsidP="0081623E">
      <w:pPr>
        <w:pStyle w:val="Listenabsatz"/>
        <w:numPr>
          <w:ilvl w:val="0"/>
          <w:numId w:val="26"/>
        </w:numPr>
        <w:shd w:val="clear" w:color="auto" w:fill="FFFFFF"/>
        <w:spacing w:after="0" w:line="360" w:lineRule="auto"/>
        <w:ind w:left="360"/>
        <w:rPr>
          <w:rFonts w:ascii="Arial" w:hAnsi="Arial" w:cs="Arial"/>
          <w:sz w:val="20"/>
          <w:szCs w:val="20"/>
        </w:rPr>
      </w:pPr>
      <w:r>
        <w:rPr>
          <w:rFonts w:ascii="Arial" w:hAnsi="Arial"/>
          <w:sz w:val="20"/>
          <w:szCs w:val="20"/>
        </w:rPr>
        <w:t xml:space="preserve">The </w:t>
      </w:r>
      <w:r>
        <w:rPr>
          <w:rFonts w:ascii="Arial" w:hAnsi="Arial"/>
          <w:sz w:val="20"/>
          <w:szCs w:val="20"/>
          <w:u w:val="single"/>
        </w:rPr>
        <w:t>biggest new rental agreement</w:t>
      </w:r>
      <w:r>
        <w:rPr>
          <w:rFonts w:ascii="Arial" w:hAnsi="Arial"/>
          <w:sz w:val="20"/>
          <w:szCs w:val="20"/>
        </w:rPr>
        <w:t xml:space="preserve"> was signed in the 4th quarter by Maersk, a shipping company; it has decided to take 13,200 m² of office space in the “Johann </w:t>
      </w:r>
      <w:proofErr w:type="spellStart"/>
      <w:r>
        <w:rPr>
          <w:rFonts w:ascii="Arial" w:hAnsi="Arial"/>
          <w:sz w:val="20"/>
          <w:szCs w:val="20"/>
        </w:rPr>
        <w:t>Kontor</w:t>
      </w:r>
      <w:proofErr w:type="spellEnd"/>
      <w:r>
        <w:rPr>
          <w:rFonts w:ascii="Arial" w:hAnsi="Arial"/>
          <w:sz w:val="20"/>
          <w:szCs w:val="20"/>
        </w:rPr>
        <w:t xml:space="preserve">” in order to bring together in one location the employees working in Hamburg for Maersk and its subsidiaries. No other large-volume agreements were concluded between October and December. The </w:t>
      </w:r>
      <w:r>
        <w:rPr>
          <w:rFonts w:ascii="Arial" w:hAnsi="Arial"/>
          <w:sz w:val="20"/>
          <w:szCs w:val="20"/>
          <w:u w:val="single"/>
        </w:rPr>
        <w:t>biggest owner-occupier transaction</w:t>
      </w:r>
      <w:r>
        <w:rPr>
          <w:rFonts w:ascii="Arial" w:hAnsi="Arial"/>
          <w:sz w:val="20"/>
          <w:szCs w:val="20"/>
        </w:rPr>
        <w:t xml:space="preserve"> in 2021 was the 3rd-quarter construction start to add 14,800 m² of space to the headquarters of the health insurance company </w:t>
      </w:r>
      <w:proofErr w:type="spellStart"/>
      <w:r>
        <w:rPr>
          <w:rFonts w:ascii="Arial" w:hAnsi="Arial"/>
          <w:sz w:val="20"/>
          <w:szCs w:val="20"/>
        </w:rPr>
        <w:t>Techniker</w:t>
      </w:r>
      <w:proofErr w:type="spellEnd"/>
      <w:r>
        <w:rPr>
          <w:rFonts w:ascii="Arial" w:hAnsi="Arial"/>
          <w:sz w:val="20"/>
          <w:szCs w:val="20"/>
        </w:rPr>
        <w:t xml:space="preserve"> </w:t>
      </w:r>
      <w:proofErr w:type="spellStart"/>
      <w:r>
        <w:rPr>
          <w:rFonts w:ascii="Arial" w:hAnsi="Arial"/>
          <w:sz w:val="20"/>
          <w:szCs w:val="20"/>
        </w:rPr>
        <w:t>Krankenkasse</w:t>
      </w:r>
      <w:proofErr w:type="spellEnd"/>
      <w:r>
        <w:rPr>
          <w:rFonts w:ascii="Arial" w:hAnsi="Arial"/>
          <w:sz w:val="20"/>
          <w:szCs w:val="20"/>
        </w:rPr>
        <w:t xml:space="preserve"> on </w:t>
      </w:r>
      <w:proofErr w:type="spellStart"/>
      <w:r>
        <w:rPr>
          <w:rFonts w:ascii="Arial" w:hAnsi="Arial"/>
          <w:sz w:val="20"/>
          <w:szCs w:val="20"/>
        </w:rPr>
        <w:t>Bramfelder</w:t>
      </w:r>
      <w:proofErr w:type="spellEnd"/>
      <w:r>
        <w:rPr>
          <w:rFonts w:ascii="Arial" w:hAnsi="Arial"/>
          <w:sz w:val="20"/>
          <w:szCs w:val="20"/>
        </w:rPr>
        <w:t xml:space="preserve"> </w:t>
      </w:r>
      <w:proofErr w:type="spellStart"/>
      <w:r>
        <w:rPr>
          <w:rFonts w:ascii="Arial" w:hAnsi="Arial"/>
          <w:sz w:val="20"/>
          <w:szCs w:val="20"/>
        </w:rPr>
        <w:t>Chaussee</w:t>
      </w:r>
      <w:proofErr w:type="spellEnd"/>
      <w:r>
        <w:rPr>
          <w:rFonts w:ascii="Arial" w:hAnsi="Arial"/>
          <w:sz w:val="20"/>
          <w:szCs w:val="20"/>
        </w:rPr>
        <w:t>.</w:t>
      </w:r>
      <w:r>
        <w:rPr>
          <w:rFonts w:ascii="Arial" w:hAnsi="Arial"/>
          <w:color w:val="FF0000"/>
          <w:sz w:val="20"/>
          <w:szCs w:val="20"/>
        </w:rPr>
        <w:t xml:space="preserve"> </w:t>
      </w:r>
    </w:p>
    <w:p w14:paraId="19FDAB2C" w14:textId="77777777" w:rsidR="009A5FAF" w:rsidRDefault="009A5FAF" w:rsidP="009A5FAF">
      <w:pPr>
        <w:pStyle w:val="Listenabsatz"/>
        <w:numPr>
          <w:ilvl w:val="0"/>
          <w:numId w:val="26"/>
        </w:numPr>
        <w:spacing w:after="0" w:line="360" w:lineRule="auto"/>
        <w:ind w:left="360"/>
        <w:rPr>
          <w:rFonts w:ascii="Arial" w:hAnsi="Arial" w:cs="Arial"/>
          <w:sz w:val="20"/>
          <w:szCs w:val="20"/>
        </w:rPr>
      </w:pPr>
      <w:r>
        <w:rPr>
          <w:rFonts w:ascii="Arial" w:hAnsi="Arial"/>
          <w:sz w:val="20"/>
          <w:szCs w:val="20"/>
          <w:u w:val="single"/>
        </w:rPr>
        <w:t>Owner occupiers</w:t>
      </w:r>
      <w:r>
        <w:rPr>
          <w:rFonts w:ascii="Arial" w:hAnsi="Arial"/>
          <w:sz w:val="20"/>
          <w:szCs w:val="20"/>
        </w:rPr>
        <w:t xml:space="preserve"> accounted for a mere 6 % of the market, a figure unchanged year on year.</w:t>
      </w:r>
    </w:p>
    <w:p w14:paraId="1AF59927" w14:textId="358E559F" w:rsidR="00B01446" w:rsidRPr="00B01446" w:rsidRDefault="00CC6715" w:rsidP="0081623E">
      <w:pPr>
        <w:pStyle w:val="Listenabsatz"/>
        <w:numPr>
          <w:ilvl w:val="0"/>
          <w:numId w:val="26"/>
        </w:numPr>
        <w:shd w:val="clear" w:color="auto" w:fill="FFFFFF"/>
        <w:spacing w:after="0" w:line="360" w:lineRule="auto"/>
        <w:ind w:left="360"/>
        <w:rPr>
          <w:rFonts w:ascii="Arial" w:hAnsi="Arial" w:cs="Arial"/>
          <w:sz w:val="20"/>
          <w:szCs w:val="20"/>
        </w:rPr>
      </w:pPr>
      <w:r>
        <w:rPr>
          <w:rFonts w:ascii="Arial" w:hAnsi="Arial"/>
          <w:sz w:val="20"/>
          <w:szCs w:val="20"/>
        </w:rPr>
        <w:t xml:space="preserve">Compared with the preceding quarter, the </w:t>
      </w:r>
      <w:r>
        <w:rPr>
          <w:rFonts w:ascii="Arial" w:hAnsi="Arial"/>
          <w:sz w:val="20"/>
          <w:szCs w:val="20"/>
          <w:u w:val="single"/>
        </w:rPr>
        <w:t>vacancy rate</w:t>
      </w:r>
      <w:r>
        <w:rPr>
          <w:rFonts w:ascii="Arial" w:hAnsi="Arial"/>
          <w:sz w:val="20"/>
          <w:szCs w:val="20"/>
        </w:rPr>
        <w:t xml:space="preserve"> at the end of the 4th quarter of 2021 remained stable at 3.8 %. At the end of 2020, the figure was 3.5 %. Year on year the amount of office space available within six months rose by 10.6 % to 537,600 m². </w:t>
      </w:r>
      <w:r>
        <w:rPr>
          <w:rFonts w:ascii="Arial" w:hAnsi="Arial"/>
          <w:i/>
          <w:sz w:val="20"/>
          <w:szCs w:val="20"/>
        </w:rPr>
        <w:t>“Over the course of the year the amount of empty office space is likely to increase, leading to a rise in the vacancy rate, although it should remain in the low single-figure range. Companies are still looking to reduce their space requirements, but not by as much as thought a few months ago. Instead, they are investing in the quality of their premises, which includes generously-dimensioned community areas and breakout spaces,”</w:t>
      </w:r>
      <w:r>
        <w:rPr>
          <w:rFonts w:ascii="Arial" w:hAnsi="Arial"/>
          <w:sz w:val="20"/>
          <w:szCs w:val="20"/>
        </w:rPr>
        <w:t xml:space="preserve"> says </w:t>
      </w:r>
      <w:proofErr w:type="spellStart"/>
      <w:r>
        <w:rPr>
          <w:rFonts w:ascii="Arial" w:hAnsi="Arial"/>
          <w:b/>
          <w:sz w:val="20"/>
          <w:szCs w:val="20"/>
        </w:rPr>
        <w:t>Rehberg</w:t>
      </w:r>
      <w:proofErr w:type="spellEnd"/>
      <w:r>
        <w:rPr>
          <w:rFonts w:ascii="Arial" w:hAnsi="Arial"/>
          <w:b/>
          <w:sz w:val="20"/>
          <w:szCs w:val="20"/>
        </w:rPr>
        <w:t>.</w:t>
      </w:r>
      <w:r>
        <w:rPr>
          <w:rFonts w:ascii="Arial" w:hAnsi="Arial"/>
          <w:sz w:val="20"/>
          <w:szCs w:val="20"/>
        </w:rPr>
        <w:t xml:space="preserve"> </w:t>
      </w:r>
      <w:r>
        <w:rPr>
          <w:rFonts w:ascii="Arial" w:hAnsi="Arial"/>
          <w:i/>
          <w:sz w:val="20"/>
          <w:szCs w:val="20"/>
        </w:rPr>
        <w:t>“Despite the increase we expect rents to grow steadily in the City and sought-after locations. If more offices stand empty, however, rents for space in peripheral locations could be squeezed.”</w:t>
      </w:r>
    </w:p>
    <w:p w14:paraId="48C25E0F" w14:textId="0A22C688" w:rsidR="007C4BC3" w:rsidRDefault="00CC6715" w:rsidP="00994121">
      <w:pPr>
        <w:pStyle w:val="Listenabsatz"/>
        <w:numPr>
          <w:ilvl w:val="0"/>
          <w:numId w:val="26"/>
        </w:numPr>
        <w:spacing w:after="0" w:line="360" w:lineRule="auto"/>
        <w:ind w:left="360"/>
        <w:rPr>
          <w:rFonts w:ascii="Arial" w:hAnsi="Arial" w:cs="Arial"/>
          <w:sz w:val="20"/>
          <w:szCs w:val="20"/>
        </w:rPr>
      </w:pPr>
      <w:r>
        <w:rPr>
          <w:rFonts w:ascii="Arial" w:hAnsi="Arial"/>
          <w:sz w:val="20"/>
          <w:szCs w:val="20"/>
        </w:rPr>
        <w:t xml:space="preserve">Compared with the preceding quarter, the volume of </w:t>
      </w:r>
      <w:r>
        <w:rPr>
          <w:rFonts w:ascii="Arial" w:hAnsi="Arial"/>
          <w:sz w:val="20"/>
          <w:szCs w:val="20"/>
          <w:u w:val="single"/>
        </w:rPr>
        <w:t>sublet space</w:t>
      </w:r>
      <w:r>
        <w:rPr>
          <w:rFonts w:ascii="Arial" w:hAnsi="Arial"/>
          <w:sz w:val="20"/>
          <w:szCs w:val="20"/>
        </w:rPr>
        <w:t xml:space="preserve"> was unchanged at 48,450 m² but 40 % higher than the figure at the end of 2020.</w:t>
      </w:r>
    </w:p>
    <w:p w14:paraId="430E4430" w14:textId="4E9B0BB9" w:rsidR="007C4BC3" w:rsidRDefault="00461086" w:rsidP="004604E4">
      <w:pPr>
        <w:pStyle w:val="Listenabsatz"/>
        <w:numPr>
          <w:ilvl w:val="0"/>
          <w:numId w:val="26"/>
        </w:numPr>
        <w:spacing w:after="0" w:line="360" w:lineRule="auto"/>
        <w:ind w:left="360"/>
        <w:rPr>
          <w:rFonts w:ascii="Arial" w:hAnsi="Arial" w:cs="Arial"/>
          <w:sz w:val="20"/>
          <w:szCs w:val="20"/>
        </w:rPr>
      </w:pPr>
      <w:r>
        <w:rPr>
          <w:rFonts w:ascii="Arial" w:hAnsi="Arial"/>
          <w:sz w:val="20"/>
          <w:szCs w:val="20"/>
        </w:rPr>
        <w:lastRenderedPageBreak/>
        <w:t xml:space="preserve">A similar situation was observed for office rents: At the close of 2021 the </w:t>
      </w:r>
      <w:r>
        <w:rPr>
          <w:rFonts w:ascii="Arial" w:hAnsi="Arial"/>
          <w:sz w:val="20"/>
          <w:szCs w:val="20"/>
          <w:u w:val="single"/>
        </w:rPr>
        <w:t>average rent</w:t>
      </w:r>
      <w:r>
        <w:rPr>
          <w:rFonts w:ascii="Arial" w:hAnsi="Arial"/>
          <w:sz w:val="20"/>
          <w:szCs w:val="20"/>
        </w:rPr>
        <w:t xml:space="preserve"> reached a high of €18.10/m²/month, the same as it was in the preceding quarter. Compared with the end of 2020, however, this average has climbed by 3.4 %. Unchanged against the preceding quarter, the </w:t>
      </w:r>
      <w:r>
        <w:rPr>
          <w:rFonts w:ascii="Arial" w:hAnsi="Arial"/>
          <w:sz w:val="20"/>
          <w:szCs w:val="20"/>
          <w:u w:val="single"/>
        </w:rPr>
        <w:t>premium rent</w:t>
      </w:r>
      <w:r>
        <w:rPr>
          <w:rFonts w:ascii="Arial" w:hAnsi="Arial"/>
          <w:sz w:val="20"/>
          <w:szCs w:val="20"/>
        </w:rPr>
        <w:t xml:space="preserve"> rose by 3.3 % over twelve months.</w:t>
      </w:r>
    </w:p>
    <w:p w14:paraId="075CCB4F" w14:textId="29E4A508" w:rsidR="00EB54B0" w:rsidRDefault="00EB54B0" w:rsidP="00B45CBB">
      <w:pPr>
        <w:spacing w:after="0" w:line="360" w:lineRule="auto"/>
        <w:textAlignment w:val="baseline"/>
        <w:rPr>
          <w:rFonts w:ascii="Arial" w:hAnsi="Arial" w:cs="Arial"/>
          <w:color w:val="FF0000"/>
          <w:sz w:val="20"/>
          <w:szCs w:val="20"/>
        </w:rPr>
      </w:pPr>
    </w:p>
    <w:p w14:paraId="439BF49B" w14:textId="548CE6C7" w:rsidR="00E642CC" w:rsidRPr="00B45CBB" w:rsidRDefault="004D681E" w:rsidP="00B45CBB">
      <w:pPr>
        <w:spacing w:after="0" w:line="360" w:lineRule="auto"/>
        <w:textAlignment w:val="baseline"/>
        <w:rPr>
          <w:rFonts w:ascii="Arial" w:hAnsi="Arial" w:cs="Arial"/>
          <w:color w:val="FF0000"/>
          <w:sz w:val="20"/>
          <w:szCs w:val="20"/>
        </w:rPr>
      </w:pPr>
      <w:r>
        <w:rPr>
          <w:rFonts w:ascii="Arial" w:hAnsi="Arial"/>
          <w:b/>
          <w:noProof/>
          <w:sz w:val="20"/>
          <w:szCs w:val="20"/>
          <w:lang w:val="de-DE" w:eastAsia="de-DE"/>
        </w:rPr>
        <w:drawing>
          <wp:anchor distT="0" distB="0" distL="114300" distR="114300" simplePos="0" relativeHeight="251658240" behindDoc="0" locked="0" layoutInCell="1" allowOverlap="1" wp14:anchorId="1EA4D4AD" wp14:editId="553C6FF7">
            <wp:simplePos x="0" y="0"/>
            <wp:positionH relativeFrom="column">
              <wp:posOffset>3264535</wp:posOffset>
            </wp:positionH>
            <wp:positionV relativeFrom="paragraph">
              <wp:posOffset>253526</wp:posOffset>
            </wp:positionV>
            <wp:extent cx="2811145" cy="2014220"/>
            <wp:effectExtent l="19050" t="19050" r="27305" b="2413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üromarkt-Hamburg-4Q2021-Flächenumsatz.JPG"/>
                    <pic:cNvPicPr/>
                  </pic:nvPicPr>
                  <pic:blipFill>
                    <a:blip r:embed="rId8">
                      <a:extLst>
                        <a:ext uri="{28A0092B-C50C-407E-A947-70E740481C1C}">
                          <a14:useLocalDpi xmlns:a14="http://schemas.microsoft.com/office/drawing/2010/main" val="0"/>
                        </a:ext>
                      </a:extLst>
                    </a:blip>
                    <a:stretch>
                      <a:fillRect/>
                    </a:stretch>
                  </pic:blipFill>
                  <pic:spPr>
                    <a:xfrm>
                      <a:off x="0" y="0"/>
                      <a:ext cx="2811145" cy="2014220"/>
                    </a:xfrm>
                    <a:prstGeom prst="rect">
                      <a:avLst/>
                    </a:prstGeom>
                    <a:ln w="3175">
                      <a:solidFill>
                        <a:schemeClr val="tx1"/>
                      </a:solidFill>
                    </a:ln>
                  </pic:spPr>
                </pic:pic>
              </a:graphicData>
            </a:graphic>
          </wp:anchor>
        </w:drawing>
      </w:r>
    </w:p>
    <w:tbl>
      <w:tblPr>
        <w:tblStyle w:val="Tabellenraster"/>
        <w:tblpPr w:leftFromText="141" w:rightFromText="141" w:vertAnchor="text" w:horzAnchor="margin" w:tblpY="48"/>
        <w:tblW w:w="2575" w:type="pct"/>
        <w:tblLayout w:type="fixed"/>
        <w:tblLook w:val="04A0" w:firstRow="1" w:lastRow="0" w:firstColumn="1" w:lastColumn="0" w:noHBand="0" w:noVBand="1"/>
      </w:tblPr>
      <w:tblGrid>
        <w:gridCol w:w="3823"/>
        <w:gridCol w:w="1134"/>
      </w:tblGrid>
      <w:tr w:rsidR="00126D0B" w:rsidRPr="005650DF" w14:paraId="6F68E670" w14:textId="77777777" w:rsidTr="00A3554C">
        <w:trPr>
          <w:trHeight w:val="416"/>
        </w:trPr>
        <w:tc>
          <w:tcPr>
            <w:tcW w:w="3856" w:type="pct"/>
            <w:shd w:val="clear" w:color="auto" w:fill="1F242B" w:themeFill="accent2"/>
            <w:vAlign w:val="center"/>
          </w:tcPr>
          <w:p w14:paraId="0A78674A" w14:textId="107A7287" w:rsidR="00126D0B" w:rsidRPr="0053031B" w:rsidRDefault="00126D0B" w:rsidP="006A777A">
            <w:pPr>
              <w:widowControl w:val="0"/>
              <w:spacing w:after="0"/>
              <w:rPr>
                <w:rFonts w:ascii="Arial" w:hAnsi="Arial" w:cs="Arial"/>
                <w:b/>
                <w:sz w:val="18"/>
                <w:szCs w:val="16"/>
              </w:rPr>
            </w:pPr>
            <w:r>
              <w:rPr>
                <w:rFonts w:ascii="Arial" w:hAnsi="Arial"/>
                <w:b/>
                <w:sz w:val="18"/>
                <w:szCs w:val="20"/>
              </w:rPr>
              <w:t>Office market | Hamburg | 2021</w:t>
            </w:r>
          </w:p>
        </w:tc>
        <w:tc>
          <w:tcPr>
            <w:tcW w:w="1144" w:type="pct"/>
            <w:shd w:val="clear" w:color="auto" w:fill="1F242B" w:themeFill="accent2"/>
            <w:vAlign w:val="center"/>
          </w:tcPr>
          <w:p w14:paraId="481F2F5D" w14:textId="24630178" w:rsidR="00126D0B" w:rsidRPr="0053031B" w:rsidRDefault="00625156" w:rsidP="001F4072">
            <w:pPr>
              <w:widowControl w:val="0"/>
              <w:spacing w:after="0"/>
              <w:jc w:val="center"/>
              <w:rPr>
                <w:rFonts w:ascii="Arial" w:hAnsi="Arial" w:cs="Arial"/>
                <w:b/>
                <w:sz w:val="18"/>
                <w:szCs w:val="16"/>
              </w:rPr>
            </w:pPr>
            <w:r>
              <w:rPr>
                <w:rFonts w:ascii="Arial" w:hAnsi="Arial"/>
                <w:b/>
                <w:sz w:val="18"/>
                <w:szCs w:val="16"/>
              </w:rPr>
              <w:t>Q1 -4</w:t>
            </w:r>
          </w:p>
        </w:tc>
      </w:tr>
      <w:tr w:rsidR="00126D0B" w:rsidRPr="00F952F7" w14:paraId="77867528" w14:textId="77777777" w:rsidTr="00A3554C">
        <w:trPr>
          <w:trHeight w:val="283"/>
        </w:trPr>
        <w:tc>
          <w:tcPr>
            <w:tcW w:w="3856" w:type="pct"/>
            <w:vAlign w:val="center"/>
          </w:tcPr>
          <w:p w14:paraId="265D46DB" w14:textId="45BB61AB" w:rsidR="00126D0B" w:rsidRPr="000E7BC7" w:rsidRDefault="00126D0B" w:rsidP="00465B0E">
            <w:pPr>
              <w:widowControl w:val="0"/>
              <w:spacing w:before="60" w:after="60"/>
              <w:rPr>
                <w:rFonts w:ascii="Arial" w:hAnsi="Arial" w:cs="Arial"/>
                <w:b/>
                <w:sz w:val="18"/>
                <w:szCs w:val="16"/>
              </w:rPr>
            </w:pPr>
            <w:r>
              <w:rPr>
                <w:rFonts w:ascii="Arial" w:hAnsi="Arial"/>
                <w:b/>
                <w:sz w:val="18"/>
                <w:szCs w:val="16"/>
              </w:rPr>
              <w:t xml:space="preserve">Space take-up </w:t>
            </w:r>
            <w:r>
              <w:rPr>
                <w:rFonts w:ascii="Arial" w:hAnsi="Arial"/>
                <w:sz w:val="18"/>
                <w:szCs w:val="16"/>
              </w:rPr>
              <w:t>[m²]</w:t>
            </w:r>
          </w:p>
        </w:tc>
        <w:tc>
          <w:tcPr>
            <w:tcW w:w="1144" w:type="pct"/>
            <w:vAlign w:val="center"/>
          </w:tcPr>
          <w:p w14:paraId="63741640" w14:textId="41518F5A" w:rsidR="00126D0B" w:rsidRPr="000E7BC7" w:rsidRDefault="00E4646F" w:rsidP="007543F0">
            <w:pPr>
              <w:spacing w:after="0"/>
              <w:jc w:val="right"/>
              <w:rPr>
                <w:rFonts w:ascii="Arial" w:hAnsi="Arial" w:cs="Arial"/>
                <w:sz w:val="18"/>
                <w:szCs w:val="16"/>
              </w:rPr>
            </w:pPr>
            <w:r>
              <w:rPr>
                <w:rFonts w:ascii="Arial" w:hAnsi="Arial"/>
                <w:sz w:val="18"/>
                <w:szCs w:val="16"/>
              </w:rPr>
              <w:t>490,000</w:t>
            </w:r>
          </w:p>
        </w:tc>
      </w:tr>
      <w:tr w:rsidR="00126D0B" w:rsidRPr="00F952F7" w14:paraId="61B49F6B" w14:textId="77777777" w:rsidTr="00A3554C">
        <w:trPr>
          <w:trHeight w:val="283"/>
        </w:trPr>
        <w:tc>
          <w:tcPr>
            <w:tcW w:w="3856" w:type="pct"/>
            <w:vAlign w:val="center"/>
          </w:tcPr>
          <w:p w14:paraId="7C496C8C" w14:textId="77777777" w:rsidR="00126D0B" w:rsidRPr="000E7BC7" w:rsidRDefault="00126D0B" w:rsidP="00465B0E">
            <w:pPr>
              <w:widowControl w:val="0"/>
              <w:spacing w:before="60" w:after="60"/>
              <w:rPr>
                <w:rFonts w:ascii="Arial" w:hAnsi="Arial" w:cs="Arial"/>
                <w:b/>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144" w:type="pct"/>
            <w:vAlign w:val="center"/>
          </w:tcPr>
          <w:p w14:paraId="27D64227" w14:textId="0479423A" w:rsidR="00126D0B" w:rsidRPr="000E7BC7" w:rsidRDefault="006A777A" w:rsidP="00E4646F">
            <w:pPr>
              <w:spacing w:after="0"/>
              <w:jc w:val="right"/>
              <w:rPr>
                <w:rFonts w:ascii="Arial" w:hAnsi="Arial" w:cs="Arial"/>
                <w:sz w:val="18"/>
                <w:szCs w:val="16"/>
              </w:rPr>
            </w:pPr>
            <w:r>
              <w:rPr>
                <w:rFonts w:ascii="Arial" w:hAnsi="Arial"/>
                <w:sz w:val="18"/>
                <w:szCs w:val="16"/>
              </w:rPr>
              <w:t>+44.1</w:t>
            </w:r>
          </w:p>
        </w:tc>
      </w:tr>
      <w:tr w:rsidR="00126D0B" w:rsidRPr="00F952F7" w14:paraId="18A78594" w14:textId="77777777" w:rsidTr="00A3554C">
        <w:trPr>
          <w:trHeight w:val="283"/>
        </w:trPr>
        <w:tc>
          <w:tcPr>
            <w:tcW w:w="3856" w:type="pct"/>
            <w:vAlign w:val="center"/>
          </w:tcPr>
          <w:p w14:paraId="6954B01F" w14:textId="3D2BFC5F" w:rsidR="00126D0B" w:rsidRPr="000E7BC7" w:rsidRDefault="00126D0B" w:rsidP="00465B0E">
            <w:pPr>
              <w:widowControl w:val="0"/>
              <w:spacing w:before="60" w:after="60"/>
              <w:rPr>
                <w:rFonts w:ascii="Arial" w:hAnsi="Arial" w:cs="Arial"/>
                <w:b/>
                <w:sz w:val="18"/>
                <w:szCs w:val="16"/>
              </w:rPr>
            </w:pPr>
            <w:r>
              <w:rPr>
                <w:rFonts w:ascii="Arial" w:hAnsi="Arial"/>
                <w:b/>
                <w:sz w:val="18"/>
                <w:szCs w:val="16"/>
              </w:rPr>
              <w:t xml:space="preserve">Premium rent </w:t>
            </w:r>
            <w:r>
              <w:rPr>
                <w:rFonts w:ascii="Arial" w:hAnsi="Arial"/>
                <w:sz w:val="18"/>
                <w:szCs w:val="16"/>
              </w:rPr>
              <w:t>[€/m²/month net of services]</w:t>
            </w:r>
          </w:p>
        </w:tc>
        <w:tc>
          <w:tcPr>
            <w:tcW w:w="1144" w:type="pct"/>
            <w:vAlign w:val="center"/>
          </w:tcPr>
          <w:p w14:paraId="70F596CF" w14:textId="734F033E" w:rsidR="00126D0B" w:rsidRPr="000E7BC7" w:rsidRDefault="001F4072" w:rsidP="003579E5">
            <w:pPr>
              <w:spacing w:after="0"/>
              <w:jc w:val="right"/>
              <w:rPr>
                <w:rFonts w:ascii="Arial" w:hAnsi="Arial" w:cs="Arial"/>
                <w:color w:val="000000" w:themeColor="text1"/>
                <w:sz w:val="18"/>
                <w:szCs w:val="16"/>
              </w:rPr>
            </w:pPr>
            <w:r>
              <w:rPr>
                <w:rFonts w:ascii="Arial" w:hAnsi="Arial"/>
                <w:sz w:val="18"/>
                <w:szCs w:val="16"/>
              </w:rPr>
              <w:t>31.50</w:t>
            </w:r>
          </w:p>
        </w:tc>
      </w:tr>
      <w:tr w:rsidR="00126D0B" w:rsidRPr="00F952F7" w14:paraId="31A55AA5" w14:textId="77777777" w:rsidTr="00A3554C">
        <w:trPr>
          <w:trHeight w:val="283"/>
        </w:trPr>
        <w:tc>
          <w:tcPr>
            <w:tcW w:w="3856" w:type="pct"/>
            <w:vAlign w:val="center"/>
          </w:tcPr>
          <w:p w14:paraId="6DBC3456" w14:textId="77777777" w:rsidR="00126D0B" w:rsidRPr="000E7BC7" w:rsidRDefault="00126D0B" w:rsidP="00465B0E">
            <w:pPr>
              <w:widowControl w:val="0"/>
              <w:spacing w:before="60" w:after="60"/>
              <w:rPr>
                <w:rFonts w:ascii="Arial" w:hAnsi="Arial" w:cs="Arial"/>
                <w:b/>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144" w:type="pct"/>
            <w:vAlign w:val="center"/>
          </w:tcPr>
          <w:p w14:paraId="6830C292" w14:textId="07BF709B" w:rsidR="00126D0B" w:rsidRPr="000E7BC7" w:rsidRDefault="00010109" w:rsidP="001F4072">
            <w:pPr>
              <w:spacing w:after="0"/>
              <w:jc w:val="right"/>
              <w:rPr>
                <w:rFonts w:ascii="Arial" w:hAnsi="Arial" w:cs="Arial"/>
                <w:color w:val="000000" w:themeColor="text1"/>
                <w:sz w:val="18"/>
                <w:szCs w:val="16"/>
              </w:rPr>
            </w:pPr>
            <w:r>
              <w:rPr>
                <w:rFonts w:ascii="Arial" w:hAnsi="Arial"/>
                <w:color w:val="000000" w:themeColor="text1"/>
                <w:sz w:val="18"/>
                <w:szCs w:val="16"/>
              </w:rPr>
              <w:t>+3.3</w:t>
            </w:r>
          </w:p>
        </w:tc>
      </w:tr>
      <w:tr w:rsidR="00126D0B" w:rsidRPr="00F952F7" w14:paraId="7F67F22F" w14:textId="77777777" w:rsidTr="00A3554C">
        <w:trPr>
          <w:trHeight w:val="283"/>
        </w:trPr>
        <w:tc>
          <w:tcPr>
            <w:tcW w:w="3856" w:type="pct"/>
            <w:vAlign w:val="center"/>
          </w:tcPr>
          <w:p w14:paraId="2F932C3B" w14:textId="2529BCD3" w:rsidR="00126D0B" w:rsidRPr="000E7BC7" w:rsidRDefault="00126D0B" w:rsidP="00C171C1">
            <w:pPr>
              <w:widowControl w:val="0"/>
              <w:spacing w:before="60" w:after="60"/>
              <w:rPr>
                <w:rFonts w:ascii="Arial" w:hAnsi="Arial" w:cs="Arial"/>
                <w:b/>
                <w:sz w:val="18"/>
                <w:szCs w:val="16"/>
              </w:rPr>
            </w:pPr>
            <w:r>
              <w:rPr>
                <w:rFonts w:ascii="Arial" w:hAnsi="Arial"/>
                <w:b/>
                <w:sz w:val="18"/>
                <w:szCs w:val="16"/>
              </w:rPr>
              <w:t xml:space="preserve">Average rent </w:t>
            </w:r>
            <w:r>
              <w:rPr>
                <w:rFonts w:ascii="Arial" w:hAnsi="Arial"/>
                <w:sz w:val="18"/>
                <w:szCs w:val="16"/>
              </w:rPr>
              <w:t>[€/m²/month net of services]</w:t>
            </w:r>
          </w:p>
        </w:tc>
        <w:tc>
          <w:tcPr>
            <w:tcW w:w="1144" w:type="pct"/>
            <w:vAlign w:val="center"/>
          </w:tcPr>
          <w:p w14:paraId="3C14A76E" w14:textId="304EE9F5" w:rsidR="00126D0B" w:rsidRPr="000E7BC7" w:rsidRDefault="001F4072" w:rsidP="006A777A">
            <w:pPr>
              <w:spacing w:after="0"/>
              <w:jc w:val="right"/>
              <w:rPr>
                <w:rFonts w:ascii="Arial" w:hAnsi="Arial" w:cs="Arial"/>
                <w:color w:val="000000" w:themeColor="text1"/>
                <w:sz w:val="18"/>
                <w:szCs w:val="16"/>
              </w:rPr>
            </w:pPr>
            <w:r>
              <w:rPr>
                <w:rFonts w:ascii="Arial" w:hAnsi="Arial"/>
                <w:sz w:val="18"/>
                <w:szCs w:val="16"/>
              </w:rPr>
              <w:t>18.10</w:t>
            </w:r>
          </w:p>
        </w:tc>
      </w:tr>
      <w:tr w:rsidR="00126D0B" w:rsidRPr="00F952F7" w14:paraId="55AE2FEF" w14:textId="77777777" w:rsidTr="00A3554C">
        <w:trPr>
          <w:trHeight w:val="283"/>
        </w:trPr>
        <w:tc>
          <w:tcPr>
            <w:tcW w:w="3856" w:type="pct"/>
            <w:vAlign w:val="center"/>
          </w:tcPr>
          <w:p w14:paraId="51C3035D" w14:textId="5EEF0C29" w:rsidR="00126D0B" w:rsidRPr="000E7BC7" w:rsidRDefault="00126D0B" w:rsidP="00465B0E">
            <w:pPr>
              <w:widowControl w:val="0"/>
              <w:spacing w:before="60" w:after="60"/>
              <w:rPr>
                <w:rFonts w:ascii="Arial" w:hAnsi="Arial" w:cs="Arial"/>
                <w:b/>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144" w:type="pct"/>
            <w:vAlign w:val="center"/>
          </w:tcPr>
          <w:p w14:paraId="4164DE3A" w14:textId="55DD06EF" w:rsidR="00126D0B" w:rsidRPr="000E7BC7" w:rsidRDefault="006A777A" w:rsidP="00E4646F">
            <w:pPr>
              <w:spacing w:after="0"/>
              <w:jc w:val="right"/>
              <w:rPr>
                <w:rFonts w:ascii="Arial" w:hAnsi="Arial" w:cs="Arial"/>
                <w:color w:val="000000" w:themeColor="text1"/>
                <w:sz w:val="18"/>
                <w:szCs w:val="16"/>
              </w:rPr>
            </w:pPr>
            <w:r>
              <w:rPr>
                <w:rFonts w:ascii="Arial" w:hAnsi="Arial"/>
                <w:color w:val="000000" w:themeColor="text1"/>
                <w:sz w:val="18"/>
                <w:szCs w:val="16"/>
              </w:rPr>
              <w:t>+3.4</w:t>
            </w:r>
          </w:p>
        </w:tc>
      </w:tr>
      <w:tr w:rsidR="00126D0B" w:rsidRPr="00F952F7" w14:paraId="29F52584" w14:textId="77777777" w:rsidTr="00A3554C">
        <w:trPr>
          <w:trHeight w:val="283"/>
        </w:trPr>
        <w:tc>
          <w:tcPr>
            <w:tcW w:w="3856" w:type="pct"/>
            <w:vAlign w:val="center"/>
          </w:tcPr>
          <w:p w14:paraId="1671CE00" w14:textId="77777777" w:rsidR="00126D0B" w:rsidRPr="000E7BC7" w:rsidRDefault="00126D0B" w:rsidP="00465B0E">
            <w:pPr>
              <w:widowControl w:val="0"/>
              <w:spacing w:before="60" w:after="60"/>
              <w:rPr>
                <w:rFonts w:ascii="Arial" w:hAnsi="Arial" w:cs="Arial"/>
                <w:sz w:val="18"/>
                <w:szCs w:val="16"/>
              </w:rPr>
            </w:pPr>
            <w:r>
              <w:rPr>
                <w:rFonts w:ascii="Arial" w:hAnsi="Arial"/>
                <w:b/>
                <w:sz w:val="18"/>
                <w:szCs w:val="16"/>
              </w:rPr>
              <w:t>Stock of office space</w:t>
            </w:r>
            <w:r>
              <w:rPr>
                <w:rFonts w:ascii="Arial" w:hAnsi="Arial"/>
                <w:sz w:val="18"/>
                <w:szCs w:val="16"/>
              </w:rPr>
              <w:t xml:space="preserve"> [millions m²]</w:t>
            </w:r>
          </w:p>
        </w:tc>
        <w:tc>
          <w:tcPr>
            <w:tcW w:w="1144" w:type="pct"/>
            <w:vAlign w:val="center"/>
          </w:tcPr>
          <w:p w14:paraId="26F8983D" w14:textId="46B4672E" w:rsidR="00126D0B" w:rsidRPr="000E7BC7" w:rsidRDefault="006A777A" w:rsidP="00465B0E">
            <w:pPr>
              <w:spacing w:after="0"/>
              <w:jc w:val="right"/>
              <w:rPr>
                <w:rFonts w:ascii="Arial" w:hAnsi="Arial" w:cs="Arial"/>
                <w:color w:val="000000" w:themeColor="text1"/>
                <w:sz w:val="18"/>
                <w:szCs w:val="16"/>
              </w:rPr>
            </w:pPr>
            <w:r>
              <w:rPr>
                <w:rFonts w:ascii="Arial" w:hAnsi="Arial"/>
                <w:sz w:val="18"/>
                <w:szCs w:val="16"/>
              </w:rPr>
              <w:t>14.0</w:t>
            </w:r>
          </w:p>
        </w:tc>
      </w:tr>
      <w:tr w:rsidR="00126D0B" w:rsidRPr="00F952F7" w14:paraId="66925CFD" w14:textId="77777777" w:rsidTr="00A3554C">
        <w:trPr>
          <w:trHeight w:val="283"/>
        </w:trPr>
        <w:tc>
          <w:tcPr>
            <w:tcW w:w="3856" w:type="pct"/>
            <w:vAlign w:val="center"/>
          </w:tcPr>
          <w:p w14:paraId="3CAD0C20" w14:textId="31C6453F" w:rsidR="00126D0B" w:rsidRPr="000E7BC7" w:rsidRDefault="00126D0B" w:rsidP="00465B0E">
            <w:pPr>
              <w:widowControl w:val="0"/>
              <w:spacing w:before="60" w:after="60"/>
              <w:rPr>
                <w:rFonts w:ascii="Arial" w:hAnsi="Arial" w:cs="Arial"/>
                <w:b/>
                <w:sz w:val="18"/>
                <w:szCs w:val="16"/>
              </w:rPr>
            </w:pPr>
            <w:r>
              <w:rPr>
                <w:rFonts w:ascii="Arial" w:hAnsi="Arial"/>
                <w:b/>
                <w:sz w:val="18"/>
                <w:szCs w:val="16"/>
              </w:rPr>
              <w:t>Vacant space</w:t>
            </w:r>
            <w:r>
              <w:rPr>
                <w:rFonts w:ascii="Arial" w:hAnsi="Arial"/>
                <w:sz w:val="18"/>
                <w:szCs w:val="16"/>
              </w:rPr>
              <w:t xml:space="preserve"> incl. sub-let space [m²]</w:t>
            </w:r>
          </w:p>
        </w:tc>
        <w:tc>
          <w:tcPr>
            <w:tcW w:w="1144" w:type="pct"/>
            <w:vAlign w:val="center"/>
          </w:tcPr>
          <w:p w14:paraId="55B6F2ED" w14:textId="314E0F9C" w:rsidR="00126D0B" w:rsidRPr="000E7BC7" w:rsidRDefault="00E4646F" w:rsidP="00E116D4">
            <w:pPr>
              <w:spacing w:after="0"/>
              <w:jc w:val="right"/>
              <w:rPr>
                <w:rFonts w:ascii="Arial" w:hAnsi="Arial" w:cs="Arial"/>
                <w:color w:val="000000" w:themeColor="text1"/>
                <w:sz w:val="18"/>
                <w:szCs w:val="16"/>
              </w:rPr>
            </w:pPr>
            <w:r>
              <w:rPr>
                <w:rFonts w:ascii="Arial" w:hAnsi="Arial"/>
                <w:sz w:val="18"/>
                <w:szCs w:val="16"/>
              </w:rPr>
              <w:t>537,600</w:t>
            </w:r>
          </w:p>
        </w:tc>
      </w:tr>
      <w:tr w:rsidR="00126D0B" w:rsidRPr="00F952F7" w14:paraId="48D02C44" w14:textId="77777777" w:rsidTr="00A3554C">
        <w:trPr>
          <w:trHeight w:val="283"/>
        </w:trPr>
        <w:tc>
          <w:tcPr>
            <w:tcW w:w="3856" w:type="pct"/>
            <w:vAlign w:val="center"/>
          </w:tcPr>
          <w:p w14:paraId="18064F86" w14:textId="77777777" w:rsidR="00126D0B" w:rsidRPr="000E7BC7" w:rsidRDefault="00126D0B" w:rsidP="00465B0E">
            <w:pPr>
              <w:widowControl w:val="0"/>
              <w:spacing w:before="60" w:after="60"/>
              <w:rPr>
                <w:rFonts w:ascii="Arial" w:hAnsi="Arial" w:cs="Arial"/>
                <w:b/>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144" w:type="pct"/>
            <w:vAlign w:val="center"/>
          </w:tcPr>
          <w:p w14:paraId="45257396" w14:textId="48035D24" w:rsidR="00126D0B" w:rsidRPr="000E7BC7" w:rsidRDefault="003579E5" w:rsidP="00E4646F">
            <w:pPr>
              <w:spacing w:after="0"/>
              <w:jc w:val="right"/>
              <w:rPr>
                <w:rFonts w:ascii="Arial" w:hAnsi="Arial" w:cs="Arial"/>
                <w:color w:val="000000" w:themeColor="text1"/>
                <w:sz w:val="18"/>
                <w:szCs w:val="16"/>
              </w:rPr>
            </w:pPr>
            <w:r>
              <w:rPr>
                <w:rFonts w:ascii="Arial" w:hAnsi="Arial"/>
                <w:color w:val="000000" w:themeColor="text1"/>
                <w:sz w:val="18"/>
                <w:szCs w:val="16"/>
              </w:rPr>
              <w:t>+10.6</w:t>
            </w:r>
          </w:p>
        </w:tc>
      </w:tr>
      <w:tr w:rsidR="00126D0B" w:rsidRPr="00F952F7" w14:paraId="4405FA29" w14:textId="77777777" w:rsidTr="00A3554C">
        <w:trPr>
          <w:trHeight w:val="283"/>
        </w:trPr>
        <w:tc>
          <w:tcPr>
            <w:tcW w:w="3856" w:type="pct"/>
            <w:vAlign w:val="center"/>
          </w:tcPr>
          <w:p w14:paraId="753F0052" w14:textId="77106B0C" w:rsidR="00126D0B" w:rsidRPr="000E7BC7" w:rsidRDefault="00126D0B" w:rsidP="00465B0E">
            <w:pPr>
              <w:widowControl w:val="0"/>
              <w:spacing w:before="60" w:after="60"/>
              <w:rPr>
                <w:rFonts w:ascii="Arial" w:hAnsi="Arial" w:cs="Arial"/>
                <w:b/>
                <w:sz w:val="18"/>
                <w:szCs w:val="16"/>
              </w:rPr>
            </w:pPr>
            <w:r>
              <w:rPr>
                <w:rFonts w:ascii="Arial" w:hAnsi="Arial"/>
                <w:b/>
                <w:sz w:val="18"/>
                <w:szCs w:val="16"/>
              </w:rPr>
              <w:t>Vacancy rate</w:t>
            </w:r>
            <w:r>
              <w:rPr>
                <w:rFonts w:ascii="Arial" w:hAnsi="Arial"/>
                <w:sz w:val="18"/>
                <w:szCs w:val="16"/>
              </w:rPr>
              <w:t xml:space="preserve"> incl. sub-let space [%]</w:t>
            </w:r>
          </w:p>
        </w:tc>
        <w:tc>
          <w:tcPr>
            <w:tcW w:w="1144" w:type="pct"/>
            <w:vAlign w:val="center"/>
          </w:tcPr>
          <w:p w14:paraId="0CFC3EE8" w14:textId="683B237D" w:rsidR="00126D0B" w:rsidRPr="000E7BC7" w:rsidRDefault="006640C4" w:rsidP="0025303E">
            <w:pPr>
              <w:spacing w:after="0"/>
              <w:jc w:val="right"/>
              <w:rPr>
                <w:rFonts w:ascii="Arial" w:hAnsi="Arial" w:cs="Arial"/>
                <w:color w:val="000000" w:themeColor="text1"/>
                <w:sz w:val="18"/>
                <w:szCs w:val="16"/>
              </w:rPr>
            </w:pPr>
            <w:r>
              <w:rPr>
                <w:rFonts w:ascii="Arial" w:hAnsi="Arial"/>
                <w:color w:val="000000" w:themeColor="text1"/>
                <w:sz w:val="18"/>
                <w:szCs w:val="16"/>
              </w:rPr>
              <w:t>3.8</w:t>
            </w:r>
          </w:p>
        </w:tc>
      </w:tr>
      <w:tr w:rsidR="00126D0B" w:rsidRPr="00F952F7" w14:paraId="7921B6A7" w14:textId="77777777" w:rsidTr="00A3554C">
        <w:trPr>
          <w:trHeight w:val="283"/>
        </w:trPr>
        <w:tc>
          <w:tcPr>
            <w:tcW w:w="3856" w:type="pct"/>
            <w:tcBorders>
              <w:bottom w:val="single" w:sz="4" w:space="0" w:color="auto"/>
            </w:tcBorders>
            <w:vAlign w:val="center"/>
          </w:tcPr>
          <w:p w14:paraId="345AD35B" w14:textId="7F1D420F" w:rsidR="00126D0B" w:rsidRPr="000E7BC7" w:rsidRDefault="00126D0B" w:rsidP="00E4646F">
            <w:pPr>
              <w:widowControl w:val="0"/>
              <w:spacing w:before="60" w:after="60"/>
              <w:rPr>
                <w:rFonts w:ascii="Arial" w:hAnsi="Arial" w:cs="Arial"/>
                <w:b/>
                <w:sz w:val="18"/>
                <w:szCs w:val="16"/>
              </w:rPr>
            </w:pPr>
            <w:r>
              <w:rPr>
                <w:rFonts w:ascii="Arial" w:hAnsi="Arial"/>
                <w:b/>
                <w:bCs/>
                <w:sz w:val="18"/>
                <w:szCs w:val="16"/>
              </w:rPr>
              <w:t>Completions 2022+2023</w:t>
            </w:r>
            <w:r>
              <w:rPr>
                <w:rFonts w:ascii="Arial" w:hAnsi="Arial"/>
                <w:bCs/>
                <w:sz w:val="18"/>
                <w:szCs w:val="16"/>
              </w:rPr>
              <w:t xml:space="preserve"> </w:t>
            </w:r>
            <w:r>
              <w:rPr>
                <w:rFonts w:ascii="Arial" w:hAnsi="Arial"/>
                <w:sz w:val="18"/>
                <w:szCs w:val="16"/>
              </w:rPr>
              <w:t>[m²]</w:t>
            </w:r>
          </w:p>
        </w:tc>
        <w:tc>
          <w:tcPr>
            <w:tcW w:w="1144" w:type="pct"/>
            <w:tcBorders>
              <w:bottom w:val="single" w:sz="4" w:space="0" w:color="auto"/>
            </w:tcBorders>
            <w:vAlign w:val="center"/>
          </w:tcPr>
          <w:p w14:paraId="1B6B2972" w14:textId="66177A8E" w:rsidR="00126D0B" w:rsidRPr="000E7BC7" w:rsidRDefault="00E4646F" w:rsidP="00E116D4">
            <w:pPr>
              <w:spacing w:after="0"/>
              <w:jc w:val="right"/>
              <w:rPr>
                <w:rFonts w:ascii="Arial" w:hAnsi="Arial" w:cs="Arial"/>
                <w:color w:val="000000" w:themeColor="text1"/>
                <w:sz w:val="18"/>
                <w:szCs w:val="16"/>
              </w:rPr>
            </w:pPr>
            <w:r>
              <w:rPr>
                <w:rFonts w:ascii="Arial" w:hAnsi="Arial"/>
                <w:sz w:val="18"/>
                <w:szCs w:val="16"/>
              </w:rPr>
              <w:t>556,000</w:t>
            </w:r>
          </w:p>
        </w:tc>
      </w:tr>
      <w:tr w:rsidR="00126D0B" w:rsidRPr="00F952F7" w14:paraId="087F48A7" w14:textId="77777777" w:rsidTr="00A3554C">
        <w:trPr>
          <w:trHeight w:val="283"/>
        </w:trPr>
        <w:tc>
          <w:tcPr>
            <w:tcW w:w="3856" w:type="pct"/>
            <w:tcBorders>
              <w:bottom w:val="single" w:sz="4" w:space="0" w:color="auto"/>
            </w:tcBorders>
            <w:vAlign w:val="center"/>
          </w:tcPr>
          <w:p w14:paraId="1D69265F" w14:textId="77777777" w:rsidR="00126D0B" w:rsidRPr="000E7BC7" w:rsidRDefault="00126D0B" w:rsidP="00465B0E">
            <w:pPr>
              <w:widowControl w:val="0"/>
              <w:spacing w:before="60" w:after="60"/>
              <w:rPr>
                <w:rFonts w:ascii="Arial" w:hAnsi="Arial" w:cs="Arial"/>
                <w:b/>
                <w:sz w:val="18"/>
                <w:szCs w:val="16"/>
              </w:rPr>
            </w:pPr>
            <w:r>
              <w:rPr>
                <w:rFonts w:ascii="Arial" w:hAnsi="Arial"/>
                <w:b/>
                <w:sz w:val="18"/>
                <w:szCs w:val="16"/>
              </w:rPr>
              <w:t>Pre-let ratio</w:t>
            </w:r>
            <w:r>
              <w:rPr>
                <w:rFonts w:ascii="Arial" w:hAnsi="Arial"/>
                <w:sz w:val="18"/>
                <w:szCs w:val="16"/>
              </w:rPr>
              <w:t xml:space="preserve"> [%]</w:t>
            </w:r>
          </w:p>
        </w:tc>
        <w:tc>
          <w:tcPr>
            <w:tcW w:w="1144" w:type="pct"/>
            <w:tcBorders>
              <w:bottom w:val="single" w:sz="4" w:space="0" w:color="auto"/>
            </w:tcBorders>
            <w:vAlign w:val="center"/>
          </w:tcPr>
          <w:p w14:paraId="65F1CE2C" w14:textId="4124CD82" w:rsidR="00126D0B" w:rsidRPr="000E7BC7" w:rsidRDefault="00E4646F" w:rsidP="00E116D4">
            <w:pPr>
              <w:spacing w:after="0"/>
              <w:jc w:val="right"/>
              <w:rPr>
                <w:rFonts w:ascii="Arial" w:hAnsi="Arial" w:cs="Arial"/>
                <w:color w:val="000000" w:themeColor="text1"/>
                <w:sz w:val="18"/>
                <w:szCs w:val="16"/>
              </w:rPr>
            </w:pPr>
            <w:r>
              <w:rPr>
                <w:rFonts w:ascii="Arial" w:hAnsi="Arial"/>
                <w:color w:val="000000" w:themeColor="text1"/>
                <w:sz w:val="18"/>
                <w:szCs w:val="16"/>
              </w:rPr>
              <w:t>57</w:t>
            </w:r>
          </w:p>
        </w:tc>
      </w:tr>
    </w:tbl>
    <w:p w14:paraId="20FF3D17" w14:textId="0EF127B4" w:rsidR="00655405" w:rsidRDefault="00655405" w:rsidP="00F12C0D">
      <w:pPr>
        <w:spacing w:after="0" w:line="360" w:lineRule="auto"/>
        <w:textAlignment w:val="baseline"/>
        <w:rPr>
          <w:rFonts w:ascii="Arial" w:hAnsi="Arial" w:cs="Arial"/>
          <w:b/>
          <w:sz w:val="20"/>
          <w:szCs w:val="20"/>
        </w:rPr>
      </w:pPr>
    </w:p>
    <w:p w14:paraId="6BBA9DA5" w14:textId="4D93EC99" w:rsidR="00D412A7" w:rsidRDefault="00D412A7">
      <w:pPr>
        <w:spacing w:after="0"/>
        <w:rPr>
          <w:rFonts w:ascii="Arial" w:hAnsi="Arial" w:cs="Arial"/>
          <w:b/>
          <w:sz w:val="20"/>
          <w:szCs w:val="20"/>
        </w:rPr>
      </w:pPr>
    </w:p>
    <w:p w14:paraId="0B228A32" w14:textId="6884B7E6" w:rsidR="00D412A7" w:rsidRDefault="00D412A7">
      <w:pPr>
        <w:spacing w:after="0"/>
        <w:rPr>
          <w:rFonts w:ascii="Arial" w:hAnsi="Arial" w:cs="Arial"/>
          <w:b/>
          <w:sz w:val="20"/>
          <w:szCs w:val="20"/>
        </w:rPr>
      </w:pPr>
    </w:p>
    <w:p w14:paraId="08FAAB81" w14:textId="77777777" w:rsidR="00363DD7" w:rsidRDefault="00363DD7">
      <w:pPr>
        <w:spacing w:after="0"/>
        <w:rPr>
          <w:rFonts w:ascii="Arial" w:hAnsi="Arial" w:cs="Arial"/>
          <w:b/>
          <w:sz w:val="20"/>
          <w:szCs w:val="20"/>
        </w:rPr>
      </w:pPr>
    </w:p>
    <w:p w14:paraId="5B2F56AB" w14:textId="2C2C6E55" w:rsidR="00363DD7" w:rsidRDefault="00363DD7">
      <w:pPr>
        <w:spacing w:after="0"/>
        <w:rPr>
          <w:rFonts w:ascii="Arial" w:hAnsi="Arial" w:cs="Arial"/>
          <w:b/>
          <w:sz w:val="20"/>
          <w:szCs w:val="20"/>
        </w:rPr>
      </w:pPr>
    </w:p>
    <w:p w14:paraId="59FCD40B" w14:textId="2813218E" w:rsidR="00363DD7" w:rsidRDefault="00363DD7">
      <w:pPr>
        <w:spacing w:after="0"/>
        <w:rPr>
          <w:rFonts w:ascii="Arial" w:hAnsi="Arial" w:cs="Arial"/>
          <w:b/>
          <w:sz w:val="20"/>
          <w:szCs w:val="20"/>
        </w:rPr>
      </w:pPr>
    </w:p>
    <w:p w14:paraId="00FB1909" w14:textId="77777777" w:rsidR="00440141" w:rsidRDefault="00440141">
      <w:pPr>
        <w:spacing w:after="0"/>
        <w:rPr>
          <w:rFonts w:ascii="Arial" w:hAnsi="Arial" w:cs="Arial"/>
          <w:b/>
          <w:sz w:val="20"/>
          <w:szCs w:val="20"/>
        </w:rPr>
      </w:pPr>
    </w:p>
    <w:p w14:paraId="3AA9BC50" w14:textId="6101F443" w:rsidR="00B26FFD" w:rsidRDefault="00470BCC">
      <w:pPr>
        <w:spacing w:after="0"/>
        <w:rPr>
          <w:rFonts w:ascii="Arial" w:eastAsia="Arial" w:hAnsi="Arial" w:cs="Arial"/>
          <w:b/>
          <w:color w:val="000000" w:themeColor="text1"/>
          <w:sz w:val="20"/>
          <w:szCs w:val="20"/>
        </w:rPr>
      </w:pPr>
      <w:r>
        <w:rPr>
          <w:rFonts w:ascii="Arial" w:hAnsi="Arial"/>
          <w:b/>
          <w:sz w:val="20"/>
          <w:szCs w:val="20"/>
        </w:rPr>
        <w:t>Top selected known agreements | offices in Hamburg | 1st-4th quarters 2021</w:t>
      </w:r>
    </w:p>
    <w:tbl>
      <w:tblPr>
        <w:tblStyle w:val="Tabellenraster"/>
        <w:tblpPr w:leftFromText="141" w:rightFromText="141" w:vertAnchor="text" w:horzAnchor="margin" w:tblpY="218"/>
        <w:tblW w:w="9634" w:type="dxa"/>
        <w:tblLook w:val="04A0" w:firstRow="1" w:lastRow="0" w:firstColumn="1" w:lastColumn="0" w:noHBand="0" w:noVBand="1"/>
      </w:tblPr>
      <w:tblGrid>
        <w:gridCol w:w="2972"/>
        <w:gridCol w:w="1843"/>
        <w:gridCol w:w="2923"/>
        <w:gridCol w:w="1047"/>
        <w:gridCol w:w="849"/>
      </w:tblGrid>
      <w:tr w:rsidR="00BB2707" w:rsidRPr="0017364E" w14:paraId="7B788289" w14:textId="77777777" w:rsidTr="00647851">
        <w:trPr>
          <w:trHeight w:val="567"/>
        </w:trPr>
        <w:tc>
          <w:tcPr>
            <w:tcW w:w="2972" w:type="dxa"/>
            <w:shd w:val="clear" w:color="auto" w:fill="1F242B" w:themeFill="accent2"/>
            <w:vAlign w:val="center"/>
          </w:tcPr>
          <w:p w14:paraId="1FF646C4" w14:textId="09C2207B" w:rsidR="00BB2707" w:rsidRDefault="00BB2707" w:rsidP="00647851">
            <w:pPr>
              <w:spacing w:before="60" w:after="60"/>
              <w:jc w:val="center"/>
              <w:rPr>
                <w:rFonts w:ascii="Arial" w:hAnsi="Arial" w:cs="Arial"/>
                <w:b/>
                <w:sz w:val="18"/>
                <w:szCs w:val="16"/>
              </w:rPr>
            </w:pPr>
            <w:r>
              <w:rPr>
                <w:rFonts w:ascii="Arial" w:hAnsi="Arial"/>
                <w:b/>
                <w:sz w:val="18"/>
                <w:szCs w:val="16"/>
              </w:rPr>
              <w:t>Tenant/owner-occupier</w:t>
            </w:r>
          </w:p>
          <w:p w14:paraId="4605900A" w14:textId="77777777" w:rsidR="00BB2707" w:rsidRPr="0017364E" w:rsidRDefault="00BB2707" w:rsidP="00647851">
            <w:pPr>
              <w:spacing w:before="60" w:after="60"/>
              <w:jc w:val="center"/>
              <w:rPr>
                <w:rFonts w:ascii="Arial" w:hAnsi="Arial" w:cs="Arial"/>
                <w:b/>
                <w:sz w:val="18"/>
                <w:szCs w:val="16"/>
              </w:rPr>
            </w:pPr>
          </w:p>
        </w:tc>
        <w:tc>
          <w:tcPr>
            <w:tcW w:w="1843" w:type="dxa"/>
            <w:shd w:val="clear" w:color="auto" w:fill="1F242B" w:themeFill="accent2"/>
            <w:vAlign w:val="center"/>
          </w:tcPr>
          <w:p w14:paraId="5E73AA5F" w14:textId="51D27FF5" w:rsidR="00BB2707" w:rsidRDefault="00BB2707" w:rsidP="00647851">
            <w:pPr>
              <w:spacing w:before="60" w:after="60"/>
              <w:jc w:val="center"/>
              <w:rPr>
                <w:rFonts w:ascii="Arial" w:hAnsi="Arial" w:cs="Arial"/>
                <w:b/>
                <w:sz w:val="18"/>
                <w:szCs w:val="16"/>
              </w:rPr>
            </w:pPr>
            <w:r>
              <w:rPr>
                <w:rFonts w:ascii="Arial" w:hAnsi="Arial"/>
                <w:b/>
                <w:sz w:val="18"/>
                <w:szCs w:val="16"/>
              </w:rPr>
              <w:t>Property/project</w:t>
            </w:r>
          </w:p>
          <w:p w14:paraId="165BD714" w14:textId="77777777" w:rsidR="00BB2707" w:rsidRPr="0017364E" w:rsidRDefault="00BB2707" w:rsidP="00647851">
            <w:pPr>
              <w:spacing w:before="60" w:after="60"/>
              <w:jc w:val="center"/>
              <w:rPr>
                <w:rFonts w:ascii="Arial" w:hAnsi="Arial" w:cs="Arial"/>
                <w:b/>
                <w:sz w:val="18"/>
                <w:szCs w:val="16"/>
              </w:rPr>
            </w:pPr>
          </w:p>
        </w:tc>
        <w:tc>
          <w:tcPr>
            <w:tcW w:w="2923" w:type="dxa"/>
            <w:shd w:val="clear" w:color="auto" w:fill="1F242B" w:themeFill="accent2"/>
            <w:vAlign w:val="center"/>
          </w:tcPr>
          <w:p w14:paraId="5C56E890" w14:textId="26765B27" w:rsidR="00BB2707" w:rsidRDefault="00BB2707" w:rsidP="00647851">
            <w:pPr>
              <w:spacing w:before="60" w:after="60"/>
              <w:jc w:val="center"/>
              <w:rPr>
                <w:rFonts w:ascii="Arial" w:hAnsi="Arial" w:cs="Arial"/>
                <w:b/>
                <w:sz w:val="18"/>
                <w:szCs w:val="16"/>
              </w:rPr>
            </w:pPr>
            <w:r>
              <w:rPr>
                <w:rFonts w:ascii="Arial" w:hAnsi="Arial"/>
                <w:b/>
                <w:sz w:val="18"/>
                <w:szCs w:val="16"/>
              </w:rPr>
              <w:t>Street no.</w:t>
            </w:r>
          </w:p>
          <w:p w14:paraId="0D24D566" w14:textId="77777777" w:rsidR="00BB2707" w:rsidRPr="0017364E" w:rsidRDefault="00BB2707" w:rsidP="00647851">
            <w:pPr>
              <w:spacing w:before="60" w:after="60"/>
              <w:jc w:val="center"/>
              <w:rPr>
                <w:rFonts w:ascii="Arial" w:hAnsi="Arial" w:cs="Arial"/>
                <w:b/>
                <w:sz w:val="18"/>
                <w:szCs w:val="16"/>
              </w:rPr>
            </w:pPr>
          </w:p>
        </w:tc>
        <w:tc>
          <w:tcPr>
            <w:tcW w:w="1047" w:type="dxa"/>
            <w:shd w:val="clear" w:color="auto" w:fill="1F242B" w:themeFill="accent2"/>
            <w:vAlign w:val="center"/>
          </w:tcPr>
          <w:p w14:paraId="591B71E9" w14:textId="77777777" w:rsidR="00BB2707" w:rsidRDefault="00BB2707" w:rsidP="00647851">
            <w:pPr>
              <w:spacing w:before="60" w:after="60"/>
              <w:jc w:val="center"/>
              <w:rPr>
                <w:rFonts w:ascii="Arial" w:hAnsi="Arial" w:cs="Arial"/>
                <w:b/>
                <w:sz w:val="18"/>
                <w:szCs w:val="16"/>
              </w:rPr>
            </w:pPr>
            <w:r>
              <w:rPr>
                <w:rFonts w:ascii="Arial" w:hAnsi="Arial"/>
                <w:b/>
                <w:sz w:val="18"/>
                <w:szCs w:val="16"/>
              </w:rPr>
              <w:t>Sub-market</w:t>
            </w:r>
          </w:p>
          <w:p w14:paraId="0CEDD8E8" w14:textId="77777777" w:rsidR="00BB2707" w:rsidRPr="0017364E" w:rsidRDefault="00BB2707" w:rsidP="00647851">
            <w:pPr>
              <w:spacing w:before="60" w:after="60"/>
              <w:jc w:val="center"/>
              <w:rPr>
                <w:rFonts w:ascii="Arial" w:hAnsi="Arial" w:cs="Arial"/>
                <w:b/>
                <w:sz w:val="18"/>
                <w:szCs w:val="16"/>
              </w:rPr>
            </w:pPr>
          </w:p>
        </w:tc>
        <w:tc>
          <w:tcPr>
            <w:tcW w:w="849" w:type="dxa"/>
            <w:shd w:val="clear" w:color="auto" w:fill="1F242B" w:themeFill="accent2"/>
            <w:vAlign w:val="center"/>
          </w:tcPr>
          <w:p w14:paraId="1BA6E6EB" w14:textId="77777777" w:rsidR="00BB2707" w:rsidRPr="0017364E" w:rsidRDefault="00BB2707" w:rsidP="00647851">
            <w:pPr>
              <w:spacing w:before="60" w:after="60"/>
              <w:jc w:val="center"/>
              <w:rPr>
                <w:rFonts w:ascii="Arial" w:hAnsi="Arial" w:cs="Arial"/>
                <w:b/>
                <w:sz w:val="18"/>
                <w:szCs w:val="16"/>
              </w:rPr>
            </w:pPr>
            <w:r>
              <w:rPr>
                <w:rFonts w:ascii="Arial" w:hAnsi="Arial"/>
                <w:b/>
                <w:sz w:val="18"/>
                <w:szCs w:val="16"/>
              </w:rPr>
              <w:t>Rental area</w:t>
            </w:r>
            <w:r>
              <w:rPr>
                <w:rFonts w:ascii="Arial" w:hAnsi="Arial"/>
                <w:b/>
                <w:sz w:val="18"/>
                <w:szCs w:val="16"/>
              </w:rPr>
              <w:br/>
            </w:r>
            <w:r>
              <w:rPr>
                <w:rFonts w:ascii="Arial" w:hAnsi="Arial"/>
                <w:sz w:val="18"/>
                <w:szCs w:val="16"/>
              </w:rPr>
              <w:t>[ca. m²]</w:t>
            </w:r>
          </w:p>
        </w:tc>
      </w:tr>
      <w:tr w:rsidR="001B0844" w:rsidRPr="0017364E" w14:paraId="6B585D4E" w14:textId="77777777" w:rsidTr="00E4646F">
        <w:trPr>
          <w:trHeight w:val="567"/>
        </w:trPr>
        <w:tc>
          <w:tcPr>
            <w:tcW w:w="2972" w:type="dxa"/>
            <w:shd w:val="clear" w:color="auto" w:fill="auto"/>
            <w:vAlign w:val="center"/>
          </w:tcPr>
          <w:p w14:paraId="5934B469" w14:textId="154F35F6" w:rsidR="001B0844" w:rsidRPr="001763CB" w:rsidRDefault="00587F74" w:rsidP="00013842">
            <w:pPr>
              <w:spacing w:before="60" w:after="60"/>
              <w:rPr>
                <w:rFonts w:ascii="Arial" w:hAnsi="Arial" w:cs="Arial"/>
                <w:sz w:val="18"/>
                <w:szCs w:val="16"/>
              </w:rPr>
            </w:pPr>
            <w:proofErr w:type="spellStart"/>
            <w:r>
              <w:rPr>
                <w:rFonts w:ascii="Arial" w:hAnsi="Arial"/>
                <w:sz w:val="18"/>
                <w:szCs w:val="16"/>
              </w:rPr>
              <w:t>Berenberg</w:t>
            </w:r>
            <w:proofErr w:type="spellEnd"/>
            <w:r>
              <w:rPr>
                <w:rFonts w:ascii="Arial" w:hAnsi="Arial"/>
                <w:sz w:val="18"/>
                <w:szCs w:val="16"/>
              </w:rPr>
              <w:t xml:space="preserve"> Bank</w:t>
            </w:r>
          </w:p>
        </w:tc>
        <w:tc>
          <w:tcPr>
            <w:tcW w:w="1843" w:type="dxa"/>
            <w:shd w:val="clear" w:color="auto" w:fill="auto"/>
            <w:vAlign w:val="center"/>
          </w:tcPr>
          <w:p w14:paraId="55F9F6B0" w14:textId="361D8650" w:rsidR="001B0844" w:rsidRPr="001763CB" w:rsidRDefault="00587F74" w:rsidP="00301264">
            <w:pPr>
              <w:spacing w:before="60" w:after="60"/>
              <w:rPr>
                <w:rFonts w:ascii="Arial" w:hAnsi="Arial" w:cs="Arial"/>
                <w:sz w:val="18"/>
                <w:szCs w:val="16"/>
              </w:rPr>
            </w:pPr>
            <w:r>
              <w:rPr>
                <w:rFonts w:ascii="Arial" w:hAnsi="Arial"/>
                <w:sz w:val="18"/>
                <w:szCs w:val="16"/>
              </w:rPr>
              <w:t>“Ipanema”</w:t>
            </w:r>
          </w:p>
        </w:tc>
        <w:tc>
          <w:tcPr>
            <w:tcW w:w="2923" w:type="dxa"/>
            <w:shd w:val="clear" w:color="auto" w:fill="auto"/>
            <w:vAlign w:val="center"/>
          </w:tcPr>
          <w:p w14:paraId="71798FE8" w14:textId="434D5271" w:rsidR="001B0844" w:rsidRPr="001763CB" w:rsidRDefault="00587F74" w:rsidP="00D57F53">
            <w:pPr>
              <w:spacing w:before="60" w:after="60"/>
              <w:rPr>
                <w:rFonts w:ascii="Arial" w:hAnsi="Arial" w:cs="Arial"/>
                <w:sz w:val="18"/>
                <w:szCs w:val="16"/>
              </w:rPr>
            </w:pPr>
            <w:proofErr w:type="spellStart"/>
            <w:r>
              <w:rPr>
                <w:rFonts w:ascii="Arial" w:hAnsi="Arial"/>
                <w:sz w:val="18"/>
                <w:szCs w:val="16"/>
              </w:rPr>
              <w:t>Überseering</w:t>
            </w:r>
            <w:proofErr w:type="spellEnd"/>
            <w:r>
              <w:rPr>
                <w:rFonts w:ascii="Arial" w:hAnsi="Arial"/>
                <w:sz w:val="18"/>
                <w:szCs w:val="16"/>
              </w:rPr>
              <w:t xml:space="preserve"> 30</w:t>
            </w:r>
          </w:p>
        </w:tc>
        <w:tc>
          <w:tcPr>
            <w:tcW w:w="1047" w:type="dxa"/>
            <w:shd w:val="clear" w:color="auto" w:fill="auto"/>
            <w:vAlign w:val="center"/>
          </w:tcPr>
          <w:p w14:paraId="5F92AC8B" w14:textId="15316937" w:rsidR="001B0844" w:rsidRPr="001763CB" w:rsidRDefault="00587F74" w:rsidP="006E639E">
            <w:pPr>
              <w:spacing w:before="60" w:after="60"/>
              <w:rPr>
                <w:rFonts w:ascii="Arial" w:hAnsi="Arial" w:cs="Arial"/>
                <w:sz w:val="18"/>
                <w:szCs w:val="16"/>
              </w:rPr>
            </w:pPr>
            <w:r>
              <w:rPr>
                <w:rFonts w:ascii="Arial" w:hAnsi="Arial"/>
                <w:sz w:val="18"/>
                <w:szCs w:val="16"/>
              </w:rPr>
              <w:t>City North</w:t>
            </w:r>
          </w:p>
        </w:tc>
        <w:tc>
          <w:tcPr>
            <w:tcW w:w="849" w:type="dxa"/>
            <w:shd w:val="clear" w:color="auto" w:fill="auto"/>
            <w:vAlign w:val="center"/>
          </w:tcPr>
          <w:p w14:paraId="18F234AE" w14:textId="1149B8F1" w:rsidR="001B0844" w:rsidRPr="001763CB" w:rsidRDefault="00587F74" w:rsidP="00823F43">
            <w:pPr>
              <w:spacing w:before="60" w:after="60"/>
              <w:jc w:val="right"/>
              <w:rPr>
                <w:rFonts w:ascii="Arial" w:hAnsi="Arial" w:cs="Arial"/>
                <w:sz w:val="18"/>
                <w:szCs w:val="16"/>
              </w:rPr>
            </w:pPr>
            <w:r>
              <w:rPr>
                <w:rFonts w:ascii="Arial" w:hAnsi="Arial"/>
                <w:sz w:val="18"/>
                <w:szCs w:val="16"/>
              </w:rPr>
              <w:t>19,200</w:t>
            </w:r>
          </w:p>
        </w:tc>
      </w:tr>
      <w:tr w:rsidR="00587F74" w:rsidRPr="0017364E" w14:paraId="422CA996" w14:textId="77777777" w:rsidTr="00647851">
        <w:trPr>
          <w:trHeight w:val="567"/>
        </w:trPr>
        <w:tc>
          <w:tcPr>
            <w:tcW w:w="2972" w:type="dxa"/>
            <w:shd w:val="clear" w:color="auto" w:fill="auto"/>
            <w:vAlign w:val="center"/>
          </w:tcPr>
          <w:p w14:paraId="4B8A5B4E" w14:textId="1DA6D0F3" w:rsidR="00587F74" w:rsidRPr="001763CB" w:rsidRDefault="00587F74" w:rsidP="00587F74">
            <w:pPr>
              <w:spacing w:before="60" w:after="60"/>
              <w:rPr>
                <w:rFonts w:ascii="Arial" w:hAnsi="Arial" w:cs="Arial"/>
                <w:sz w:val="18"/>
                <w:szCs w:val="16"/>
              </w:rPr>
            </w:pPr>
            <w:r>
              <w:rPr>
                <w:rFonts w:ascii="Arial" w:hAnsi="Arial"/>
                <w:sz w:val="18"/>
                <w:szCs w:val="16"/>
              </w:rPr>
              <w:t>Hamburg State Prosecutor</w:t>
            </w:r>
          </w:p>
        </w:tc>
        <w:tc>
          <w:tcPr>
            <w:tcW w:w="1843" w:type="dxa"/>
            <w:shd w:val="clear" w:color="auto" w:fill="auto"/>
            <w:vAlign w:val="center"/>
          </w:tcPr>
          <w:p w14:paraId="15DDA53E" w14:textId="040D5E0F" w:rsidR="00587F74" w:rsidRPr="001763CB" w:rsidRDefault="00587F74" w:rsidP="00587F74">
            <w:pPr>
              <w:spacing w:before="60" w:after="60"/>
              <w:rPr>
                <w:rFonts w:ascii="Arial" w:hAnsi="Arial" w:cs="Arial"/>
                <w:sz w:val="18"/>
                <w:szCs w:val="16"/>
              </w:rPr>
            </w:pPr>
            <w:r>
              <w:rPr>
                <w:rFonts w:ascii="Arial" w:hAnsi="Arial"/>
                <w:sz w:val="18"/>
                <w:szCs w:val="16"/>
              </w:rPr>
              <w:t>“</w:t>
            </w:r>
            <w:proofErr w:type="spellStart"/>
            <w:r>
              <w:rPr>
                <w:rFonts w:ascii="Arial" w:hAnsi="Arial"/>
                <w:sz w:val="18"/>
                <w:szCs w:val="16"/>
              </w:rPr>
              <w:t>Michaelis</w:t>
            </w:r>
            <w:proofErr w:type="spellEnd"/>
            <w:r>
              <w:rPr>
                <w:rFonts w:ascii="Arial" w:hAnsi="Arial"/>
                <w:sz w:val="18"/>
                <w:szCs w:val="16"/>
              </w:rPr>
              <w:t xml:space="preserve"> Quartier”</w:t>
            </w:r>
          </w:p>
        </w:tc>
        <w:tc>
          <w:tcPr>
            <w:tcW w:w="2923" w:type="dxa"/>
            <w:shd w:val="clear" w:color="auto" w:fill="auto"/>
            <w:vAlign w:val="center"/>
          </w:tcPr>
          <w:p w14:paraId="7318F032" w14:textId="65EF95C0" w:rsidR="00587F74" w:rsidRPr="001763CB" w:rsidRDefault="00587F74" w:rsidP="00587F74">
            <w:pPr>
              <w:spacing w:before="60" w:after="60"/>
              <w:rPr>
                <w:rFonts w:ascii="Arial" w:hAnsi="Arial" w:cs="Arial"/>
                <w:sz w:val="18"/>
                <w:szCs w:val="16"/>
              </w:rPr>
            </w:pPr>
            <w:r>
              <w:rPr>
                <w:rFonts w:ascii="Arial" w:hAnsi="Arial"/>
                <w:sz w:val="18"/>
                <w:szCs w:val="16"/>
              </w:rPr>
              <w:t>Ludwig-Erhard-Strasse 11-17</w:t>
            </w:r>
          </w:p>
        </w:tc>
        <w:tc>
          <w:tcPr>
            <w:tcW w:w="1047" w:type="dxa"/>
            <w:shd w:val="clear" w:color="auto" w:fill="auto"/>
            <w:vAlign w:val="center"/>
          </w:tcPr>
          <w:p w14:paraId="1EC3A29B" w14:textId="3350C589" w:rsidR="00587F74" w:rsidRPr="001763CB" w:rsidRDefault="00587F74" w:rsidP="00587F74">
            <w:pPr>
              <w:spacing w:before="60" w:after="60"/>
              <w:rPr>
                <w:rFonts w:ascii="Arial" w:hAnsi="Arial" w:cs="Arial"/>
                <w:sz w:val="18"/>
                <w:szCs w:val="16"/>
              </w:rPr>
            </w:pPr>
            <w:r>
              <w:rPr>
                <w:rFonts w:ascii="Arial" w:hAnsi="Arial"/>
                <w:sz w:val="18"/>
                <w:szCs w:val="16"/>
              </w:rPr>
              <w:t>City</w:t>
            </w:r>
          </w:p>
        </w:tc>
        <w:tc>
          <w:tcPr>
            <w:tcW w:w="849" w:type="dxa"/>
            <w:shd w:val="clear" w:color="auto" w:fill="auto"/>
            <w:vAlign w:val="center"/>
          </w:tcPr>
          <w:p w14:paraId="5241D246" w14:textId="3CB6E9FE" w:rsidR="00587F74" w:rsidRPr="001763CB" w:rsidRDefault="00587F74" w:rsidP="00587F74">
            <w:pPr>
              <w:spacing w:before="60" w:after="60"/>
              <w:jc w:val="right"/>
              <w:rPr>
                <w:rFonts w:ascii="Arial" w:hAnsi="Arial" w:cs="Arial"/>
                <w:sz w:val="18"/>
                <w:szCs w:val="16"/>
              </w:rPr>
            </w:pPr>
            <w:r>
              <w:rPr>
                <w:rFonts w:ascii="Arial" w:hAnsi="Arial"/>
                <w:sz w:val="18"/>
                <w:szCs w:val="16"/>
              </w:rPr>
              <w:t>17,600</w:t>
            </w:r>
          </w:p>
        </w:tc>
      </w:tr>
      <w:tr w:rsidR="00C46415" w:rsidRPr="0017364E" w14:paraId="071A0D6A" w14:textId="77777777" w:rsidTr="00C46415">
        <w:trPr>
          <w:trHeight w:val="567"/>
        </w:trPr>
        <w:tc>
          <w:tcPr>
            <w:tcW w:w="2972" w:type="dxa"/>
            <w:shd w:val="clear" w:color="auto" w:fill="auto"/>
            <w:vAlign w:val="center"/>
          </w:tcPr>
          <w:p w14:paraId="1DB7A8F1" w14:textId="5FD17582" w:rsidR="00C46415" w:rsidRPr="00E4646F" w:rsidRDefault="00C46415" w:rsidP="00C46415">
            <w:pPr>
              <w:spacing w:before="60" w:after="60"/>
              <w:rPr>
                <w:rFonts w:ascii="Arial" w:hAnsi="Arial" w:cs="Arial"/>
                <w:sz w:val="18"/>
                <w:szCs w:val="16"/>
              </w:rPr>
            </w:pPr>
            <w:proofErr w:type="spellStart"/>
            <w:r>
              <w:rPr>
                <w:rFonts w:ascii="Arial" w:hAnsi="Arial"/>
                <w:sz w:val="18"/>
                <w:szCs w:val="16"/>
              </w:rPr>
              <w:t>Techniker</w:t>
            </w:r>
            <w:proofErr w:type="spellEnd"/>
            <w:r>
              <w:rPr>
                <w:rFonts w:ascii="Arial" w:hAnsi="Arial"/>
                <w:sz w:val="18"/>
                <w:szCs w:val="16"/>
              </w:rPr>
              <w:t xml:space="preserve"> </w:t>
            </w:r>
            <w:proofErr w:type="spellStart"/>
            <w:r>
              <w:rPr>
                <w:rFonts w:ascii="Arial" w:hAnsi="Arial"/>
                <w:sz w:val="18"/>
                <w:szCs w:val="16"/>
              </w:rPr>
              <w:t>Krankenkasse</w:t>
            </w:r>
            <w:proofErr w:type="spellEnd"/>
            <w:r>
              <w:rPr>
                <w:rFonts w:ascii="Arial" w:hAnsi="Arial"/>
                <w:sz w:val="18"/>
                <w:szCs w:val="16"/>
              </w:rPr>
              <w:t xml:space="preserve"> (health ins.) </w:t>
            </w:r>
            <w:r>
              <w:rPr>
                <w:rFonts w:ascii="Arial" w:hAnsi="Arial"/>
                <w:b/>
                <w:sz w:val="18"/>
                <w:szCs w:val="16"/>
              </w:rPr>
              <w:t>owner-occupier</w:t>
            </w:r>
            <w:r>
              <w:rPr>
                <w:rFonts w:ascii="Arial" w:hAnsi="Arial"/>
                <w:sz w:val="18"/>
                <w:szCs w:val="16"/>
              </w:rPr>
              <w:br/>
              <w:t>(construction start)</w:t>
            </w:r>
          </w:p>
        </w:tc>
        <w:tc>
          <w:tcPr>
            <w:tcW w:w="1843" w:type="dxa"/>
            <w:shd w:val="clear" w:color="auto" w:fill="auto"/>
            <w:vAlign w:val="center"/>
          </w:tcPr>
          <w:p w14:paraId="29D8F3A1" w14:textId="0195EB0D" w:rsidR="00C46415" w:rsidRDefault="00C46415" w:rsidP="00C46415">
            <w:pPr>
              <w:spacing w:before="60" w:after="60"/>
              <w:rPr>
                <w:rFonts w:ascii="Arial" w:hAnsi="Arial" w:cs="Arial"/>
                <w:sz w:val="18"/>
                <w:szCs w:val="16"/>
              </w:rPr>
            </w:pPr>
            <w:r>
              <w:rPr>
                <w:rFonts w:ascii="Arial" w:hAnsi="Arial"/>
                <w:sz w:val="18"/>
                <w:szCs w:val="16"/>
              </w:rPr>
              <w:t>Building extension</w:t>
            </w:r>
          </w:p>
        </w:tc>
        <w:tc>
          <w:tcPr>
            <w:tcW w:w="2923" w:type="dxa"/>
            <w:shd w:val="clear" w:color="auto" w:fill="auto"/>
            <w:vAlign w:val="center"/>
          </w:tcPr>
          <w:p w14:paraId="0307254F" w14:textId="6F66F7A2" w:rsidR="00C46415" w:rsidRPr="00E4646F" w:rsidRDefault="00C46415" w:rsidP="00C46415">
            <w:pPr>
              <w:spacing w:before="60" w:after="60"/>
              <w:rPr>
                <w:rFonts w:ascii="Arial" w:hAnsi="Arial" w:cs="Arial"/>
                <w:sz w:val="18"/>
                <w:szCs w:val="16"/>
              </w:rPr>
            </w:pPr>
            <w:proofErr w:type="spellStart"/>
            <w:r>
              <w:rPr>
                <w:rFonts w:ascii="Arial" w:hAnsi="Arial"/>
                <w:sz w:val="18"/>
                <w:szCs w:val="16"/>
              </w:rPr>
              <w:t>Bramfelder</w:t>
            </w:r>
            <w:proofErr w:type="spellEnd"/>
            <w:r>
              <w:rPr>
                <w:rFonts w:ascii="Arial" w:hAnsi="Arial"/>
                <w:sz w:val="18"/>
                <w:szCs w:val="16"/>
              </w:rPr>
              <w:t xml:space="preserve"> </w:t>
            </w:r>
            <w:proofErr w:type="spellStart"/>
            <w:r>
              <w:rPr>
                <w:rFonts w:ascii="Arial" w:hAnsi="Arial"/>
                <w:sz w:val="18"/>
                <w:szCs w:val="16"/>
              </w:rPr>
              <w:t>Chaussee</w:t>
            </w:r>
            <w:proofErr w:type="spellEnd"/>
            <w:r>
              <w:rPr>
                <w:rFonts w:ascii="Arial" w:hAnsi="Arial"/>
                <w:sz w:val="18"/>
                <w:szCs w:val="16"/>
              </w:rPr>
              <w:t xml:space="preserve"> 160-164</w:t>
            </w:r>
          </w:p>
        </w:tc>
        <w:tc>
          <w:tcPr>
            <w:tcW w:w="1047" w:type="dxa"/>
            <w:shd w:val="clear" w:color="auto" w:fill="auto"/>
            <w:vAlign w:val="center"/>
          </w:tcPr>
          <w:p w14:paraId="442EF58E" w14:textId="5C36FE9B" w:rsidR="00C46415" w:rsidRDefault="00C46415" w:rsidP="00C46415">
            <w:pPr>
              <w:spacing w:before="60" w:after="60"/>
              <w:rPr>
                <w:rFonts w:ascii="Arial" w:hAnsi="Arial" w:cs="Arial"/>
                <w:sz w:val="18"/>
                <w:szCs w:val="16"/>
              </w:rPr>
            </w:pPr>
            <w:r>
              <w:rPr>
                <w:rFonts w:ascii="Arial" w:hAnsi="Arial"/>
                <w:sz w:val="18"/>
                <w:szCs w:val="16"/>
              </w:rPr>
              <w:t>Hamburg East</w:t>
            </w:r>
          </w:p>
        </w:tc>
        <w:tc>
          <w:tcPr>
            <w:tcW w:w="849" w:type="dxa"/>
            <w:shd w:val="clear" w:color="auto" w:fill="auto"/>
            <w:vAlign w:val="center"/>
          </w:tcPr>
          <w:p w14:paraId="588F28B8" w14:textId="44D27652" w:rsidR="00C46415" w:rsidRDefault="00C46415" w:rsidP="00C46415">
            <w:pPr>
              <w:spacing w:before="60" w:after="60"/>
              <w:jc w:val="right"/>
              <w:rPr>
                <w:rFonts w:ascii="Arial" w:hAnsi="Arial" w:cs="Arial"/>
                <w:sz w:val="18"/>
                <w:szCs w:val="16"/>
              </w:rPr>
            </w:pPr>
            <w:r>
              <w:rPr>
                <w:rFonts w:ascii="Arial" w:hAnsi="Arial"/>
                <w:sz w:val="18"/>
                <w:szCs w:val="16"/>
              </w:rPr>
              <w:t>14,800</w:t>
            </w:r>
          </w:p>
        </w:tc>
      </w:tr>
      <w:tr w:rsidR="00587F74" w:rsidRPr="0017364E" w14:paraId="314139FB" w14:textId="77777777" w:rsidTr="00647851">
        <w:trPr>
          <w:trHeight w:val="567"/>
        </w:trPr>
        <w:tc>
          <w:tcPr>
            <w:tcW w:w="2972" w:type="dxa"/>
            <w:shd w:val="clear" w:color="auto" w:fill="D9D9D9" w:themeFill="background1" w:themeFillShade="D9"/>
            <w:vAlign w:val="center"/>
          </w:tcPr>
          <w:p w14:paraId="38007B43" w14:textId="06726D42" w:rsidR="00587F74" w:rsidRPr="001763CB" w:rsidRDefault="00E4646F" w:rsidP="00647851">
            <w:pPr>
              <w:spacing w:before="60" w:after="60"/>
              <w:rPr>
                <w:rFonts w:ascii="Arial" w:hAnsi="Arial" w:cs="Arial"/>
                <w:sz w:val="18"/>
                <w:szCs w:val="16"/>
              </w:rPr>
            </w:pPr>
            <w:r>
              <w:rPr>
                <w:rFonts w:ascii="Arial" w:hAnsi="Arial"/>
                <w:sz w:val="18"/>
                <w:szCs w:val="16"/>
              </w:rPr>
              <w:t>Maersk Deutschland Group</w:t>
            </w:r>
          </w:p>
        </w:tc>
        <w:tc>
          <w:tcPr>
            <w:tcW w:w="1843" w:type="dxa"/>
            <w:shd w:val="clear" w:color="auto" w:fill="D9D9D9" w:themeFill="background1" w:themeFillShade="D9"/>
            <w:vAlign w:val="center"/>
          </w:tcPr>
          <w:p w14:paraId="058591FC" w14:textId="4E3D6C58" w:rsidR="00587F74" w:rsidRPr="001763CB" w:rsidRDefault="00E4646F" w:rsidP="00587F74">
            <w:pPr>
              <w:spacing w:before="60" w:after="60"/>
              <w:rPr>
                <w:rFonts w:ascii="Arial" w:hAnsi="Arial" w:cs="Arial"/>
                <w:sz w:val="18"/>
                <w:szCs w:val="16"/>
              </w:rPr>
            </w:pPr>
            <w:r>
              <w:rPr>
                <w:rFonts w:ascii="Arial" w:hAnsi="Arial"/>
                <w:sz w:val="18"/>
                <w:szCs w:val="16"/>
              </w:rPr>
              <w:t xml:space="preserve">“Johann </w:t>
            </w:r>
            <w:proofErr w:type="spellStart"/>
            <w:r>
              <w:rPr>
                <w:rFonts w:ascii="Arial" w:hAnsi="Arial"/>
                <w:sz w:val="18"/>
                <w:szCs w:val="16"/>
              </w:rPr>
              <w:t>Kontor</w:t>
            </w:r>
            <w:proofErr w:type="spellEnd"/>
            <w:r>
              <w:rPr>
                <w:rFonts w:ascii="Arial" w:hAnsi="Arial"/>
                <w:sz w:val="18"/>
                <w:szCs w:val="16"/>
              </w:rPr>
              <w:t>”</w:t>
            </w:r>
          </w:p>
        </w:tc>
        <w:tc>
          <w:tcPr>
            <w:tcW w:w="2923" w:type="dxa"/>
            <w:shd w:val="clear" w:color="auto" w:fill="D9D9D9" w:themeFill="background1" w:themeFillShade="D9"/>
            <w:vAlign w:val="center"/>
          </w:tcPr>
          <w:p w14:paraId="703E1F73" w14:textId="07EC139E" w:rsidR="00587F74" w:rsidRPr="001763CB" w:rsidRDefault="00E4646F" w:rsidP="00587F74">
            <w:pPr>
              <w:spacing w:before="60" w:after="60"/>
              <w:rPr>
                <w:rFonts w:ascii="Arial" w:hAnsi="Arial" w:cs="Arial"/>
                <w:sz w:val="18"/>
                <w:szCs w:val="16"/>
              </w:rPr>
            </w:pPr>
            <w:r>
              <w:rPr>
                <w:rFonts w:ascii="Arial" w:hAnsi="Arial"/>
                <w:sz w:val="18"/>
                <w:szCs w:val="16"/>
              </w:rPr>
              <w:t>Maersk Deutschland Group</w:t>
            </w:r>
          </w:p>
        </w:tc>
        <w:tc>
          <w:tcPr>
            <w:tcW w:w="1047" w:type="dxa"/>
            <w:shd w:val="clear" w:color="auto" w:fill="D9D9D9" w:themeFill="background1" w:themeFillShade="D9"/>
            <w:vAlign w:val="center"/>
          </w:tcPr>
          <w:p w14:paraId="1A4973BE" w14:textId="0B30BC2C" w:rsidR="00587F74" w:rsidRPr="001763CB" w:rsidRDefault="00E4646F" w:rsidP="00587F74">
            <w:pPr>
              <w:spacing w:before="60" w:after="60"/>
              <w:rPr>
                <w:rFonts w:ascii="Arial" w:hAnsi="Arial" w:cs="Arial"/>
                <w:sz w:val="18"/>
                <w:szCs w:val="16"/>
              </w:rPr>
            </w:pPr>
            <w:r>
              <w:rPr>
                <w:rFonts w:ascii="Arial" w:hAnsi="Arial"/>
                <w:sz w:val="18"/>
                <w:szCs w:val="16"/>
              </w:rPr>
              <w:t>City</w:t>
            </w:r>
          </w:p>
        </w:tc>
        <w:tc>
          <w:tcPr>
            <w:tcW w:w="849" w:type="dxa"/>
            <w:shd w:val="clear" w:color="auto" w:fill="D9D9D9" w:themeFill="background1" w:themeFillShade="D9"/>
            <w:vAlign w:val="center"/>
          </w:tcPr>
          <w:p w14:paraId="0EEA0855" w14:textId="086F4774" w:rsidR="00587F74" w:rsidRPr="001763CB" w:rsidRDefault="00E4646F" w:rsidP="00587F74">
            <w:pPr>
              <w:spacing w:before="60" w:after="60"/>
              <w:jc w:val="right"/>
              <w:rPr>
                <w:rFonts w:ascii="Arial" w:hAnsi="Arial" w:cs="Arial"/>
                <w:sz w:val="18"/>
                <w:szCs w:val="16"/>
              </w:rPr>
            </w:pPr>
            <w:r>
              <w:rPr>
                <w:rFonts w:ascii="Arial" w:hAnsi="Arial"/>
                <w:sz w:val="18"/>
                <w:szCs w:val="16"/>
              </w:rPr>
              <w:t>13,200</w:t>
            </w:r>
          </w:p>
        </w:tc>
      </w:tr>
      <w:tr w:rsidR="00E4646F" w:rsidRPr="0017364E" w14:paraId="5E29C6FD" w14:textId="77777777" w:rsidTr="00647851">
        <w:trPr>
          <w:trHeight w:val="567"/>
        </w:trPr>
        <w:tc>
          <w:tcPr>
            <w:tcW w:w="2972" w:type="dxa"/>
            <w:shd w:val="clear" w:color="auto" w:fill="FFFFFF" w:themeFill="background1"/>
            <w:vAlign w:val="center"/>
          </w:tcPr>
          <w:p w14:paraId="01A53BDF" w14:textId="6E39D93D" w:rsidR="00E4646F" w:rsidRDefault="00E4646F" w:rsidP="00E4646F">
            <w:pPr>
              <w:spacing w:before="60" w:after="60"/>
              <w:rPr>
                <w:rFonts w:ascii="Arial" w:hAnsi="Arial" w:cs="Arial"/>
                <w:sz w:val="18"/>
                <w:szCs w:val="16"/>
              </w:rPr>
            </w:pPr>
            <w:proofErr w:type="spellStart"/>
            <w:r>
              <w:rPr>
                <w:rFonts w:ascii="Arial" w:hAnsi="Arial"/>
                <w:sz w:val="18"/>
                <w:szCs w:val="16"/>
              </w:rPr>
              <w:t>Sysmex</w:t>
            </w:r>
            <w:proofErr w:type="spellEnd"/>
            <w:r>
              <w:rPr>
                <w:rFonts w:ascii="Arial" w:hAnsi="Arial"/>
                <w:sz w:val="18"/>
                <w:szCs w:val="16"/>
              </w:rPr>
              <w:t xml:space="preserve"> Deutschland</w:t>
            </w:r>
          </w:p>
        </w:tc>
        <w:tc>
          <w:tcPr>
            <w:tcW w:w="1843" w:type="dxa"/>
            <w:shd w:val="clear" w:color="auto" w:fill="FFFFFF" w:themeFill="background1"/>
            <w:vAlign w:val="center"/>
          </w:tcPr>
          <w:p w14:paraId="3AF682EC" w14:textId="6072154F" w:rsidR="00E4646F" w:rsidRPr="001763CB" w:rsidRDefault="00E4646F" w:rsidP="00E4646F">
            <w:pPr>
              <w:spacing w:before="60" w:after="60"/>
              <w:rPr>
                <w:rFonts w:ascii="Arial" w:hAnsi="Arial" w:cs="Arial"/>
                <w:sz w:val="18"/>
                <w:szCs w:val="16"/>
              </w:rPr>
            </w:pPr>
            <w:r>
              <w:rPr>
                <w:rFonts w:ascii="Arial" w:hAnsi="Arial"/>
                <w:sz w:val="18"/>
                <w:szCs w:val="16"/>
              </w:rPr>
              <w:t>Office Campus</w:t>
            </w:r>
            <w:r>
              <w:rPr>
                <w:rFonts w:ascii="Arial" w:hAnsi="Arial"/>
                <w:sz w:val="18"/>
                <w:szCs w:val="16"/>
              </w:rPr>
              <w:br/>
            </w:r>
            <w:proofErr w:type="spellStart"/>
            <w:r>
              <w:rPr>
                <w:rFonts w:ascii="Arial" w:hAnsi="Arial"/>
                <w:sz w:val="18"/>
                <w:szCs w:val="16"/>
              </w:rPr>
              <w:t>Deelböge</w:t>
            </w:r>
            <w:proofErr w:type="spellEnd"/>
            <w:r>
              <w:rPr>
                <w:rFonts w:ascii="Arial" w:hAnsi="Arial"/>
                <w:sz w:val="18"/>
                <w:szCs w:val="16"/>
              </w:rPr>
              <w:t xml:space="preserve"> </w:t>
            </w:r>
          </w:p>
        </w:tc>
        <w:tc>
          <w:tcPr>
            <w:tcW w:w="2923" w:type="dxa"/>
            <w:shd w:val="clear" w:color="auto" w:fill="FFFFFF" w:themeFill="background1"/>
            <w:vAlign w:val="center"/>
          </w:tcPr>
          <w:p w14:paraId="1E097852" w14:textId="3F889C0D" w:rsidR="00E4646F" w:rsidRPr="00B55F57" w:rsidRDefault="00E4646F" w:rsidP="00E4646F">
            <w:pPr>
              <w:spacing w:before="60" w:after="60"/>
              <w:rPr>
                <w:rFonts w:ascii="Arial" w:hAnsi="Arial" w:cs="Arial"/>
                <w:sz w:val="18"/>
                <w:szCs w:val="16"/>
              </w:rPr>
            </w:pPr>
            <w:proofErr w:type="spellStart"/>
            <w:r>
              <w:rPr>
                <w:rFonts w:ascii="Arial" w:hAnsi="Arial"/>
                <w:sz w:val="18"/>
                <w:szCs w:val="16"/>
              </w:rPr>
              <w:t>Deelböge</w:t>
            </w:r>
            <w:proofErr w:type="spellEnd"/>
            <w:r>
              <w:rPr>
                <w:rFonts w:ascii="Arial" w:hAnsi="Arial"/>
                <w:sz w:val="18"/>
                <w:szCs w:val="16"/>
              </w:rPr>
              <w:t>/Salomon-Heine-</w:t>
            </w:r>
            <w:proofErr w:type="spellStart"/>
            <w:r>
              <w:rPr>
                <w:rFonts w:ascii="Arial" w:hAnsi="Arial"/>
                <w:sz w:val="18"/>
                <w:szCs w:val="16"/>
              </w:rPr>
              <w:t>Weg</w:t>
            </w:r>
            <w:proofErr w:type="spellEnd"/>
          </w:p>
        </w:tc>
        <w:tc>
          <w:tcPr>
            <w:tcW w:w="1047" w:type="dxa"/>
            <w:shd w:val="clear" w:color="auto" w:fill="FFFFFF" w:themeFill="background1"/>
            <w:vAlign w:val="center"/>
          </w:tcPr>
          <w:p w14:paraId="6C59A5E6" w14:textId="404ABFBD" w:rsidR="00E4646F" w:rsidRDefault="00E4646F" w:rsidP="00E4646F">
            <w:pPr>
              <w:spacing w:before="60" w:after="60"/>
              <w:rPr>
                <w:rFonts w:ascii="Arial" w:hAnsi="Arial" w:cs="Arial"/>
                <w:sz w:val="18"/>
                <w:szCs w:val="16"/>
              </w:rPr>
            </w:pPr>
            <w:r>
              <w:rPr>
                <w:rFonts w:ascii="Arial" w:hAnsi="Arial"/>
                <w:sz w:val="18"/>
                <w:szCs w:val="16"/>
              </w:rPr>
              <w:t>Eppendorf</w:t>
            </w:r>
          </w:p>
        </w:tc>
        <w:tc>
          <w:tcPr>
            <w:tcW w:w="849" w:type="dxa"/>
            <w:shd w:val="clear" w:color="auto" w:fill="FFFFFF" w:themeFill="background1"/>
            <w:vAlign w:val="center"/>
          </w:tcPr>
          <w:p w14:paraId="463E46AA" w14:textId="4078315D" w:rsidR="00E4646F" w:rsidRDefault="00E4646F" w:rsidP="00E4646F">
            <w:pPr>
              <w:spacing w:before="60" w:after="60"/>
              <w:jc w:val="right"/>
              <w:rPr>
                <w:rFonts w:ascii="Arial" w:hAnsi="Arial" w:cs="Arial"/>
                <w:sz w:val="18"/>
                <w:szCs w:val="16"/>
              </w:rPr>
            </w:pPr>
            <w:r>
              <w:rPr>
                <w:rFonts w:ascii="Arial" w:hAnsi="Arial"/>
                <w:sz w:val="18"/>
                <w:szCs w:val="16"/>
              </w:rPr>
              <w:t>13,000</w:t>
            </w:r>
          </w:p>
        </w:tc>
      </w:tr>
    </w:tbl>
    <w:p w14:paraId="2AA4DAB3" w14:textId="77777777" w:rsidR="00CF7C1F" w:rsidRDefault="00CF7C1F" w:rsidP="00CF2C0D">
      <w:pPr>
        <w:widowControl w:val="0"/>
        <w:spacing w:after="0"/>
        <w:rPr>
          <w:rFonts w:ascii="Arial" w:hAnsi="Arial" w:cs="Arial"/>
          <w:sz w:val="16"/>
          <w:szCs w:val="16"/>
        </w:rPr>
      </w:pPr>
    </w:p>
    <w:p w14:paraId="3F7844C6" w14:textId="4021E20A" w:rsidR="00B55F57" w:rsidRDefault="00B55F57" w:rsidP="00B55F57">
      <w:pPr>
        <w:widowControl w:val="0"/>
        <w:spacing w:after="0"/>
        <w:rPr>
          <w:rFonts w:ascii="Arial" w:hAnsi="Arial" w:cs="Arial"/>
          <w:sz w:val="16"/>
          <w:szCs w:val="16"/>
        </w:rPr>
      </w:pPr>
      <w:r>
        <w:rPr>
          <w:rFonts w:ascii="Arial" w:hAnsi="Arial"/>
          <w:sz w:val="16"/>
          <w:szCs w:val="16"/>
        </w:rPr>
        <w:t>Transactions occurring in the quarter covered by this report are highlighted.</w:t>
      </w:r>
    </w:p>
    <w:p w14:paraId="1B31561C" w14:textId="77777777" w:rsidR="00653ABB" w:rsidRDefault="00653ABB" w:rsidP="00A3554C">
      <w:pPr>
        <w:spacing w:after="0" w:line="360" w:lineRule="auto"/>
        <w:rPr>
          <w:rFonts w:ascii="Arial" w:eastAsia="Arial" w:hAnsi="Arial" w:cs="Arial"/>
          <w:color w:val="000000" w:themeColor="text1"/>
          <w:sz w:val="20"/>
          <w:szCs w:val="20"/>
        </w:rPr>
      </w:pPr>
    </w:p>
    <w:p w14:paraId="10570D34" w14:textId="2E770338" w:rsidR="003D75A6" w:rsidRPr="000A5ED1" w:rsidRDefault="00FB4C38" w:rsidP="00A3554C">
      <w:pPr>
        <w:spacing w:after="0" w:line="360" w:lineRule="auto"/>
        <w:rPr>
          <w:rFonts w:ascii="Arial" w:eastAsia="Arial" w:hAnsi="Arial" w:cs="Arial"/>
          <w:b/>
          <w:color w:val="000000" w:themeColor="text1"/>
          <w:sz w:val="20"/>
          <w:szCs w:val="20"/>
        </w:rPr>
      </w:pPr>
      <w:r>
        <w:rPr>
          <w:rFonts w:ascii="Arial" w:hAnsi="Arial"/>
          <w:color w:val="000000" w:themeColor="text1"/>
          <w:sz w:val="20"/>
          <w:szCs w:val="20"/>
        </w:rPr>
        <w:t xml:space="preserve">The complete </w:t>
      </w:r>
      <w:hyperlink r:id="rId9" w:history="1">
        <w:r>
          <w:rPr>
            <w:rStyle w:val="Hyperlink"/>
            <w:rFonts w:ascii="Arial" w:hAnsi="Arial"/>
            <w:sz w:val="20"/>
            <w:szCs w:val="20"/>
          </w:rPr>
          <w:t>office market survey</w:t>
        </w:r>
      </w:hyperlink>
      <w:r>
        <w:rPr>
          <w:rFonts w:ascii="Arial" w:hAnsi="Arial"/>
          <w:color w:val="000000" w:themeColor="text1"/>
          <w:sz w:val="20"/>
          <w:szCs w:val="20"/>
        </w:rPr>
        <w:t xml:space="preserve"> will soon be available and can be downloaded from our website.</w:t>
      </w:r>
    </w:p>
    <w:p w14:paraId="0627459A" w14:textId="77777777" w:rsidR="00950C77" w:rsidRPr="00A3554C" w:rsidRDefault="00950C77" w:rsidP="00A3554C">
      <w:pPr>
        <w:spacing w:after="0" w:line="360" w:lineRule="auto"/>
        <w:rPr>
          <w:rFonts w:ascii="Arial" w:hAnsi="Arial" w:cs="Arial"/>
          <w:sz w:val="20"/>
          <w:szCs w:val="20"/>
        </w:rPr>
      </w:pPr>
    </w:p>
    <w:p w14:paraId="37791DEA" w14:textId="77777777" w:rsidR="00F12C0D" w:rsidRPr="0090748B" w:rsidRDefault="00F12C0D" w:rsidP="00F12C0D">
      <w:pPr>
        <w:spacing w:after="0" w:line="360" w:lineRule="auto"/>
        <w:rPr>
          <w:rFonts w:ascii="Arial" w:hAnsi="Arial" w:cs="Arial"/>
          <w:b/>
          <w:sz w:val="16"/>
          <w:szCs w:val="16"/>
        </w:rPr>
      </w:pPr>
      <w:r>
        <w:rPr>
          <w:rFonts w:ascii="Arial" w:hAnsi="Arial"/>
          <w:b/>
          <w:sz w:val="16"/>
          <w:szCs w:val="16"/>
        </w:rPr>
        <w:t>About Grossmann &amp; Berger</w:t>
      </w:r>
    </w:p>
    <w:p w14:paraId="2179DB0B" w14:textId="77777777" w:rsidR="004A6CA8" w:rsidRPr="004A6CA8" w:rsidRDefault="00AF3257" w:rsidP="004A6CA8">
      <w:pPr>
        <w:spacing w:after="0" w:line="360" w:lineRule="auto"/>
        <w:rPr>
          <w:rFonts w:ascii="Arial" w:hAnsi="Arial" w:cs="Arial"/>
          <w:vanish/>
          <w:sz w:val="16"/>
          <w:szCs w:val="16"/>
          <w:specVanish/>
        </w:rPr>
      </w:pPr>
      <w:hyperlink r:id="rId10" w:history="1">
        <w:r w:rsidR="004A6CA8">
          <w:rPr>
            <w:rStyle w:val="Hyperlink"/>
            <w:rFonts w:ascii="Arial" w:hAnsi="Arial"/>
            <w:snapToGrid w:val="0"/>
            <w:sz w:val="16"/>
            <w:szCs w:val="16"/>
          </w:rPr>
          <w:t>Grossmann &amp; Berger GmbH</w:t>
        </w:r>
      </w:hyperlink>
      <w:r w:rsidR="004A6CA8">
        <w:rPr>
          <w:rFonts w:ascii="Arial" w:hAnsi="Arial"/>
          <w:snapToGrid w:val="0"/>
          <w:sz w:val="16"/>
          <w:szCs w:val="16"/>
        </w:rPr>
        <w:t xml:space="preserve"> is one of the leading service providers in the business of selling and letting commercial and residential properties in North Germany. In addition to its main office in Hamburg, the company has 20 local offices. This allows Grossmann &amp; Berger to cover the entire North German market. In May 2021 the company was augmented by </w:t>
      </w:r>
      <w:hyperlink r:id="rId11" w:history="1">
        <w:r w:rsidR="004A6CA8">
          <w:rPr>
            <w:rStyle w:val="Hyperlink"/>
            <w:rFonts w:ascii="Arial" w:hAnsi="Arial"/>
            <w:snapToGrid w:val="0"/>
            <w:sz w:val="16"/>
            <w:szCs w:val="16"/>
          </w:rPr>
          <w:t>E &amp; G Real Estate</w:t>
        </w:r>
      </w:hyperlink>
      <w:r w:rsidR="004A6CA8">
        <w:rPr>
          <w:rFonts w:ascii="Arial" w:hAnsi="Arial"/>
          <w:snapToGrid w:val="0"/>
          <w:sz w:val="16"/>
          <w:szCs w:val="16"/>
        </w:rPr>
        <w:t xml:space="preserve"> and</w:t>
      </w:r>
      <w:r w:rsidR="004A6CA8">
        <w:rPr>
          <w:rFonts w:ascii="Arial" w:hAnsi="Arial"/>
          <w:snapToGrid w:val="0"/>
          <w:sz w:val="16"/>
          <w:szCs w:val="16"/>
        </w:rPr>
        <w:br/>
      </w:r>
      <w:hyperlink r:id="rId12" w:history="1">
        <w:r w:rsidR="004A6CA8">
          <w:rPr>
            <w:rStyle w:val="Hyperlink"/>
            <w:rFonts w:ascii="Arial" w:hAnsi="Arial"/>
            <w:snapToGrid w:val="0"/>
            <w:sz w:val="16"/>
            <w:szCs w:val="16"/>
          </w:rPr>
          <w:t xml:space="preserve">E &amp; G Private </w:t>
        </w:r>
        <w:proofErr w:type="spellStart"/>
        <w:r w:rsidR="004A6CA8">
          <w:rPr>
            <w:rStyle w:val="Hyperlink"/>
            <w:rFonts w:ascii="Arial" w:hAnsi="Arial"/>
            <w:snapToGrid w:val="0"/>
            <w:sz w:val="16"/>
            <w:szCs w:val="16"/>
          </w:rPr>
          <w:t>Immobilien</w:t>
        </w:r>
        <w:proofErr w:type="spellEnd"/>
      </w:hyperlink>
      <w:r w:rsidR="004A6CA8">
        <w:rPr>
          <w:rFonts w:ascii="Arial" w:hAnsi="Arial"/>
          <w:snapToGrid w:val="0"/>
          <w:sz w:val="16"/>
          <w:szCs w:val="16"/>
        </w:rPr>
        <w:t xml:space="preserve">, so that Grossmann &amp; Berger also operates in the two South German metropolitan areas of Stuttgart and Munich. Drawing on their comprehensive expertise in the real estate business, some 250 employees provide the full range of relevant services. They also benefit from the company’s more than 85 years standing in the industry. </w:t>
      </w:r>
      <w:r w:rsidR="004A6CA8">
        <w:rPr>
          <w:rFonts w:ascii="Arial" w:hAnsi="Arial"/>
          <w:sz w:val="16"/>
          <w:szCs w:val="16"/>
        </w:rPr>
        <w:t xml:space="preserve">Grossmann &amp; Berger belongs to the HASPA Group and is a founding member of the national commercial real estate network </w:t>
      </w:r>
      <w:hyperlink r:id="rId13" w:history="1">
        <w:r w:rsidR="004A6CA8">
          <w:rPr>
            <w:rStyle w:val="Hyperlink"/>
            <w:rFonts w:ascii="Arial" w:hAnsi="Arial"/>
            <w:sz w:val="16"/>
            <w:szCs w:val="16"/>
          </w:rPr>
          <w:t>German Property Partners</w:t>
        </w:r>
      </w:hyperlink>
      <w:r w:rsidR="004A6CA8">
        <w:rPr>
          <w:rFonts w:ascii="Arial" w:hAnsi="Arial"/>
          <w:sz w:val="16"/>
          <w:szCs w:val="16"/>
        </w:rPr>
        <w:t xml:space="preserve"> (GPP).</w:t>
      </w:r>
    </w:p>
    <w:p w14:paraId="5AD4EE3D" w14:textId="77777777" w:rsidR="004A6CA8" w:rsidRPr="004A6CA8" w:rsidRDefault="004A6CA8" w:rsidP="004A6CA8">
      <w:pPr>
        <w:spacing w:after="0" w:line="360" w:lineRule="auto"/>
        <w:rPr>
          <w:rFonts w:ascii="Arial" w:hAnsi="Arial" w:cs="Arial"/>
          <w:sz w:val="16"/>
          <w:szCs w:val="16"/>
        </w:rPr>
      </w:pPr>
      <w:r>
        <w:rPr>
          <w:rFonts w:ascii="Arial" w:hAnsi="Arial"/>
          <w:sz w:val="16"/>
          <w:szCs w:val="16"/>
        </w:rPr>
        <w:t xml:space="preserve"> </w:t>
      </w:r>
    </w:p>
    <w:p w14:paraId="05139D71" w14:textId="77777777" w:rsidR="00F12C0D" w:rsidRPr="00583E25" w:rsidRDefault="00F12C0D" w:rsidP="00F12C0D">
      <w:pPr>
        <w:spacing w:after="0" w:line="360" w:lineRule="auto"/>
        <w:rPr>
          <w:rFonts w:ascii="Arial" w:hAnsi="Arial" w:cs="Arial"/>
          <w:sz w:val="16"/>
          <w:szCs w:val="16"/>
        </w:rPr>
      </w:pPr>
    </w:p>
    <w:p w14:paraId="627835FB" w14:textId="4FAFF2E2" w:rsidR="00503D8C" w:rsidRPr="00503D8C" w:rsidRDefault="00F12C0D" w:rsidP="00F12C0D">
      <w:pPr>
        <w:spacing w:after="0" w:line="360" w:lineRule="auto"/>
        <w:rPr>
          <w:rFonts w:ascii="Arial" w:hAnsi="Arial" w:cs="Arial"/>
          <w:b/>
          <w:color w:val="000000" w:themeColor="text1"/>
          <w:spacing w:val="20"/>
          <w:sz w:val="20"/>
          <w:szCs w:val="20"/>
        </w:rPr>
      </w:pPr>
      <w:r>
        <w:rPr>
          <w:rFonts w:ascii="Arial" w:hAnsi="Arial"/>
          <w:sz w:val="16"/>
          <w:szCs w:val="16"/>
        </w:rPr>
        <w:t>Please consult our website for Grossmann &amp; Berger’s</w:t>
      </w:r>
      <w:hyperlink r:id="rId14" w:history="1">
        <w:r>
          <w:rPr>
            <w:rStyle w:val="Hyperlink"/>
            <w:rFonts w:ascii="Arial" w:hAnsi="Arial"/>
            <w:sz w:val="16"/>
            <w:szCs w:val="16"/>
          </w:rPr>
          <w:t xml:space="preserve"> data privacy policy.</w:t>
        </w:r>
      </w:hyperlink>
      <w:r>
        <w:rPr>
          <w:rFonts w:ascii="Arial" w:hAnsi="Arial"/>
          <w:sz w:val="16"/>
          <w:szCs w:val="16"/>
        </w:rPr>
        <w:t xml:space="preserve">  Here you will also be able to access our </w:t>
      </w:r>
      <w:hyperlink r:id="rId15" w:history="1">
        <w:r>
          <w:rPr>
            <w:rStyle w:val="Hyperlink"/>
            <w:rFonts w:ascii="Arial" w:hAnsi="Arial"/>
            <w:sz w:val="16"/>
            <w:szCs w:val="16"/>
          </w:rPr>
          <w:t xml:space="preserve"> press kit </w:t>
        </w:r>
      </w:hyperlink>
      <w:r>
        <w:rPr>
          <w:rFonts w:ascii="Arial" w:hAnsi="Arial"/>
          <w:sz w:val="16"/>
          <w:szCs w:val="16"/>
        </w:rPr>
        <w:t xml:space="preserve"> and the associated </w:t>
      </w:r>
      <w:hyperlink r:id="rId16" w:history="1">
        <w:r>
          <w:rPr>
            <w:rStyle w:val="Hyperlink"/>
            <w:rFonts w:ascii="Arial" w:hAnsi="Arial"/>
            <w:sz w:val="16"/>
            <w:szCs w:val="16"/>
          </w:rPr>
          <w:t>Terms of Use</w:t>
        </w:r>
      </w:hyperlink>
      <w:r>
        <w:rPr>
          <w:rFonts w:ascii="Arial" w:hAnsi="Arial"/>
          <w:sz w:val="16"/>
          <w:szCs w:val="16"/>
        </w:rPr>
        <w:t xml:space="preserve">. If in future you would prefer not to receive any more information from our press office, please e-mail us at </w:t>
      </w:r>
      <w:hyperlink r:id="rId17" w:history="1">
        <w:r>
          <w:rPr>
            <w:rStyle w:val="Hyperlink"/>
            <w:rFonts w:ascii="Arial" w:hAnsi="Arial"/>
            <w:sz w:val="16"/>
            <w:szCs w:val="16"/>
          </w:rPr>
          <w:t>presse@grossmann-berger.de</w:t>
        </w:r>
      </w:hyperlink>
      <w:r>
        <w:rPr>
          <w:rFonts w:ascii="Arial" w:hAnsi="Arial"/>
          <w:sz w:val="16"/>
          <w:szCs w:val="16"/>
        </w:rPr>
        <w:t xml:space="preserve"> quoting as reference "</w:t>
      </w:r>
      <w:proofErr w:type="spellStart"/>
      <w:r>
        <w:rPr>
          <w:rFonts w:ascii="Arial" w:hAnsi="Arial"/>
          <w:sz w:val="16"/>
          <w:szCs w:val="16"/>
        </w:rPr>
        <w:t>Abmeldung</w:t>
      </w:r>
      <w:proofErr w:type="spellEnd"/>
      <w:r>
        <w:rPr>
          <w:rFonts w:ascii="Arial" w:hAnsi="Arial"/>
          <w:sz w:val="16"/>
          <w:szCs w:val="16"/>
        </w:rPr>
        <w:t xml:space="preserve"> </w:t>
      </w:r>
      <w:proofErr w:type="spellStart"/>
      <w:r>
        <w:rPr>
          <w:rFonts w:ascii="Arial" w:hAnsi="Arial"/>
          <w:sz w:val="16"/>
          <w:szCs w:val="16"/>
        </w:rPr>
        <w:t>aus</w:t>
      </w:r>
      <w:proofErr w:type="spellEnd"/>
      <w:r>
        <w:rPr>
          <w:rFonts w:ascii="Arial" w:hAnsi="Arial"/>
          <w:sz w:val="16"/>
          <w:szCs w:val="16"/>
        </w:rPr>
        <w:t xml:space="preserve"> </w:t>
      </w:r>
      <w:proofErr w:type="spellStart"/>
      <w:r>
        <w:rPr>
          <w:rFonts w:ascii="Arial" w:hAnsi="Arial"/>
          <w:sz w:val="16"/>
          <w:szCs w:val="16"/>
        </w:rPr>
        <w:t>Presseverteiler</w:t>
      </w:r>
      <w:proofErr w:type="spellEnd"/>
      <w:r>
        <w:rPr>
          <w:rFonts w:ascii="Arial" w:hAnsi="Arial"/>
          <w:sz w:val="16"/>
          <w:szCs w:val="16"/>
        </w:rPr>
        <w:t>” / “Unsubscribe from press mailing list”.</w:t>
      </w:r>
    </w:p>
    <w:sectPr w:rsidR="00503D8C" w:rsidRPr="00503D8C" w:rsidSect="00D83CB7">
      <w:headerReference w:type="default" r:id="rId18"/>
      <w:footerReference w:type="default" r:id="rId19"/>
      <w:headerReference w:type="first" r:id="rId20"/>
      <w:footerReference w:type="first" r:id="rId21"/>
      <w:pgSz w:w="11904" w:h="16840"/>
      <w:pgMar w:top="284" w:right="1134" w:bottom="1440" w:left="1134" w:header="56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82095" w14:textId="77777777" w:rsidR="007A7757" w:rsidRDefault="007A7757">
      <w:r>
        <w:separator/>
      </w:r>
    </w:p>
  </w:endnote>
  <w:endnote w:type="continuationSeparator" w:id="0">
    <w:p w14:paraId="36662001" w14:textId="77777777" w:rsidR="007A7757" w:rsidRDefault="007A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kurat-Fett">
    <w:altName w:val="Akkurat Norm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Mark OT Light">
    <w:panose1 w:val="020B0504020201010104"/>
    <w:charset w:val="00"/>
    <w:family w:val="swiss"/>
    <w:notTrueType/>
    <w:pitch w:val="variable"/>
    <w:sig w:usb0="A00000EF" w:usb1="5000FCFB" w:usb2="00000000" w:usb3="00000000" w:csb0="00000001" w:csb1="00000000"/>
  </w:font>
  <w:font w:name="Mark OT">
    <w:panose1 w:val="020B0504020201010104"/>
    <w:charset w:val="00"/>
    <w:family w:val="swiss"/>
    <w:notTrueType/>
    <w:pitch w:val="variable"/>
    <w:sig w:usb0="A00000EF" w:usb1="5000FCFB"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E402D" w14:textId="02040DB3" w:rsidR="00D83CB7" w:rsidRPr="00D83CB7" w:rsidRDefault="00D83CB7" w:rsidP="00D83CB7">
    <w:pPr>
      <w:pStyle w:val="Fuzeile"/>
      <w:tabs>
        <w:tab w:val="left" w:pos="4145"/>
        <w:tab w:val="right" w:pos="9636"/>
      </w:tabs>
      <w:ind w:left="-426"/>
      <w:jc w:val="center"/>
      <w:rPr>
        <w:rFonts w:ascii="Arial" w:hAnsi="Arial" w:cs="Arial"/>
        <w:color w:val="918F90"/>
        <w:sz w:val="18"/>
        <w:szCs w:val="18"/>
      </w:rPr>
    </w:pPr>
    <w:r>
      <w:rPr>
        <w:rFonts w:ascii="Arial" w:hAnsi="Arial"/>
        <w:b/>
        <w:bCs/>
        <w:color w:val="918F90"/>
        <w:sz w:val="18"/>
        <w:szCs w:val="18"/>
      </w:rPr>
      <w:t xml:space="preserve">Grossmann &amp; Berger GmbH </w:t>
    </w:r>
    <w:r>
      <w:rPr>
        <w:rFonts w:ascii="Arial" w:hAnsi="Arial"/>
        <w:color w:val="918F90"/>
        <w:sz w:val="18"/>
        <w:szCs w:val="18"/>
      </w:rPr>
      <w:t xml:space="preserve">| </w:t>
    </w:r>
    <w:proofErr w:type="spellStart"/>
    <w:r>
      <w:rPr>
        <w:rFonts w:ascii="Arial" w:hAnsi="Arial"/>
        <w:color w:val="918F90"/>
        <w:sz w:val="18"/>
        <w:szCs w:val="18"/>
      </w:rPr>
      <w:t>Bleichenbrücke</w:t>
    </w:r>
    <w:proofErr w:type="spellEnd"/>
    <w:r>
      <w:rPr>
        <w:rFonts w:ascii="Arial" w:hAnsi="Arial"/>
        <w:color w:val="918F90"/>
        <w:sz w:val="18"/>
        <w:szCs w:val="18"/>
      </w:rPr>
      <w:t xml:space="preserve"> 9 | 20354 Hamburg | Tel. +49 (0)40/350 80 2-0 | www.grossmann-berger.de</w:t>
    </w:r>
  </w:p>
  <w:p w14:paraId="5440A7EF" w14:textId="36BE2BFB" w:rsidR="00CE455F" w:rsidRPr="00BB15DA" w:rsidRDefault="00BB15DA" w:rsidP="00D83CB7">
    <w:pPr>
      <w:pStyle w:val="Fuzeile"/>
      <w:tabs>
        <w:tab w:val="left" w:pos="4145"/>
        <w:tab w:val="right" w:pos="9636"/>
      </w:tabs>
      <w:jc w:val="right"/>
      <w:rPr>
        <w:rFonts w:ascii="Arial" w:hAnsi="Arial" w:cs="Arial"/>
        <w:color w:val="918F90"/>
        <w:sz w:val="18"/>
        <w:szCs w:val="18"/>
      </w:rPr>
    </w:pPr>
    <w:r>
      <w:rPr>
        <w:rStyle w:val="Seitenzahl"/>
        <w:rFonts w:ascii="Arial" w:hAnsi="Arial"/>
        <w:color w:val="918F90"/>
        <w:sz w:val="18"/>
        <w:szCs w:val="18"/>
      </w:rPr>
      <w:tab/>
    </w:r>
    <w:r>
      <w:rPr>
        <w:rStyle w:val="Seitenzahl"/>
        <w:rFonts w:ascii="Arial" w:hAnsi="Arial"/>
        <w:color w:val="918F90"/>
        <w:sz w:val="18"/>
        <w:szCs w:val="18"/>
      </w:rPr>
      <w:tab/>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PAGE </w:instrText>
    </w:r>
    <w:r w:rsidR="00CE455F" w:rsidRPr="00D83CB7">
      <w:rPr>
        <w:rStyle w:val="Seitenzahl"/>
        <w:rFonts w:ascii="Arial" w:hAnsi="Arial" w:cs="Arial"/>
        <w:color w:val="000000" w:themeColor="text1"/>
        <w:sz w:val="18"/>
        <w:szCs w:val="18"/>
      </w:rPr>
      <w:fldChar w:fldCharType="separate"/>
    </w:r>
    <w:r w:rsidR="00AF3257">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r>
      <w:rPr>
        <w:rStyle w:val="Seitenzahl"/>
        <w:rFonts w:ascii="Arial" w:hAnsi="Arial"/>
        <w:color w:val="000000" w:themeColor="text1"/>
        <w:sz w:val="18"/>
        <w:szCs w:val="18"/>
      </w:rPr>
      <w:t xml:space="preserve"> / </w:t>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NUMPAGES </w:instrText>
    </w:r>
    <w:r w:rsidR="00CE455F" w:rsidRPr="00D83CB7">
      <w:rPr>
        <w:rStyle w:val="Seitenzahl"/>
        <w:rFonts w:ascii="Arial" w:hAnsi="Arial" w:cs="Arial"/>
        <w:color w:val="000000" w:themeColor="text1"/>
        <w:sz w:val="18"/>
        <w:szCs w:val="18"/>
      </w:rPr>
      <w:fldChar w:fldCharType="separate"/>
    </w:r>
    <w:r w:rsidR="00AF3257">
      <w:rPr>
        <w:rStyle w:val="Seitenzahl"/>
        <w:rFonts w:ascii="Arial" w:hAnsi="Arial" w:cs="Arial"/>
        <w:noProof/>
        <w:color w:val="000000" w:themeColor="text1"/>
        <w:sz w:val="18"/>
        <w:szCs w:val="18"/>
      </w:rPr>
      <w:t>3</w:t>
    </w:r>
    <w:r w:rsidR="00CE455F" w:rsidRPr="00D83CB7">
      <w:rPr>
        <w:rStyle w:val="Seitenzahl"/>
        <w:rFonts w:ascii="Arial" w:hAnsi="Arial" w:cs="Arial"/>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709B1" w14:textId="77777777" w:rsidR="008C608D" w:rsidRDefault="008C608D">
    <w:pPr>
      <w:pStyle w:val="Fuzeile"/>
    </w:pPr>
    <w:r>
      <w:rPr>
        <w:noProof/>
        <w:lang w:val="de-DE" w:eastAsia="de-DE"/>
      </w:rPr>
      <w:drawing>
        <wp:anchor distT="0" distB="0" distL="0" distR="0" simplePos="0" relativeHeight="251659264" behindDoc="0" locked="0" layoutInCell="0" allowOverlap="1" wp14:anchorId="3C8AE65D" wp14:editId="37B4444B">
          <wp:simplePos x="0" y="0"/>
          <wp:positionH relativeFrom="column">
            <wp:posOffset>-617220</wp:posOffset>
          </wp:positionH>
          <wp:positionV relativeFrom="page">
            <wp:posOffset>9429750</wp:posOffset>
          </wp:positionV>
          <wp:extent cx="7346950" cy="1197610"/>
          <wp:effectExtent l="0" t="0" r="6350" b="2540"/>
          <wp:wrapThrough wrapText="bothSides">
            <wp:wrapPolygon edited="0">
              <wp:start x="19322" y="0"/>
              <wp:lineTo x="19322" y="5497"/>
              <wp:lineTo x="0" y="5841"/>
              <wp:lineTo x="0" y="21302"/>
              <wp:lineTo x="21563" y="21302"/>
              <wp:lineTo x="21563" y="5841"/>
              <wp:lineTo x="20723" y="5497"/>
              <wp:lineTo x="20723" y="0"/>
              <wp:lineTo x="19322" y="0"/>
            </wp:wrapPolygon>
          </wp:wrapThrough>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1129_Logo_A4_GPP.pdf"/>
                  <pic:cNvPicPr/>
                </pic:nvPicPr>
                <pic:blipFill>
                  <a:blip r:embed="rId1">
                    <a:extLst>
                      <a:ext uri="{28A0092B-C50C-407E-A947-70E740481C1C}">
                        <a14:useLocalDpi xmlns:a14="http://schemas.microsoft.com/office/drawing/2010/main" val="0"/>
                      </a:ext>
                    </a:extLst>
                  </a:blip>
                  <a:stretch>
                    <a:fillRect/>
                  </a:stretch>
                </pic:blipFill>
                <pic:spPr>
                  <a:xfrm>
                    <a:off x="0" y="0"/>
                    <a:ext cx="7346950" cy="11976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3A120" w14:textId="77777777" w:rsidR="007A7757" w:rsidRDefault="007A7757">
      <w:r>
        <w:separator/>
      </w:r>
    </w:p>
  </w:footnote>
  <w:footnote w:type="continuationSeparator" w:id="0">
    <w:p w14:paraId="30AED21F" w14:textId="77777777" w:rsidR="007A7757" w:rsidRDefault="007A7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A270" w14:textId="52D6B619" w:rsidR="006138CB" w:rsidRPr="009E3ADA" w:rsidRDefault="00E36E5F" w:rsidP="006138CB">
    <w:pPr>
      <w:jc w:val="right"/>
      <w:rPr>
        <w:rFonts w:ascii="Arial" w:hAnsi="Arial" w:cs="Arial"/>
        <w:color w:val="918F90"/>
        <w:sz w:val="28"/>
        <w:szCs w:val="28"/>
      </w:rPr>
    </w:pPr>
    <w:r>
      <w:rPr>
        <w:rFonts w:ascii="Arial" w:hAnsi="Arial"/>
        <w:noProof/>
        <w:color w:val="918F90"/>
        <w:sz w:val="28"/>
        <w:szCs w:val="28"/>
        <w:lang w:val="de-DE" w:eastAsia="de-DE"/>
      </w:rPr>
      <mc:AlternateContent>
        <mc:Choice Requires="wps">
          <w:drawing>
            <wp:anchor distT="0" distB="0" distL="114300" distR="114300" simplePos="0" relativeHeight="251663360" behindDoc="0" locked="0" layoutInCell="1" allowOverlap="1" wp14:anchorId="1214ACBC" wp14:editId="36AB530C">
              <wp:simplePos x="0" y="0"/>
              <wp:positionH relativeFrom="margin">
                <wp:posOffset>-76451</wp:posOffset>
              </wp:positionH>
              <wp:positionV relativeFrom="paragraph">
                <wp:posOffset>7620</wp:posOffset>
              </wp:positionV>
              <wp:extent cx="4778734" cy="281940"/>
              <wp:effectExtent l="0" t="0" r="0" b="381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8734" cy="281940"/>
                      </a:xfrm>
                      <a:prstGeom prst="rect">
                        <a:avLst/>
                      </a:prstGeom>
                      <a:noFill/>
                      <a:ln w="9525">
                        <a:noFill/>
                        <a:miter lim="800000"/>
                        <a:headEnd/>
                        <a:tailEnd/>
                      </a:ln>
                    </wps:spPr>
                    <wps:txbx>
                      <w:txbxContent>
                        <w:p w14:paraId="6DEA5BF5" w14:textId="5511A8D8" w:rsidR="00E36E5F" w:rsidRPr="001E3456" w:rsidRDefault="00E36E5F" w:rsidP="00E36E5F">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14ACBC" id="_x0000_t202" coordsize="21600,21600" o:spt="202" path="m,l,21600r21600,l21600,xe">
              <v:stroke joinstyle="miter"/>
              <v:path gradientshapeok="t" o:connecttype="rect"/>
            </v:shapetype>
            <v:shape id="Textfeld 2" o:spid="_x0000_s1026" type="#_x0000_t202" style="position:absolute;left:0;text-align:left;margin-left:-6pt;margin-top:.6pt;width:376.3pt;height:22.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" filled="f" stroked="f">
              <v:textbox>
                <w:txbxContent>
                  <w:p w14:paraId="6DEA5BF5" w14:textId="5511A8D8" w:rsidR="00E36E5F" w:rsidRPr="001E3456" w:rsidRDefault="00E36E5F" w:rsidP="00E36E5F">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v:textbox>
              <w10:wrap anchorx="margin"/>
            </v:shape>
          </w:pict>
        </mc:Fallback>
      </mc:AlternateContent>
    </w:r>
    <w:r>
      <w:rPr>
        <w:rFonts w:ascii="Arial" w:hAnsi="Arial"/>
        <w:color w:val="918F90"/>
        <w:sz w:val="28"/>
        <w:szCs w:val="28"/>
      </w:rPr>
      <w:t>Press release</w:t>
    </w:r>
  </w:p>
  <w:p w14:paraId="25B9848C" w14:textId="77777777" w:rsidR="00CE455F" w:rsidRDefault="00CE45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758FA" w14:textId="77777777" w:rsidR="00D83CB7" w:rsidRDefault="00E5203C" w:rsidP="000C770D">
    <w:pPr>
      <w:jc w:val="right"/>
      <w:rPr>
        <w:rFonts w:ascii="Arial" w:hAnsi="Arial" w:cs="Arial"/>
        <w:color w:val="918F90"/>
        <w:sz w:val="28"/>
        <w:szCs w:val="28"/>
      </w:rPr>
    </w:pPr>
    <w:r>
      <w:rPr>
        <w:rFonts w:ascii="Arial" w:hAnsi="Arial"/>
        <w:noProof/>
        <w:color w:val="918F90"/>
        <w:sz w:val="28"/>
        <w:szCs w:val="28"/>
        <w:lang w:val="de-DE" w:eastAsia="de-DE"/>
      </w:rPr>
      <mc:AlternateContent>
        <mc:Choice Requires="wps">
          <w:drawing>
            <wp:anchor distT="0" distB="0" distL="114300" distR="114300" simplePos="0" relativeHeight="251661312" behindDoc="0" locked="0" layoutInCell="1" allowOverlap="1" wp14:anchorId="18539D83" wp14:editId="582F9011">
              <wp:simplePos x="0" y="0"/>
              <wp:positionH relativeFrom="column">
                <wp:posOffset>-87123</wp:posOffset>
              </wp:positionH>
              <wp:positionV relativeFrom="paragraph">
                <wp:posOffset>5080</wp:posOffset>
              </wp:positionV>
              <wp:extent cx="4778734" cy="281940"/>
              <wp:effectExtent l="0" t="0" r="0" b="381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8734" cy="281940"/>
                      </a:xfrm>
                      <a:prstGeom prst="rect">
                        <a:avLst/>
                      </a:prstGeom>
                      <a:noFill/>
                      <a:ln w="9525">
                        <a:noFill/>
                        <a:miter lim="800000"/>
                        <a:headEnd/>
                        <a:tailEnd/>
                      </a:ln>
                    </wps:spPr>
                    <wps:txbx>
                      <w:txbxContent>
                        <w:p w14:paraId="371F1D6A" w14:textId="76476FCB"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39D83" id="_x0000_t202" coordsize="21600,21600" o:spt="202" path="m,l,21600r21600,l21600,xe">
              <v:stroke joinstyle="miter"/>
              <v:path gradientshapeok="t" o:connecttype="rect"/>
            </v:shapetype>
            <v:shape id="_x0000_s1027" type="#_x0000_t202" style="position:absolute;left:0;text-align:left;margin-left:-6.85pt;margin-top:.4pt;width:376.3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" filled="f" stroked="f">
              <v:textbox>
                <w:txbxContent>
                  <w:p w14:paraId="371F1D6A" w14:textId="76476FCB"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v:textbox>
            </v:shape>
          </w:pict>
        </mc:Fallback>
      </mc:AlternateContent>
    </w:r>
    <w:r>
      <w:rPr>
        <w:rFonts w:ascii="Arial" w:hAnsi="Arial"/>
        <w:color w:val="918F90"/>
        <w:sz w:val="28"/>
        <w:szCs w:val="28"/>
      </w:rPr>
      <w:t>Press release</w:t>
    </w:r>
  </w:p>
  <w:p w14:paraId="47ED31F5" w14:textId="77777777" w:rsidR="000C770D" w:rsidRDefault="000C770D" w:rsidP="000C770D">
    <w:pPr>
      <w:jc w:val="right"/>
      <w:rPr>
        <w:rFonts w:ascii="Arial" w:hAnsi="Arial" w:cs="Arial"/>
        <w:color w:val="918F9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96F5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015A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57C894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470FC1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5847D8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664F6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E7B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24C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AE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B695F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DFA04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D511BE"/>
    <w:multiLevelType w:val="multilevel"/>
    <w:tmpl w:val="D1926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3877515"/>
    <w:multiLevelType w:val="hybridMultilevel"/>
    <w:tmpl w:val="EA008F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80F77D8"/>
    <w:multiLevelType w:val="hybridMultilevel"/>
    <w:tmpl w:val="F2B82A0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DF305C1"/>
    <w:multiLevelType w:val="hybridMultilevel"/>
    <w:tmpl w:val="BD4E0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4A13444"/>
    <w:multiLevelType w:val="multilevel"/>
    <w:tmpl w:val="9A3A45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931CD0"/>
    <w:multiLevelType w:val="hybridMultilevel"/>
    <w:tmpl w:val="14A2D56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0BB13C7"/>
    <w:multiLevelType w:val="multilevel"/>
    <w:tmpl w:val="EB34B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8E17A9"/>
    <w:multiLevelType w:val="multilevel"/>
    <w:tmpl w:val="DF6841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507BD0"/>
    <w:multiLevelType w:val="multilevel"/>
    <w:tmpl w:val="3CF0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3064DC"/>
    <w:multiLevelType w:val="hybridMultilevel"/>
    <w:tmpl w:val="602C0CE0"/>
    <w:lvl w:ilvl="0" w:tplc="035054B6">
      <w:numFmt w:val="bullet"/>
      <w:lvlText w:val="-"/>
      <w:lvlJc w:val="left"/>
      <w:pPr>
        <w:ind w:left="-349" w:hanging="360"/>
      </w:pPr>
      <w:rPr>
        <w:rFonts w:ascii="Arial" w:eastAsia="Times New Roman" w:hAnsi="Arial" w:hint="default"/>
      </w:rPr>
    </w:lvl>
    <w:lvl w:ilvl="1" w:tplc="04070003" w:tentative="1">
      <w:start w:val="1"/>
      <w:numFmt w:val="bullet"/>
      <w:lvlText w:val="o"/>
      <w:lvlJc w:val="left"/>
      <w:pPr>
        <w:ind w:left="371" w:hanging="360"/>
      </w:pPr>
      <w:rPr>
        <w:rFonts w:ascii="Courier New" w:hAnsi="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21" w15:restartNumberingAfterBreak="0">
    <w:nsid w:val="5FEF1FE5"/>
    <w:multiLevelType w:val="hybridMultilevel"/>
    <w:tmpl w:val="FC5AA5D8"/>
    <w:lvl w:ilvl="0" w:tplc="725CC09E">
      <w:start w:val="18"/>
      <w:numFmt w:val="bullet"/>
      <w:lvlText w:val="-"/>
      <w:lvlJc w:val="left"/>
      <w:pPr>
        <w:ind w:left="1087" w:hanging="360"/>
      </w:pPr>
      <w:rPr>
        <w:rFonts w:ascii="Arial" w:eastAsia="Arial" w:hAnsi="Arial" w:cs="Arial"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22" w15:restartNumberingAfterBreak="0">
    <w:nsid w:val="60DD473C"/>
    <w:multiLevelType w:val="hybridMultilevel"/>
    <w:tmpl w:val="3D72A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1AF4A4D"/>
    <w:multiLevelType w:val="hybridMultilevel"/>
    <w:tmpl w:val="7EB0B168"/>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67BD0102"/>
    <w:multiLevelType w:val="hybridMultilevel"/>
    <w:tmpl w:val="8CD674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8F54FC7"/>
    <w:multiLevelType w:val="hybridMultilevel"/>
    <w:tmpl w:val="7A00E706"/>
    <w:lvl w:ilvl="0" w:tplc="B6F8B6B2">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6A9D4FD2"/>
    <w:multiLevelType w:val="hybridMultilevel"/>
    <w:tmpl w:val="EB5A7A7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91629E"/>
    <w:multiLevelType w:val="hybridMultilevel"/>
    <w:tmpl w:val="169A69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0"/>
  </w:num>
  <w:num w:numId="13">
    <w:abstractNumId w:val="25"/>
  </w:num>
  <w:num w:numId="14">
    <w:abstractNumId w:val="21"/>
  </w:num>
  <w:num w:numId="15">
    <w:abstractNumId w:val="22"/>
  </w:num>
  <w:num w:numId="16">
    <w:abstractNumId w:val="14"/>
  </w:num>
  <w:num w:numId="17">
    <w:abstractNumId w:val="13"/>
  </w:num>
  <w:num w:numId="18">
    <w:abstractNumId w:val="12"/>
  </w:num>
  <w:num w:numId="19">
    <w:abstractNumId w:val="16"/>
  </w:num>
  <w:num w:numId="20">
    <w:abstractNumId w:val="19"/>
  </w:num>
  <w:num w:numId="21">
    <w:abstractNumId w:val="27"/>
  </w:num>
  <w:num w:numId="22">
    <w:abstractNumId w:val="15"/>
  </w:num>
  <w:num w:numId="23">
    <w:abstractNumId w:val="11"/>
  </w:num>
  <w:num w:numId="24">
    <w:abstractNumId w:val="23"/>
  </w:num>
  <w:num w:numId="25">
    <w:abstractNumId w:val="26"/>
  </w:num>
  <w:num w:numId="26">
    <w:abstractNumId w:val="24"/>
  </w:num>
  <w:num w:numId="27">
    <w:abstractNumId w:val="1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4661EE"/>
    <w:rsid w:val="00000C9B"/>
    <w:rsid w:val="00004F2C"/>
    <w:rsid w:val="00010109"/>
    <w:rsid w:val="000105E8"/>
    <w:rsid w:val="00012B3B"/>
    <w:rsid w:val="00013842"/>
    <w:rsid w:val="000159FE"/>
    <w:rsid w:val="00017B11"/>
    <w:rsid w:val="00020E53"/>
    <w:rsid w:val="00022F16"/>
    <w:rsid w:val="00023D78"/>
    <w:rsid w:val="00026DC2"/>
    <w:rsid w:val="0003075C"/>
    <w:rsid w:val="00032A2D"/>
    <w:rsid w:val="00033337"/>
    <w:rsid w:val="00034AB0"/>
    <w:rsid w:val="000357E9"/>
    <w:rsid w:val="00037784"/>
    <w:rsid w:val="00041B84"/>
    <w:rsid w:val="0004323A"/>
    <w:rsid w:val="000528C2"/>
    <w:rsid w:val="00053F6A"/>
    <w:rsid w:val="00056C1C"/>
    <w:rsid w:val="00057A4A"/>
    <w:rsid w:val="00060743"/>
    <w:rsid w:val="00066796"/>
    <w:rsid w:val="0007181C"/>
    <w:rsid w:val="00073133"/>
    <w:rsid w:val="000766D7"/>
    <w:rsid w:val="0007670A"/>
    <w:rsid w:val="000847AA"/>
    <w:rsid w:val="00084B37"/>
    <w:rsid w:val="0009653E"/>
    <w:rsid w:val="00097786"/>
    <w:rsid w:val="000A252B"/>
    <w:rsid w:val="000A290E"/>
    <w:rsid w:val="000A7D42"/>
    <w:rsid w:val="000B1606"/>
    <w:rsid w:val="000B174E"/>
    <w:rsid w:val="000B3315"/>
    <w:rsid w:val="000C118E"/>
    <w:rsid w:val="000C1929"/>
    <w:rsid w:val="000C770D"/>
    <w:rsid w:val="000D27FF"/>
    <w:rsid w:val="000D2874"/>
    <w:rsid w:val="000D3E9F"/>
    <w:rsid w:val="000D65F9"/>
    <w:rsid w:val="000E03F3"/>
    <w:rsid w:val="000E27A9"/>
    <w:rsid w:val="000E2A43"/>
    <w:rsid w:val="000E404B"/>
    <w:rsid w:val="000E52FF"/>
    <w:rsid w:val="000E7457"/>
    <w:rsid w:val="000E7BC7"/>
    <w:rsid w:val="000F7242"/>
    <w:rsid w:val="001029C4"/>
    <w:rsid w:val="00104638"/>
    <w:rsid w:val="00106319"/>
    <w:rsid w:val="0011486D"/>
    <w:rsid w:val="0011512F"/>
    <w:rsid w:val="001169A3"/>
    <w:rsid w:val="00121E33"/>
    <w:rsid w:val="00122A3F"/>
    <w:rsid w:val="00126550"/>
    <w:rsid w:val="00126D0B"/>
    <w:rsid w:val="0013014A"/>
    <w:rsid w:val="001324D6"/>
    <w:rsid w:val="00135BD2"/>
    <w:rsid w:val="00135E09"/>
    <w:rsid w:val="0014445B"/>
    <w:rsid w:val="001522BE"/>
    <w:rsid w:val="00154825"/>
    <w:rsid w:val="0016200B"/>
    <w:rsid w:val="00163A27"/>
    <w:rsid w:val="0016611C"/>
    <w:rsid w:val="00170D57"/>
    <w:rsid w:val="0017364E"/>
    <w:rsid w:val="0017516B"/>
    <w:rsid w:val="001763CB"/>
    <w:rsid w:val="00176F1D"/>
    <w:rsid w:val="0018068D"/>
    <w:rsid w:val="00190846"/>
    <w:rsid w:val="00195E4A"/>
    <w:rsid w:val="001A1E48"/>
    <w:rsid w:val="001A2ABE"/>
    <w:rsid w:val="001A360C"/>
    <w:rsid w:val="001A4740"/>
    <w:rsid w:val="001B0844"/>
    <w:rsid w:val="001C0250"/>
    <w:rsid w:val="001C24F9"/>
    <w:rsid w:val="001D14DA"/>
    <w:rsid w:val="001D44D5"/>
    <w:rsid w:val="001D4EC2"/>
    <w:rsid w:val="001E01CC"/>
    <w:rsid w:val="001E6995"/>
    <w:rsid w:val="001F0339"/>
    <w:rsid w:val="001F096F"/>
    <w:rsid w:val="001F1513"/>
    <w:rsid w:val="001F4072"/>
    <w:rsid w:val="0020305C"/>
    <w:rsid w:val="00205769"/>
    <w:rsid w:val="0020724D"/>
    <w:rsid w:val="00210C50"/>
    <w:rsid w:val="00211ED2"/>
    <w:rsid w:val="00212FEC"/>
    <w:rsid w:val="002131BB"/>
    <w:rsid w:val="00214978"/>
    <w:rsid w:val="0022086D"/>
    <w:rsid w:val="0022128D"/>
    <w:rsid w:val="0022251E"/>
    <w:rsid w:val="00223F7F"/>
    <w:rsid w:val="002248B2"/>
    <w:rsid w:val="00226296"/>
    <w:rsid w:val="00227E31"/>
    <w:rsid w:val="00230F81"/>
    <w:rsid w:val="00231F4E"/>
    <w:rsid w:val="002341EE"/>
    <w:rsid w:val="00237341"/>
    <w:rsid w:val="002432BE"/>
    <w:rsid w:val="002434F9"/>
    <w:rsid w:val="00251D5F"/>
    <w:rsid w:val="0025303E"/>
    <w:rsid w:val="00254C6F"/>
    <w:rsid w:val="00255679"/>
    <w:rsid w:val="00261428"/>
    <w:rsid w:val="002640D2"/>
    <w:rsid w:val="00267258"/>
    <w:rsid w:val="00267CDB"/>
    <w:rsid w:val="0027266B"/>
    <w:rsid w:val="00280B5A"/>
    <w:rsid w:val="00281E80"/>
    <w:rsid w:val="00282732"/>
    <w:rsid w:val="00282D89"/>
    <w:rsid w:val="002834B0"/>
    <w:rsid w:val="00283671"/>
    <w:rsid w:val="002837B6"/>
    <w:rsid w:val="00284A5D"/>
    <w:rsid w:val="00284E27"/>
    <w:rsid w:val="00294B7D"/>
    <w:rsid w:val="002A11A2"/>
    <w:rsid w:val="002A1973"/>
    <w:rsid w:val="002A2943"/>
    <w:rsid w:val="002A32F5"/>
    <w:rsid w:val="002A382D"/>
    <w:rsid w:val="002A7686"/>
    <w:rsid w:val="002B0DAB"/>
    <w:rsid w:val="002B14F6"/>
    <w:rsid w:val="002B19FD"/>
    <w:rsid w:val="002C055A"/>
    <w:rsid w:val="002C2392"/>
    <w:rsid w:val="002C5614"/>
    <w:rsid w:val="002C5947"/>
    <w:rsid w:val="002C60E4"/>
    <w:rsid w:val="002C7D6D"/>
    <w:rsid w:val="002D16A8"/>
    <w:rsid w:val="002D1C5C"/>
    <w:rsid w:val="002D1E20"/>
    <w:rsid w:val="002D4556"/>
    <w:rsid w:val="002D525C"/>
    <w:rsid w:val="002D68BA"/>
    <w:rsid w:val="002D7CF8"/>
    <w:rsid w:val="002E0757"/>
    <w:rsid w:val="002E4FA1"/>
    <w:rsid w:val="002E5837"/>
    <w:rsid w:val="002E6860"/>
    <w:rsid w:val="002E73AF"/>
    <w:rsid w:val="002F0411"/>
    <w:rsid w:val="002F767E"/>
    <w:rsid w:val="00301264"/>
    <w:rsid w:val="003033FA"/>
    <w:rsid w:val="00304EAC"/>
    <w:rsid w:val="0030699E"/>
    <w:rsid w:val="003073BD"/>
    <w:rsid w:val="00312D28"/>
    <w:rsid w:val="00314914"/>
    <w:rsid w:val="00314B9E"/>
    <w:rsid w:val="00315D47"/>
    <w:rsid w:val="003246F0"/>
    <w:rsid w:val="0032582A"/>
    <w:rsid w:val="00325E2A"/>
    <w:rsid w:val="003272F3"/>
    <w:rsid w:val="003300AB"/>
    <w:rsid w:val="0033511D"/>
    <w:rsid w:val="00337AAB"/>
    <w:rsid w:val="00345716"/>
    <w:rsid w:val="0034786C"/>
    <w:rsid w:val="003517C9"/>
    <w:rsid w:val="00353A4B"/>
    <w:rsid w:val="00356784"/>
    <w:rsid w:val="003579E5"/>
    <w:rsid w:val="00357EC4"/>
    <w:rsid w:val="00361F02"/>
    <w:rsid w:val="00363DD7"/>
    <w:rsid w:val="00370000"/>
    <w:rsid w:val="00372819"/>
    <w:rsid w:val="00372924"/>
    <w:rsid w:val="00373507"/>
    <w:rsid w:val="00377771"/>
    <w:rsid w:val="0038230E"/>
    <w:rsid w:val="00382529"/>
    <w:rsid w:val="00393E4D"/>
    <w:rsid w:val="00397AD9"/>
    <w:rsid w:val="003A00C9"/>
    <w:rsid w:val="003A25A4"/>
    <w:rsid w:val="003A31A6"/>
    <w:rsid w:val="003A3D97"/>
    <w:rsid w:val="003B1C09"/>
    <w:rsid w:val="003B49E4"/>
    <w:rsid w:val="003B4CCF"/>
    <w:rsid w:val="003B7C7A"/>
    <w:rsid w:val="003C0E45"/>
    <w:rsid w:val="003C4D42"/>
    <w:rsid w:val="003C57EB"/>
    <w:rsid w:val="003C6AB4"/>
    <w:rsid w:val="003C7E96"/>
    <w:rsid w:val="003D4104"/>
    <w:rsid w:val="003D75A6"/>
    <w:rsid w:val="003E099F"/>
    <w:rsid w:val="003E167F"/>
    <w:rsid w:val="003E2B3F"/>
    <w:rsid w:val="003E4DF9"/>
    <w:rsid w:val="003E58D5"/>
    <w:rsid w:val="003E631E"/>
    <w:rsid w:val="003E684D"/>
    <w:rsid w:val="003E6983"/>
    <w:rsid w:val="003F190F"/>
    <w:rsid w:val="003F1FE3"/>
    <w:rsid w:val="003F3EBE"/>
    <w:rsid w:val="003F665D"/>
    <w:rsid w:val="003F6E4C"/>
    <w:rsid w:val="0040086D"/>
    <w:rsid w:val="004017D8"/>
    <w:rsid w:val="00402D3C"/>
    <w:rsid w:val="00405188"/>
    <w:rsid w:val="00411E03"/>
    <w:rsid w:val="004123B1"/>
    <w:rsid w:val="00414EB4"/>
    <w:rsid w:val="00423634"/>
    <w:rsid w:val="004303A1"/>
    <w:rsid w:val="0043562D"/>
    <w:rsid w:val="00437A05"/>
    <w:rsid w:val="00440141"/>
    <w:rsid w:val="00440DC9"/>
    <w:rsid w:val="0044315F"/>
    <w:rsid w:val="004506D2"/>
    <w:rsid w:val="00450AE4"/>
    <w:rsid w:val="00452892"/>
    <w:rsid w:val="00456485"/>
    <w:rsid w:val="00456F40"/>
    <w:rsid w:val="00457511"/>
    <w:rsid w:val="004604E4"/>
    <w:rsid w:val="004609BD"/>
    <w:rsid w:val="00461086"/>
    <w:rsid w:val="004661EE"/>
    <w:rsid w:val="00466741"/>
    <w:rsid w:val="00467736"/>
    <w:rsid w:val="00470064"/>
    <w:rsid w:val="0047091F"/>
    <w:rsid w:val="00470BCC"/>
    <w:rsid w:val="0047313D"/>
    <w:rsid w:val="0047391C"/>
    <w:rsid w:val="00476156"/>
    <w:rsid w:val="00476F2C"/>
    <w:rsid w:val="00481938"/>
    <w:rsid w:val="00483945"/>
    <w:rsid w:val="004844BE"/>
    <w:rsid w:val="0048599E"/>
    <w:rsid w:val="00491420"/>
    <w:rsid w:val="004A1122"/>
    <w:rsid w:val="004A2BEA"/>
    <w:rsid w:val="004A3C64"/>
    <w:rsid w:val="004A569B"/>
    <w:rsid w:val="004A5AEA"/>
    <w:rsid w:val="004A6CA8"/>
    <w:rsid w:val="004A78AB"/>
    <w:rsid w:val="004A7FB6"/>
    <w:rsid w:val="004B0198"/>
    <w:rsid w:val="004B2FDA"/>
    <w:rsid w:val="004B480A"/>
    <w:rsid w:val="004B509C"/>
    <w:rsid w:val="004B5D36"/>
    <w:rsid w:val="004C0CA2"/>
    <w:rsid w:val="004C3F08"/>
    <w:rsid w:val="004C502D"/>
    <w:rsid w:val="004C638E"/>
    <w:rsid w:val="004D50C0"/>
    <w:rsid w:val="004D522A"/>
    <w:rsid w:val="004D681E"/>
    <w:rsid w:val="004D772A"/>
    <w:rsid w:val="004E1CAB"/>
    <w:rsid w:val="004E339B"/>
    <w:rsid w:val="004E4273"/>
    <w:rsid w:val="004E4562"/>
    <w:rsid w:val="004E5E8F"/>
    <w:rsid w:val="004F077F"/>
    <w:rsid w:val="004F4CFB"/>
    <w:rsid w:val="004F5914"/>
    <w:rsid w:val="005023DD"/>
    <w:rsid w:val="00503D8C"/>
    <w:rsid w:val="00507B16"/>
    <w:rsid w:val="00520211"/>
    <w:rsid w:val="005203FD"/>
    <w:rsid w:val="00522B84"/>
    <w:rsid w:val="00525884"/>
    <w:rsid w:val="0053031B"/>
    <w:rsid w:val="00531A7F"/>
    <w:rsid w:val="00533CEB"/>
    <w:rsid w:val="00534BAD"/>
    <w:rsid w:val="005360E8"/>
    <w:rsid w:val="0053705C"/>
    <w:rsid w:val="005405CF"/>
    <w:rsid w:val="005428C5"/>
    <w:rsid w:val="00543C55"/>
    <w:rsid w:val="00545507"/>
    <w:rsid w:val="005507D3"/>
    <w:rsid w:val="0055393B"/>
    <w:rsid w:val="005554C7"/>
    <w:rsid w:val="00556F58"/>
    <w:rsid w:val="00557716"/>
    <w:rsid w:val="00560C86"/>
    <w:rsid w:val="00567D57"/>
    <w:rsid w:val="00575083"/>
    <w:rsid w:val="005768D5"/>
    <w:rsid w:val="00582B99"/>
    <w:rsid w:val="00587F74"/>
    <w:rsid w:val="00590903"/>
    <w:rsid w:val="005A1D8C"/>
    <w:rsid w:val="005A2CCD"/>
    <w:rsid w:val="005A5C40"/>
    <w:rsid w:val="005A5D29"/>
    <w:rsid w:val="005A617A"/>
    <w:rsid w:val="005A7774"/>
    <w:rsid w:val="005B0765"/>
    <w:rsid w:val="005B0FC9"/>
    <w:rsid w:val="005B394C"/>
    <w:rsid w:val="005B623D"/>
    <w:rsid w:val="005B66D3"/>
    <w:rsid w:val="005C37D1"/>
    <w:rsid w:val="005C4556"/>
    <w:rsid w:val="005C5302"/>
    <w:rsid w:val="005D185A"/>
    <w:rsid w:val="005D1DAB"/>
    <w:rsid w:val="005D307B"/>
    <w:rsid w:val="005D603E"/>
    <w:rsid w:val="005D75EE"/>
    <w:rsid w:val="005E0E98"/>
    <w:rsid w:val="005E1425"/>
    <w:rsid w:val="005E2ABB"/>
    <w:rsid w:val="005E3419"/>
    <w:rsid w:val="005E362E"/>
    <w:rsid w:val="005E4B4E"/>
    <w:rsid w:val="005E5B58"/>
    <w:rsid w:val="005E7B61"/>
    <w:rsid w:val="005F1B2F"/>
    <w:rsid w:val="005F4552"/>
    <w:rsid w:val="005F5C8E"/>
    <w:rsid w:val="005F7593"/>
    <w:rsid w:val="00600941"/>
    <w:rsid w:val="00600C8E"/>
    <w:rsid w:val="006029D7"/>
    <w:rsid w:val="00602CCA"/>
    <w:rsid w:val="0061109D"/>
    <w:rsid w:val="00612AA0"/>
    <w:rsid w:val="00612FE1"/>
    <w:rsid w:val="006138CB"/>
    <w:rsid w:val="006201E1"/>
    <w:rsid w:val="006224C4"/>
    <w:rsid w:val="006225EA"/>
    <w:rsid w:val="00623750"/>
    <w:rsid w:val="00625156"/>
    <w:rsid w:val="006261DF"/>
    <w:rsid w:val="006262E9"/>
    <w:rsid w:val="00626680"/>
    <w:rsid w:val="006323CC"/>
    <w:rsid w:val="006359E9"/>
    <w:rsid w:val="00636EC5"/>
    <w:rsid w:val="00640CD0"/>
    <w:rsid w:val="00641270"/>
    <w:rsid w:val="00642074"/>
    <w:rsid w:val="00642409"/>
    <w:rsid w:val="006424F8"/>
    <w:rsid w:val="00643D73"/>
    <w:rsid w:val="00644AED"/>
    <w:rsid w:val="00647851"/>
    <w:rsid w:val="006517DA"/>
    <w:rsid w:val="00652204"/>
    <w:rsid w:val="00653ABB"/>
    <w:rsid w:val="00655405"/>
    <w:rsid w:val="00656301"/>
    <w:rsid w:val="0066326B"/>
    <w:rsid w:val="00663428"/>
    <w:rsid w:val="006640C4"/>
    <w:rsid w:val="00681CAB"/>
    <w:rsid w:val="006842EF"/>
    <w:rsid w:val="006865DA"/>
    <w:rsid w:val="00695E58"/>
    <w:rsid w:val="0069757D"/>
    <w:rsid w:val="006977FA"/>
    <w:rsid w:val="006A1329"/>
    <w:rsid w:val="006A3FA5"/>
    <w:rsid w:val="006A66F9"/>
    <w:rsid w:val="006A777A"/>
    <w:rsid w:val="006D0A4F"/>
    <w:rsid w:val="006E2EF9"/>
    <w:rsid w:val="006E5C9C"/>
    <w:rsid w:val="006E639E"/>
    <w:rsid w:val="006E644F"/>
    <w:rsid w:val="006F1774"/>
    <w:rsid w:val="006F1E2A"/>
    <w:rsid w:val="006F5757"/>
    <w:rsid w:val="006F6BF1"/>
    <w:rsid w:val="00711680"/>
    <w:rsid w:val="007126FF"/>
    <w:rsid w:val="00714890"/>
    <w:rsid w:val="00717A20"/>
    <w:rsid w:val="00720DFF"/>
    <w:rsid w:val="007227E9"/>
    <w:rsid w:val="00724D6F"/>
    <w:rsid w:val="00730E23"/>
    <w:rsid w:val="00732079"/>
    <w:rsid w:val="0073307A"/>
    <w:rsid w:val="0073477C"/>
    <w:rsid w:val="007543F0"/>
    <w:rsid w:val="00760153"/>
    <w:rsid w:val="00762CC5"/>
    <w:rsid w:val="00763617"/>
    <w:rsid w:val="00764A52"/>
    <w:rsid w:val="00766A89"/>
    <w:rsid w:val="00774D89"/>
    <w:rsid w:val="00782411"/>
    <w:rsid w:val="007906B4"/>
    <w:rsid w:val="007970A0"/>
    <w:rsid w:val="007A2199"/>
    <w:rsid w:val="007A7757"/>
    <w:rsid w:val="007B1D95"/>
    <w:rsid w:val="007B215B"/>
    <w:rsid w:val="007B3E67"/>
    <w:rsid w:val="007B4617"/>
    <w:rsid w:val="007C41FD"/>
    <w:rsid w:val="007C4BC3"/>
    <w:rsid w:val="007D19A7"/>
    <w:rsid w:val="007D587E"/>
    <w:rsid w:val="007D5CE6"/>
    <w:rsid w:val="007D682F"/>
    <w:rsid w:val="007E0E16"/>
    <w:rsid w:val="007E6598"/>
    <w:rsid w:val="007E759D"/>
    <w:rsid w:val="007F2DBE"/>
    <w:rsid w:val="007F2F67"/>
    <w:rsid w:val="007F33B6"/>
    <w:rsid w:val="007F43AB"/>
    <w:rsid w:val="007F4E12"/>
    <w:rsid w:val="007F642D"/>
    <w:rsid w:val="007F756A"/>
    <w:rsid w:val="00801CFE"/>
    <w:rsid w:val="00807379"/>
    <w:rsid w:val="00812471"/>
    <w:rsid w:val="00823F43"/>
    <w:rsid w:val="008261A5"/>
    <w:rsid w:val="00830824"/>
    <w:rsid w:val="00831898"/>
    <w:rsid w:val="0083382E"/>
    <w:rsid w:val="00835744"/>
    <w:rsid w:val="00836A75"/>
    <w:rsid w:val="00842AD1"/>
    <w:rsid w:val="00843056"/>
    <w:rsid w:val="0085083D"/>
    <w:rsid w:val="00855325"/>
    <w:rsid w:val="00862A99"/>
    <w:rsid w:val="00862E34"/>
    <w:rsid w:val="00865915"/>
    <w:rsid w:val="00871832"/>
    <w:rsid w:val="00883F52"/>
    <w:rsid w:val="00884856"/>
    <w:rsid w:val="00886CCE"/>
    <w:rsid w:val="0089000C"/>
    <w:rsid w:val="008942C6"/>
    <w:rsid w:val="00896B33"/>
    <w:rsid w:val="008A57FE"/>
    <w:rsid w:val="008A62FB"/>
    <w:rsid w:val="008A6FC2"/>
    <w:rsid w:val="008A77B7"/>
    <w:rsid w:val="008B0D95"/>
    <w:rsid w:val="008B0F67"/>
    <w:rsid w:val="008B26FD"/>
    <w:rsid w:val="008B2F6A"/>
    <w:rsid w:val="008B51C6"/>
    <w:rsid w:val="008B6B2C"/>
    <w:rsid w:val="008C04E1"/>
    <w:rsid w:val="008C0E8F"/>
    <w:rsid w:val="008C15FD"/>
    <w:rsid w:val="008C3A2D"/>
    <w:rsid w:val="008C608D"/>
    <w:rsid w:val="008C782E"/>
    <w:rsid w:val="008D61B3"/>
    <w:rsid w:val="008E461D"/>
    <w:rsid w:val="008E6D4E"/>
    <w:rsid w:val="008F08E5"/>
    <w:rsid w:val="008F0E75"/>
    <w:rsid w:val="008F0EA4"/>
    <w:rsid w:val="008F38F6"/>
    <w:rsid w:val="008F5213"/>
    <w:rsid w:val="008F69E2"/>
    <w:rsid w:val="009000CF"/>
    <w:rsid w:val="009003ED"/>
    <w:rsid w:val="00904E1E"/>
    <w:rsid w:val="0090748B"/>
    <w:rsid w:val="00913EFA"/>
    <w:rsid w:val="009155C2"/>
    <w:rsid w:val="009176CA"/>
    <w:rsid w:val="00920C9C"/>
    <w:rsid w:val="00922754"/>
    <w:rsid w:val="00925781"/>
    <w:rsid w:val="009258D0"/>
    <w:rsid w:val="00926753"/>
    <w:rsid w:val="00926D96"/>
    <w:rsid w:val="009275BE"/>
    <w:rsid w:val="00935AB3"/>
    <w:rsid w:val="0093659D"/>
    <w:rsid w:val="009447D4"/>
    <w:rsid w:val="00950C77"/>
    <w:rsid w:val="00955991"/>
    <w:rsid w:val="00962189"/>
    <w:rsid w:val="009646C4"/>
    <w:rsid w:val="009734CE"/>
    <w:rsid w:val="00983B83"/>
    <w:rsid w:val="0098460C"/>
    <w:rsid w:val="00990251"/>
    <w:rsid w:val="00992B56"/>
    <w:rsid w:val="00996030"/>
    <w:rsid w:val="00996E1A"/>
    <w:rsid w:val="00997000"/>
    <w:rsid w:val="009A5FAF"/>
    <w:rsid w:val="009B4392"/>
    <w:rsid w:val="009B79CE"/>
    <w:rsid w:val="009B7D09"/>
    <w:rsid w:val="009C14B3"/>
    <w:rsid w:val="009C1DA5"/>
    <w:rsid w:val="009D24DA"/>
    <w:rsid w:val="009D5D75"/>
    <w:rsid w:val="009D7601"/>
    <w:rsid w:val="009E0C0B"/>
    <w:rsid w:val="009E349F"/>
    <w:rsid w:val="009F32A2"/>
    <w:rsid w:val="009F4C68"/>
    <w:rsid w:val="009F54CE"/>
    <w:rsid w:val="009F5C23"/>
    <w:rsid w:val="00A06264"/>
    <w:rsid w:val="00A128E3"/>
    <w:rsid w:val="00A1639A"/>
    <w:rsid w:val="00A17A14"/>
    <w:rsid w:val="00A20D8F"/>
    <w:rsid w:val="00A215C9"/>
    <w:rsid w:val="00A22C60"/>
    <w:rsid w:val="00A30B7F"/>
    <w:rsid w:val="00A31351"/>
    <w:rsid w:val="00A32F0C"/>
    <w:rsid w:val="00A3554C"/>
    <w:rsid w:val="00A37DC2"/>
    <w:rsid w:val="00A507C0"/>
    <w:rsid w:val="00A5364B"/>
    <w:rsid w:val="00A566BC"/>
    <w:rsid w:val="00A60999"/>
    <w:rsid w:val="00A615E0"/>
    <w:rsid w:val="00A6235C"/>
    <w:rsid w:val="00A6458E"/>
    <w:rsid w:val="00A65E2B"/>
    <w:rsid w:val="00A7200E"/>
    <w:rsid w:val="00A74AA0"/>
    <w:rsid w:val="00A7546D"/>
    <w:rsid w:val="00A77100"/>
    <w:rsid w:val="00A773B2"/>
    <w:rsid w:val="00A825D6"/>
    <w:rsid w:val="00A91138"/>
    <w:rsid w:val="00A92BB1"/>
    <w:rsid w:val="00AA4426"/>
    <w:rsid w:val="00AA4D97"/>
    <w:rsid w:val="00AB1E81"/>
    <w:rsid w:val="00AC09B2"/>
    <w:rsid w:val="00AC23A6"/>
    <w:rsid w:val="00AD17B7"/>
    <w:rsid w:val="00AD6DE7"/>
    <w:rsid w:val="00AE33D7"/>
    <w:rsid w:val="00AF08D2"/>
    <w:rsid w:val="00AF3257"/>
    <w:rsid w:val="00AF64D0"/>
    <w:rsid w:val="00B01446"/>
    <w:rsid w:val="00B069C5"/>
    <w:rsid w:val="00B06D1B"/>
    <w:rsid w:val="00B077D5"/>
    <w:rsid w:val="00B10EEE"/>
    <w:rsid w:val="00B1615B"/>
    <w:rsid w:val="00B16A78"/>
    <w:rsid w:val="00B200E4"/>
    <w:rsid w:val="00B20EE0"/>
    <w:rsid w:val="00B25046"/>
    <w:rsid w:val="00B26FFD"/>
    <w:rsid w:val="00B27E63"/>
    <w:rsid w:val="00B35AFE"/>
    <w:rsid w:val="00B35B6D"/>
    <w:rsid w:val="00B35DC6"/>
    <w:rsid w:val="00B3619D"/>
    <w:rsid w:val="00B4232D"/>
    <w:rsid w:val="00B42BFF"/>
    <w:rsid w:val="00B45CBB"/>
    <w:rsid w:val="00B4764C"/>
    <w:rsid w:val="00B51699"/>
    <w:rsid w:val="00B53FAF"/>
    <w:rsid w:val="00B55F57"/>
    <w:rsid w:val="00B63153"/>
    <w:rsid w:val="00B64846"/>
    <w:rsid w:val="00B6527D"/>
    <w:rsid w:val="00B66C16"/>
    <w:rsid w:val="00B72D7B"/>
    <w:rsid w:val="00B73B3A"/>
    <w:rsid w:val="00B74507"/>
    <w:rsid w:val="00B75718"/>
    <w:rsid w:val="00B75E7E"/>
    <w:rsid w:val="00B77EAB"/>
    <w:rsid w:val="00B86001"/>
    <w:rsid w:val="00B90261"/>
    <w:rsid w:val="00B92FD0"/>
    <w:rsid w:val="00B93817"/>
    <w:rsid w:val="00B9682D"/>
    <w:rsid w:val="00B96FB1"/>
    <w:rsid w:val="00B97144"/>
    <w:rsid w:val="00BA0B96"/>
    <w:rsid w:val="00BA6688"/>
    <w:rsid w:val="00BB15DA"/>
    <w:rsid w:val="00BB2707"/>
    <w:rsid w:val="00BB340D"/>
    <w:rsid w:val="00BB438E"/>
    <w:rsid w:val="00BB6417"/>
    <w:rsid w:val="00BB6511"/>
    <w:rsid w:val="00BB658C"/>
    <w:rsid w:val="00BC1B54"/>
    <w:rsid w:val="00BC2A3A"/>
    <w:rsid w:val="00BC39B1"/>
    <w:rsid w:val="00BC5039"/>
    <w:rsid w:val="00BC64EC"/>
    <w:rsid w:val="00BD073D"/>
    <w:rsid w:val="00BD215A"/>
    <w:rsid w:val="00BD380C"/>
    <w:rsid w:val="00BD481F"/>
    <w:rsid w:val="00BE4198"/>
    <w:rsid w:val="00BE4332"/>
    <w:rsid w:val="00BE7700"/>
    <w:rsid w:val="00BF3AFD"/>
    <w:rsid w:val="00C00F4E"/>
    <w:rsid w:val="00C023E8"/>
    <w:rsid w:val="00C02D74"/>
    <w:rsid w:val="00C04A14"/>
    <w:rsid w:val="00C13C5D"/>
    <w:rsid w:val="00C1438E"/>
    <w:rsid w:val="00C1606C"/>
    <w:rsid w:val="00C171C1"/>
    <w:rsid w:val="00C205D6"/>
    <w:rsid w:val="00C23180"/>
    <w:rsid w:val="00C41492"/>
    <w:rsid w:val="00C46415"/>
    <w:rsid w:val="00C4789F"/>
    <w:rsid w:val="00C502EC"/>
    <w:rsid w:val="00C50874"/>
    <w:rsid w:val="00C51F02"/>
    <w:rsid w:val="00C5466E"/>
    <w:rsid w:val="00C560AB"/>
    <w:rsid w:val="00C63201"/>
    <w:rsid w:val="00C63ACA"/>
    <w:rsid w:val="00C6520E"/>
    <w:rsid w:val="00C657CE"/>
    <w:rsid w:val="00C65D69"/>
    <w:rsid w:val="00C667F3"/>
    <w:rsid w:val="00C67D85"/>
    <w:rsid w:val="00C702B5"/>
    <w:rsid w:val="00C70389"/>
    <w:rsid w:val="00C733F1"/>
    <w:rsid w:val="00C8495F"/>
    <w:rsid w:val="00C904B6"/>
    <w:rsid w:val="00C90A75"/>
    <w:rsid w:val="00C9231A"/>
    <w:rsid w:val="00C935BC"/>
    <w:rsid w:val="00C96DF4"/>
    <w:rsid w:val="00CA2701"/>
    <w:rsid w:val="00CA58B6"/>
    <w:rsid w:val="00CA6A66"/>
    <w:rsid w:val="00CC1337"/>
    <w:rsid w:val="00CC2514"/>
    <w:rsid w:val="00CC3E33"/>
    <w:rsid w:val="00CC48DF"/>
    <w:rsid w:val="00CC4EF0"/>
    <w:rsid w:val="00CC6715"/>
    <w:rsid w:val="00CD3056"/>
    <w:rsid w:val="00CD3FCA"/>
    <w:rsid w:val="00CD42E0"/>
    <w:rsid w:val="00CD4A91"/>
    <w:rsid w:val="00CD4FDC"/>
    <w:rsid w:val="00CD70E7"/>
    <w:rsid w:val="00CD733D"/>
    <w:rsid w:val="00CD7363"/>
    <w:rsid w:val="00CE0BB9"/>
    <w:rsid w:val="00CE0C1F"/>
    <w:rsid w:val="00CE3370"/>
    <w:rsid w:val="00CE455F"/>
    <w:rsid w:val="00CF0BF9"/>
    <w:rsid w:val="00CF2BB3"/>
    <w:rsid w:val="00CF2C0D"/>
    <w:rsid w:val="00CF3112"/>
    <w:rsid w:val="00CF5957"/>
    <w:rsid w:val="00CF7C1F"/>
    <w:rsid w:val="00D047B3"/>
    <w:rsid w:val="00D04BA2"/>
    <w:rsid w:val="00D052A0"/>
    <w:rsid w:val="00D077B0"/>
    <w:rsid w:val="00D13CCA"/>
    <w:rsid w:val="00D22D42"/>
    <w:rsid w:val="00D23BCC"/>
    <w:rsid w:val="00D243A1"/>
    <w:rsid w:val="00D27952"/>
    <w:rsid w:val="00D27B75"/>
    <w:rsid w:val="00D31A57"/>
    <w:rsid w:val="00D36D8D"/>
    <w:rsid w:val="00D37BF4"/>
    <w:rsid w:val="00D412A7"/>
    <w:rsid w:val="00D41EEF"/>
    <w:rsid w:val="00D45711"/>
    <w:rsid w:val="00D4622E"/>
    <w:rsid w:val="00D500FC"/>
    <w:rsid w:val="00D5144F"/>
    <w:rsid w:val="00D51597"/>
    <w:rsid w:val="00D5326E"/>
    <w:rsid w:val="00D55867"/>
    <w:rsid w:val="00D57F53"/>
    <w:rsid w:val="00D634A3"/>
    <w:rsid w:val="00D64145"/>
    <w:rsid w:val="00D702C8"/>
    <w:rsid w:val="00D7232A"/>
    <w:rsid w:val="00D72339"/>
    <w:rsid w:val="00D73E47"/>
    <w:rsid w:val="00D74ABB"/>
    <w:rsid w:val="00D83CB7"/>
    <w:rsid w:val="00D8438D"/>
    <w:rsid w:val="00D85232"/>
    <w:rsid w:val="00D868B0"/>
    <w:rsid w:val="00D869CA"/>
    <w:rsid w:val="00D916E0"/>
    <w:rsid w:val="00D9242A"/>
    <w:rsid w:val="00D95394"/>
    <w:rsid w:val="00D97FA8"/>
    <w:rsid w:val="00DC7B25"/>
    <w:rsid w:val="00DD4100"/>
    <w:rsid w:val="00DD681C"/>
    <w:rsid w:val="00DD6B73"/>
    <w:rsid w:val="00DE23F8"/>
    <w:rsid w:val="00DE3897"/>
    <w:rsid w:val="00DE7CC2"/>
    <w:rsid w:val="00DF2587"/>
    <w:rsid w:val="00E05CF6"/>
    <w:rsid w:val="00E0694B"/>
    <w:rsid w:val="00E112C9"/>
    <w:rsid w:val="00E116D4"/>
    <w:rsid w:val="00E1194F"/>
    <w:rsid w:val="00E1314C"/>
    <w:rsid w:val="00E1369A"/>
    <w:rsid w:val="00E15498"/>
    <w:rsid w:val="00E158F7"/>
    <w:rsid w:val="00E2087E"/>
    <w:rsid w:val="00E23DD5"/>
    <w:rsid w:val="00E2636D"/>
    <w:rsid w:val="00E27AA7"/>
    <w:rsid w:val="00E34976"/>
    <w:rsid w:val="00E36818"/>
    <w:rsid w:val="00E36E5F"/>
    <w:rsid w:val="00E4063D"/>
    <w:rsid w:val="00E42887"/>
    <w:rsid w:val="00E4646F"/>
    <w:rsid w:val="00E47B97"/>
    <w:rsid w:val="00E5203C"/>
    <w:rsid w:val="00E634CC"/>
    <w:rsid w:val="00E641EF"/>
    <w:rsid w:val="00E642CC"/>
    <w:rsid w:val="00E64735"/>
    <w:rsid w:val="00E67D78"/>
    <w:rsid w:val="00E705BE"/>
    <w:rsid w:val="00E82F0E"/>
    <w:rsid w:val="00E854B3"/>
    <w:rsid w:val="00E9556E"/>
    <w:rsid w:val="00E95F89"/>
    <w:rsid w:val="00E96065"/>
    <w:rsid w:val="00E96FAC"/>
    <w:rsid w:val="00EA129F"/>
    <w:rsid w:val="00EA1AD8"/>
    <w:rsid w:val="00EA4BFF"/>
    <w:rsid w:val="00EB54B0"/>
    <w:rsid w:val="00EB7653"/>
    <w:rsid w:val="00EB7A31"/>
    <w:rsid w:val="00EB7C48"/>
    <w:rsid w:val="00EC3094"/>
    <w:rsid w:val="00EC3E35"/>
    <w:rsid w:val="00EC62FE"/>
    <w:rsid w:val="00ED0582"/>
    <w:rsid w:val="00ED1A9F"/>
    <w:rsid w:val="00ED7374"/>
    <w:rsid w:val="00EE2C4F"/>
    <w:rsid w:val="00EE31F6"/>
    <w:rsid w:val="00EE36DC"/>
    <w:rsid w:val="00EE77BB"/>
    <w:rsid w:val="00EF4F10"/>
    <w:rsid w:val="00F00799"/>
    <w:rsid w:val="00F044EE"/>
    <w:rsid w:val="00F10B9E"/>
    <w:rsid w:val="00F12C0D"/>
    <w:rsid w:val="00F135B3"/>
    <w:rsid w:val="00F172FE"/>
    <w:rsid w:val="00F20E26"/>
    <w:rsid w:val="00F21E4A"/>
    <w:rsid w:val="00F3124F"/>
    <w:rsid w:val="00F319CE"/>
    <w:rsid w:val="00F3320B"/>
    <w:rsid w:val="00F35086"/>
    <w:rsid w:val="00F4044F"/>
    <w:rsid w:val="00F40E92"/>
    <w:rsid w:val="00F41947"/>
    <w:rsid w:val="00F435AA"/>
    <w:rsid w:val="00F4603A"/>
    <w:rsid w:val="00F51D9B"/>
    <w:rsid w:val="00F65B78"/>
    <w:rsid w:val="00F66D09"/>
    <w:rsid w:val="00F66FF2"/>
    <w:rsid w:val="00F72078"/>
    <w:rsid w:val="00F72197"/>
    <w:rsid w:val="00F75C84"/>
    <w:rsid w:val="00F76ABD"/>
    <w:rsid w:val="00F76C6A"/>
    <w:rsid w:val="00F82829"/>
    <w:rsid w:val="00F83BF1"/>
    <w:rsid w:val="00F90CB9"/>
    <w:rsid w:val="00F92D87"/>
    <w:rsid w:val="00F97373"/>
    <w:rsid w:val="00FA0254"/>
    <w:rsid w:val="00FA6854"/>
    <w:rsid w:val="00FB064F"/>
    <w:rsid w:val="00FB0F6B"/>
    <w:rsid w:val="00FB144F"/>
    <w:rsid w:val="00FB159A"/>
    <w:rsid w:val="00FB4C38"/>
    <w:rsid w:val="00FB4D77"/>
    <w:rsid w:val="00FB4EA7"/>
    <w:rsid w:val="00FC0A53"/>
    <w:rsid w:val="00FC1895"/>
    <w:rsid w:val="00FC3388"/>
    <w:rsid w:val="00FC497D"/>
    <w:rsid w:val="00FD076B"/>
    <w:rsid w:val="00FD160F"/>
    <w:rsid w:val="00FD2589"/>
    <w:rsid w:val="00FD41F3"/>
    <w:rsid w:val="00FE031D"/>
    <w:rsid w:val="00FE3843"/>
    <w:rsid w:val="00FF35F3"/>
    <w:rsid w:val="00FF3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CF9775E"/>
  <w15:docId w15:val="{B26E2ADC-C96A-4315-A8F3-6CA7450B9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GB"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17C9"/>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7906B4"/>
    <w:pPr>
      <w:widowControl w:val="0"/>
      <w:autoSpaceDE w:val="0"/>
      <w:autoSpaceDN w:val="0"/>
      <w:adjustRightInd w:val="0"/>
      <w:spacing w:after="85" w:line="288" w:lineRule="auto"/>
      <w:textAlignment w:val="center"/>
    </w:pPr>
    <w:rPr>
      <w:rFonts w:ascii="Akkurat-Fett" w:hAnsi="Akkurat-Fett" w:cs="Akkurat-Fett"/>
      <w:color w:val="000000"/>
      <w:sz w:val="16"/>
      <w:szCs w:val="16"/>
    </w:rPr>
  </w:style>
  <w:style w:type="paragraph" w:styleId="Sprechblasentext">
    <w:name w:val="Balloon Text"/>
    <w:basedOn w:val="Standard"/>
    <w:link w:val="SprechblasentextZchn"/>
    <w:uiPriority w:val="99"/>
    <w:rsid w:val="00F044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044EE"/>
    <w:rPr>
      <w:rFonts w:ascii="Tahoma" w:hAnsi="Tahoma" w:cs="Tahoma"/>
      <w:sz w:val="16"/>
      <w:szCs w:val="16"/>
    </w:rPr>
  </w:style>
  <w:style w:type="paragraph" w:styleId="Listenabsatz">
    <w:name w:val="List Paragraph"/>
    <w:basedOn w:val="Standard"/>
    <w:uiPriority w:val="99"/>
    <w:qFormat/>
    <w:rsid w:val="00F044EE"/>
    <w:pPr>
      <w:ind w:left="720"/>
      <w:contextualSpacing/>
    </w:pPr>
  </w:style>
  <w:style w:type="paragraph" w:styleId="StandardWeb">
    <w:name w:val="Normal (Web)"/>
    <w:basedOn w:val="Standard"/>
    <w:uiPriority w:val="99"/>
    <w:rsid w:val="00D72339"/>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rsid w:val="00CF5957"/>
    <w:pPr>
      <w:tabs>
        <w:tab w:val="center" w:pos="4536"/>
        <w:tab w:val="right" w:pos="9072"/>
      </w:tabs>
    </w:pPr>
  </w:style>
  <w:style w:type="character" w:customStyle="1" w:styleId="KopfzeileZchn">
    <w:name w:val="Kopfzeile Zchn"/>
    <w:basedOn w:val="Absatz-Standardschriftart"/>
    <w:link w:val="Kopfzeile"/>
    <w:uiPriority w:val="99"/>
    <w:semiHidden/>
    <w:locked/>
    <w:rsid w:val="00886CCE"/>
    <w:rPr>
      <w:rFonts w:cs="Times New Roman"/>
      <w:sz w:val="24"/>
      <w:szCs w:val="24"/>
      <w:lang w:eastAsia="en-US"/>
    </w:rPr>
  </w:style>
  <w:style w:type="paragraph" w:styleId="Fuzeile">
    <w:name w:val="footer"/>
    <w:basedOn w:val="Standard"/>
    <w:link w:val="FuzeileZchn"/>
    <w:uiPriority w:val="99"/>
    <w:rsid w:val="00CF5957"/>
    <w:pPr>
      <w:tabs>
        <w:tab w:val="center" w:pos="4536"/>
        <w:tab w:val="right" w:pos="9072"/>
      </w:tabs>
    </w:pPr>
  </w:style>
  <w:style w:type="character" w:customStyle="1" w:styleId="FuzeileZchn">
    <w:name w:val="Fußzeile Zchn"/>
    <w:basedOn w:val="Absatz-Standardschriftart"/>
    <w:link w:val="Fuzeile"/>
    <w:uiPriority w:val="99"/>
    <w:semiHidden/>
    <w:locked/>
    <w:rsid w:val="00886CCE"/>
    <w:rPr>
      <w:rFonts w:cs="Times New Roman"/>
      <w:sz w:val="24"/>
      <w:szCs w:val="24"/>
      <w:lang w:eastAsia="en-US"/>
    </w:rPr>
  </w:style>
  <w:style w:type="paragraph" w:styleId="Textkrper">
    <w:name w:val="Body Text"/>
    <w:basedOn w:val="Standard"/>
    <w:link w:val="TextkrperZchn"/>
    <w:uiPriority w:val="99"/>
    <w:rsid w:val="00CF5957"/>
    <w:pPr>
      <w:spacing w:after="0" w:line="240" w:lineRule="atLeast"/>
    </w:pPr>
    <w:rPr>
      <w:rFonts w:ascii="Helv" w:hAnsi="Helv"/>
      <w:color w:val="000000"/>
      <w:sz w:val="20"/>
      <w:szCs w:val="20"/>
      <w:lang w:eastAsia="de-DE"/>
    </w:rPr>
  </w:style>
  <w:style w:type="character" w:customStyle="1" w:styleId="TextkrperZchn">
    <w:name w:val="Textkörper Zchn"/>
    <w:basedOn w:val="Absatz-Standardschriftart"/>
    <w:link w:val="Textkrper"/>
    <w:uiPriority w:val="99"/>
    <w:semiHidden/>
    <w:locked/>
    <w:rsid w:val="00886CCE"/>
    <w:rPr>
      <w:rFonts w:cs="Times New Roman"/>
      <w:sz w:val="24"/>
      <w:szCs w:val="24"/>
      <w:lang w:eastAsia="en-US"/>
    </w:rPr>
  </w:style>
  <w:style w:type="character" w:styleId="Hyperlink">
    <w:name w:val="Hyperlink"/>
    <w:basedOn w:val="Absatz-Standardschriftart"/>
    <w:uiPriority w:val="99"/>
    <w:rsid w:val="00CF5957"/>
    <w:rPr>
      <w:rFonts w:cs="Times New Roman"/>
      <w:color w:val="0000FF"/>
      <w:u w:val="single"/>
    </w:rPr>
  </w:style>
  <w:style w:type="character" w:styleId="Seitenzahl">
    <w:name w:val="page number"/>
    <w:basedOn w:val="Absatz-Standardschriftart"/>
    <w:uiPriority w:val="99"/>
    <w:rsid w:val="00862E34"/>
    <w:rPr>
      <w:rFonts w:cs="Times New Roman"/>
    </w:rPr>
  </w:style>
  <w:style w:type="character" w:styleId="BesuchterLink">
    <w:name w:val="FollowedHyperlink"/>
    <w:basedOn w:val="Absatz-Standardschriftart"/>
    <w:uiPriority w:val="99"/>
    <w:semiHidden/>
    <w:unhideWhenUsed/>
    <w:rsid w:val="004B2FDA"/>
    <w:rPr>
      <w:color w:val="92A4C2" w:themeColor="followedHyperlink"/>
      <w:u w:val="single"/>
    </w:rPr>
  </w:style>
  <w:style w:type="paragraph" w:customStyle="1" w:styleId="Default">
    <w:name w:val="Default"/>
    <w:rsid w:val="00EE36DC"/>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locked/>
    <w:rsid w:val="00382529"/>
    <w:rPr>
      <w:b/>
      <w:bCs/>
    </w:rPr>
  </w:style>
  <w:style w:type="table" w:styleId="Tabellenraster">
    <w:name w:val="Table Grid"/>
    <w:basedOn w:val="NormaleTabelle"/>
    <w:uiPriority w:val="59"/>
    <w:locked/>
    <w:rsid w:val="002C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sstextNL">
    <w:name w:val="Fliesstext NL"/>
    <w:basedOn w:val="Standard"/>
    <w:uiPriority w:val="99"/>
    <w:rsid w:val="002C055A"/>
    <w:pPr>
      <w:autoSpaceDE w:val="0"/>
      <w:autoSpaceDN w:val="0"/>
      <w:adjustRightInd w:val="0"/>
      <w:spacing w:after="0" w:line="220" w:lineRule="atLeast"/>
      <w:jc w:val="both"/>
      <w:textAlignment w:val="center"/>
    </w:pPr>
    <w:rPr>
      <w:rFonts w:ascii="Mark OT Light" w:hAnsi="Mark OT Light" w:cs="Mark OT Light"/>
      <w:color w:val="000000"/>
      <w:spacing w:val="-4"/>
      <w:sz w:val="18"/>
      <w:szCs w:val="18"/>
      <w:lang w:eastAsia="de-DE"/>
    </w:rPr>
  </w:style>
  <w:style w:type="paragraph" w:customStyle="1" w:styleId="GrafikHeadlineNL">
    <w:name w:val="Grafik Headline NL"/>
    <w:basedOn w:val="FliesstextNL"/>
    <w:uiPriority w:val="99"/>
    <w:rsid w:val="002C055A"/>
    <w:rPr>
      <w:rFonts w:ascii="Mark OT" w:hAnsi="Mark OT" w:cs="Mark OT"/>
      <w:b/>
      <w:bCs/>
    </w:rPr>
  </w:style>
  <w:style w:type="paragraph" w:customStyle="1" w:styleId="HeadlineNL">
    <w:name w:val="Headline NL"/>
    <w:basedOn w:val="FliesstextNL"/>
    <w:uiPriority w:val="99"/>
    <w:rsid w:val="002C055A"/>
    <w:pPr>
      <w:spacing w:line="400" w:lineRule="atLeast"/>
    </w:pPr>
    <w:rPr>
      <w:rFonts w:ascii="Mark OT" w:hAnsi="Mark OT" w:cs="Mark OT"/>
      <w:b/>
      <w:bCs/>
      <w:spacing w:val="0"/>
      <w:sz w:val="28"/>
      <w:szCs w:val="28"/>
    </w:rPr>
  </w:style>
  <w:style w:type="paragraph" w:customStyle="1" w:styleId="SublineNL">
    <w:name w:val="Subline NL"/>
    <w:basedOn w:val="FliesstextNL"/>
    <w:uiPriority w:val="99"/>
    <w:rsid w:val="002C055A"/>
    <w:pPr>
      <w:spacing w:line="320" w:lineRule="atLeast"/>
    </w:pPr>
    <w:rPr>
      <w:spacing w:val="0"/>
      <w:sz w:val="28"/>
      <w:szCs w:val="28"/>
    </w:rPr>
  </w:style>
  <w:style w:type="character" w:styleId="Kommentarzeichen">
    <w:name w:val="annotation reference"/>
    <w:basedOn w:val="Absatz-Standardschriftart"/>
    <w:uiPriority w:val="99"/>
    <w:semiHidden/>
    <w:unhideWhenUsed/>
    <w:rsid w:val="00567D57"/>
    <w:rPr>
      <w:sz w:val="16"/>
      <w:szCs w:val="16"/>
    </w:rPr>
  </w:style>
  <w:style w:type="paragraph" w:styleId="Kommentartext">
    <w:name w:val="annotation text"/>
    <w:basedOn w:val="Standard"/>
    <w:link w:val="KommentartextZchn"/>
    <w:uiPriority w:val="99"/>
    <w:semiHidden/>
    <w:unhideWhenUsed/>
    <w:rsid w:val="00567D57"/>
    <w:rPr>
      <w:sz w:val="20"/>
      <w:szCs w:val="20"/>
    </w:rPr>
  </w:style>
  <w:style w:type="character" w:customStyle="1" w:styleId="KommentartextZchn">
    <w:name w:val="Kommentartext Zchn"/>
    <w:basedOn w:val="Absatz-Standardschriftart"/>
    <w:link w:val="Kommentartext"/>
    <w:uiPriority w:val="99"/>
    <w:semiHidden/>
    <w:rsid w:val="00567D57"/>
    <w:rPr>
      <w:sz w:val="20"/>
      <w:szCs w:val="20"/>
      <w:lang w:eastAsia="en-US"/>
    </w:rPr>
  </w:style>
  <w:style w:type="paragraph" w:styleId="Kommentarthema">
    <w:name w:val="annotation subject"/>
    <w:basedOn w:val="Kommentartext"/>
    <w:next w:val="Kommentartext"/>
    <w:link w:val="KommentarthemaZchn"/>
    <w:uiPriority w:val="99"/>
    <w:semiHidden/>
    <w:unhideWhenUsed/>
    <w:rsid w:val="00567D57"/>
    <w:rPr>
      <w:b/>
      <w:bCs/>
    </w:rPr>
  </w:style>
  <w:style w:type="character" w:customStyle="1" w:styleId="KommentarthemaZchn">
    <w:name w:val="Kommentarthema Zchn"/>
    <w:basedOn w:val="KommentartextZchn"/>
    <w:link w:val="Kommentarthema"/>
    <w:uiPriority w:val="99"/>
    <w:semiHidden/>
    <w:rsid w:val="00567D57"/>
    <w:rPr>
      <w:b/>
      <w:bCs/>
      <w:sz w:val="20"/>
      <w:szCs w:val="20"/>
      <w:lang w:eastAsia="en-US"/>
    </w:rPr>
  </w:style>
  <w:style w:type="paragraph" w:customStyle="1" w:styleId="ZitatTextNL">
    <w:name w:val="Zitat Text NL"/>
    <w:basedOn w:val="FliesstextNL"/>
    <w:uiPriority w:val="99"/>
    <w:rsid w:val="0004323A"/>
    <w:pPr>
      <w:suppressAutoHyphens/>
    </w:pPr>
    <w:rPr>
      <w:rFonts w:ascii="Mark OT" w:hAnsi="Mark OT" w:cs="Mark OT"/>
      <w:b/>
      <w:bCs/>
      <w:spacing w:val="0"/>
    </w:rPr>
  </w:style>
  <w:style w:type="character" w:styleId="Hervorhebung">
    <w:name w:val="Emphasis"/>
    <w:basedOn w:val="Absatz-Standardschriftart"/>
    <w:uiPriority w:val="20"/>
    <w:qFormat/>
    <w:locked/>
    <w:rsid w:val="0004323A"/>
    <w:rPr>
      <w:i/>
      <w:iCs/>
    </w:rPr>
  </w:style>
  <w:style w:type="character" w:styleId="HTMLZitat">
    <w:name w:val="HTML Cite"/>
    <w:basedOn w:val="Absatz-Standardschriftart"/>
    <w:uiPriority w:val="99"/>
    <w:semiHidden/>
    <w:unhideWhenUsed/>
    <w:rsid w:val="003B1C09"/>
    <w:rPr>
      <w:i/>
      <w:iCs/>
    </w:rPr>
  </w:style>
  <w:style w:type="paragraph" w:customStyle="1" w:styleId="story-paragraph">
    <w:name w:val="story-paragraph"/>
    <w:basedOn w:val="Standard"/>
    <w:rsid w:val="0020724D"/>
    <w:pPr>
      <w:spacing w:before="100" w:beforeAutospacing="1" w:after="100" w:afterAutospacing="1"/>
    </w:pPr>
    <w:rPr>
      <w:rFonts w:ascii="Times New Roman" w:eastAsia="Times New Roman" w:hAnsi="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04517">
      <w:bodyDiv w:val="1"/>
      <w:marLeft w:val="0"/>
      <w:marRight w:val="0"/>
      <w:marTop w:val="0"/>
      <w:marBottom w:val="0"/>
      <w:divBdr>
        <w:top w:val="none" w:sz="0" w:space="0" w:color="auto"/>
        <w:left w:val="none" w:sz="0" w:space="0" w:color="auto"/>
        <w:bottom w:val="none" w:sz="0" w:space="0" w:color="auto"/>
        <w:right w:val="none" w:sz="0" w:space="0" w:color="auto"/>
      </w:divBdr>
    </w:div>
    <w:div w:id="69085092">
      <w:bodyDiv w:val="1"/>
      <w:marLeft w:val="0"/>
      <w:marRight w:val="0"/>
      <w:marTop w:val="0"/>
      <w:marBottom w:val="0"/>
      <w:divBdr>
        <w:top w:val="none" w:sz="0" w:space="0" w:color="auto"/>
        <w:left w:val="none" w:sz="0" w:space="0" w:color="auto"/>
        <w:bottom w:val="none" w:sz="0" w:space="0" w:color="auto"/>
        <w:right w:val="none" w:sz="0" w:space="0" w:color="auto"/>
      </w:divBdr>
    </w:div>
    <w:div w:id="111441686">
      <w:bodyDiv w:val="1"/>
      <w:marLeft w:val="0"/>
      <w:marRight w:val="0"/>
      <w:marTop w:val="0"/>
      <w:marBottom w:val="0"/>
      <w:divBdr>
        <w:top w:val="none" w:sz="0" w:space="0" w:color="auto"/>
        <w:left w:val="none" w:sz="0" w:space="0" w:color="auto"/>
        <w:bottom w:val="none" w:sz="0" w:space="0" w:color="auto"/>
        <w:right w:val="none" w:sz="0" w:space="0" w:color="auto"/>
      </w:divBdr>
    </w:div>
    <w:div w:id="425925692">
      <w:bodyDiv w:val="1"/>
      <w:marLeft w:val="0"/>
      <w:marRight w:val="0"/>
      <w:marTop w:val="0"/>
      <w:marBottom w:val="0"/>
      <w:divBdr>
        <w:top w:val="none" w:sz="0" w:space="0" w:color="auto"/>
        <w:left w:val="none" w:sz="0" w:space="0" w:color="auto"/>
        <w:bottom w:val="none" w:sz="0" w:space="0" w:color="auto"/>
        <w:right w:val="none" w:sz="0" w:space="0" w:color="auto"/>
      </w:divBdr>
      <w:divsChild>
        <w:div w:id="886913749">
          <w:marLeft w:val="0"/>
          <w:marRight w:val="0"/>
          <w:marTop w:val="0"/>
          <w:marBottom w:val="0"/>
          <w:divBdr>
            <w:top w:val="none" w:sz="0" w:space="0" w:color="auto"/>
            <w:left w:val="none" w:sz="0" w:space="0" w:color="auto"/>
            <w:bottom w:val="none" w:sz="0" w:space="0" w:color="auto"/>
            <w:right w:val="none" w:sz="0" w:space="0" w:color="auto"/>
          </w:divBdr>
          <w:divsChild>
            <w:div w:id="2099672467">
              <w:marLeft w:val="0"/>
              <w:marRight w:val="0"/>
              <w:marTop w:val="0"/>
              <w:marBottom w:val="0"/>
              <w:divBdr>
                <w:top w:val="none" w:sz="0" w:space="0" w:color="auto"/>
                <w:left w:val="none" w:sz="0" w:space="0" w:color="auto"/>
                <w:bottom w:val="none" w:sz="0" w:space="0" w:color="auto"/>
                <w:right w:val="none" w:sz="0" w:space="0" w:color="auto"/>
              </w:divBdr>
              <w:divsChild>
                <w:div w:id="97261843">
                  <w:marLeft w:val="0"/>
                  <w:marRight w:val="0"/>
                  <w:marTop w:val="0"/>
                  <w:marBottom w:val="0"/>
                  <w:divBdr>
                    <w:top w:val="none" w:sz="0" w:space="0" w:color="auto"/>
                    <w:left w:val="none" w:sz="0" w:space="0" w:color="auto"/>
                    <w:bottom w:val="none" w:sz="0" w:space="0" w:color="auto"/>
                    <w:right w:val="none" w:sz="0" w:space="0" w:color="auto"/>
                  </w:divBdr>
                  <w:divsChild>
                    <w:div w:id="1225792571">
                      <w:marLeft w:val="0"/>
                      <w:marRight w:val="0"/>
                      <w:marTop w:val="0"/>
                      <w:marBottom w:val="0"/>
                      <w:divBdr>
                        <w:top w:val="none" w:sz="0" w:space="0" w:color="auto"/>
                        <w:left w:val="none" w:sz="0" w:space="0" w:color="auto"/>
                        <w:bottom w:val="none" w:sz="0" w:space="0" w:color="auto"/>
                        <w:right w:val="none" w:sz="0" w:space="0" w:color="auto"/>
                      </w:divBdr>
                      <w:divsChild>
                        <w:div w:id="117572393">
                          <w:marLeft w:val="0"/>
                          <w:marRight w:val="0"/>
                          <w:marTop w:val="45"/>
                          <w:marBottom w:val="0"/>
                          <w:divBdr>
                            <w:top w:val="none" w:sz="0" w:space="0" w:color="auto"/>
                            <w:left w:val="none" w:sz="0" w:space="0" w:color="auto"/>
                            <w:bottom w:val="none" w:sz="0" w:space="0" w:color="auto"/>
                            <w:right w:val="none" w:sz="0" w:space="0" w:color="auto"/>
                          </w:divBdr>
                          <w:divsChild>
                            <w:div w:id="2033844504">
                              <w:marLeft w:val="0"/>
                              <w:marRight w:val="0"/>
                              <w:marTop w:val="0"/>
                              <w:marBottom w:val="0"/>
                              <w:divBdr>
                                <w:top w:val="none" w:sz="0" w:space="0" w:color="auto"/>
                                <w:left w:val="none" w:sz="0" w:space="0" w:color="auto"/>
                                <w:bottom w:val="none" w:sz="0" w:space="0" w:color="auto"/>
                                <w:right w:val="none" w:sz="0" w:space="0" w:color="auto"/>
                              </w:divBdr>
                              <w:divsChild>
                                <w:div w:id="1336225925">
                                  <w:marLeft w:val="10530"/>
                                  <w:marRight w:val="0"/>
                                  <w:marTop w:val="0"/>
                                  <w:marBottom w:val="0"/>
                                  <w:divBdr>
                                    <w:top w:val="none" w:sz="0" w:space="0" w:color="auto"/>
                                    <w:left w:val="none" w:sz="0" w:space="0" w:color="auto"/>
                                    <w:bottom w:val="none" w:sz="0" w:space="0" w:color="auto"/>
                                    <w:right w:val="none" w:sz="0" w:space="0" w:color="auto"/>
                                  </w:divBdr>
                                  <w:divsChild>
                                    <w:div w:id="1318996912">
                                      <w:marLeft w:val="0"/>
                                      <w:marRight w:val="0"/>
                                      <w:marTop w:val="0"/>
                                      <w:marBottom w:val="0"/>
                                      <w:divBdr>
                                        <w:top w:val="none" w:sz="0" w:space="0" w:color="auto"/>
                                        <w:left w:val="none" w:sz="0" w:space="0" w:color="auto"/>
                                        <w:bottom w:val="none" w:sz="0" w:space="0" w:color="auto"/>
                                        <w:right w:val="none" w:sz="0" w:space="0" w:color="auto"/>
                                      </w:divBdr>
                                      <w:divsChild>
                                        <w:div w:id="1324351777">
                                          <w:marLeft w:val="0"/>
                                          <w:marRight w:val="0"/>
                                          <w:marTop w:val="0"/>
                                          <w:marBottom w:val="0"/>
                                          <w:divBdr>
                                            <w:top w:val="none" w:sz="0" w:space="0" w:color="auto"/>
                                            <w:left w:val="none" w:sz="0" w:space="0" w:color="auto"/>
                                            <w:bottom w:val="none" w:sz="0" w:space="0" w:color="auto"/>
                                            <w:right w:val="none" w:sz="0" w:space="0" w:color="auto"/>
                                          </w:divBdr>
                                          <w:divsChild>
                                            <w:div w:id="221989635">
                                              <w:marLeft w:val="0"/>
                                              <w:marRight w:val="0"/>
                                              <w:marTop w:val="0"/>
                                              <w:marBottom w:val="0"/>
                                              <w:divBdr>
                                                <w:top w:val="none" w:sz="0" w:space="0" w:color="auto"/>
                                                <w:left w:val="none" w:sz="0" w:space="0" w:color="auto"/>
                                                <w:bottom w:val="none" w:sz="0" w:space="0" w:color="auto"/>
                                                <w:right w:val="none" w:sz="0" w:space="0" w:color="auto"/>
                                              </w:divBdr>
                                              <w:divsChild>
                                                <w:div w:id="855114812">
                                                  <w:marLeft w:val="0"/>
                                                  <w:marRight w:val="0"/>
                                                  <w:marTop w:val="0"/>
                                                  <w:marBottom w:val="0"/>
                                                  <w:divBdr>
                                                    <w:top w:val="none" w:sz="0" w:space="0" w:color="auto"/>
                                                    <w:left w:val="none" w:sz="0" w:space="0" w:color="auto"/>
                                                    <w:bottom w:val="none" w:sz="0" w:space="0" w:color="auto"/>
                                                    <w:right w:val="none" w:sz="0" w:space="0" w:color="auto"/>
                                                  </w:divBdr>
                                                  <w:divsChild>
                                                    <w:div w:id="987974419">
                                                      <w:marLeft w:val="0"/>
                                                      <w:marRight w:val="0"/>
                                                      <w:marTop w:val="0"/>
                                                      <w:marBottom w:val="0"/>
                                                      <w:divBdr>
                                                        <w:top w:val="none" w:sz="0" w:space="0" w:color="auto"/>
                                                        <w:left w:val="none" w:sz="0" w:space="0" w:color="auto"/>
                                                        <w:bottom w:val="none" w:sz="0" w:space="0" w:color="auto"/>
                                                        <w:right w:val="none" w:sz="0" w:space="0" w:color="auto"/>
                                                      </w:divBdr>
                                                      <w:divsChild>
                                                        <w:div w:id="979649846">
                                                          <w:marLeft w:val="0"/>
                                                          <w:marRight w:val="0"/>
                                                          <w:marTop w:val="0"/>
                                                          <w:marBottom w:val="0"/>
                                                          <w:divBdr>
                                                            <w:top w:val="none" w:sz="0" w:space="0" w:color="auto"/>
                                                            <w:left w:val="none" w:sz="0" w:space="0" w:color="auto"/>
                                                            <w:bottom w:val="none" w:sz="0" w:space="0" w:color="auto"/>
                                                            <w:right w:val="none" w:sz="0" w:space="0" w:color="auto"/>
                                                          </w:divBdr>
                                                          <w:divsChild>
                                                            <w:div w:id="2047217953">
                                                              <w:marLeft w:val="0"/>
                                                              <w:marRight w:val="0"/>
                                                              <w:marTop w:val="0"/>
                                                              <w:marBottom w:val="0"/>
                                                              <w:divBdr>
                                                                <w:top w:val="none" w:sz="0" w:space="0" w:color="auto"/>
                                                                <w:left w:val="none" w:sz="0" w:space="0" w:color="auto"/>
                                                                <w:bottom w:val="none" w:sz="0" w:space="0" w:color="auto"/>
                                                                <w:right w:val="none" w:sz="0" w:space="0" w:color="auto"/>
                                                              </w:divBdr>
                                                              <w:divsChild>
                                                                <w:div w:id="1930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6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275600">
          <w:marLeft w:val="0"/>
          <w:marRight w:val="0"/>
          <w:marTop w:val="825"/>
          <w:marBottom w:val="750"/>
          <w:divBdr>
            <w:top w:val="none" w:sz="0" w:space="0" w:color="auto"/>
            <w:left w:val="none" w:sz="0" w:space="0" w:color="auto"/>
            <w:bottom w:val="none" w:sz="0" w:space="0" w:color="auto"/>
            <w:right w:val="none" w:sz="0" w:space="0" w:color="auto"/>
          </w:divBdr>
          <w:divsChild>
            <w:div w:id="52774215">
              <w:marLeft w:val="0"/>
              <w:marRight w:val="0"/>
              <w:marTop w:val="0"/>
              <w:marBottom w:val="0"/>
              <w:divBdr>
                <w:top w:val="none" w:sz="0" w:space="0" w:color="auto"/>
                <w:left w:val="none" w:sz="0" w:space="0" w:color="auto"/>
                <w:bottom w:val="none" w:sz="0" w:space="0" w:color="auto"/>
                <w:right w:val="none" w:sz="0" w:space="0" w:color="auto"/>
              </w:divBdr>
              <w:divsChild>
                <w:div w:id="1301308883">
                  <w:marLeft w:val="0"/>
                  <w:marRight w:val="14400"/>
                  <w:marTop w:val="0"/>
                  <w:marBottom w:val="0"/>
                  <w:divBdr>
                    <w:top w:val="none" w:sz="0" w:space="0" w:color="auto"/>
                    <w:left w:val="none" w:sz="0" w:space="0" w:color="auto"/>
                    <w:bottom w:val="none" w:sz="0" w:space="0" w:color="auto"/>
                    <w:right w:val="none" w:sz="0" w:space="0" w:color="auto"/>
                  </w:divBdr>
                  <w:divsChild>
                    <w:div w:id="174734405">
                      <w:marLeft w:val="0"/>
                      <w:marRight w:val="0"/>
                      <w:marTop w:val="0"/>
                      <w:marBottom w:val="0"/>
                      <w:divBdr>
                        <w:top w:val="none" w:sz="0" w:space="0" w:color="auto"/>
                        <w:left w:val="none" w:sz="0" w:space="0" w:color="auto"/>
                        <w:bottom w:val="none" w:sz="0" w:space="0" w:color="auto"/>
                        <w:right w:val="none" w:sz="0" w:space="0" w:color="auto"/>
                      </w:divBdr>
                      <w:divsChild>
                        <w:div w:id="9194837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836209">
      <w:bodyDiv w:val="1"/>
      <w:marLeft w:val="0"/>
      <w:marRight w:val="0"/>
      <w:marTop w:val="0"/>
      <w:marBottom w:val="0"/>
      <w:divBdr>
        <w:top w:val="none" w:sz="0" w:space="0" w:color="auto"/>
        <w:left w:val="none" w:sz="0" w:space="0" w:color="auto"/>
        <w:bottom w:val="none" w:sz="0" w:space="0" w:color="auto"/>
        <w:right w:val="none" w:sz="0" w:space="0" w:color="auto"/>
      </w:divBdr>
      <w:divsChild>
        <w:div w:id="821585798">
          <w:marLeft w:val="0"/>
          <w:marRight w:val="0"/>
          <w:marTop w:val="0"/>
          <w:marBottom w:val="0"/>
          <w:divBdr>
            <w:top w:val="none" w:sz="0" w:space="0" w:color="auto"/>
            <w:left w:val="none" w:sz="0" w:space="0" w:color="auto"/>
            <w:bottom w:val="none" w:sz="0" w:space="0" w:color="auto"/>
            <w:right w:val="none" w:sz="0" w:space="0" w:color="auto"/>
          </w:divBdr>
          <w:divsChild>
            <w:div w:id="1215041588">
              <w:marLeft w:val="0"/>
              <w:marRight w:val="0"/>
              <w:marTop w:val="0"/>
              <w:marBottom w:val="0"/>
              <w:divBdr>
                <w:top w:val="none" w:sz="0" w:space="0" w:color="auto"/>
                <w:left w:val="none" w:sz="0" w:space="0" w:color="auto"/>
                <w:bottom w:val="none" w:sz="0" w:space="0" w:color="auto"/>
                <w:right w:val="none" w:sz="0" w:space="0" w:color="auto"/>
              </w:divBdr>
              <w:divsChild>
                <w:div w:id="2009867565">
                  <w:marLeft w:val="0"/>
                  <w:marRight w:val="0"/>
                  <w:marTop w:val="0"/>
                  <w:marBottom w:val="0"/>
                  <w:divBdr>
                    <w:top w:val="none" w:sz="0" w:space="0" w:color="auto"/>
                    <w:left w:val="none" w:sz="0" w:space="0" w:color="auto"/>
                    <w:bottom w:val="none" w:sz="0" w:space="0" w:color="auto"/>
                    <w:right w:val="none" w:sz="0" w:space="0" w:color="auto"/>
                  </w:divBdr>
                  <w:divsChild>
                    <w:div w:id="489103285">
                      <w:marLeft w:val="0"/>
                      <w:marRight w:val="0"/>
                      <w:marTop w:val="0"/>
                      <w:marBottom w:val="0"/>
                      <w:divBdr>
                        <w:top w:val="none" w:sz="0" w:space="0" w:color="auto"/>
                        <w:left w:val="none" w:sz="0" w:space="0" w:color="auto"/>
                        <w:bottom w:val="none" w:sz="0" w:space="0" w:color="auto"/>
                        <w:right w:val="none" w:sz="0" w:space="0" w:color="auto"/>
                      </w:divBdr>
                      <w:divsChild>
                        <w:div w:id="1384913999">
                          <w:marLeft w:val="0"/>
                          <w:marRight w:val="0"/>
                          <w:marTop w:val="45"/>
                          <w:marBottom w:val="0"/>
                          <w:divBdr>
                            <w:top w:val="none" w:sz="0" w:space="0" w:color="auto"/>
                            <w:left w:val="none" w:sz="0" w:space="0" w:color="auto"/>
                            <w:bottom w:val="none" w:sz="0" w:space="0" w:color="auto"/>
                            <w:right w:val="none" w:sz="0" w:space="0" w:color="auto"/>
                          </w:divBdr>
                          <w:divsChild>
                            <w:div w:id="1288976640">
                              <w:marLeft w:val="1800"/>
                              <w:marRight w:val="3810"/>
                              <w:marTop w:val="0"/>
                              <w:marBottom w:val="0"/>
                              <w:divBdr>
                                <w:top w:val="none" w:sz="0" w:space="0" w:color="auto"/>
                                <w:left w:val="none" w:sz="0" w:space="0" w:color="auto"/>
                                <w:bottom w:val="none" w:sz="0" w:space="0" w:color="auto"/>
                                <w:right w:val="none" w:sz="0" w:space="0" w:color="auto"/>
                              </w:divBdr>
                              <w:divsChild>
                                <w:div w:id="998923496">
                                  <w:marLeft w:val="0"/>
                                  <w:marRight w:val="0"/>
                                  <w:marTop w:val="0"/>
                                  <w:marBottom w:val="0"/>
                                  <w:divBdr>
                                    <w:top w:val="none" w:sz="0" w:space="0" w:color="auto"/>
                                    <w:left w:val="none" w:sz="0" w:space="0" w:color="auto"/>
                                    <w:bottom w:val="none" w:sz="0" w:space="0" w:color="auto"/>
                                    <w:right w:val="none" w:sz="0" w:space="0" w:color="auto"/>
                                  </w:divBdr>
                                  <w:divsChild>
                                    <w:div w:id="1894462646">
                                      <w:marLeft w:val="0"/>
                                      <w:marRight w:val="0"/>
                                      <w:marTop w:val="0"/>
                                      <w:marBottom w:val="0"/>
                                      <w:divBdr>
                                        <w:top w:val="none" w:sz="0" w:space="0" w:color="auto"/>
                                        <w:left w:val="none" w:sz="0" w:space="0" w:color="auto"/>
                                        <w:bottom w:val="none" w:sz="0" w:space="0" w:color="auto"/>
                                        <w:right w:val="none" w:sz="0" w:space="0" w:color="auto"/>
                                      </w:divBdr>
                                      <w:divsChild>
                                        <w:div w:id="1058819270">
                                          <w:marLeft w:val="0"/>
                                          <w:marRight w:val="0"/>
                                          <w:marTop w:val="0"/>
                                          <w:marBottom w:val="0"/>
                                          <w:divBdr>
                                            <w:top w:val="none" w:sz="0" w:space="0" w:color="auto"/>
                                            <w:left w:val="none" w:sz="0" w:space="0" w:color="auto"/>
                                            <w:bottom w:val="none" w:sz="0" w:space="0" w:color="auto"/>
                                            <w:right w:val="none" w:sz="0" w:space="0" w:color="auto"/>
                                          </w:divBdr>
                                          <w:divsChild>
                                            <w:div w:id="1834487000">
                                              <w:marLeft w:val="0"/>
                                              <w:marRight w:val="0"/>
                                              <w:marTop w:val="100"/>
                                              <w:marBottom w:val="100"/>
                                              <w:divBdr>
                                                <w:top w:val="none" w:sz="0" w:space="0" w:color="auto"/>
                                                <w:left w:val="none" w:sz="0" w:space="0" w:color="auto"/>
                                                <w:bottom w:val="none" w:sz="0" w:space="0" w:color="auto"/>
                                                <w:right w:val="none" w:sz="0" w:space="0" w:color="auto"/>
                                              </w:divBdr>
                                              <w:divsChild>
                                                <w:div w:id="493490447">
                                                  <w:marLeft w:val="0"/>
                                                  <w:marRight w:val="0"/>
                                                  <w:marTop w:val="0"/>
                                                  <w:marBottom w:val="0"/>
                                                  <w:divBdr>
                                                    <w:top w:val="none" w:sz="0" w:space="0" w:color="auto"/>
                                                    <w:left w:val="none" w:sz="0" w:space="0" w:color="auto"/>
                                                    <w:bottom w:val="none" w:sz="0" w:space="0" w:color="auto"/>
                                                    <w:right w:val="none" w:sz="0" w:space="0" w:color="auto"/>
                                                  </w:divBdr>
                                                  <w:divsChild>
                                                    <w:div w:id="290523207">
                                                      <w:marLeft w:val="0"/>
                                                      <w:marRight w:val="0"/>
                                                      <w:marTop w:val="0"/>
                                                      <w:marBottom w:val="0"/>
                                                      <w:divBdr>
                                                        <w:top w:val="none" w:sz="0" w:space="0" w:color="auto"/>
                                                        <w:left w:val="none" w:sz="0" w:space="0" w:color="auto"/>
                                                        <w:bottom w:val="none" w:sz="0" w:space="0" w:color="auto"/>
                                                        <w:right w:val="none" w:sz="0" w:space="0" w:color="auto"/>
                                                      </w:divBdr>
                                                      <w:divsChild>
                                                        <w:div w:id="1056851096">
                                                          <w:marLeft w:val="0"/>
                                                          <w:marRight w:val="0"/>
                                                          <w:marTop w:val="0"/>
                                                          <w:marBottom w:val="0"/>
                                                          <w:divBdr>
                                                            <w:top w:val="none" w:sz="0" w:space="0" w:color="auto"/>
                                                            <w:left w:val="none" w:sz="0" w:space="0" w:color="auto"/>
                                                            <w:bottom w:val="none" w:sz="0" w:space="0" w:color="auto"/>
                                                            <w:right w:val="none" w:sz="0" w:space="0" w:color="auto"/>
                                                          </w:divBdr>
                                                          <w:divsChild>
                                                            <w:div w:id="1736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208446">
      <w:bodyDiv w:val="1"/>
      <w:marLeft w:val="0"/>
      <w:marRight w:val="0"/>
      <w:marTop w:val="0"/>
      <w:marBottom w:val="0"/>
      <w:divBdr>
        <w:top w:val="none" w:sz="0" w:space="0" w:color="auto"/>
        <w:left w:val="none" w:sz="0" w:space="0" w:color="auto"/>
        <w:bottom w:val="none" w:sz="0" w:space="0" w:color="auto"/>
        <w:right w:val="none" w:sz="0" w:space="0" w:color="auto"/>
      </w:divBdr>
    </w:div>
    <w:div w:id="1513228288">
      <w:bodyDiv w:val="1"/>
      <w:marLeft w:val="0"/>
      <w:marRight w:val="0"/>
      <w:marTop w:val="0"/>
      <w:marBottom w:val="0"/>
      <w:divBdr>
        <w:top w:val="none" w:sz="0" w:space="0" w:color="auto"/>
        <w:left w:val="none" w:sz="0" w:space="0" w:color="auto"/>
        <w:bottom w:val="none" w:sz="0" w:space="0" w:color="auto"/>
        <w:right w:val="none" w:sz="0" w:space="0" w:color="auto"/>
      </w:divBdr>
    </w:div>
    <w:div w:id="1757705381">
      <w:bodyDiv w:val="1"/>
      <w:marLeft w:val="0"/>
      <w:marRight w:val="0"/>
      <w:marTop w:val="0"/>
      <w:marBottom w:val="0"/>
      <w:divBdr>
        <w:top w:val="none" w:sz="0" w:space="0" w:color="auto"/>
        <w:left w:val="none" w:sz="0" w:space="0" w:color="auto"/>
        <w:bottom w:val="none" w:sz="0" w:space="0" w:color="auto"/>
        <w:right w:val="none" w:sz="0" w:space="0" w:color="auto"/>
      </w:divBdr>
    </w:div>
    <w:div w:id="1843080526">
      <w:marLeft w:val="0"/>
      <w:marRight w:val="0"/>
      <w:marTop w:val="0"/>
      <w:marBottom w:val="0"/>
      <w:divBdr>
        <w:top w:val="none" w:sz="0" w:space="0" w:color="auto"/>
        <w:left w:val="none" w:sz="0" w:space="0" w:color="auto"/>
        <w:bottom w:val="none" w:sz="0" w:space="0" w:color="auto"/>
        <w:right w:val="none" w:sz="0" w:space="0" w:color="auto"/>
      </w:divBdr>
    </w:div>
    <w:div w:id="2014411746">
      <w:bodyDiv w:val="1"/>
      <w:marLeft w:val="0"/>
      <w:marRight w:val="0"/>
      <w:marTop w:val="0"/>
      <w:marBottom w:val="0"/>
      <w:divBdr>
        <w:top w:val="none" w:sz="0" w:space="0" w:color="auto"/>
        <w:left w:val="none" w:sz="0" w:space="0" w:color="auto"/>
        <w:bottom w:val="none" w:sz="0" w:space="0" w:color="auto"/>
        <w:right w:val="none" w:sz="0" w:space="0" w:color="auto"/>
      </w:divBdr>
    </w:div>
    <w:div w:id="2130007028">
      <w:bodyDiv w:val="1"/>
      <w:marLeft w:val="0"/>
      <w:marRight w:val="0"/>
      <w:marTop w:val="0"/>
      <w:marBottom w:val="0"/>
      <w:divBdr>
        <w:top w:val="none" w:sz="0" w:space="0" w:color="auto"/>
        <w:left w:val="none" w:sz="0" w:space="0" w:color="auto"/>
        <w:bottom w:val="none" w:sz="0" w:space="0" w:color="auto"/>
        <w:right w:val="none" w:sz="0" w:space="0" w:color="auto"/>
      </w:divBdr>
    </w:div>
    <w:div w:id="2140568504">
      <w:bodyDiv w:val="1"/>
      <w:marLeft w:val="0"/>
      <w:marRight w:val="0"/>
      <w:marTop w:val="0"/>
      <w:marBottom w:val="0"/>
      <w:divBdr>
        <w:top w:val="none" w:sz="0" w:space="0" w:color="auto"/>
        <w:left w:val="none" w:sz="0" w:space="0" w:color="auto"/>
        <w:bottom w:val="none" w:sz="0" w:space="0" w:color="auto"/>
        <w:right w:val="none" w:sz="0" w:space="0" w:color="auto"/>
      </w:divBdr>
      <w:divsChild>
        <w:div w:id="84495818">
          <w:marLeft w:val="518"/>
          <w:marRight w:val="0"/>
          <w:marTop w:val="0"/>
          <w:marBottom w:val="0"/>
          <w:divBdr>
            <w:top w:val="none" w:sz="0" w:space="0" w:color="auto"/>
            <w:left w:val="none" w:sz="0" w:space="0" w:color="auto"/>
            <w:bottom w:val="none" w:sz="0" w:space="0" w:color="auto"/>
            <w:right w:val="none" w:sz="0" w:space="0" w:color="auto"/>
          </w:divBdr>
        </w:div>
        <w:div w:id="448554726">
          <w:marLeft w:val="1238"/>
          <w:marRight w:val="0"/>
          <w:marTop w:val="0"/>
          <w:marBottom w:val="0"/>
          <w:divBdr>
            <w:top w:val="none" w:sz="0" w:space="0" w:color="auto"/>
            <w:left w:val="none" w:sz="0" w:space="0" w:color="auto"/>
            <w:bottom w:val="none" w:sz="0" w:space="0" w:color="auto"/>
            <w:right w:val="none" w:sz="0" w:space="0" w:color="auto"/>
          </w:divBdr>
        </w:div>
        <w:div w:id="1683389385">
          <w:marLeft w:val="1238"/>
          <w:marRight w:val="0"/>
          <w:marTop w:val="0"/>
          <w:marBottom w:val="0"/>
          <w:divBdr>
            <w:top w:val="none" w:sz="0" w:space="0" w:color="auto"/>
            <w:left w:val="none" w:sz="0" w:space="0" w:color="auto"/>
            <w:bottom w:val="none" w:sz="0" w:space="0" w:color="auto"/>
            <w:right w:val="none" w:sz="0" w:space="0" w:color="auto"/>
          </w:divBdr>
        </w:div>
        <w:div w:id="298728355">
          <w:marLeft w:val="12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ermanpropertypartners.de/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ug-immobilien.de/privat-immobilien" TargetMode="External"/><Relationship Id="rId17" Type="http://schemas.openxmlformats.org/officeDocument/2006/relationships/hyperlink" Target="mailto:presse@grossmann-berger.de" TargetMode="External"/><Relationship Id="rId2" Type="http://schemas.openxmlformats.org/officeDocument/2006/relationships/numbering" Target="numbering.xml"/><Relationship Id="rId16" Type="http://schemas.openxmlformats.org/officeDocument/2006/relationships/hyperlink" Target="file:///\\file01\Marketing\Presse\5_PresseMITTEILUNGEN\Marktbericht%20B&#252;ro\2020\2020%20Q2\20180517_Dokumentation%20der%20Verarbeitungstaetigkeit%20nach%20DSGVO_Presse.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g-immobilien.de/gewerbe-immobilien" TargetMode="External"/><Relationship Id="rId5" Type="http://schemas.openxmlformats.org/officeDocument/2006/relationships/webSettings" Target="webSettings.xml"/><Relationship Id="rId15" Type="http://schemas.openxmlformats.org/officeDocument/2006/relationships/hyperlink" Target="https://www.grossmann-berger.de/news/pressemappe/" TargetMode="External"/><Relationship Id="rId23" Type="http://schemas.openxmlformats.org/officeDocument/2006/relationships/theme" Target="theme/theme1.xml"/><Relationship Id="rId10" Type="http://schemas.openxmlformats.org/officeDocument/2006/relationships/hyperlink" Target="https://www.grossmann-berger.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rossmann-berger.de/marktbericht/gewerbe/hamburg-buero/" TargetMode="External"/><Relationship Id="rId14" Type="http://schemas.openxmlformats.org/officeDocument/2006/relationships/hyperlink" Target="https://www.grossmann-berger.de/datenschutz/"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G&amp;B Farben für Word_2019">
  <a:themeElements>
    <a:clrScheme name="G&amp;B Farben">
      <a:dk1>
        <a:srgbClr val="000000"/>
      </a:dk1>
      <a:lt1>
        <a:sysClr val="window" lastClr="FFFFFF"/>
      </a:lt1>
      <a:dk2>
        <a:srgbClr val="1F242B"/>
      </a:dk2>
      <a:lt2>
        <a:srgbClr val="E4E2E4"/>
      </a:lt2>
      <a:accent1>
        <a:srgbClr val="FDC300"/>
      </a:accent1>
      <a:accent2>
        <a:srgbClr val="1F242B"/>
      </a:accent2>
      <a:accent3>
        <a:srgbClr val="FFD444"/>
      </a:accent3>
      <a:accent4>
        <a:srgbClr val="FFE17E"/>
      </a:accent4>
      <a:accent5>
        <a:srgbClr val="838490"/>
      </a:accent5>
      <a:accent6>
        <a:srgbClr val="E4E2E4"/>
      </a:accent6>
      <a:hlink>
        <a:srgbClr val="4A5A73"/>
      </a:hlink>
      <a:folHlink>
        <a:srgbClr val="92A4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23C31-18F9-4E42-B2C2-9B61CE1D9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5795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bi</dc:creator>
  <cp:lastModifiedBy>Berit Friedrich</cp:lastModifiedBy>
  <cp:revision>3</cp:revision>
  <cp:lastPrinted>2022-01-05T07:17:00Z</cp:lastPrinted>
  <dcterms:created xsi:type="dcterms:W3CDTF">2022-01-05T08:34:00Z</dcterms:created>
  <dcterms:modified xsi:type="dcterms:W3CDTF">2022-01-05T08:53:00Z</dcterms:modified>
</cp:coreProperties>
</file>