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443BB" w14:textId="057F9C14" w:rsidR="00DF5006" w:rsidRPr="005842DB" w:rsidRDefault="0029547A" w:rsidP="00365AF8">
      <w:pPr>
        <w:spacing w:after="0" w:line="360" w:lineRule="auto"/>
        <w:rPr>
          <w:rFonts w:ascii="Arial" w:hAnsi="Arial" w:cs="Arial"/>
          <w:b/>
          <w:color w:val="FF0000"/>
          <w:sz w:val="28"/>
          <w:szCs w:val="28"/>
        </w:rPr>
      </w:pPr>
      <w:r>
        <w:rPr>
          <w:rFonts w:ascii="Arial" w:hAnsi="Arial"/>
          <w:b/>
        </w:rPr>
        <w:t>Hamburg: Investment market 1st</w:t>
      </w:r>
      <w:r w:rsidR="00D157A0">
        <w:rPr>
          <w:rFonts w:ascii="Arial" w:hAnsi="Arial"/>
          <w:b/>
        </w:rPr>
        <w:t>-3rd quarters of 2020</w:t>
      </w:r>
      <w:r w:rsidR="00D157A0">
        <w:rPr>
          <w:rFonts w:ascii="Arial" w:hAnsi="Arial"/>
          <w:b/>
        </w:rPr>
        <w:br/>
      </w:r>
      <w:r w:rsidR="00D157A0" w:rsidRPr="005842DB">
        <w:rPr>
          <w:rFonts w:ascii="Arial" w:hAnsi="Arial"/>
          <w:b/>
          <w:sz w:val="28"/>
          <w:szCs w:val="28"/>
        </w:rPr>
        <w:t xml:space="preserve">Hamburg investment market proves resilient </w:t>
      </w:r>
    </w:p>
    <w:p w14:paraId="5DC3EAC5" w14:textId="29DB094C" w:rsidR="00590903" w:rsidRPr="00253412" w:rsidRDefault="00590903" w:rsidP="00365AF8">
      <w:pPr>
        <w:spacing w:after="0" w:line="360" w:lineRule="auto"/>
        <w:jc w:val="both"/>
        <w:rPr>
          <w:rFonts w:ascii="Arial" w:hAnsi="Arial" w:cs="Arial"/>
          <w:b/>
          <w:sz w:val="18"/>
          <w:szCs w:val="20"/>
        </w:rPr>
      </w:pPr>
    </w:p>
    <w:p w14:paraId="2D60D4C6" w14:textId="325291EB" w:rsidR="00ED0267" w:rsidRPr="00ED0267" w:rsidRDefault="00E90673" w:rsidP="00ED0267">
      <w:pPr>
        <w:spacing w:after="0" w:line="360" w:lineRule="auto"/>
        <w:rPr>
          <w:rFonts w:ascii="Arial" w:hAnsi="Arial" w:cs="Arial"/>
          <w:sz w:val="20"/>
          <w:szCs w:val="20"/>
        </w:rPr>
      </w:pPr>
      <w:r>
        <w:rPr>
          <w:rFonts w:ascii="Arial" w:hAnsi="Arial"/>
          <w:b/>
          <w:sz w:val="20"/>
          <w:szCs w:val="20"/>
        </w:rPr>
        <w:t>Hamburg, 30</w:t>
      </w:r>
      <w:r w:rsidR="0029547A">
        <w:rPr>
          <w:rFonts w:ascii="Arial" w:hAnsi="Arial"/>
          <w:b/>
          <w:sz w:val="20"/>
          <w:szCs w:val="20"/>
        </w:rPr>
        <w:t>th</w:t>
      </w:r>
      <w:r>
        <w:rPr>
          <w:rFonts w:ascii="Arial" w:hAnsi="Arial"/>
          <w:b/>
          <w:sz w:val="20"/>
          <w:szCs w:val="20"/>
        </w:rPr>
        <w:t xml:space="preserve"> September 2020</w:t>
      </w:r>
      <w:r>
        <w:rPr>
          <w:rFonts w:ascii="Arial" w:hAnsi="Arial"/>
          <w:sz w:val="20"/>
          <w:szCs w:val="20"/>
        </w:rPr>
        <w:t xml:space="preserve"> - Again in the 3rd quarter of 2020 the market for investments in commercial properties in Hamburg seemed largely unimpressed by the effects of the coronavirus pandemic. Indeed, the volume of transactions actually grew by 37 % year on year, with around 70 individual trades generating €3.6bn (2019</w:t>
      </w:r>
      <w:r w:rsidR="005842DB">
        <w:rPr>
          <w:rFonts w:ascii="Arial" w:hAnsi="Arial"/>
          <w:sz w:val="20"/>
          <w:szCs w:val="20"/>
        </w:rPr>
        <w:t>: €2.7</w:t>
      </w:r>
      <w:r>
        <w:rPr>
          <w:rFonts w:ascii="Arial" w:hAnsi="Arial"/>
          <w:sz w:val="20"/>
          <w:szCs w:val="20"/>
        </w:rPr>
        <w:t xml:space="preserve">bn, 79 trades). In only two other years, 2007 and 2018, were even higher sales volumes recorded at the end of the 3rd quarter. Many players had adopted a wait and see attitude in the 2nd quarter, but in the 3rd quarter the market gathered so much momentum that commercial properties changed hands for more than €1.6bn between July and September. </w:t>
      </w:r>
      <w:r>
        <w:rPr>
          <w:rFonts w:ascii="Arial" w:hAnsi="Arial"/>
          <w:i/>
          <w:sz w:val="20"/>
          <w:szCs w:val="20"/>
        </w:rPr>
        <w:t>“Because of the many economic imponderables, most investors decided quality was the safest option. Therefore, core real estate let to highly credit-worthy tenants was in great demand,”</w:t>
      </w:r>
      <w:r>
        <w:rPr>
          <w:rFonts w:ascii="Arial" w:hAnsi="Arial"/>
          <w:sz w:val="20"/>
          <w:szCs w:val="20"/>
        </w:rPr>
        <w:t xml:space="preserve"> says </w:t>
      </w:r>
      <w:r>
        <w:rPr>
          <w:rFonts w:ascii="Arial" w:hAnsi="Arial"/>
          <w:b/>
          <w:sz w:val="20"/>
          <w:szCs w:val="20"/>
        </w:rPr>
        <w:t>Axel Steinbrinker</w:t>
      </w:r>
      <w:r>
        <w:rPr>
          <w:rFonts w:ascii="Arial" w:hAnsi="Arial"/>
          <w:sz w:val="20"/>
          <w:szCs w:val="20"/>
        </w:rPr>
        <w:t xml:space="preserve">, managing director of GPP-member Grossmann &amp; Berger, adding, </w:t>
      </w:r>
      <w:r>
        <w:rPr>
          <w:rFonts w:ascii="Arial" w:hAnsi="Arial"/>
          <w:i/>
          <w:sz w:val="20"/>
          <w:szCs w:val="20"/>
        </w:rPr>
        <w:t xml:space="preserve">“So far, Germany has </w:t>
      </w:r>
      <w:r w:rsidR="001C7392">
        <w:rPr>
          <w:rFonts w:ascii="Arial" w:hAnsi="Arial"/>
          <w:i/>
          <w:sz w:val="20"/>
          <w:szCs w:val="20"/>
        </w:rPr>
        <w:t>survived</w:t>
      </w:r>
      <w:r>
        <w:rPr>
          <w:rFonts w:ascii="Arial" w:hAnsi="Arial"/>
          <w:i/>
          <w:sz w:val="20"/>
          <w:szCs w:val="20"/>
        </w:rPr>
        <w:t xml:space="preserve"> the recession brought on by the pandemic relatively unscathed. That is a major reason why investors remain eager to buy commercial properties in Hamburg. Even if the coronavirus pandemic drags on into the </w:t>
      </w:r>
      <w:r w:rsidR="00374907">
        <w:rPr>
          <w:rFonts w:ascii="Arial" w:hAnsi="Arial"/>
          <w:i/>
          <w:sz w:val="20"/>
          <w:szCs w:val="20"/>
        </w:rPr>
        <w:t>New Year</w:t>
      </w:r>
      <w:r>
        <w:rPr>
          <w:rFonts w:ascii="Arial" w:hAnsi="Arial"/>
          <w:i/>
          <w:sz w:val="20"/>
          <w:szCs w:val="20"/>
        </w:rPr>
        <w:t>, we expect to see an interesting rally in the final three months of this year.”</w:t>
      </w:r>
      <w:r>
        <w:rPr>
          <w:rFonts w:ascii="Arial" w:hAnsi="Arial"/>
          <w:sz w:val="20"/>
          <w:szCs w:val="20"/>
        </w:rPr>
        <w:t xml:space="preserve"> </w:t>
      </w:r>
    </w:p>
    <w:p w14:paraId="2CE8AC6A" w14:textId="0A72C4E5" w:rsidR="00906FC5" w:rsidRPr="00D35A6D" w:rsidRDefault="00906FC5" w:rsidP="00906FC5">
      <w:pPr>
        <w:spacing w:after="0" w:line="360" w:lineRule="auto"/>
        <w:rPr>
          <w:rFonts w:ascii="Arial" w:hAnsi="Arial" w:cs="Arial"/>
          <w:sz w:val="18"/>
          <w:szCs w:val="20"/>
        </w:rPr>
      </w:pPr>
    </w:p>
    <w:p w14:paraId="243044D2" w14:textId="3AB736E8" w:rsidR="00EF7DDD" w:rsidRPr="00ED0267" w:rsidRDefault="00365AF8" w:rsidP="00FA44C3">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51215D64" w14:textId="7CFA31C3" w:rsidR="004477DC" w:rsidRPr="00ED0267" w:rsidRDefault="00FA44C3" w:rsidP="004477DC">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 xml:space="preserve">Ten transactions involving </w:t>
      </w:r>
      <w:r w:rsidR="0064349E">
        <w:rPr>
          <w:rFonts w:ascii="Arial" w:hAnsi="Arial"/>
          <w:sz w:val="20"/>
          <w:szCs w:val="20"/>
        </w:rPr>
        <w:t>properties priced at</w:t>
      </w:r>
      <w:r>
        <w:rPr>
          <w:rFonts w:ascii="Arial" w:hAnsi="Arial"/>
          <w:sz w:val="20"/>
          <w:szCs w:val="20"/>
        </w:rPr>
        <w:t xml:space="preserve"> over €100m (2019: 6) accounted for 55 % of the volume traded, and demonstrated </w:t>
      </w:r>
      <w:r w:rsidR="0064349E">
        <w:rPr>
          <w:rFonts w:ascii="Arial" w:hAnsi="Arial"/>
          <w:sz w:val="20"/>
          <w:szCs w:val="20"/>
        </w:rPr>
        <w:t>the great demand for</w:t>
      </w:r>
      <w:r>
        <w:rPr>
          <w:rFonts w:ascii="Arial" w:hAnsi="Arial"/>
          <w:sz w:val="20"/>
          <w:szCs w:val="20"/>
        </w:rPr>
        <w:t xml:space="preserve"> prime real estate in Hamburg</w:t>
      </w:r>
      <w:r w:rsidR="0064349E">
        <w:rPr>
          <w:rFonts w:ascii="Arial" w:hAnsi="Arial"/>
          <w:sz w:val="20"/>
          <w:szCs w:val="20"/>
        </w:rPr>
        <w:t>.</w:t>
      </w:r>
      <w:r>
        <w:rPr>
          <w:rFonts w:ascii="Arial" w:hAnsi="Arial"/>
          <w:sz w:val="20"/>
          <w:szCs w:val="20"/>
        </w:rPr>
        <w:t xml:space="preserve"> </w:t>
      </w:r>
    </w:p>
    <w:p w14:paraId="6BE1D0F5" w14:textId="2923EB9A" w:rsidR="00463081" w:rsidRPr="00ED0267" w:rsidRDefault="00FA44C3" w:rsidP="00CF7FAD">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 xml:space="preserve">Irrespective of how work patterns might be changing, office properties remained investors’ </w:t>
      </w:r>
      <w:r w:rsidR="00374907">
        <w:rPr>
          <w:rFonts w:ascii="Arial" w:hAnsi="Arial"/>
          <w:sz w:val="20"/>
          <w:szCs w:val="20"/>
        </w:rPr>
        <w:t xml:space="preserve">favourite </w:t>
      </w:r>
      <w:r>
        <w:rPr>
          <w:rFonts w:ascii="Arial" w:hAnsi="Arial"/>
          <w:sz w:val="20"/>
          <w:szCs w:val="20"/>
        </w:rPr>
        <w:t>asset, accounting for 53 % of the volume traded. Whereas buyers are avoiding hotels (2 %), retail buildings, despite fallout from the lockdown period, were the second-biggest-selling asset with a 20 % share of the market</w:t>
      </w:r>
      <w:r w:rsidR="001C7392">
        <w:rPr>
          <w:rFonts w:ascii="Arial" w:hAnsi="Arial"/>
          <w:sz w:val="20"/>
          <w:szCs w:val="20"/>
        </w:rPr>
        <w:t>.</w:t>
      </w:r>
      <w:r>
        <w:rPr>
          <w:rFonts w:ascii="Arial" w:hAnsi="Arial"/>
          <w:sz w:val="20"/>
          <w:szCs w:val="20"/>
        </w:rPr>
        <w:t xml:space="preserve"> This is due to Quantum’s sale of two “Karstadt” buildings to Signa.</w:t>
      </w:r>
    </w:p>
    <w:p w14:paraId="060CC3E3" w14:textId="23665E79" w:rsidR="00A77745" w:rsidRPr="00ED0267" w:rsidRDefault="00DF4FE3" w:rsidP="00A77745">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 xml:space="preserve">In many cities, including Hamburg, there is a growing focus on prime locations. Close to one euro in two was spent on properties in Hamburg City district (44 %). Following in second place, Eppendorf sub-market accounted for 12 % of investments. </w:t>
      </w:r>
    </w:p>
    <w:p w14:paraId="00B90C2C" w14:textId="7DCF0079" w:rsidR="00FE7F71" w:rsidRDefault="00A77745" w:rsidP="00FE7F71">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 xml:space="preserve">Portfolio trades still comprised a considerable proportion of transactions at 36 %. Adding to earlier company and shareholding takeovers, the 3rd quarter saw portfolio trades such as AEW office properties, bought by Tristan, and the two “Karstadt” buildings already noted. </w:t>
      </w:r>
    </w:p>
    <w:p w14:paraId="6C0C6C44" w14:textId="100E849E" w:rsidR="00FE7F71" w:rsidRPr="00FE7F71" w:rsidRDefault="00FE7F71" w:rsidP="00FE7F71">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 xml:space="preserve">Despite travel restrictions, international investors featured heavily on the Hamburg market. Their share of total trading rose to 41 % (2019: 18 %). </w:t>
      </w:r>
    </w:p>
    <w:p w14:paraId="455BF001" w14:textId="419BF251" w:rsidR="00184A4E" w:rsidRPr="00ED0267" w:rsidRDefault="00184A4E" w:rsidP="00FB644B">
      <w:pPr>
        <w:pStyle w:val="Listenabsatz"/>
        <w:numPr>
          <w:ilvl w:val="0"/>
          <w:numId w:val="16"/>
        </w:numPr>
        <w:spacing w:after="0" w:line="360" w:lineRule="auto"/>
        <w:ind w:left="425" w:hanging="357"/>
        <w:textAlignment w:val="baseline"/>
        <w:rPr>
          <w:rFonts w:ascii="Arial" w:hAnsi="Arial" w:cs="Arial"/>
          <w:sz w:val="20"/>
          <w:szCs w:val="20"/>
        </w:rPr>
      </w:pPr>
      <w:r>
        <w:rPr>
          <w:rFonts w:ascii="Arial" w:hAnsi="Arial"/>
          <w:sz w:val="20"/>
          <w:szCs w:val="20"/>
        </w:rPr>
        <w:t xml:space="preserve">Current uncertainties are inducing investors to put far greater faith in low-risk core real estate, thus putting further pressure on the prime yields on offices and logistics properties. </w:t>
      </w:r>
      <w:r w:rsidR="008A2DD3">
        <w:rPr>
          <w:rFonts w:ascii="Arial" w:hAnsi="Arial"/>
          <w:sz w:val="20"/>
          <w:szCs w:val="20"/>
        </w:rPr>
        <w:t>However, y</w:t>
      </w:r>
      <w:r>
        <w:rPr>
          <w:rFonts w:ascii="Arial" w:hAnsi="Arial"/>
          <w:sz w:val="20"/>
          <w:szCs w:val="20"/>
        </w:rPr>
        <w:t xml:space="preserve">ields on hotel and retail assets are expected to rise. </w:t>
      </w:r>
    </w:p>
    <w:p w14:paraId="5E40163B" w14:textId="0C2A38F5" w:rsidR="008A2BA4" w:rsidRPr="001809AE" w:rsidRDefault="00261FB3" w:rsidP="001809AE">
      <w:pPr>
        <w:pStyle w:val="Listenabsatz"/>
        <w:numPr>
          <w:ilvl w:val="0"/>
          <w:numId w:val="16"/>
        </w:numPr>
        <w:spacing w:after="0" w:line="360" w:lineRule="auto"/>
        <w:ind w:left="425" w:hanging="357"/>
        <w:textAlignment w:val="baseline"/>
        <w:rPr>
          <w:rFonts w:ascii="Arial" w:hAnsi="Arial" w:cs="Arial"/>
          <w:sz w:val="20"/>
          <w:szCs w:val="20"/>
        </w:rPr>
      </w:pPr>
      <w:r>
        <w:br w:type="page"/>
      </w:r>
    </w:p>
    <w:tbl>
      <w:tblPr>
        <w:tblStyle w:val="TableGrid2"/>
        <w:tblpPr w:leftFromText="141" w:rightFromText="141" w:vertAnchor="text" w:horzAnchor="margin" w:tblpY="106"/>
        <w:tblW w:w="0" w:type="auto"/>
        <w:tblLook w:val="04A0" w:firstRow="1" w:lastRow="0" w:firstColumn="1" w:lastColumn="0" w:noHBand="0" w:noVBand="1"/>
      </w:tblPr>
      <w:tblGrid>
        <w:gridCol w:w="3823"/>
        <w:gridCol w:w="1134"/>
      </w:tblGrid>
      <w:tr w:rsidR="000A5ED1" w:rsidRPr="006F49D0" w14:paraId="2928D7C9" w14:textId="77777777" w:rsidTr="00365AF8">
        <w:trPr>
          <w:trHeight w:val="283"/>
        </w:trPr>
        <w:tc>
          <w:tcPr>
            <w:tcW w:w="0" w:type="auto"/>
            <w:shd w:val="clear" w:color="auto" w:fill="1F242B" w:themeFill="accent2"/>
          </w:tcPr>
          <w:p w14:paraId="513B5E89" w14:textId="0E2F594A" w:rsidR="000A5ED1" w:rsidRPr="004712BA" w:rsidRDefault="000A5ED1" w:rsidP="00CD6BD0">
            <w:pPr>
              <w:widowControl w:val="0"/>
              <w:spacing w:before="60" w:after="60"/>
              <w:jc w:val="both"/>
              <w:rPr>
                <w:rFonts w:ascii="Arial" w:hAnsi="Arial" w:cs="Arial"/>
                <w:b/>
                <w:sz w:val="18"/>
                <w:szCs w:val="16"/>
              </w:rPr>
            </w:pPr>
            <w:r>
              <w:rPr>
                <w:rFonts w:ascii="Arial" w:hAnsi="Arial"/>
                <w:b/>
                <w:sz w:val="20"/>
                <w:szCs w:val="20"/>
              </w:rPr>
              <w:lastRenderedPageBreak/>
              <w:t>Investment market | Hamburg</w:t>
            </w:r>
            <w:r>
              <w:t xml:space="preserve"> </w:t>
            </w:r>
            <w:r>
              <w:rPr>
                <w:rFonts w:ascii="Arial" w:hAnsi="Arial"/>
                <w:b/>
                <w:sz w:val="20"/>
                <w:szCs w:val="20"/>
              </w:rPr>
              <w:t>| 2020</w:t>
            </w:r>
          </w:p>
        </w:tc>
        <w:tc>
          <w:tcPr>
            <w:tcW w:w="1134" w:type="dxa"/>
            <w:shd w:val="clear" w:color="auto" w:fill="1F242B" w:themeFill="accent2"/>
          </w:tcPr>
          <w:p w14:paraId="6DA68AD4" w14:textId="0F58409B" w:rsidR="000A5ED1" w:rsidRPr="004712BA" w:rsidRDefault="000A5ED1" w:rsidP="00465B0E">
            <w:pPr>
              <w:widowControl w:val="0"/>
              <w:spacing w:before="60" w:after="60"/>
              <w:jc w:val="center"/>
              <w:rPr>
                <w:rFonts w:ascii="Arial" w:hAnsi="Arial" w:cs="Arial"/>
                <w:b/>
                <w:sz w:val="18"/>
                <w:szCs w:val="16"/>
              </w:rPr>
            </w:pPr>
            <w:r>
              <w:rPr>
                <w:rFonts w:ascii="Arial" w:hAnsi="Arial"/>
                <w:b/>
                <w:sz w:val="18"/>
                <w:szCs w:val="16"/>
              </w:rPr>
              <w:t>Q 1-3</w:t>
            </w:r>
          </w:p>
        </w:tc>
      </w:tr>
      <w:tr w:rsidR="00797E4F" w:rsidRPr="006F49D0" w14:paraId="12A35FD1" w14:textId="77777777" w:rsidTr="00365AF8">
        <w:trPr>
          <w:trHeight w:val="283"/>
        </w:trPr>
        <w:tc>
          <w:tcPr>
            <w:tcW w:w="3823" w:type="dxa"/>
          </w:tcPr>
          <w:p w14:paraId="1EEAFBBC" w14:textId="7D79639C" w:rsidR="00797E4F" w:rsidRPr="004712BA" w:rsidRDefault="00797E4F" w:rsidP="00E17864">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1134" w:type="dxa"/>
            <w:vAlign w:val="center"/>
          </w:tcPr>
          <w:p w14:paraId="37C81A3D" w14:textId="486CD802" w:rsidR="00797E4F" w:rsidRPr="00ED0267" w:rsidRDefault="00FA44C3" w:rsidP="00ED0267">
            <w:pPr>
              <w:widowControl w:val="0"/>
              <w:spacing w:before="40" w:after="40"/>
              <w:jc w:val="right"/>
              <w:rPr>
                <w:rFonts w:ascii="Arial" w:hAnsi="Arial" w:cs="Arial"/>
                <w:sz w:val="18"/>
                <w:szCs w:val="16"/>
              </w:rPr>
            </w:pPr>
            <w:r>
              <w:rPr>
                <w:rFonts w:ascii="Arial" w:hAnsi="Arial"/>
                <w:sz w:val="18"/>
                <w:szCs w:val="16"/>
              </w:rPr>
              <w:t>3,640</w:t>
            </w:r>
          </w:p>
        </w:tc>
      </w:tr>
      <w:tr w:rsidR="00797E4F" w:rsidRPr="006F49D0" w14:paraId="6A7ABFCD" w14:textId="77777777" w:rsidTr="00365AF8">
        <w:trPr>
          <w:trHeight w:val="283"/>
        </w:trPr>
        <w:tc>
          <w:tcPr>
            <w:tcW w:w="3823" w:type="dxa"/>
          </w:tcPr>
          <w:p w14:paraId="209F9D9C" w14:textId="77777777" w:rsidR="00797E4F" w:rsidRPr="00A7575D" w:rsidRDefault="00797E4F" w:rsidP="00797E4F">
            <w:pPr>
              <w:widowControl w:val="0"/>
              <w:spacing w:before="40" w:after="40"/>
              <w:jc w:val="both"/>
              <w:rPr>
                <w:rFonts w:ascii="Arial" w:hAnsi="Arial" w:cs="Arial"/>
                <w:sz w:val="18"/>
                <w:szCs w:val="16"/>
              </w:rPr>
            </w:pPr>
            <w:r>
              <w:rPr>
                <w:rFonts w:ascii="Arial" w:hAnsi="Arial"/>
                <w:sz w:val="18"/>
                <w:szCs w:val="16"/>
              </w:rPr>
              <w:t>against prior yr [%]</w:t>
            </w:r>
          </w:p>
        </w:tc>
        <w:tc>
          <w:tcPr>
            <w:tcW w:w="1134" w:type="dxa"/>
            <w:vAlign w:val="center"/>
          </w:tcPr>
          <w:p w14:paraId="266E247E" w14:textId="212BE082" w:rsidR="00797E4F" w:rsidRPr="00ED0267" w:rsidRDefault="003B0F06" w:rsidP="00ED0267">
            <w:pPr>
              <w:widowControl w:val="0"/>
              <w:spacing w:before="40" w:after="40"/>
              <w:jc w:val="right"/>
              <w:rPr>
                <w:rFonts w:ascii="Arial" w:hAnsi="Arial" w:cs="Arial"/>
                <w:sz w:val="18"/>
                <w:szCs w:val="16"/>
              </w:rPr>
            </w:pPr>
            <w:r>
              <w:rPr>
                <w:rFonts w:ascii="Arial" w:hAnsi="Arial"/>
                <w:sz w:val="18"/>
                <w:szCs w:val="16"/>
              </w:rPr>
              <w:t>+37</w:t>
            </w:r>
          </w:p>
        </w:tc>
      </w:tr>
      <w:tr w:rsidR="00797E4F" w:rsidRPr="006F49D0" w14:paraId="1F46D6E3" w14:textId="77777777" w:rsidTr="00365AF8">
        <w:trPr>
          <w:trHeight w:val="283"/>
        </w:trPr>
        <w:tc>
          <w:tcPr>
            <w:tcW w:w="3823" w:type="dxa"/>
          </w:tcPr>
          <w:p w14:paraId="021D0700" w14:textId="77777777" w:rsidR="00797E4F" w:rsidRPr="00A7575D" w:rsidRDefault="00797E4F" w:rsidP="00797E4F">
            <w:pPr>
              <w:widowControl w:val="0"/>
              <w:spacing w:before="40" w:after="40"/>
              <w:jc w:val="both"/>
              <w:rPr>
                <w:rFonts w:ascii="Arial" w:hAnsi="Arial" w:cs="Arial"/>
                <w:sz w:val="18"/>
                <w:szCs w:val="16"/>
              </w:rPr>
            </w:pPr>
            <w:r>
              <w:rPr>
                <w:rFonts w:ascii="Arial" w:hAnsi="Arial"/>
                <w:b/>
                <w:sz w:val="18"/>
                <w:szCs w:val="16"/>
              </w:rPr>
              <w:t>Share of trading in CBD</w:t>
            </w:r>
            <w:r>
              <w:rPr>
                <w:rFonts w:ascii="Arial" w:hAnsi="Arial"/>
                <w:sz w:val="18"/>
                <w:szCs w:val="16"/>
              </w:rPr>
              <w:t xml:space="preserve"> [%]</w:t>
            </w:r>
          </w:p>
        </w:tc>
        <w:tc>
          <w:tcPr>
            <w:tcW w:w="1134" w:type="dxa"/>
            <w:vAlign w:val="center"/>
          </w:tcPr>
          <w:p w14:paraId="2EA23137" w14:textId="491EFA44" w:rsidR="00797E4F" w:rsidRPr="00ED0267" w:rsidRDefault="00ED0267" w:rsidP="000B7D28">
            <w:pPr>
              <w:widowControl w:val="0"/>
              <w:spacing w:before="40" w:after="40"/>
              <w:jc w:val="right"/>
              <w:rPr>
                <w:rFonts w:ascii="Arial" w:hAnsi="Arial" w:cs="Arial"/>
                <w:sz w:val="18"/>
                <w:szCs w:val="16"/>
              </w:rPr>
            </w:pPr>
            <w:r>
              <w:rPr>
                <w:rFonts w:ascii="Arial" w:hAnsi="Arial"/>
                <w:sz w:val="18"/>
                <w:szCs w:val="16"/>
              </w:rPr>
              <w:t>44</w:t>
            </w:r>
          </w:p>
        </w:tc>
      </w:tr>
      <w:tr w:rsidR="00797E4F" w:rsidRPr="006F49D0" w14:paraId="1F687A93" w14:textId="77777777" w:rsidTr="00365AF8">
        <w:trPr>
          <w:trHeight w:val="283"/>
        </w:trPr>
        <w:tc>
          <w:tcPr>
            <w:tcW w:w="3823" w:type="dxa"/>
          </w:tcPr>
          <w:p w14:paraId="7BAE8D04" w14:textId="77777777" w:rsidR="00797E4F" w:rsidRPr="00CF57DD" w:rsidRDefault="00797E4F" w:rsidP="00797E4F">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1134" w:type="dxa"/>
            <w:vAlign w:val="center"/>
          </w:tcPr>
          <w:p w14:paraId="7264C863" w14:textId="1FB31F07" w:rsidR="00797E4F" w:rsidRPr="00ED0267" w:rsidRDefault="00ED0267" w:rsidP="000B7D28">
            <w:pPr>
              <w:widowControl w:val="0"/>
              <w:spacing w:before="40" w:after="40"/>
              <w:jc w:val="right"/>
              <w:rPr>
                <w:rFonts w:ascii="Arial" w:hAnsi="Arial" w:cs="Arial"/>
                <w:sz w:val="18"/>
                <w:szCs w:val="16"/>
              </w:rPr>
            </w:pPr>
            <w:r>
              <w:rPr>
                <w:rFonts w:ascii="Arial" w:hAnsi="Arial"/>
                <w:sz w:val="18"/>
                <w:szCs w:val="16"/>
              </w:rPr>
              <w:t>41</w:t>
            </w:r>
          </w:p>
        </w:tc>
      </w:tr>
      <w:tr w:rsidR="00797E4F" w:rsidRPr="006F49D0" w14:paraId="16A9EFD5" w14:textId="77777777" w:rsidTr="00365AF8">
        <w:trPr>
          <w:trHeight w:val="283"/>
        </w:trPr>
        <w:tc>
          <w:tcPr>
            <w:tcW w:w="3823" w:type="dxa"/>
          </w:tcPr>
          <w:p w14:paraId="776A8B5E" w14:textId="65F175D4"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Prime net yield, office</w:t>
            </w:r>
            <w:r w:rsidR="00417259">
              <w:rPr>
                <w:rFonts w:ascii="Arial" w:hAnsi="Arial"/>
                <w:b/>
                <w:sz w:val="18"/>
                <w:szCs w:val="16"/>
              </w:rPr>
              <w:t>s</w:t>
            </w:r>
            <w:r>
              <w:rPr>
                <w:rFonts w:ascii="Arial" w:hAnsi="Arial"/>
                <w:sz w:val="18"/>
                <w:szCs w:val="16"/>
              </w:rPr>
              <w:t xml:space="preserve"> [%]</w:t>
            </w:r>
          </w:p>
        </w:tc>
        <w:tc>
          <w:tcPr>
            <w:tcW w:w="1134" w:type="dxa"/>
            <w:vAlign w:val="center"/>
          </w:tcPr>
          <w:p w14:paraId="4D71828B" w14:textId="717A48C3" w:rsidR="00797E4F" w:rsidRPr="00ED0267" w:rsidRDefault="00277361" w:rsidP="000B7D28">
            <w:pPr>
              <w:widowControl w:val="0"/>
              <w:spacing w:before="40" w:after="40"/>
              <w:jc w:val="right"/>
              <w:rPr>
                <w:rFonts w:ascii="Arial" w:hAnsi="Arial" w:cs="Arial"/>
                <w:sz w:val="18"/>
                <w:szCs w:val="16"/>
              </w:rPr>
            </w:pPr>
            <w:r>
              <w:rPr>
                <w:rFonts w:ascii="Arial" w:hAnsi="Arial"/>
                <w:sz w:val="18"/>
                <w:szCs w:val="16"/>
              </w:rPr>
              <w:t>2.80</w:t>
            </w:r>
          </w:p>
        </w:tc>
      </w:tr>
      <w:tr w:rsidR="00797E4F" w14:paraId="55B3498E" w14:textId="77777777" w:rsidTr="00365AF8">
        <w:trPr>
          <w:trHeight w:val="283"/>
        </w:trPr>
        <w:tc>
          <w:tcPr>
            <w:tcW w:w="3823" w:type="dxa"/>
          </w:tcPr>
          <w:p w14:paraId="10626FFC" w14:textId="3379598B" w:rsidR="00797E4F" w:rsidRPr="00A7575D" w:rsidRDefault="00797E4F" w:rsidP="0057685F">
            <w:pPr>
              <w:widowControl w:val="0"/>
              <w:spacing w:before="40" w:after="40"/>
              <w:jc w:val="both"/>
              <w:rPr>
                <w:rFonts w:ascii="Arial" w:hAnsi="Arial" w:cs="Arial"/>
                <w:sz w:val="18"/>
                <w:szCs w:val="16"/>
              </w:rPr>
            </w:pPr>
            <w:r>
              <w:rPr>
                <w:rFonts w:ascii="Arial" w:hAnsi="Arial"/>
                <w:sz w:val="18"/>
                <w:szCs w:val="16"/>
              </w:rPr>
              <w:t>against prior yr [percentage points]</w:t>
            </w:r>
          </w:p>
        </w:tc>
        <w:tc>
          <w:tcPr>
            <w:tcW w:w="1134" w:type="dxa"/>
            <w:vAlign w:val="center"/>
          </w:tcPr>
          <w:p w14:paraId="2B6ED377" w14:textId="3DE00338" w:rsidR="00797E4F" w:rsidRPr="00ED0267" w:rsidRDefault="00277361" w:rsidP="000B7D28">
            <w:pPr>
              <w:widowControl w:val="0"/>
              <w:spacing w:before="40" w:after="40"/>
              <w:jc w:val="right"/>
              <w:rPr>
                <w:rFonts w:ascii="Arial" w:hAnsi="Arial" w:cs="Arial"/>
                <w:sz w:val="18"/>
                <w:szCs w:val="16"/>
              </w:rPr>
            </w:pPr>
            <w:r>
              <w:rPr>
                <w:rFonts w:ascii="Arial" w:hAnsi="Arial"/>
                <w:sz w:val="18"/>
                <w:szCs w:val="16"/>
              </w:rPr>
              <w:t>±0.00</w:t>
            </w:r>
          </w:p>
        </w:tc>
      </w:tr>
      <w:tr w:rsidR="00797E4F" w:rsidRPr="006F49D0" w14:paraId="3FF9A817" w14:textId="77777777" w:rsidTr="00365AF8">
        <w:trPr>
          <w:trHeight w:val="283"/>
        </w:trPr>
        <w:tc>
          <w:tcPr>
            <w:tcW w:w="3823" w:type="dxa"/>
          </w:tcPr>
          <w:p w14:paraId="5A19B7CF" w14:textId="77777777"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1134" w:type="dxa"/>
            <w:vAlign w:val="center"/>
          </w:tcPr>
          <w:p w14:paraId="27AD5745" w14:textId="50D777AC" w:rsidR="00797E4F" w:rsidRPr="00ED0267" w:rsidRDefault="00277361" w:rsidP="000B7D28">
            <w:pPr>
              <w:widowControl w:val="0"/>
              <w:spacing w:before="40" w:after="40"/>
              <w:jc w:val="right"/>
              <w:rPr>
                <w:rFonts w:ascii="Arial" w:hAnsi="Arial" w:cs="Arial"/>
                <w:sz w:val="18"/>
                <w:szCs w:val="16"/>
              </w:rPr>
            </w:pPr>
            <w:r>
              <w:rPr>
                <w:rFonts w:ascii="Arial" w:hAnsi="Arial"/>
                <w:sz w:val="18"/>
                <w:szCs w:val="16"/>
              </w:rPr>
              <w:t>2.70</w:t>
            </w:r>
          </w:p>
        </w:tc>
      </w:tr>
      <w:tr w:rsidR="00797E4F" w14:paraId="0515B637" w14:textId="77777777" w:rsidTr="00365AF8">
        <w:trPr>
          <w:trHeight w:val="283"/>
        </w:trPr>
        <w:tc>
          <w:tcPr>
            <w:tcW w:w="3823" w:type="dxa"/>
          </w:tcPr>
          <w:p w14:paraId="67B252C5" w14:textId="516CED9B" w:rsidR="00797E4F" w:rsidRPr="00A7575D" w:rsidRDefault="00797E4F" w:rsidP="00797E4F">
            <w:pPr>
              <w:widowControl w:val="0"/>
              <w:spacing w:before="40" w:after="40"/>
              <w:jc w:val="both"/>
              <w:rPr>
                <w:rFonts w:ascii="Arial" w:hAnsi="Arial" w:cs="Arial"/>
                <w:sz w:val="18"/>
                <w:szCs w:val="16"/>
              </w:rPr>
            </w:pPr>
            <w:r>
              <w:rPr>
                <w:rFonts w:ascii="Arial" w:hAnsi="Arial"/>
                <w:sz w:val="18"/>
                <w:szCs w:val="16"/>
              </w:rPr>
              <w:t>against prior yr [percentage points]</w:t>
            </w:r>
          </w:p>
        </w:tc>
        <w:tc>
          <w:tcPr>
            <w:tcW w:w="1134" w:type="dxa"/>
            <w:vAlign w:val="center"/>
          </w:tcPr>
          <w:p w14:paraId="3F1E364B" w14:textId="61527676" w:rsidR="00797E4F" w:rsidRPr="00ED0267" w:rsidRDefault="00277361" w:rsidP="000B7D28">
            <w:pPr>
              <w:widowControl w:val="0"/>
              <w:spacing w:before="40" w:after="40"/>
              <w:jc w:val="right"/>
              <w:rPr>
                <w:rFonts w:ascii="Arial" w:hAnsi="Arial" w:cs="Arial"/>
                <w:sz w:val="18"/>
                <w:szCs w:val="16"/>
              </w:rPr>
            </w:pPr>
            <w:r>
              <w:rPr>
                <w:rFonts w:ascii="Arial" w:hAnsi="Arial"/>
                <w:sz w:val="18"/>
                <w:szCs w:val="16"/>
              </w:rPr>
              <w:t>±0.00</w:t>
            </w:r>
          </w:p>
        </w:tc>
      </w:tr>
      <w:tr w:rsidR="00797E4F" w:rsidRPr="006F49D0" w14:paraId="5FADA812" w14:textId="77777777" w:rsidTr="00365AF8">
        <w:trPr>
          <w:trHeight w:val="283"/>
        </w:trPr>
        <w:tc>
          <w:tcPr>
            <w:tcW w:w="3823" w:type="dxa"/>
          </w:tcPr>
          <w:p w14:paraId="2CFBFCBA" w14:textId="77777777"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1134" w:type="dxa"/>
            <w:vAlign w:val="center"/>
          </w:tcPr>
          <w:p w14:paraId="5A1B2D82" w14:textId="586A16CE" w:rsidR="00797E4F" w:rsidRPr="00ED0267" w:rsidRDefault="00277361" w:rsidP="000B7D28">
            <w:pPr>
              <w:widowControl w:val="0"/>
              <w:spacing w:before="40" w:after="40"/>
              <w:jc w:val="right"/>
              <w:rPr>
                <w:rFonts w:ascii="Arial" w:hAnsi="Arial" w:cs="Arial"/>
                <w:sz w:val="18"/>
                <w:szCs w:val="16"/>
              </w:rPr>
            </w:pPr>
            <w:r>
              <w:rPr>
                <w:rFonts w:ascii="Arial" w:hAnsi="Arial"/>
                <w:sz w:val="18"/>
                <w:szCs w:val="16"/>
              </w:rPr>
              <w:t>4.20</w:t>
            </w:r>
          </w:p>
        </w:tc>
      </w:tr>
      <w:tr w:rsidR="00797E4F" w14:paraId="20B8D9B7" w14:textId="77777777" w:rsidTr="00365AF8">
        <w:trPr>
          <w:trHeight w:val="283"/>
        </w:trPr>
        <w:tc>
          <w:tcPr>
            <w:tcW w:w="3823" w:type="dxa"/>
          </w:tcPr>
          <w:p w14:paraId="24159E32" w14:textId="5AE4316B" w:rsidR="00797E4F" w:rsidRPr="00A7575D" w:rsidRDefault="00797E4F" w:rsidP="00797E4F">
            <w:pPr>
              <w:widowControl w:val="0"/>
              <w:spacing w:before="40" w:after="40"/>
              <w:jc w:val="both"/>
              <w:rPr>
                <w:rFonts w:ascii="Arial" w:hAnsi="Arial" w:cs="Arial"/>
                <w:sz w:val="18"/>
                <w:szCs w:val="16"/>
              </w:rPr>
            </w:pPr>
            <w:r>
              <w:rPr>
                <w:rFonts w:ascii="Arial" w:hAnsi="Arial"/>
                <w:sz w:val="18"/>
                <w:szCs w:val="16"/>
              </w:rPr>
              <w:t>against prior yr [percentage points]</w:t>
            </w:r>
          </w:p>
        </w:tc>
        <w:tc>
          <w:tcPr>
            <w:tcW w:w="1134" w:type="dxa"/>
            <w:vAlign w:val="center"/>
          </w:tcPr>
          <w:p w14:paraId="6C62ADF7" w14:textId="02CE5F66" w:rsidR="00797E4F" w:rsidRPr="00ED0267" w:rsidRDefault="00313876" w:rsidP="000B7D28">
            <w:pPr>
              <w:widowControl w:val="0"/>
              <w:spacing w:before="40" w:after="40"/>
              <w:jc w:val="right"/>
              <w:rPr>
                <w:rFonts w:ascii="Arial" w:hAnsi="Arial" w:cs="Arial"/>
                <w:sz w:val="18"/>
                <w:szCs w:val="16"/>
              </w:rPr>
            </w:pPr>
            <w:r>
              <w:rPr>
                <w:rFonts w:ascii="Arial" w:hAnsi="Arial"/>
                <w:sz w:val="18"/>
                <w:szCs w:val="16"/>
              </w:rPr>
              <w:t>-0.30</w:t>
            </w:r>
          </w:p>
        </w:tc>
      </w:tr>
      <w:tr w:rsidR="00797E4F" w:rsidRPr="006F49D0" w14:paraId="258FCBB3" w14:textId="77777777" w:rsidTr="00365AF8">
        <w:trPr>
          <w:trHeight w:val="283"/>
        </w:trPr>
        <w:tc>
          <w:tcPr>
            <w:tcW w:w="3823" w:type="dxa"/>
            <w:tcBorders>
              <w:bottom w:val="single" w:sz="4" w:space="0" w:color="auto"/>
            </w:tcBorders>
          </w:tcPr>
          <w:p w14:paraId="6E84F40E" w14:textId="77777777"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Strongest asset class</w:t>
            </w:r>
          </w:p>
        </w:tc>
        <w:tc>
          <w:tcPr>
            <w:tcW w:w="1134" w:type="dxa"/>
            <w:tcBorders>
              <w:bottom w:val="single" w:sz="4" w:space="0" w:color="auto"/>
            </w:tcBorders>
            <w:vAlign w:val="center"/>
          </w:tcPr>
          <w:p w14:paraId="7D93AE39" w14:textId="64D147B4" w:rsidR="00797E4F" w:rsidRPr="00ED0267" w:rsidRDefault="00417259" w:rsidP="000B7D28">
            <w:pPr>
              <w:widowControl w:val="0"/>
              <w:spacing w:before="40" w:after="40"/>
              <w:jc w:val="right"/>
              <w:rPr>
                <w:rFonts w:ascii="Arial" w:hAnsi="Arial" w:cs="Arial"/>
                <w:sz w:val="18"/>
                <w:szCs w:val="16"/>
              </w:rPr>
            </w:pPr>
            <w:r>
              <w:rPr>
                <w:rFonts w:ascii="Arial" w:hAnsi="Arial"/>
                <w:sz w:val="18"/>
                <w:szCs w:val="16"/>
              </w:rPr>
              <w:t>Offices</w:t>
            </w:r>
          </w:p>
        </w:tc>
      </w:tr>
      <w:tr w:rsidR="00797E4F" w:rsidRPr="006F49D0" w14:paraId="15F08F3E" w14:textId="77777777" w:rsidTr="00365AF8">
        <w:trPr>
          <w:trHeight w:val="283"/>
        </w:trPr>
        <w:tc>
          <w:tcPr>
            <w:tcW w:w="3823" w:type="dxa"/>
            <w:tcBorders>
              <w:bottom w:val="single" w:sz="4" w:space="0" w:color="auto"/>
            </w:tcBorders>
          </w:tcPr>
          <w:p w14:paraId="188669C5" w14:textId="77777777" w:rsidR="00797E4F" w:rsidRPr="004712BA" w:rsidRDefault="00797E4F" w:rsidP="00797E4F">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1134" w:type="dxa"/>
            <w:tcBorders>
              <w:bottom w:val="single" w:sz="4" w:space="0" w:color="auto"/>
            </w:tcBorders>
            <w:vAlign w:val="center"/>
          </w:tcPr>
          <w:p w14:paraId="779478F0" w14:textId="7C84C974" w:rsidR="00797E4F" w:rsidRPr="00ED0267" w:rsidRDefault="00ED0267" w:rsidP="00730191">
            <w:pPr>
              <w:widowControl w:val="0"/>
              <w:spacing w:before="40" w:after="40"/>
              <w:jc w:val="right"/>
              <w:rPr>
                <w:rFonts w:ascii="Arial" w:hAnsi="Arial" w:cs="Arial"/>
                <w:sz w:val="18"/>
                <w:szCs w:val="16"/>
              </w:rPr>
            </w:pPr>
            <w:r>
              <w:rPr>
                <w:rFonts w:ascii="Arial" w:hAnsi="Arial"/>
                <w:sz w:val="18"/>
                <w:szCs w:val="16"/>
              </w:rPr>
              <w:t>53</w:t>
            </w:r>
          </w:p>
        </w:tc>
      </w:tr>
    </w:tbl>
    <w:p w14:paraId="28EB66BA" w14:textId="68684533" w:rsidR="00FA0BF4" w:rsidRDefault="005842DB" w:rsidP="005842DB">
      <w:pPr>
        <w:spacing w:after="0" w:line="360" w:lineRule="auto"/>
        <w:ind w:left="66"/>
        <w:textAlignment w:val="baseline"/>
        <w:rPr>
          <w:rFonts w:ascii="Arial" w:eastAsia="Arial" w:hAnsi="Arial" w:cs="Arial"/>
          <w:b/>
          <w:color w:val="000000" w:themeColor="text1"/>
          <w:sz w:val="20"/>
          <w:szCs w:val="20"/>
        </w:rPr>
      </w:pPr>
      <w:r>
        <w:rPr>
          <w:rFonts w:ascii="Arial" w:hAnsi="Arial" w:cs="Arial"/>
          <w:noProof/>
          <w:sz w:val="20"/>
          <w:szCs w:val="20"/>
          <w:lang w:val="de-DE" w:eastAsia="de-DE"/>
        </w:rPr>
        <w:drawing>
          <wp:anchor distT="0" distB="0" distL="114300" distR="114300" simplePos="0" relativeHeight="251658240" behindDoc="0" locked="0" layoutInCell="1" allowOverlap="1" wp14:anchorId="72366FC1" wp14:editId="7D3BE9A7">
            <wp:simplePos x="0" y="0"/>
            <wp:positionH relativeFrom="column">
              <wp:posOffset>3229610</wp:posOffset>
            </wp:positionH>
            <wp:positionV relativeFrom="paragraph">
              <wp:posOffset>78105</wp:posOffset>
            </wp:positionV>
            <wp:extent cx="3079115" cy="2316480"/>
            <wp:effectExtent l="19050" t="19050" r="26035" b="266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stment market Hamburg_3Q2020_tav_en.JPG"/>
                    <pic:cNvPicPr/>
                  </pic:nvPicPr>
                  <pic:blipFill>
                    <a:blip r:embed="rId8">
                      <a:extLst>
                        <a:ext uri="{28A0092B-C50C-407E-A947-70E740481C1C}">
                          <a14:useLocalDpi xmlns:a14="http://schemas.microsoft.com/office/drawing/2010/main" val="0"/>
                        </a:ext>
                      </a:extLst>
                    </a:blip>
                    <a:stretch>
                      <a:fillRect/>
                    </a:stretch>
                  </pic:blipFill>
                  <pic:spPr>
                    <a:xfrm>
                      <a:off x="0" y="0"/>
                      <a:ext cx="3079115" cy="231648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49976628" w14:textId="77777777" w:rsidR="008A2DD3" w:rsidRPr="00506BD9" w:rsidRDefault="008A2DD3" w:rsidP="000A5ED1">
      <w:pPr>
        <w:spacing w:after="0" w:line="360" w:lineRule="auto"/>
        <w:rPr>
          <w:rFonts w:ascii="Arial" w:eastAsia="Arial" w:hAnsi="Arial" w:cs="Arial"/>
          <w:color w:val="000000" w:themeColor="text1"/>
          <w:sz w:val="20"/>
          <w:szCs w:val="20"/>
        </w:rPr>
      </w:pPr>
    </w:p>
    <w:p w14:paraId="29B26E04" w14:textId="5DB372A5" w:rsidR="00A0600B" w:rsidRPr="00A0600B" w:rsidRDefault="00713D81" w:rsidP="005842DB">
      <w:pPr>
        <w:spacing w:after="0"/>
        <w:rPr>
          <w:rFonts w:ascii="Arial" w:hAnsi="Arial" w:cs="Arial"/>
          <w:b/>
          <w:sz w:val="20"/>
          <w:szCs w:val="20"/>
        </w:rPr>
      </w:pPr>
      <w:r>
        <w:rPr>
          <w:rFonts w:ascii="Arial" w:hAnsi="Arial"/>
          <w:b/>
          <w:sz w:val="20"/>
          <w:szCs w:val="20"/>
        </w:rPr>
        <w:t xml:space="preserve">Selected top transactions | investments in Hamburg | 1st to 3rd quarters </w:t>
      </w:r>
      <w:r w:rsidR="0029547A">
        <w:rPr>
          <w:rFonts w:ascii="Arial" w:hAnsi="Arial"/>
          <w:b/>
          <w:sz w:val="20"/>
          <w:szCs w:val="20"/>
        </w:rPr>
        <w:t xml:space="preserve">of </w:t>
      </w:r>
      <w:r>
        <w:rPr>
          <w:rFonts w:ascii="Arial" w:hAnsi="Arial"/>
          <w:b/>
          <w:sz w:val="20"/>
          <w:szCs w:val="20"/>
        </w:rPr>
        <w:t>2020</w:t>
      </w:r>
    </w:p>
    <w:tbl>
      <w:tblPr>
        <w:tblStyle w:val="TableGrid1"/>
        <w:tblpPr w:leftFromText="141" w:rightFromText="141" w:vertAnchor="text" w:horzAnchor="margin" w:tblpY="61"/>
        <w:tblW w:w="10015" w:type="dxa"/>
        <w:tblLayout w:type="fixed"/>
        <w:tblLook w:val="04A0" w:firstRow="1" w:lastRow="0" w:firstColumn="1" w:lastColumn="0" w:noHBand="0" w:noVBand="1"/>
      </w:tblPr>
      <w:tblGrid>
        <w:gridCol w:w="2263"/>
        <w:gridCol w:w="1134"/>
        <w:gridCol w:w="1134"/>
        <w:gridCol w:w="2410"/>
        <w:gridCol w:w="1843"/>
        <w:gridCol w:w="1231"/>
      </w:tblGrid>
      <w:tr w:rsidR="0057685F" w:rsidRPr="006F49D0" w14:paraId="3881C746" w14:textId="77777777" w:rsidTr="00417259">
        <w:trPr>
          <w:trHeight w:val="567"/>
        </w:trPr>
        <w:tc>
          <w:tcPr>
            <w:tcW w:w="2263" w:type="dxa"/>
            <w:shd w:val="clear" w:color="auto" w:fill="1F242B" w:themeFill="accent2"/>
            <w:vAlign w:val="center"/>
          </w:tcPr>
          <w:p w14:paraId="2D3315CD" w14:textId="71BF6E52" w:rsidR="00713D81" w:rsidRDefault="00713D81" w:rsidP="00417259">
            <w:pPr>
              <w:spacing w:after="0"/>
              <w:jc w:val="center"/>
              <w:rPr>
                <w:rFonts w:ascii="Arial" w:hAnsi="Arial" w:cs="Arial"/>
                <w:b/>
                <w:sz w:val="18"/>
                <w:szCs w:val="16"/>
              </w:rPr>
            </w:pPr>
            <w:r>
              <w:rPr>
                <w:rFonts w:ascii="Arial" w:hAnsi="Arial"/>
                <w:b/>
                <w:sz w:val="18"/>
                <w:szCs w:val="16"/>
              </w:rPr>
              <w:t>Project/property</w:t>
            </w:r>
          </w:p>
          <w:p w14:paraId="1BD8284D" w14:textId="31FDC692" w:rsidR="00713D81" w:rsidRPr="00C626E7" w:rsidRDefault="00713D81" w:rsidP="00417259">
            <w:pPr>
              <w:spacing w:after="0"/>
              <w:jc w:val="center"/>
              <w:rPr>
                <w:rFonts w:ascii="Arial" w:hAnsi="Arial" w:cs="Arial"/>
                <w:b/>
                <w:sz w:val="18"/>
                <w:szCs w:val="16"/>
              </w:rPr>
            </w:pPr>
            <w:r>
              <w:rPr>
                <w:rFonts w:ascii="Arial" w:hAnsi="Arial"/>
                <w:b/>
                <w:sz w:val="18"/>
                <w:szCs w:val="16"/>
              </w:rPr>
              <w:t>Street no.</w:t>
            </w:r>
          </w:p>
        </w:tc>
        <w:tc>
          <w:tcPr>
            <w:tcW w:w="1134" w:type="dxa"/>
            <w:shd w:val="clear" w:color="auto" w:fill="1F242B" w:themeFill="accent2"/>
          </w:tcPr>
          <w:p w14:paraId="4E8EC8BF" w14:textId="3C547489" w:rsidR="00713D81" w:rsidRPr="009F10F1" w:rsidRDefault="00417259" w:rsidP="00417259">
            <w:pPr>
              <w:widowControl w:val="0"/>
              <w:spacing w:before="60" w:afterLines="60" w:after="144"/>
              <w:jc w:val="center"/>
              <w:rPr>
                <w:rFonts w:ascii="Arial" w:hAnsi="Arial" w:cs="Arial"/>
                <w:b/>
                <w:sz w:val="18"/>
                <w:szCs w:val="16"/>
              </w:rPr>
            </w:pPr>
            <w:r>
              <w:rPr>
                <w:rFonts w:ascii="Arial" w:hAnsi="Arial"/>
                <w:b/>
                <w:sz w:val="18"/>
                <w:szCs w:val="16"/>
              </w:rPr>
              <w:br/>
            </w:r>
            <w:r w:rsidR="00713D81">
              <w:rPr>
                <w:rFonts w:ascii="Arial" w:hAnsi="Arial"/>
                <w:b/>
                <w:sz w:val="18"/>
                <w:szCs w:val="16"/>
              </w:rPr>
              <w:t>Sub-market</w:t>
            </w:r>
          </w:p>
        </w:tc>
        <w:tc>
          <w:tcPr>
            <w:tcW w:w="1134" w:type="dxa"/>
            <w:shd w:val="clear" w:color="auto" w:fill="1F242B" w:themeFill="accent2"/>
          </w:tcPr>
          <w:p w14:paraId="56B818C2" w14:textId="0A9C0C06" w:rsidR="00713D81" w:rsidRPr="009F10F1" w:rsidRDefault="00417259" w:rsidP="00417259">
            <w:pPr>
              <w:widowControl w:val="0"/>
              <w:spacing w:before="60" w:afterLines="60" w:after="144"/>
              <w:jc w:val="center"/>
              <w:rPr>
                <w:rFonts w:ascii="Arial" w:hAnsi="Arial" w:cs="Arial"/>
                <w:b/>
                <w:sz w:val="18"/>
                <w:szCs w:val="16"/>
              </w:rPr>
            </w:pPr>
            <w:r>
              <w:rPr>
                <w:rFonts w:ascii="Arial" w:hAnsi="Arial"/>
                <w:b/>
                <w:sz w:val="18"/>
                <w:szCs w:val="16"/>
              </w:rPr>
              <w:br/>
            </w:r>
            <w:r w:rsidR="00713D81">
              <w:rPr>
                <w:rFonts w:ascii="Arial" w:hAnsi="Arial"/>
                <w:b/>
                <w:sz w:val="18"/>
                <w:szCs w:val="16"/>
              </w:rPr>
              <w:t>Asset class</w:t>
            </w:r>
          </w:p>
        </w:tc>
        <w:tc>
          <w:tcPr>
            <w:tcW w:w="2410" w:type="dxa"/>
            <w:shd w:val="clear" w:color="auto" w:fill="1F242B" w:themeFill="accent2"/>
            <w:vAlign w:val="center"/>
          </w:tcPr>
          <w:p w14:paraId="6F9AAE5A" w14:textId="4A2FFAB4" w:rsidR="00713D81" w:rsidRPr="00417259" w:rsidRDefault="00D0004A" w:rsidP="00417259">
            <w:pPr>
              <w:widowControl w:val="0"/>
              <w:spacing w:before="60" w:afterLines="60" w:after="144"/>
              <w:jc w:val="center"/>
              <w:rPr>
                <w:rFonts w:ascii="Arial" w:hAnsi="Arial"/>
                <w:b/>
                <w:sz w:val="18"/>
                <w:szCs w:val="16"/>
              </w:rPr>
            </w:pPr>
            <w:r>
              <w:rPr>
                <w:rFonts w:ascii="Arial" w:hAnsi="Arial"/>
                <w:b/>
                <w:sz w:val="18"/>
                <w:szCs w:val="16"/>
              </w:rPr>
              <w:t>Buyer/investor</w:t>
            </w:r>
          </w:p>
        </w:tc>
        <w:tc>
          <w:tcPr>
            <w:tcW w:w="1843" w:type="dxa"/>
            <w:shd w:val="clear" w:color="auto" w:fill="1F242B" w:themeFill="accent2"/>
            <w:vAlign w:val="center"/>
          </w:tcPr>
          <w:p w14:paraId="1C1FB7C5" w14:textId="59066FFC" w:rsidR="00713D81" w:rsidRPr="009F10F1" w:rsidRDefault="00713D81" w:rsidP="00417259">
            <w:pPr>
              <w:widowControl w:val="0"/>
              <w:spacing w:before="60" w:afterLines="60" w:after="144"/>
              <w:jc w:val="center"/>
              <w:rPr>
                <w:rFonts w:ascii="Arial" w:hAnsi="Arial" w:cs="Arial"/>
                <w:b/>
                <w:sz w:val="18"/>
                <w:szCs w:val="16"/>
              </w:rPr>
            </w:pPr>
            <w:r>
              <w:rPr>
                <w:rFonts w:ascii="Arial" w:hAnsi="Arial"/>
                <w:b/>
                <w:sz w:val="18"/>
                <w:szCs w:val="16"/>
              </w:rPr>
              <w:t>Vendor</w:t>
            </w:r>
          </w:p>
        </w:tc>
        <w:tc>
          <w:tcPr>
            <w:tcW w:w="1231" w:type="dxa"/>
            <w:shd w:val="clear" w:color="auto" w:fill="1F242B" w:themeFill="accent2"/>
            <w:vAlign w:val="center"/>
          </w:tcPr>
          <w:p w14:paraId="07D9CAD3" w14:textId="2B6CF9E5" w:rsidR="00713D81" w:rsidRPr="009F10F1" w:rsidRDefault="00713D81" w:rsidP="00417259">
            <w:pPr>
              <w:widowControl w:val="0"/>
              <w:spacing w:before="60" w:after="0"/>
              <w:jc w:val="center"/>
              <w:rPr>
                <w:rFonts w:ascii="Arial" w:hAnsi="Arial" w:cs="Arial"/>
                <w:b/>
                <w:sz w:val="18"/>
                <w:szCs w:val="16"/>
              </w:rPr>
            </w:pPr>
            <w:r>
              <w:rPr>
                <w:rFonts w:ascii="Arial" w:hAnsi="Arial"/>
                <w:b/>
                <w:sz w:val="18"/>
                <w:szCs w:val="16"/>
              </w:rPr>
              <w:t>Purchase price*</w:t>
            </w:r>
          </w:p>
          <w:p w14:paraId="4946B45A" w14:textId="1E52F7FD" w:rsidR="00713D81" w:rsidRPr="009F10F1" w:rsidRDefault="00713D81" w:rsidP="00417259">
            <w:pPr>
              <w:widowControl w:val="0"/>
              <w:spacing w:before="60" w:after="0"/>
              <w:jc w:val="center"/>
              <w:rPr>
                <w:rFonts w:ascii="Arial" w:hAnsi="Arial" w:cs="Arial"/>
                <w:b/>
                <w:sz w:val="18"/>
                <w:szCs w:val="16"/>
              </w:rPr>
            </w:pPr>
            <w:r>
              <w:rPr>
                <w:rFonts w:ascii="Arial" w:hAnsi="Arial"/>
                <w:sz w:val="18"/>
                <w:szCs w:val="16"/>
              </w:rPr>
              <w:t>[approx. €m]</w:t>
            </w:r>
          </w:p>
        </w:tc>
      </w:tr>
      <w:tr w:rsidR="00F2414C" w:rsidRPr="00F2414C" w14:paraId="536A5B8F" w14:textId="77777777" w:rsidTr="00417259">
        <w:trPr>
          <w:trHeight w:val="567"/>
        </w:trPr>
        <w:tc>
          <w:tcPr>
            <w:tcW w:w="2263" w:type="dxa"/>
            <w:shd w:val="clear" w:color="auto" w:fill="auto"/>
            <w:vAlign w:val="center"/>
          </w:tcPr>
          <w:p w14:paraId="61881AA3" w14:textId="596B855B" w:rsidR="006321DC" w:rsidRPr="005D3366" w:rsidRDefault="000623C0" w:rsidP="00CF2E86">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“Johann Kontor”, Klosterwall 6-8 </w:t>
            </w:r>
          </w:p>
        </w:tc>
        <w:tc>
          <w:tcPr>
            <w:tcW w:w="1134" w:type="dxa"/>
            <w:shd w:val="clear" w:color="auto" w:fill="auto"/>
            <w:vAlign w:val="center"/>
          </w:tcPr>
          <w:p w14:paraId="3D72BEE6" w14:textId="5F0353D5" w:rsidR="006321DC" w:rsidRPr="000B7D28" w:rsidRDefault="000623C0" w:rsidP="00797E4F">
            <w:pPr>
              <w:widowControl w:val="0"/>
              <w:spacing w:after="0"/>
              <w:rPr>
                <w:rFonts w:ascii="Arial" w:hAnsi="Arial" w:cs="Arial"/>
                <w:color w:val="000000" w:themeColor="text1"/>
                <w:sz w:val="18"/>
                <w:szCs w:val="18"/>
              </w:rPr>
            </w:pPr>
            <w:r>
              <w:rPr>
                <w:rFonts w:ascii="Arial" w:hAnsi="Arial"/>
                <w:color w:val="000000" w:themeColor="text1"/>
                <w:sz w:val="18"/>
                <w:szCs w:val="18"/>
              </w:rPr>
              <w:t>City</w:t>
            </w:r>
          </w:p>
        </w:tc>
        <w:tc>
          <w:tcPr>
            <w:tcW w:w="1134" w:type="dxa"/>
            <w:shd w:val="clear" w:color="auto" w:fill="auto"/>
            <w:vAlign w:val="center"/>
          </w:tcPr>
          <w:p w14:paraId="761255AB" w14:textId="32A9A9F6" w:rsidR="006321DC" w:rsidRPr="000B7D28" w:rsidRDefault="000623C0" w:rsidP="00797E4F">
            <w:pPr>
              <w:widowControl w:val="0"/>
              <w:spacing w:after="0"/>
              <w:rPr>
                <w:rFonts w:ascii="Arial" w:hAnsi="Arial" w:cs="Arial"/>
                <w:color w:val="000000" w:themeColor="text1"/>
                <w:sz w:val="18"/>
                <w:szCs w:val="18"/>
              </w:rPr>
            </w:pPr>
            <w:r>
              <w:rPr>
                <w:rFonts w:ascii="Arial" w:hAnsi="Arial"/>
                <w:color w:val="000000" w:themeColor="text1"/>
                <w:sz w:val="18"/>
                <w:szCs w:val="18"/>
              </w:rPr>
              <w:t>Mixed use</w:t>
            </w:r>
          </w:p>
        </w:tc>
        <w:tc>
          <w:tcPr>
            <w:tcW w:w="2410" w:type="dxa"/>
            <w:shd w:val="clear" w:color="auto" w:fill="auto"/>
            <w:vAlign w:val="center"/>
          </w:tcPr>
          <w:p w14:paraId="386D7257" w14:textId="1E52B92B" w:rsidR="006321DC" w:rsidRPr="000B7D28" w:rsidRDefault="00A81626" w:rsidP="008652FA">
            <w:pPr>
              <w:widowControl w:val="0"/>
              <w:spacing w:after="0"/>
              <w:rPr>
                <w:rFonts w:ascii="Arial" w:hAnsi="Arial" w:cs="Arial"/>
                <w:color w:val="000000" w:themeColor="text1"/>
                <w:sz w:val="18"/>
                <w:szCs w:val="18"/>
              </w:rPr>
            </w:pPr>
            <w:r>
              <w:rPr>
                <w:rFonts w:ascii="Arial" w:hAnsi="Arial"/>
                <w:sz w:val="18"/>
                <w:szCs w:val="18"/>
              </w:rPr>
              <w:t xml:space="preserve">Captiva / HanseMerkur / </w:t>
            </w:r>
            <w:r>
              <w:rPr>
                <w:rFonts w:ascii="Arial" w:hAnsi="Arial"/>
                <w:bCs/>
                <w:sz w:val="18"/>
                <w:szCs w:val="18"/>
              </w:rPr>
              <w:t>Aug. Prien Family Office</w:t>
            </w:r>
          </w:p>
        </w:tc>
        <w:tc>
          <w:tcPr>
            <w:tcW w:w="1843" w:type="dxa"/>
            <w:shd w:val="clear" w:color="auto" w:fill="auto"/>
            <w:vAlign w:val="center"/>
          </w:tcPr>
          <w:p w14:paraId="59C838C3" w14:textId="0A2B4C9D" w:rsidR="006321DC" w:rsidRPr="000B7D28" w:rsidRDefault="000623C0" w:rsidP="00CF2E86">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Aug. Prien </w:t>
            </w:r>
          </w:p>
        </w:tc>
        <w:tc>
          <w:tcPr>
            <w:tcW w:w="1231" w:type="dxa"/>
            <w:shd w:val="clear" w:color="auto" w:fill="auto"/>
            <w:vAlign w:val="center"/>
          </w:tcPr>
          <w:p w14:paraId="713683C7" w14:textId="3C86D22D" w:rsidR="006321DC" w:rsidRPr="000B7D28" w:rsidRDefault="0061138B" w:rsidP="00346814">
            <w:pPr>
              <w:widowControl w:val="0"/>
              <w:spacing w:after="0"/>
              <w:jc w:val="right"/>
              <w:rPr>
                <w:rFonts w:ascii="Arial" w:hAnsi="Arial" w:cs="Arial"/>
                <w:color w:val="000000" w:themeColor="text1"/>
                <w:sz w:val="18"/>
                <w:szCs w:val="18"/>
              </w:rPr>
            </w:pPr>
            <w:r>
              <w:rPr>
                <w:rFonts w:ascii="Arial" w:hAnsi="Arial"/>
                <w:color w:val="000000" w:themeColor="text1"/>
                <w:sz w:val="18"/>
                <w:szCs w:val="18"/>
              </w:rPr>
              <w:t>&gt; 300</w:t>
            </w:r>
          </w:p>
        </w:tc>
      </w:tr>
      <w:tr w:rsidR="00E007DD" w:rsidRPr="006F49D0" w14:paraId="7ED75F87" w14:textId="77777777" w:rsidTr="00417259">
        <w:trPr>
          <w:trHeight w:val="567"/>
        </w:trPr>
        <w:tc>
          <w:tcPr>
            <w:tcW w:w="2263" w:type="dxa"/>
            <w:shd w:val="clear" w:color="auto" w:fill="CECACE" w:themeFill="background2" w:themeFillShade="E6"/>
            <w:vAlign w:val="center"/>
          </w:tcPr>
          <w:p w14:paraId="23C7E9E3" w14:textId="17D28FF2" w:rsidR="00E007DD" w:rsidRPr="005842DB" w:rsidRDefault="00346814" w:rsidP="00417259">
            <w:pPr>
              <w:widowControl w:val="0"/>
              <w:spacing w:after="0"/>
              <w:rPr>
                <w:rFonts w:ascii="Arial" w:hAnsi="Arial" w:cs="Arial"/>
                <w:sz w:val="18"/>
                <w:szCs w:val="18"/>
                <w:lang w:val="de-DE"/>
              </w:rPr>
            </w:pPr>
            <w:r w:rsidRPr="005842DB">
              <w:rPr>
                <w:rFonts w:ascii="Arial" w:hAnsi="Arial"/>
                <w:sz w:val="18"/>
                <w:szCs w:val="18"/>
                <w:lang w:val="de-DE"/>
              </w:rPr>
              <w:t>Gruner + Jahr publishing house,</w:t>
            </w:r>
            <w:r w:rsidR="00417259">
              <w:rPr>
                <w:rFonts w:ascii="Arial" w:hAnsi="Arial"/>
                <w:sz w:val="18"/>
                <w:szCs w:val="18"/>
                <w:lang w:val="de-DE"/>
              </w:rPr>
              <w:t xml:space="preserve"> </w:t>
            </w:r>
            <w:r w:rsidRPr="005842DB">
              <w:rPr>
                <w:rFonts w:ascii="Arial" w:hAnsi="Arial"/>
                <w:sz w:val="18"/>
                <w:szCs w:val="18"/>
                <w:lang w:val="de-DE"/>
              </w:rPr>
              <w:t>Am Baumwall 11</w:t>
            </w:r>
          </w:p>
        </w:tc>
        <w:tc>
          <w:tcPr>
            <w:tcW w:w="1134" w:type="dxa"/>
            <w:shd w:val="clear" w:color="auto" w:fill="CECACE" w:themeFill="background2" w:themeFillShade="E6"/>
            <w:vAlign w:val="center"/>
          </w:tcPr>
          <w:p w14:paraId="476473DE" w14:textId="1615B41A" w:rsidR="00E007DD" w:rsidRPr="0061138B" w:rsidRDefault="005D3366" w:rsidP="00797E4F">
            <w:pPr>
              <w:widowControl w:val="0"/>
              <w:spacing w:after="0"/>
              <w:rPr>
                <w:rFonts w:ascii="Arial" w:hAnsi="Arial" w:cs="Arial"/>
                <w:sz w:val="18"/>
                <w:szCs w:val="18"/>
              </w:rPr>
            </w:pPr>
            <w:r>
              <w:rPr>
                <w:rFonts w:ascii="Arial" w:hAnsi="Arial"/>
                <w:sz w:val="18"/>
                <w:szCs w:val="18"/>
              </w:rPr>
              <w:t>City</w:t>
            </w:r>
          </w:p>
        </w:tc>
        <w:tc>
          <w:tcPr>
            <w:tcW w:w="1134" w:type="dxa"/>
            <w:shd w:val="clear" w:color="auto" w:fill="CECACE" w:themeFill="background2" w:themeFillShade="E6"/>
            <w:vAlign w:val="center"/>
          </w:tcPr>
          <w:p w14:paraId="73BDF3A5" w14:textId="3FC186D9" w:rsidR="00E007DD" w:rsidRPr="0061138B" w:rsidRDefault="005D3366" w:rsidP="00CC6FB9">
            <w:pPr>
              <w:widowControl w:val="0"/>
              <w:spacing w:after="0"/>
              <w:rPr>
                <w:rFonts w:ascii="Arial" w:hAnsi="Arial" w:cs="Arial"/>
                <w:sz w:val="18"/>
                <w:szCs w:val="18"/>
              </w:rPr>
            </w:pPr>
            <w:r>
              <w:rPr>
                <w:rFonts w:ascii="Arial" w:hAnsi="Arial"/>
                <w:sz w:val="18"/>
                <w:szCs w:val="18"/>
              </w:rPr>
              <w:t>Offices</w:t>
            </w:r>
          </w:p>
        </w:tc>
        <w:tc>
          <w:tcPr>
            <w:tcW w:w="2410" w:type="dxa"/>
            <w:shd w:val="clear" w:color="auto" w:fill="CECACE" w:themeFill="background2" w:themeFillShade="E6"/>
            <w:vAlign w:val="center"/>
          </w:tcPr>
          <w:p w14:paraId="593905A3" w14:textId="3F510891" w:rsidR="00E007DD" w:rsidRPr="0061138B" w:rsidRDefault="00FA44C3" w:rsidP="00FA44C3">
            <w:pPr>
              <w:widowControl w:val="0"/>
              <w:spacing w:after="0"/>
              <w:rPr>
                <w:rFonts w:ascii="Arial" w:hAnsi="Arial" w:cs="Arial"/>
                <w:sz w:val="18"/>
                <w:szCs w:val="18"/>
              </w:rPr>
            </w:pPr>
            <w:r>
              <w:rPr>
                <w:rFonts w:ascii="Arial" w:hAnsi="Arial"/>
                <w:sz w:val="18"/>
                <w:szCs w:val="18"/>
              </w:rPr>
              <w:t xml:space="preserve">Tishman Speyer </w:t>
            </w:r>
          </w:p>
        </w:tc>
        <w:tc>
          <w:tcPr>
            <w:tcW w:w="1843" w:type="dxa"/>
            <w:shd w:val="clear" w:color="auto" w:fill="CECACE" w:themeFill="background2" w:themeFillShade="E6"/>
            <w:vAlign w:val="center"/>
          </w:tcPr>
          <w:p w14:paraId="7B9A326D" w14:textId="05635854" w:rsidR="00E007DD" w:rsidRPr="0061138B" w:rsidRDefault="00FA44C3" w:rsidP="00FA44C3">
            <w:pPr>
              <w:widowControl w:val="0"/>
              <w:spacing w:after="0"/>
              <w:rPr>
                <w:rFonts w:ascii="Arial" w:hAnsi="Arial" w:cs="Arial"/>
                <w:sz w:val="18"/>
                <w:szCs w:val="18"/>
              </w:rPr>
            </w:pPr>
            <w:r>
              <w:rPr>
                <w:rFonts w:ascii="Arial" w:hAnsi="Arial"/>
                <w:sz w:val="18"/>
                <w:szCs w:val="18"/>
              </w:rPr>
              <w:t xml:space="preserve">Gruner + Jahr </w:t>
            </w:r>
          </w:p>
        </w:tc>
        <w:tc>
          <w:tcPr>
            <w:tcW w:w="1231" w:type="dxa"/>
            <w:shd w:val="clear" w:color="auto" w:fill="CECACE" w:themeFill="background2" w:themeFillShade="E6"/>
            <w:vAlign w:val="center"/>
          </w:tcPr>
          <w:p w14:paraId="658D753C" w14:textId="7439C907" w:rsidR="00E007DD" w:rsidRPr="0061138B" w:rsidRDefault="00A77745" w:rsidP="00A77745">
            <w:pPr>
              <w:widowControl w:val="0"/>
              <w:spacing w:after="0"/>
              <w:jc w:val="right"/>
              <w:rPr>
                <w:rFonts w:ascii="Arial" w:hAnsi="Arial" w:cs="Arial"/>
                <w:sz w:val="18"/>
                <w:szCs w:val="18"/>
              </w:rPr>
            </w:pPr>
            <w:r>
              <w:rPr>
                <w:rFonts w:ascii="Arial" w:hAnsi="Arial"/>
                <w:sz w:val="18"/>
                <w:szCs w:val="18"/>
              </w:rPr>
              <w:t>300</w:t>
            </w:r>
          </w:p>
        </w:tc>
      </w:tr>
      <w:tr w:rsidR="00CF2E86" w:rsidRPr="006F49D0" w14:paraId="0B564638" w14:textId="77777777" w:rsidTr="00417259">
        <w:trPr>
          <w:trHeight w:val="567"/>
        </w:trPr>
        <w:tc>
          <w:tcPr>
            <w:tcW w:w="2263" w:type="dxa"/>
            <w:shd w:val="clear" w:color="auto" w:fill="CECACE" w:themeFill="background2" w:themeFillShade="E6"/>
            <w:vAlign w:val="center"/>
          </w:tcPr>
          <w:p w14:paraId="0E6078DB" w14:textId="75AEA6D5" w:rsidR="00CF2E86" w:rsidRPr="000B7D28" w:rsidRDefault="00ED0872" w:rsidP="00CF2E86">
            <w:pPr>
              <w:widowControl w:val="0"/>
              <w:spacing w:after="0"/>
              <w:rPr>
                <w:rFonts w:ascii="Arial" w:hAnsi="Arial" w:cs="Arial"/>
                <w:sz w:val="18"/>
                <w:szCs w:val="18"/>
              </w:rPr>
            </w:pPr>
            <w:r>
              <w:rPr>
                <w:rFonts w:ascii="Arial" w:hAnsi="Arial"/>
                <w:sz w:val="18"/>
                <w:szCs w:val="18"/>
              </w:rPr>
              <w:t>“Karstadt”, Mönckebergstrasse 16</w:t>
            </w:r>
          </w:p>
        </w:tc>
        <w:tc>
          <w:tcPr>
            <w:tcW w:w="1134" w:type="dxa"/>
            <w:shd w:val="clear" w:color="auto" w:fill="CECACE" w:themeFill="background2" w:themeFillShade="E6"/>
            <w:vAlign w:val="center"/>
          </w:tcPr>
          <w:p w14:paraId="26092AC0" w14:textId="7C159DF9" w:rsidR="00CF2E86" w:rsidRPr="000B7D28" w:rsidRDefault="00ED0872" w:rsidP="00CF2E86">
            <w:pPr>
              <w:widowControl w:val="0"/>
              <w:spacing w:after="0"/>
              <w:rPr>
                <w:rFonts w:ascii="Arial" w:hAnsi="Arial" w:cs="Arial"/>
                <w:sz w:val="18"/>
                <w:szCs w:val="18"/>
              </w:rPr>
            </w:pPr>
            <w:r>
              <w:rPr>
                <w:rFonts w:ascii="Arial" w:hAnsi="Arial"/>
                <w:sz w:val="18"/>
                <w:szCs w:val="18"/>
              </w:rPr>
              <w:t>City</w:t>
            </w:r>
          </w:p>
        </w:tc>
        <w:tc>
          <w:tcPr>
            <w:tcW w:w="1134" w:type="dxa"/>
            <w:shd w:val="clear" w:color="auto" w:fill="CECACE" w:themeFill="background2" w:themeFillShade="E6"/>
            <w:vAlign w:val="center"/>
          </w:tcPr>
          <w:p w14:paraId="48B9BC46" w14:textId="530D23B5" w:rsidR="00CF2E86" w:rsidRPr="000B7D28" w:rsidRDefault="00ED0872" w:rsidP="00CF2E86">
            <w:pPr>
              <w:widowControl w:val="0"/>
              <w:spacing w:after="0"/>
              <w:rPr>
                <w:rFonts w:ascii="Arial" w:hAnsi="Arial" w:cs="Arial"/>
                <w:sz w:val="18"/>
                <w:szCs w:val="18"/>
              </w:rPr>
            </w:pPr>
            <w:r>
              <w:rPr>
                <w:rFonts w:ascii="Arial" w:hAnsi="Arial"/>
                <w:sz w:val="18"/>
                <w:szCs w:val="18"/>
              </w:rPr>
              <w:t>Retail</w:t>
            </w:r>
          </w:p>
        </w:tc>
        <w:tc>
          <w:tcPr>
            <w:tcW w:w="2410" w:type="dxa"/>
            <w:shd w:val="clear" w:color="auto" w:fill="CECACE" w:themeFill="background2" w:themeFillShade="E6"/>
            <w:vAlign w:val="center"/>
          </w:tcPr>
          <w:p w14:paraId="1878AFEF" w14:textId="099D2B18" w:rsidR="00CF2E86" w:rsidRPr="000B7D28" w:rsidRDefault="00ED0872" w:rsidP="00CF2E86">
            <w:pPr>
              <w:widowControl w:val="0"/>
              <w:spacing w:after="0"/>
              <w:rPr>
                <w:rFonts w:ascii="Arial" w:hAnsi="Arial" w:cs="Arial"/>
                <w:sz w:val="18"/>
                <w:szCs w:val="18"/>
              </w:rPr>
            </w:pPr>
            <w:r>
              <w:rPr>
                <w:rFonts w:ascii="Arial" w:hAnsi="Arial"/>
                <w:sz w:val="18"/>
                <w:szCs w:val="18"/>
              </w:rPr>
              <w:t>Signa Holding</w:t>
            </w:r>
          </w:p>
        </w:tc>
        <w:tc>
          <w:tcPr>
            <w:tcW w:w="1843" w:type="dxa"/>
            <w:shd w:val="clear" w:color="auto" w:fill="CECACE" w:themeFill="background2" w:themeFillShade="E6"/>
            <w:vAlign w:val="center"/>
          </w:tcPr>
          <w:p w14:paraId="690229E1" w14:textId="3B5884EB" w:rsidR="00CF2E86" w:rsidRPr="000B7D28" w:rsidRDefault="00ED0872" w:rsidP="00ED0872">
            <w:pPr>
              <w:widowControl w:val="0"/>
              <w:spacing w:after="0"/>
              <w:rPr>
                <w:rFonts w:ascii="Arial" w:hAnsi="Arial" w:cs="Arial"/>
                <w:sz w:val="18"/>
                <w:szCs w:val="18"/>
              </w:rPr>
            </w:pPr>
            <w:r>
              <w:rPr>
                <w:rFonts w:ascii="Arial" w:hAnsi="Arial"/>
                <w:sz w:val="18"/>
                <w:szCs w:val="18"/>
              </w:rPr>
              <w:t xml:space="preserve">Quantum Immobilien </w:t>
            </w:r>
          </w:p>
        </w:tc>
        <w:tc>
          <w:tcPr>
            <w:tcW w:w="1231" w:type="dxa"/>
            <w:shd w:val="clear" w:color="auto" w:fill="CECACE" w:themeFill="background2" w:themeFillShade="E6"/>
            <w:vAlign w:val="center"/>
          </w:tcPr>
          <w:p w14:paraId="130D9693" w14:textId="2D3A3EA2" w:rsidR="00CF2E86" w:rsidRPr="000B7D28" w:rsidRDefault="00B4411F" w:rsidP="00CF2E86">
            <w:pPr>
              <w:widowControl w:val="0"/>
              <w:spacing w:after="0"/>
              <w:jc w:val="right"/>
              <w:rPr>
                <w:rFonts w:ascii="Arial" w:hAnsi="Arial" w:cs="Arial"/>
                <w:sz w:val="18"/>
                <w:szCs w:val="18"/>
              </w:rPr>
            </w:pPr>
            <w:r>
              <w:rPr>
                <w:rFonts w:ascii="Arial" w:hAnsi="Arial"/>
                <w:sz w:val="18"/>
                <w:szCs w:val="18"/>
              </w:rPr>
              <w:t>260</w:t>
            </w:r>
          </w:p>
        </w:tc>
      </w:tr>
      <w:tr w:rsidR="00ED0872" w:rsidRPr="00F4684B" w14:paraId="451329F1" w14:textId="77777777" w:rsidTr="00417259">
        <w:trPr>
          <w:trHeight w:val="567"/>
        </w:trPr>
        <w:tc>
          <w:tcPr>
            <w:tcW w:w="2263" w:type="dxa"/>
            <w:tcBorders>
              <w:bottom w:val="single" w:sz="4" w:space="0" w:color="auto"/>
            </w:tcBorders>
            <w:shd w:val="clear" w:color="auto" w:fill="auto"/>
            <w:vAlign w:val="center"/>
          </w:tcPr>
          <w:p w14:paraId="6659F312" w14:textId="697AF52B" w:rsidR="00ED0872" w:rsidRPr="000B7D28" w:rsidRDefault="00ED0872" w:rsidP="00ED0872">
            <w:pPr>
              <w:widowControl w:val="0"/>
              <w:spacing w:after="0"/>
              <w:rPr>
                <w:rFonts w:ascii="Arial" w:hAnsi="Arial" w:cs="Arial"/>
                <w:sz w:val="18"/>
                <w:szCs w:val="18"/>
              </w:rPr>
            </w:pPr>
            <w:r>
              <w:rPr>
                <w:rFonts w:ascii="Arial" w:hAnsi="Arial"/>
                <w:sz w:val="18"/>
                <w:szCs w:val="18"/>
              </w:rPr>
              <w:t>“Ericus-Contor”, Ericusspitze 2-4</w:t>
            </w:r>
          </w:p>
        </w:tc>
        <w:tc>
          <w:tcPr>
            <w:tcW w:w="1134" w:type="dxa"/>
            <w:tcBorders>
              <w:bottom w:val="single" w:sz="4" w:space="0" w:color="auto"/>
            </w:tcBorders>
            <w:shd w:val="clear" w:color="auto" w:fill="auto"/>
            <w:vAlign w:val="center"/>
          </w:tcPr>
          <w:p w14:paraId="23CEE417" w14:textId="33F5A249" w:rsidR="00ED0872" w:rsidRPr="000B7D28" w:rsidRDefault="00ED0872" w:rsidP="00ED0872">
            <w:pPr>
              <w:widowControl w:val="0"/>
              <w:spacing w:after="0"/>
              <w:rPr>
                <w:rFonts w:ascii="Arial" w:hAnsi="Arial" w:cs="Arial"/>
                <w:sz w:val="18"/>
                <w:szCs w:val="18"/>
              </w:rPr>
            </w:pPr>
            <w:r>
              <w:rPr>
                <w:rFonts w:ascii="Arial" w:hAnsi="Arial"/>
                <w:sz w:val="18"/>
                <w:szCs w:val="18"/>
              </w:rPr>
              <w:t>HafenCity</w:t>
            </w:r>
          </w:p>
        </w:tc>
        <w:tc>
          <w:tcPr>
            <w:tcW w:w="1134" w:type="dxa"/>
            <w:tcBorders>
              <w:bottom w:val="single" w:sz="4" w:space="0" w:color="auto"/>
            </w:tcBorders>
            <w:shd w:val="clear" w:color="auto" w:fill="auto"/>
            <w:vAlign w:val="center"/>
          </w:tcPr>
          <w:p w14:paraId="53110512" w14:textId="18DC6D03" w:rsidR="00ED0872" w:rsidRPr="000B7D28" w:rsidRDefault="00ED0872" w:rsidP="00ED0872">
            <w:pPr>
              <w:widowControl w:val="0"/>
              <w:spacing w:after="0"/>
              <w:rPr>
                <w:rFonts w:ascii="Arial" w:hAnsi="Arial" w:cs="Arial"/>
                <w:sz w:val="18"/>
                <w:szCs w:val="18"/>
              </w:rPr>
            </w:pPr>
            <w:r>
              <w:rPr>
                <w:rFonts w:ascii="Arial" w:hAnsi="Arial"/>
                <w:sz w:val="18"/>
                <w:szCs w:val="18"/>
              </w:rPr>
              <w:t>Offices</w:t>
            </w:r>
          </w:p>
        </w:tc>
        <w:tc>
          <w:tcPr>
            <w:tcW w:w="2410" w:type="dxa"/>
            <w:tcBorders>
              <w:bottom w:val="single" w:sz="4" w:space="0" w:color="auto"/>
            </w:tcBorders>
            <w:shd w:val="clear" w:color="auto" w:fill="auto"/>
            <w:vAlign w:val="center"/>
          </w:tcPr>
          <w:p w14:paraId="4EFC5EA7" w14:textId="48E7E1D0" w:rsidR="00ED0872" w:rsidRPr="000B7D28" w:rsidRDefault="00ED0872" w:rsidP="00ED0872">
            <w:pPr>
              <w:spacing w:after="0"/>
              <w:rPr>
                <w:rFonts w:ascii="Arial" w:hAnsi="Arial" w:cs="Arial"/>
                <w:color w:val="000000"/>
                <w:sz w:val="18"/>
                <w:szCs w:val="18"/>
              </w:rPr>
            </w:pPr>
            <w:r>
              <w:rPr>
                <w:rFonts w:ascii="Arial" w:hAnsi="Arial"/>
                <w:sz w:val="18"/>
                <w:szCs w:val="18"/>
              </w:rPr>
              <w:t>Union Investment.</w:t>
            </w:r>
          </w:p>
        </w:tc>
        <w:tc>
          <w:tcPr>
            <w:tcW w:w="1843" w:type="dxa"/>
            <w:tcBorders>
              <w:bottom w:val="single" w:sz="4" w:space="0" w:color="auto"/>
            </w:tcBorders>
            <w:shd w:val="clear" w:color="auto" w:fill="auto"/>
            <w:vAlign w:val="center"/>
          </w:tcPr>
          <w:p w14:paraId="42C801B6" w14:textId="40035433" w:rsidR="00ED0872" w:rsidRPr="000B7D28" w:rsidRDefault="00ED0872" w:rsidP="00ED0872">
            <w:pPr>
              <w:widowControl w:val="0"/>
              <w:spacing w:after="0"/>
              <w:rPr>
                <w:rFonts w:ascii="Arial" w:hAnsi="Arial" w:cs="Arial"/>
                <w:sz w:val="18"/>
                <w:szCs w:val="18"/>
              </w:rPr>
            </w:pPr>
            <w:r>
              <w:rPr>
                <w:rFonts w:ascii="Arial" w:hAnsi="Arial"/>
                <w:sz w:val="18"/>
                <w:szCs w:val="18"/>
              </w:rPr>
              <w:t>Patrizia</w:t>
            </w:r>
          </w:p>
        </w:tc>
        <w:tc>
          <w:tcPr>
            <w:tcW w:w="1231" w:type="dxa"/>
            <w:tcBorders>
              <w:bottom w:val="single" w:sz="4" w:space="0" w:color="auto"/>
            </w:tcBorders>
            <w:shd w:val="clear" w:color="auto" w:fill="auto"/>
            <w:vAlign w:val="center"/>
          </w:tcPr>
          <w:p w14:paraId="0DF6832E" w14:textId="5AC208F5" w:rsidR="00ED0872" w:rsidRPr="000B7D28" w:rsidRDefault="00ED0872" w:rsidP="00ED0872">
            <w:pPr>
              <w:widowControl w:val="0"/>
              <w:spacing w:after="0"/>
              <w:jc w:val="right"/>
              <w:rPr>
                <w:rFonts w:ascii="Arial" w:hAnsi="Arial" w:cs="Arial"/>
                <w:sz w:val="18"/>
                <w:szCs w:val="18"/>
              </w:rPr>
            </w:pPr>
            <w:r>
              <w:rPr>
                <w:rFonts w:ascii="Arial" w:hAnsi="Arial"/>
                <w:sz w:val="18"/>
                <w:szCs w:val="18"/>
              </w:rPr>
              <w:t>184</w:t>
            </w:r>
          </w:p>
        </w:tc>
      </w:tr>
    </w:tbl>
    <w:p w14:paraId="0101C8CA" w14:textId="23468CD7" w:rsidR="007C0ABB" w:rsidRDefault="007C0ABB" w:rsidP="007C0ABB">
      <w:pPr>
        <w:widowControl w:val="0"/>
        <w:spacing w:after="0"/>
        <w:rPr>
          <w:rFonts w:ascii="Arial" w:hAnsi="Arial" w:cs="Arial"/>
          <w:sz w:val="16"/>
          <w:szCs w:val="16"/>
        </w:rPr>
      </w:pPr>
      <w:r>
        <w:rPr>
          <w:rFonts w:ascii="Arial" w:hAnsi="Arial"/>
          <w:sz w:val="16"/>
          <w:szCs w:val="16"/>
        </w:rPr>
        <w:t>*The purchase prices stated are based on publicly available data, where none is available an estimate is made; transactions occurring in the quarter dealt with</w:t>
      </w:r>
      <w:r w:rsidR="005842DB">
        <w:rPr>
          <w:rFonts w:ascii="Arial" w:hAnsi="Arial"/>
          <w:sz w:val="16"/>
          <w:szCs w:val="16"/>
        </w:rPr>
        <w:t xml:space="preserve"> in this report are highlighted</w:t>
      </w:r>
    </w:p>
    <w:p w14:paraId="06A84312" w14:textId="77777777" w:rsidR="00713D81" w:rsidRDefault="00713D81" w:rsidP="005842DB">
      <w:pPr>
        <w:spacing w:after="0" w:line="360" w:lineRule="auto"/>
        <w:rPr>
          <w:rFonts w:ascii="Arial" w:eastAsia="Arial" w:hAnsi="Arial" w:cs="Arial"/>
          <w:color w:val="000000" w:themeColor="text1"/>
          <w:sz w:val="20"/>
          <w:szCs w:val="20"/>
        </w:rPr>
      </w:pPr>
    </w:p>
    <w:p w14:paraId="1CB225B7" w14:textId="475AF0CC" w:rsidR="00897DBE" w:rsidRPr="00897DBE" w:rsidRDefault="00FC40F0" w:rsidP="005842DB">
      <w:pPr>
        <w:spacing w:after="0" w:line="360" w:lineRule="auto"/>
        <w:rPr>
          <w:rFonts w:ascii="Arial" w:hAnsi="Arial" w:cs="Arial"/>
          <w:sz w:val="20"/>
          <w:szCs w:val="20"/>
        </w:rPr>
      </w:pPr>
      <w:r>
        <w:rPr>
          <w:rFonts w:ascii="Arial" w:hAnsi="Arial"/>
          <w:color w:val="000000" w:themeColor="text1"/>
          <w:sz w:val="20"/>
          <w:szCs w:val="20"/>
        </w:rPr>
        <w:t xml:space="preserve">The complete </w:t>
      </w:r>
      <w:r>
        <w:rPr>
          <w:rFonts w:ascii="Arial" w:hAnsi="Arial"/>
          <w:sz w:val="20"/>
          <w:szCs w:val="20"/>
        </w:rPr>
        <w:t>market survey</w:t>
      </w:r>
      <w:r>
        <w:rPr>
          <w:rFonts w:ascii="Arial" w:hAnsi="Arial"/>
          <w:color w:val="000000" w:themeColor="text1"/>
          <w:sz w:val="20"/>
          <w:szCs w:val="20"/>
        </w:rPr>
        <w:t xml:space="preserve"> will soon be available and can be downloaded from our </w:t>
      </w:r>
      <w:hyperlink r:id="rId9" w:history="1">
        <w:r w:rsidR="005842DB">
          <w:rPr>
            <w:rStyle w:val="Hyperlink"/>
            <w:rFonts w:ascii="Arial" w:hAnsi="Arial"/>
            <w:sz w:val="20"/>
            <w:szCs w:val="20"/>
          </w:rPr>
          <w:t>w</w:t>
        </w:r>
        <w:r>
          <w:rPr>
            <w:rStyle w:val="Hyperlink"/>
            <w:rFonts w:ascii="Arial" w:hAnsi="Arial"/>
            <w:sz w:val="20"/>
            <w:szCs w:val="20"/>
          </w:rPr>
          <w:t>ebsite</w:t>
        </w:r>
      </w:hyperlink>
      <w:r>
        <w:rPr>
          <w:rFonts w:ascii="Arial" w:hAnsi="Arial"/>
          <w:color w:val="000000" w:themeColor="text1"/>
          <w:sz w:val="20"/>
          <w:szCs w:val="20"/>
        </w:rPr>
        <w:t>.</w:t>
      </w:r>
    </w:p>
    <w:p w14:paraId="51C1AA4D" w14:textId="23D05B49" w:rsidR="00046FEC" w:rsidRDefault="00046FEC" w:rsidP="005842DB">
      <w:pPr>
        <w:spacing w:after="0" w:line="360" w:lineRule="auto"/>
        <w:rPr>
          <w:rFonts w:ascii="Arial" w:hAnsi="Arial" w:cs="Arial"/>
          <w:sz w:val="16"/>
          <w:szCs w:val="16"/>
        </w:rPr>
      </w:pPr>
    </w:p>
    <w:p w14:paraId="67CB0AA0" w14:textId="77777777" w:rsidR="002B0F0D" w:rsidRPr="0090748B" w:rsidRDefault="002B0F0D" w:rsidP="005842DB">
      <w:pPr>
        <w:spacing w:after="0" w:line="360" w:lineRule="auto"/>
        <w:rPr>
          <w:rFonts w:ascii="Arial" w:hAnsi="Arial" w:cs="Arial"/>
          <w:b/>
          <w:sz w:val="16"/>
          <w:szCs w:val="16"/>
        </w:rPr>
      </w:pPr>
      <w:r>
        <w:rPr>
          <w:rFonts w:ascii="Arial" w:hAnsi="Arial"/>
          <w:b/>
          <w:sz w:val="16"/>
          <w:szCs w:val="16"/>
        </w:rPr>
        <w:t>About Grossmann &amp; Berger</w:t>
      </w:r>
    </w:p>
    <w:p w14:paraId="4ABAC92F" w14:textId="69924CA2" w:rsidR="002B0F0D" w:rsidRPr="00583E25" w:rsidRDefault="00506BD9" w:rsidP="005842DB">
      <w:pPr>
        <w:spacing w:after="0" w:line="360" w:lineRule="auto"/>
        <w:rPr>
          <w:rFonts w:ascii="Arial" w:hAnsi="Arial" w:cs="Arial"/>
          <w:snapToGrid w:val="0"/>
          <w:sz w:val="16"/>
          <w:szCs w:val="16"/>
        </w:rPr>
      </w:pPr>
      <w:hyperlink r:id="rId10" w:history="1">
        <w:r w:rsidR="002B0F0D" w:rsidRPr="001C7392">
          <w:rPr>
            <w:rStyle w:val="Hyperlink"/>
            <w:rFonts w:ascii="Arial" w:hAnsi="Arial" w:cs="Arial"/>
            <w:snapToGrid w:val="0"/>
            <w:sz w:val="16"/>
            <w:szCs w:val="16"/>
          </w:rPr>
          <w:t>Grossmann &amp; Berger GmbH</w:t>
        </w:r>
      </w:hyperlink>
      <w:r w:rsidR="002B0F0D" w:rsidRPr="001C7392">
        <w:rPr>
          <w:rFonts w:ascii="Arial" w:hAnsi="Arial" w:cs="Arial"/>
          <w:snapToGrid w:val="0"/>
          <w:sz w:val="16"/>
          <w:szCs w:val="16"/>
        </w:rPr>
        <w:t xml:space="preserve"> is one of the leading service providers for selling and letting commercial and residential properties in North Germany. </w:t>
      </w:r>
      <w:r>
        <w:rPr>
          <w:rFonts w:ascii="Arial" w:hAnsi="Arial"/>
          <w:snapToGrid w:val="0"/>
          <w:sz w:val="16"/>
          <w:szCs w:val="16"/>
        </w:rPr>
        <w:t>Headquartered in Hamburg, the c</w:t>
      </w:r>
      <w:r w:rsidR="002B0F0D">
        <w:rPr>
          <w:rFonts w:ascii="Arial" w:hAnsi="Arial"/>
          <w:snapToGrid w:val="0"/>
          <w:sz w:val="16"/>
          <w:szCs w:val="16"/>
        </w:rPr>
        <w:t xml:space="preserve">ompany has a branch office in Berlin, a total of fourteen property shops, and over 190 employees who cover the entire North German market. With over 85 years of experience in the business, Grossmann &amp; Berger offers a complete package of real estate expertise. </w:t>
      </w:r>
      <w:r w:rsidR="002B0F0D">
        <w:rPr>
          <w:rFonts w:ascii="Arial" w:hAnsi="Arial"/>
          <w:sz w:val="16"/>
          <w:szCs w:val="16"/>
        </w:rPr>
        <w:t>Grossmann &amp; Berger is</w:t>
      </w:r>
      <w:r>
        <w:rPr>
          <w:rFonts w:ascii="Arial" w:hAnsi="Arial"/>
          <w:sz w:val="16"/>
          <w:szCs w:val="16"/>
        </w:rPr>
        <w:t xml:space="preserve"> a member of the HASPA Group</w:t>
      </w:r>
      <w:r w:rsidR="002B0F0D">
        <w:rPr>
          <w:rFonts w:ascii="Arial" w:hAnsi="Arial"/>
          <w:sz w:val="16"/>
          <w:szCs w:val="16"/>
        </w:rPr>
        <w:t>, which also includes Germany's largest savings bank, Hamburger Sparkasse (Haspa). Moreover</w:t>
      </w:r>
      <w:r w:rsidR="001C7392">
        <w:rPr>
          <w:rFonts w:ascii="Arial" w:hAnsi="Arial"/>
          <w:sz w:val="16"/>
          <w:szCs w:val="16"/>
        </w:rPr>
        <w:t>,</w:t>
      </w:r>
      <w:r>
        <w:rPr>
          <w:rFonts w:ascii="Arial" w:hAnsi="Arial"/>
          <w:sz w:val="16"/>
          <w:szCs w:val="16"/>
        </w:rPr>
        <w:t xml:space="preserve"> the c</w:t>
      </w:r>
      <w:r w:rsidR="002B0F0D">
        <w:rPr>
          <w:rFonts w:ascii="Arial" w:hAnsi="Arial"/>
          <w:sz w:val="16"/>
          <w:szCs w:val="16"/>
        </w:rPr>
        <w:t xml:space="preserve">ompany is a founding member of the nation-wide commercial property network </w:t>
      </w:r>
      <w:hyperlink r:id="rId11" w:history="1">
        <w:r w:rsidR="002B0F0D">
          <w:rPr>
            <w:rStyle w:val="Hyperlink"/>
            <w:rFonts w:ascii="Arial" w:hAnsi="Arial"/>
            <w:sz w:val="16"/>
            <w:szCs w:val="16"/>
          </w:rPr>
          <w:t>German Property Partners</w:t>
        </w:r>
      </w:hyperlink>
      <w:r w:rsidR="002B0F0D">
        <w:rPr>
          <w:rFonts w:ascii="Arial" w:hAnsi="Arial"/>
          <w:sz w:val="16"/>
          <w:szCs w:val="16"/>
        </w:rPr>
        <w:t xml:space="preserve"> (GPP) and the working group of brokers associated with banks and building societies, Arbeitsgemeinschaft ImmobilienVermittler Banken Bausparkassen e.V. (IVBB).</w:t>
      </w:r>
      <w:r w:rsidR="002B0F0D">
        <w:rPr>
          <w:rFonts w:ascii="Arial" w:hAnsi="Arial"/>
          <w:snapToGrid w:val="0"/>
          <w:sz w:val="16"/>
          <w:szCs w:val="16"/>
        </w:rPr>
        <w:t xml:space="preserve"> </w:t>
      </w:r>
    </w:p>
    <w:p w14:paraId="7AC4E6FD" w14:textId="77777777" w:rsidR="002B0F0D" w:rsidRPr="00583E25" w:rsidRDefault="002B0F0D" w:rsidP="005842DB">
      <w:pPr>
        <w:spacing w:after="0" w:line="360" w:lineRule="auto"/>
        <w:rPr>
          <w:rFonts w:ascii="Arial" w:hAnsi="Arial" w:cs="Arial"/>
          <w:sz w:val="16"/>
          <w:szCs w:val="16"/>
        </w:rPr>
      </w:pPr>
    </w:p>
    <w:p w14:paraId="483E5564" w14:textId="6A9D7ACE" w:rsidR="002B0F0D" w:rsidRPr="008E51AD" w:rsidRDefault="002B0F0D" w:rsidP="005842DB">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2" w:history="1">
        <w:r>
          <w:rPr>
            <w:rStyle w:val="Hyperlink"/>
            <w:rFonts w:ascii="Arial" w:hAnsi="Arial"/>
            <w:sz w:val="16"/>
            <w:szCs w:val="16"/>
          </w:rPr>
          <w:t xml:space="preserve"> data privacy policy</w:t>
        </w:r>
        <w:r w:rsidRPr="00506BD9">
          <w:rPr>
            <w:rStyle w:val="Hyperlink"/>
            <w:rFonts w:ascii="Arial" w:hAnsi="Arial"/>
            <w:sz w:val="16"/>
            <w:szCs w:val="16"/>
            <w:u w:val="none"/>
          </w:rPr>
          <w:t>.</w:t>
        </w:r>
      </w:hyperlink>
      <w:r w:rsidR="00506BD9">
        <w:rPr>
          <w:rFonts w:ascii="Arial" w:hAnsi="Arial"/>
          <w:sz w:val="16"/>
          <w:szCs w:val="16"/>
        </w:rPr>
        <w:t xml:space="preserve"> </w:t>
      </w:r>
      <w:r>
        <w:rPr>
          <w:rFonts w:ascii="Arial" w:hAnsi="Arial"/>
          <w:sz w:val="16"/>
          <w:szCs w:val="16"/>
        </w:rPr>
        <w:t xml:space="preserve">Here you </w:t>
      </w:r>
      <w:r w:rsidR="00506BD9">
        <w:rPr>
          <w:rFonts w:ascii="Arial" w:hAnsi="Arial"/>
          <w:sz w:val="16"/>
          <w:szCs w:val="16"/>
        </w:rPr>
        <w:t>will also be able to access our</w:t>
      </w:r>
      <w:bookmarkStart w:id="0" w:name="_GoBack"/>
      <w:bookmarkEnd w:id="0"/>
      <w:r w:rsidR="00506BD9">
        <w:fldChar w:fldCharType="begin"/>
      </w:r>
      <w:r w:rsidR="00506BD9">
        <w:instrText xml:space="preserve"> HYPERLINK "https://www.grossmann-berger.de/news/pressemappe/" </w:instrText>
      </w:r>
      <w:r w:rsidR="00506BD9">
        <w:fldChar w:fldCharType="separate"/>
      </w:r>
      <w:r w:rsidRPr="00506BD9">
        <w:rPr>
          <w:rStyle w:val="Hyperlink"/>
          <w:rFonts w:ascii="Arial" w:hAnsi="Arial"/>
          <w:sz w:val="16"/>
          <w:szCs w:val="16"/>
          <w:u w:val="none"/>
        </w:rPr>
        <w:t xml:space="preserve"> </w:t>
      </w:r>
      <w:r>
        <w:rPr>
          <w:rStyle w:val="Hyperlink"/>
          <w:rFonts w:ascii="Arial" w:hAnsi="Arial"/>
          <w:sz w:val="16"/>
          <w:szCs w:val="16"/>
        </w:rPr>
        <w:t xml:space="preserve">press kit </w:t>
      </w:r>
      <w:r w:rsidR="00506BD9">
        <w:rPr>
          <w:rStyle w:val="Hyperlink"/>
          <w:rFonts w:ascii="Arial" w:hAnsi="Arial"/>
          <w:sz w:val="16"/>
          <w:szCs w:val="16"/>
        </w:rPr>
        <w:fldChar w:fldCharType="end"/>
      </w:r>
      <w:r>
        <w:rPr>
          <w:rFonts w:ascii="Arial" w:hAnsi="Arial"/>
          <w:sz w:val="16"/>
          <w:szCs w:val="16"/>
        </w:rPr>
        <w:t xml:space="preserve"> and the associated </w:t>
      </w:r>
      <w:hyperlink r:id="rId13"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4" w:history="1">
        <w:r>
          <w:rPr>
            <w:rStyle w:val="Hyperlink"/>
            <w:rFonts w:ascii="Arial" w:hAnsi="Arial"/>
            <w:sz w:val="16"/>
            <w:szCs w:val="16"/>
          </w:rPr>
          <w:t>presse@grossmann-berger.de</w:t>
        </w:r>
      </w:hyperlink>
      <w:r>
        <w:rPr>
          <w:rFonts w:ascii="Arial" w:hAnsi="Arial"/>
          <w:sz w:val="16"/>
          <w:szCs w:val="16"/>
        </w:rPr>
        <w:t xml:space="preserve"> quoting as reference "Abmeldung aus Presseverteiler” / “Unsubscribe from press mailing list”.</w:t>
      </w:r>
      <w:r>
        <w:rPr>
          <w:rFonts w:ascii="Times New Roman" w:hAnsi="Times New Roman"/>
          <w:snapToGrid w:val="0"/>
          <w:color w:val="000000"/>
          <w:sz w:val="0"/>
          <w:szCs w:val="0"/>
          <w:u w:color="000000"/>
          <w:bdr w:val="none" w:sz="0" w:space="0" w:color="000000"/>
          <w:shd w:val="clear" w:color="000000" w:fill="000000"/>
        </w:rPr>
        <w:t xml:space="preserve"> </w:t>
      </w:r>
    </w:p>
    <w:sectPr w:rsidR="002B0F0D" w:rsidRPr="008E51AD" w:rsidSect="00D83CB7">
      <w:headerReference w:type="default" r:id="rId15"/>
      <w:footerReference w:type="default" r:id="rId16"/>
      <w:headerReference w:type="first" r:id="rId17"/>
      <w:footerReference w:type="first" r:id="rId18"/>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3CDC7" w14:textId="77777777" w:rsidR="00D536A4" w:rsidRDefault="00D536A4">
      <w:r>
        <w:separator/>
      </w:r>
    </w:p>
  </w:endnote>
  <w:endnote w:type="continuationSeparator" w:id="0">
    <w:p w14:paraId="69B4BF7E" w14:textId="77777777" w:rsidR="00D536A4" w:rsidRDefault="00D5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5842DB">
      <w:rPr>
        <w:rFonts w:ascii="Arial" w:hAnsi="Arial"/>
        <w:b/>
        <w:bCs/>
        <w:color w:val="918F90"/>
        <w:sz w:val="18"/>
        <w:szCs w:val="18"/>
        <w:lang w:val="de-DE"/>
      </w:rPr>
      <w:t xml:space="preserve">Grossmann &amp; Berger GmbH </w:t>
    </w:r>
    <w:r w:rsidRPr="005842DB">
      <w:rPr>
        <w:rFonts w:ascii="Arial" w:hAnsi="Arial"/>
        <w:color w:val="918F90"/>
        <w:sz w:val="18"/>
        <w:szCs w:val="18"/>
        <w:lang w:val="de-DE"/>
      </w:rPr>
      <w:t xml:space="preserve">| Bleichenbrücke 9 | D-20354 Hamburg | Tel. </w:t>
    </w:r>
    <w:r>
      <w:rPr>
        <w:rFonts w:ascii="Arial" w:hAnsi="Arial"/>
        <w:color w:val="918F90"/>
        <w:sz w:val="18"/>
        <w:szCs w:val="18"/>
      </w:rPr>
      <w:t>+49 (0)40/350 80 2-0 | www.grossmann-berger.de</w:t>
    </w:r>
  </w:p>
  <w:p w14:paraId="5440A7EF" w14:textId="7B319B9A"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506BD9">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506BD9">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785F2" w14:textId="77777777" w:rsidR="00D536A4" w:rsidRDefault="00D536A4">
      <w:r>
        <w:separator/>
      </w:r>
    </w:p>
  </w:footnote>
  <w:footnote w:type="continuationSeparator" w:id="0">
    <w:p w14:paraId="1DAD7387" w14:textId="77777777" w:rsidR="00D536A4" w:rsidRDefault="00D5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1353DA7E" w:rsidR="006138CB" w:rsidRPr="009E3ADA" w:rsidRDefault="003E27B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12F1C8E7" wp14:editId="565DED62">
              <wp:simplePos x="0" y="0"/>
              <wp:positionH relativeFrom="margin">
                <wp:posOffset>-74930</wp:posOffset>
              </wp:positionH>
              <wp:positionV relativeFrom="paragraph">
                <wp:posOffset>42530</wp:posOffset>
              </wp:positionV>
              <wp:extent cx="4779010"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49DF3728" w14:textId="619DCF6E"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1C8E7" id="_x0000_t202" coordsize="21600,21600" o:spt="202" path="m,l,21600r21600,l21600,xe">
              <v:stroke joinstyle="miter"/>
              <v:path gradientshapeok="t" o:connecttype="rect"/>
            </v:shapetype>
            <v:shape id="Textfeld 1" o:spid="_x0000_s1026" type="#_x0000_t202" style="position:absolute;left:0;text-align:left;margin-left:-5.9pt;margin-top:3.35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" filled="f" stroked="f">
              <v:textbox>
                <w:txbxContent>
                  <w:p w14:paraId="49DF3728" w14:textId="619DCF6E"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61381213" w:rsidR="00D83CB7" w:rsidRDefault="00CE7D16"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52EA495" wp14:editId="55D8E217">
              <wp:simplePos x="0" y="0"/>
              <wp:positionH relativeFrom="margin">
                <wp:posOffset>-92267</wp:posOffset>
              </wp:positionH>
              <wp:positionV relativeFrom="paragraph">
                <wp:posOffset>9525</wp:posOffset>
              </wp:positionV>
              <wp:extent cx="4779010"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296CAEDD" w14:textId="75C0DD04"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EA495" id="_x0000_t202" coordsize="21600,21600" o:spt="202" path="m,l,21600r21600,l21600,xe">
              <v:stroke joinstyle="miter"/>
              <v:path gradientshapeok="t" o:connecttype="rect"/>
            </v:shapetype>
            <v:shape id="Textfeld 3" o:spid="_x0000_s1027" type="#_x0000_t202" style="position:absolute;left:0;text-align:left;margin-left:-7.25pt;margin-top:.75pt;width:376.3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" filled="f" stroked="f">
              <v:textbox>
                <w:txbxContent>
                  <w:p w14:paraId="296CAEDD" w14:textId="75C0DD04"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87F2D4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4"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5"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8B204E4"/>
    <w:multiLevelType w:val="multilevel"/>
    <w:tmpl w:val="7E7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5"/>
  </w:num>
  <w:num w:numId="16">
    <w:abstractNumId w:val="11"/>
  </w:num>
  <w:num w:numId="17">
    <w:abstractNumId w:val="12"/>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392D"/>
    <w:rsid w:val="000159FE"/>
    <w:rsid w:val="00022F16"/>
    <w:rsid w:val="00023D78"/>
    <w:rsid w:val="00027644"/>
    <w:rsid w:val="0003075C"/>
    <w:rsid w:val="0003107F"/>
    <w:rsid w:val="00032035"/>
    <w:rsid w:val="000418C7"/>
    <w:rsid w:val="00046FEC"/>
    <w:rsid w:val="00060743"/>
    <w:rsid w:val="000615E2"/>
    <w:rsid w:val="000623C0"/>
    <w:rsid w:val="00064A03"/>
    <w:rsid w:val="00066796"/>
    <w:rsid w:val="0006754E"/>
    <w:rsid w:val="00075002"/>
    <w:rsid w:val="000755CE"/>
    <w:rsid w:val="000766D7"/>
    <w:rsid w:val="0007670A"/>
    <w:rsid w:val="00080F27"/>
    <w:rsid w:val="000834E2"/>
    <w:rsid w:val="000A517C"/>
    <w:rsid w:val="000A5ED1"/>
    <w:rsid w:val="000A6314"/>
    <w:rsid w:val="000A72C3"/>
    <w:rsid w:val="000B0335"/>
    <w:rsid w:val="000B0C81"/>
    <w:rsid w:val="000B1606"/>
    <w:rsid w:val="000B3315"/>
    <w:rsid w:val="000B3A6C"/>
    <w:rsid w:val="000B7D28"/>
    <w:rsid w:val="000C4EAB"/>
    <w:rsid w:val="000C655C"/>
    <w:rsid w:val="000C74B2"/>
    <w:rsid w:val="000C770D"/>
    <w:rsid w:val="000D48D4"/>
    <w:rsid w:val="000E03F3"/>
    <w:rsid w:val="000E49CB"/>
    <w:rsid w:val="000E7BC7"/>
    <w:rsid w:val="000F5742"/>
    <w:rsid w:val="00102873"/>
    <w:rsid w:val="001029C4"/>
    <w:rsid w:val="0011486D"/>
    <w:rsid w:val="0011749C"/>
    <w:rsid w:val="00117D5D"/>
    <w:rsid w:val="00117EF7"/>
    <w:rsid w:val="00121E33"/>
    <w:rsid w:val="00126550"/>
    <w:rsid w:val="001324D6"/>
    <w:rsid w:val="00132522"/>
    <w:rsid w:val="00135BD2"/>
    <w:rsid w:val="00135E09"/>
    <w:rsid w:val="00144CE4"/>
    <w:rsid w:val="00154825"/>
    <w:rsid w:val="0016387C"/>
    <w:rsid w:val="0017364E"/>
    <w:rsid w:val="0017516B"/>
    <w:rsid w:val="00176F1D"/>
    <w:rsid w:val="0018068D"/>
    <w:rsid w:val="00180801"/>
    <w:rsid w:val="001809AE"/>
    <w:rsid w:val="00184A4E"/>
    <w:rsid w:val="001871BC"/>
    <w:rsid w:val="0019467B"/>
    <w:rsid w:val="001A199C"/>
    <w:rsid w:val="001A2ABE"/>
    <w:rsid w:val="001A360C"/>
    <w:rsid w:val="001A6817"/>
    <w:rsid w:val="001B577C"/>
    <w:rsid w:val="001C2BFF"/>
    <w:rsid w:val="001C34B0"/>
    <w:rsid w:val="001C7392"/>
    <w:rsid w:val="001D14DA"/>
    <w:rsid w:val="001D43BB"/>
    <w:rsid w:val="001D645F"/>
    <w:rsid w:val="001D64B8"/>
    <w:rsid w:val="001E1172"/>
    <w:rsid w:val="001E6995"/>
    <w:rsid w:val="001F1513"/>
    <w:rsid w:val="001F3C3A"/>
    <w:rsid w:val="0020062D"/>
    <w:rsid w:val="00201E4A"/>
    <w:rsid w:val="00205769"/>
    <w:rsid w:val="00212FEC"/>
    <w:rsid w:val="002131BB"/>
    <w:rsid w:val="00213F07"/>
    <w:rsid w:val="00214952"/>
    <w:rsid w:val="0022086D"/>
    <w:rsid w:val="00226DDF"/>
    <w:rsid w:val="00227E31"/>
    <w:rsid w:val="00230F81"/>
    <w:rsid w:val="002341EE"/>
    <w:rsid w:val="002353AA"/>
    <w:rsid w:val="00237341"/>
    <w:rsid w:val="002462B6"/>
    <w:rsid w:val="00251FC5"/>
    <w:rsid w:val="00252F40"/>
    <w:rsid w:val="00253412"/>
    <w:rsid w:val="00254C6F"/>
    <w:rsid w:val="002550BA"/>
    <w:rsid w:val="00255675"/>
    <w:rsid w:val="00255679"/>
    <w:rsid w:val="002561F0"/>
    <w:rsid w:val="00261FB3"/>
    <w:rsid w:val="0027266B"/>
    <w:rsid w:val="00274734"/>
    <w:rsid w:val="00277361"/>
    <w:rsid w:val="00277C66"/>
    <w:rsid w:val="00277D9C"/>
    <w:rsid w:val="00281E80"/>
    <w:rsid w:val="002834B0"/>
    <w:rsid w:val="00283671"/>
    <w:rsid w:val="00284A5D"/>
    <w:rsid w:val="00284E27"/>
    <w:rsid w:val="00294B7D"/>
    <w:rsid w:val="0029547A"/>
    <w:rsid w:val="0029731B"/>
    <w:rsid w:val="002A1973"/>
    <w:rsid w:val="002B0F0D"/>
    <w:rsid w:val="002B14F6"/>
    <w:rsid w:val="002B71B8"/>
    <w:rsid w:val="002B7C7F"/>
    <w:rsid w:val="002C055A"/>
    <w:rsid w:val="002C2392"/>
    <w:rsid w:val="002C450A"/>
    <w:rsid w:val="002D1C5C"/>
    <w:rsid w:val="002D1E20"/>
    <w:rsid w:val="002E2A92"/>
    <w:rsid w:val="002E6860"/>
    <w:rsid w:val="002F0411"/>
    <w:rsid w:val="002F767E"/>
    <w:rsid w:val="00301F3A"/>
    <w:rsid w:val="00304D7A"/>
    <w:rsid w:val="0030711D"/>
    <w:rsid w:val="0031189D"/>
    <w:rsid w:val="00313876"/>
    <w:rsid w:val="003246F0"/>
    <w:rsid w:val="00325E2A"/>
    <w:rsid w:val="00326066"/>
    <w:rsid w:val="003272F3"/>
    <w:rsid w:val="003326FA"/>
    <w:rsid w:val="00335A2C"/>
    <w:rsid w:val="0034064A"/>
    <w:rsid w:val="00345716"/>
    <w:rsid w:val="00346814"/>
    <w:rsid w:val="0034786C"/>
    <w:rsid w:val="00347A18"/>
    <w:rsid w:val="00350D85"/>
    <w:rsid w:val="00351477"/>
    <w:rsid w:val="003517C9"/>
    <w:rsid w:val="00351DCD"/>
    <w:rsid w:val="00357EC4"/>
    <w:rsid w:val="003627E1"/>
    <w:rsid w:val="00365AF8"/>
    <w:rsid w:val="00370000"/>
    <w:rsid w:val="00373507"/>
    <w:rsid w:val="00374907"/>
    <w:rsid w:val="0038230E"/>
    <w:rsid w:val="00382529"/>
    <w:rsid w:val="0038350F"/>
    <w:rsid w:val="003908D1"/>
    <w:rsid w:val="00396CE0"/>
    <w:rsid w:val="003A00C9"/>
    <w:rsid w:val="003A25A4"/>
    <w:rsid w:val="003A7528"/>
    <w:rsid w:val="003B0F06"/>
    <w:rsid w:val="003B19F4"/>
    <w:rsid w:val="003B49E4"/>
    <w:rsid w:val="003B4CCF"/>
    <w:rsid w:val="003B6CD4"/>
    <w:rsid w:val="003C1693"/>
    <w:rsid w:val="003C5218"/>
    <w:rsid w:val="003C6AB4"/>
    <w:rsid w:val="003E099F"/>
    <w:rsid w:val="003E27B4"/>
    <w:rsid w:val="003E4DF9"/>
    <w:rsid w:val="003F665D"/>
    <w:rsid w:val="0040086D"/>
    <w:rsid w:val="004017D8"/>
    <w:rsid w:val="00405D59"/>
    <w:rsid w:val="00411E03"/>
    <w:rsid w:val="004123B1"/>
    <w:rsid w:val="00412E3D"/>
    <w:rsid w:val="00417259"/>
    <w:rsid w:val="00417F4D"/>
    <w:rsid w:val="004269AC"/>
    <w:rsid w:val="00426E13"/>
    <w:rsid w:val="004303A1"/>
    <w:rsid w:val="00436114"/>
    <w:rsid w:val="00440DC9"/>
    <w:rsid w:val="004435F2"/>
    <w:rsid w:val="004450C4"/>
    <w:rsid w:val="0044510C"/>
    <w:rsid w:val="00445DF9"/>
    <w:rsid w:val="004477DC"/>
    <w:rsid w:val="004506D2"/>
    <w:rsid w:val="00456F40"/>
    <w:rsid w:val="00457DE3"/>
    <w:rsid w:val="004609BD"/>
    <w:rsid w:val="00463081"/>
    <w:rsid w:val="004661EE"/>
    <w:rsid w:val="00466741"/>
    <w:rsid w:val="00466A79"/>
    <w:rsid w:val="00470064"/>
    <w:rsid w:val="0047198B"/>
    <w:rsid w:val="004739AF"/>
    <w:rsid w:val="00476B6E"/>
    <w:rsid w:val="004818CE"/>
    <w:rsid w:val="004865AE"/>
    <w:rsid w:val="004966E3"/>
    <w:rsid w:val="004A2BEA"/>
    <w:rsid w:val="004A3C64"/>
    <w:rsid w:val="004A5AEA"/>
    <w:rsid w:val="004B2694"/>
    <w:rsid w:val="004B2FDA"/>
    <w:rsid w:val="004B3391"/>
    <w:rsid w:val="004B480A"/>
    <w:rsid w:val="004B5A6D"/>
    <w:rsid w:val="004C0CA2"/>
    <w:rsid w:val="004C3F94"/>
    <w:rsid w:val="004D50C0"/>
    <w:rsid w:val="004D772A"/>
    <w:rsid w:val="004D7FFC"/>
    <w:rsid w:val="004E1D29"/>
    <w:rsid w:val="004E339B"/>
    <w:rsid w:val="004E4273"/>
    <w:rsid w:val="004E4562"/>
    <w:rsid w:val="004F077F"/>
    <w:rsid w:val="004F78B4"/>
    <w:rsid w:val="005023DD"/>
    <w:rsid w:val="00503D8C"/>
    <w:rsid w:val="00506BD9"/>
    <w:rsid w:val="0051485A"/>
    <w:rsid w:val="00522B84"/>
    <w:rsid w:val="00524FBD"/>
    <w:rsid w:val="00531A7F"/>
    <w:rsid w:val="00534BAD"/>
    <w:rsid w:val="005356B3"/>
    <w:rsid w:val="005360E8"/>
    <w:rsid w:val="005412D0"/>
    <w:rsid w:val="005428C5"/>
    <w:rsid w:val="0054319A"/>
    <w:rsid w:val="00543C55"/>
    <w:rsid w:val="0054412E"/>
    <w:rsid w:val="0054563C"/>
    <w:rsid w:val="005504C9"/>
    <w:rsid w:val="005529CE"/>
    <w:rsid w:val="0055393B"/>
    <w:rsid w:val="005554C7"/>
    <w:rsid w:val="00556F58"/>
    <w:rsid w:val="0056184E"/>
    <w:rsid w:val="00567D57"/>
    <w:rsid w:val="00567E49"/>
    <w:rsid w:val="00570104"/>
    <w:rsid w:val="00571004"/>
    <w:rsid w:val="0057189A"/>
    <w:rsid w:val="0057685F"/>
    <w:rsid w:val="00576B3F"/>
    <w:rsid w:val="00577B63"/>
    <w:rsid w:val="00582B99"/>
    <w:rsid w:val="005842DB"/>
    <w:rsid w:val="00584EAD"/>
    <w:rsid w:val="00590903"/>
    <w:rsid w:val="005A2F39"/>
    <w:rsid w:val="005A617A"/>
    <w:rsid w:val="005B0FC9"/>
    <w:rsid w:val="005B24B2"/>
    <w:rsid w:val="005B66D3"/>
    <w:rsid w:val="005B7D91"/>
    <w:rsid w:val="005C4556"/>
    <w:rsid w:val="005C5302"/>
    <w:rsid w:val="005D307B"/>
    <w:rsid w:val="005D3366"/>
    <w:rsid w:val="005E362E"/>
    <w:rsid w:val="005E43B3"/>
    <w:rsid w:val="005F0A7E"/>
    <w:rsid w:val="005F69D4"/>
    <w:rsid w:val="005F7593"/>
    <w:rsid w:val="006029D7"/>
    <w:rsid w:val="006046B3"/>
    <w:rsid w:val="00606BFF"/>
    <w:rsid w:val="00606E35"/>
    <w:rsid w:val="0061109D"/>
    <w:rsid w:val="0061138B"/>
    <w:rsid w:val="00612AA0"/>
    <w:rsid w:val="006138CB"/>
    <w:rsid w:val="006224C4"/>
    <w:rsid w:val="006225EA"/>
    <w:rsid w:val="006261DF"/>
    <w:rsid w:val="00631936"/>
    <w:rsid w:val="006321DC"/>
    <w:rsid w:val="00641270"/>
    <w:rsid w:val="00642074"/>
    <w:rsid w:val="006424F8"/>
    <w:rsid w:val="0064349E"/>
    <w:rsid w:val="00653AA8"/>
    <w:rsid w:val="00656049"/>
    <w:rsid w:val="00672C84"/>
    <w:rsid w:val="00674ADA"/>
    <w:rsid w:val="00675A3F"/>
    <w:rsid w:val="00681CAB"/>
    <w:rsid w:val="00682CFC"/>
    <w:rsid w:val="006842EF"/>
    <w:rsid w:val="00690C37"/>
    <w:rsid w:val="00691585"/>
    <w:rsid w:val="00692D4F"/>
    <w:rsid w:val="00693E35"/>
    <w:rsid w:val="00695E58"/>
    <w:rsid w:val="0069757D"/>
    <w:rsid w:val="006A1329"/>
    <w:rsid w:val="006A4C7A"/>
    <w:rsid w:val="006A66F9"/>
    <w:rsid w:val="006B4303"/>
    <w:rsid w:val="006D024C"/>
    <w:rsid w:val="006E2E4F"/>
    <w:rsid w:val="006E5C9C"/>
    <w:rsid w:val="006F1774"/>
    <w:rsid w:val="006F292B"/>
    <w:rsid w:val="006F31D6"/>
    <w:rsid w:val="00713D81"/>
    <w:rsid w:val="00717A20"/>
    <w:rsid w:val="00720DFF"/>
    <w:rsid w:val="007265F3"/>
    <w:rsid w:val="00730191"/>
    <w:rsid w:val="00730E23"/>
    <w:rsid w:val="00753311"/>
    <w:rsid w:val="00754513"/>
    <w:rsid w:val="00761363"/>
    <w:rsid w:val="00762CC5"/>
    <w:rsid w:val="00767063"/>
    <w:rsid w:val="00773DF1"/>
    <w:rsid w:val="007906B4"/>
    <w:rsid w:val="007970A0"/>
    <w:rsid w:val="00797E4F"/>
    <w:rsid w:val="007A314C"/>
    <w:rsid w:val="007B215B"/>
    <w:rsid w:val="007B4617"/>
    <w:rsid w:val="007B761C"/>
    <w:rsid w:val="007C0ABB"/>
    <w:rsid w:val="007C26B6"/>
    <w:rsid w:val="007C2D96"/>
    <w:rsid w:val="007E759D"/>
    <w:rsid w:val="007F2DBE"/>
    <w:rsid w:val="007F33B6"/>
    <w:rsid w:val="007F642D"/>
    <w:rsid w:val="007F756A"/>
    <w:rsid w:val="00800E2C"/>
    <w:rsid w:val="0080214D"/>
    <w:rsid w:val="008045E7"/>
    <w:rsid w:val="00805D7E"/>
    <w:rsid w:val="00812471"/>
    <w:rsid w:val="00817CDC"/>
    <w:rsid w:val="008261A5"/>
    <w:rsid w:val="008327E5"/>
    <w:rsid w:val="0083382E"/>
    <w:rsid w:val="00844AAC"/>
    <w:rsid w:val="0085354A"/>
    <w:rsid w:val="00855325"/>
    <w:rsid w:val="00862E34"/>
    <w:rsid w:val="008634F3"/>
    <w:rsid w:val="008652FA"/>
    <w:rsid w:val="00865915"/>
    <w:rsid w:val="008661AA"/>
    <w:rsid w:val="00871832"/>
    <w:rsid w:val="00875E9B"/>
    <w:rsid w:val="00876FCA"/>
    <w:rsid w:val="00886CCE"/>
    <w:rsid w:val="008942C6"/>
    <w:rsid w:val="00896B33"/>
    <w:rsid w:val="00897DBE"/>
    <w:rsid w:val="008A2995"/>
    <w:rsid w:val="008A2BA4"/>
    <w:rsid w:val="008A2DD3"/>
    <w:rsid w:val="008A47D4"/>
    <w:rsid w:val="008A62FB"/>
    <w:rsid w:val="008A77B7"/>
    <w:rsid w:val="008B0319"/>
    <w:rsid w:val="008B0F67"/>
    <w:rsid w:val="008B297B"/>
    <w:rsid w:val="008B3833"/>
    <w:rsid w:val="008C0535"/>
    <w:rsid w:val="008C0BCD"/>
    <w:rsid w:val="008C0BD9"/>
    <w:rsid w:val="008C608D"/>
    <w:rsid w:val="008D1F37"/>
    <w:rsid w:val="008E0DE0"/>
    <w:rsid w:val="008E14BE"/>
    <w:rsid w:val="008E1E1D"/>
    <w:rsid w:val="008E461D"/>
    <w:rsid w:val="008E51AD"/>
    <w:rsid w:val="008E5520"/>
    <w:rsid w:val="008F0896"/>
    <w:rsid w:val="008F08E5"/>
    <w:rsid w:val="008F097F"/>
    <w:rsid w:val="008F0EA4"/>
    <w:rsid w:val="008F10B9"/>
    <w:rsid w:val="008F1EE5"/>
    <w:rsid w:val="008F38F6"/>
    <w:rsid w:val="008F5213"/>
    <w:rsid w:val="008F67E7"/>
    <w:rsid w:val="008F6A25"/>
    <w:rsid w:val="008F6B2D"/>
    <w:rsid w:val="009000CF"/>
    <w:rsid w:val="00903957"/>
    <w:rsid w:val="009050B3"/>
    <w:rsid w:val="00906FC5"/>
    <w:rsid w:val="0090748B"/>
    <w:rsid w:val="00920C9C"/>
    <w:rsid w:val="00922754"/>
    <w:rsid w:val="00925781"/>
    <w:rsid w:val="009258D0"/>
    <w:rsid w:val="00934D87"/>
    <w:rsid w:val="00935AB3"/>
    <w:rsid w:val="009635CF"/>
    <w:rsid w:val="009646C4"/>
    <w:rsid w:val="009668BB"/>
    <w:rsid w:val="00966CA0"/>
    <w:rsid w:val="00972AE9"/>
    <w:rsid w:val="009734CE"/>
    <w:rsid w:val="00974CB0"/>
    <w:rsid w:val="00975085"/>
    <w:rsid w:val="00980A57"/>
    <w:rsid w:val="0098460C"/>
    <w:rsid w:val="00992BE1"/>
    <w:rsid w:val="0099413E"/>
    <w:rsid w:val="00996E1A"/>
    <w:rsid w:val="009A0BD5"/>
    <w:rsid w:val="009B1E02"/>
    <w:rsid w:val="009B3F04"/>
    <w:rsid w:val="009B4392"/>
    <w:rsid w:val="009B7D09"/>
    <w:rsid w:val="009C0784"/>
    <w:rsid w:val="009C2EC0"/>
    <w:rsid w:val="009D24DA"/>
    <w:rsid w:val="009D4C49"/>
    <w:rsid w:val="009D5D75"/>
    <w:rsid w:val="009E0C0B"/>
    <w:rsid w:val="009E572D"/>
    <w:rsid w:val="009F32A2"/>
    <w:rsid w:val="009F54CE"/>
    <w:rsid w:val="009F70FE"/>
    <w:rsid w:val="00A0600B"/>
    <w:rsid w:val="00A06264"/>
    <w:rsid w:val="00A10FEE"/>
    <w:rsid w:val="00A1639A"/>
    <w:rsid w:val="00A215C9"/>
    <w:rsid w:val="00A25474"/>
    <w:rsid w:val="00A535FD"/>
    <w:rsid w:val="00A5364B"/>
    <w:rsid w:val="00A615E0"/>
    <w:rsid w:val="00A65E2B"/>
    <w:rsid w:val="00A70878"/>
    <w:rsid w:val="00A73C12"/>
    <w:rsid w:val="00A74AA0"/>
    <w:rsid w:val="00A7546D"/>
    <w:rsid w:val="00A7613D"/>
    <w:rsid w:val="00A77035"/>
    <w:rsid w:val="00A77100"/>
    <w:rsid w:val="00A77745"/>
    <w:rsid w:val="00A81626"/>
    <w:rsid w:val="00A83191"/>
    <w:rsid w:val="00A848FC"/>
    <w:rsid w:val="00A975B1"/>
    <w:rsid w:val="00AA0609"/>
    <w:rsid w:val="00AA4D97"/>
    <w:rsid w:val="00AB424B"/>
    <w:rsid w:val="00AC7178"/>
    <w:rsid w:val="00AC77A0"/>
    <w:rsid w:val="00AD17B7"/>
    <w:rsid w:val="00AF08D2"/>
    <w:rsid w:val="00AF44B5"/>
    <w:rsid w:val="00B01A1B"/>
    <w:rsid w:val="00B02242"/>
    <w:rsid w:val="00B069C5"/>
    <w:rsid w:val="00B06D1B"/>
    <w:rsid w:val="00B077D5"/>
    <w:rsid w:val="00B16A78"/>
    <w:rsid w:val="00B200E4"/>
    <w:rsid w:val="00B245A8"/>
    <w:rsid w:val="00B26FFD"/>
    <w:rsid w:val="00B31E12"/>
    <w:rsid w:val="00B31F77"/>
    <w:rsid w:val="00B35B6D"/>
    <w:rsid w:val="00B35DC6"/>
    <w:rsid w:val="00B35F93"/>
    <w:rsid w:val="00B4411F"/>
    <w:rsid w:val="00B4666C"/>
    <w:rsid w:val="00B51699"/>
    <w:rsid w:val="00B53FAF"/>
    <w:rsid w:val="00B55D98"/>
    <w:rsid w:val="00B63153"/>
    <w:rsid w:val="00B6527D"/>
    <w:rsid w:val="00B67D66"/>
    <w:rsid w:val="00B73B3A"/>
    <w:rsid w:val="00B74507"/>
    <w:rsid w:val="00B75718"/>
    <w:rsid w:val="00B75834"/>
    <w:rsid w:val="00B75E7E"/>
    <w:rsid w:val="00B81257"/>
    <w:rsid w:val="00B9324B"/>
    <w:rsid w:val="00B93817"/>
    <w:rsid w:val="00B9391B"/>
    <w:rsid w:val="00B9682D"/>
    <w:rsid w:val="00BA0B96"/>
    <w:rsid w:val="00BA52C9"/>
    <w:rsid w:val="00BB15DA"/>
    <w:rsid w:val="00BB340D"/>
    <w:rsid w:val="00BB6626"/>
    <w:rsid w:val="00BC2A3A"/>
    <w:rsid w:val="00BC64EC"/>
    <w:rsid w:val="00BC7971"/>
    <w:rsid w:val="00BC7BF3"/>
    <w:rsid w:val="00BD073D"/>
    <w:rsid w:val="00BD6001"/>
    <w:rsid w:val="00BD75E0"/>
    <w:rsid w:val="00BE10CC"/>
    <w:rsid w:val="00BE4198"/>
    <w:rsid w:val="00BF029A"/>
    <w:rsid w:val="00BF3AFD"/>
    <w:rsid w:val="00C1606C"/>
    <w:rsid w:val="00C16E16"/>
    <w:rsid w:val="00C23180"/>
    <w:rsid w:val="00C26F94"/>
    <w:rsid w:val="00C41492"/>
    <w:rsid w:val="00C4628F"/>
    <w:rsid w:val="00C502EC"/>
    <w:rsid w:val="00C50874"/>
    <w:rsid w:val="00C700D6"/>
    <w:rsid w:val="00C702B5"/>
    <w:rsid w:val="00C70389"/>
    <w:rsid w:val="00C712CA"/>
    <w:rsid w:val="00C73270"/>
    <w:rsid w:val="00C84310"/>
    <w:rsid w:val="00C904B6"/>
    <w:rsid w:val="00C90A75"/>
    <w:rsid w:val="00C96DF4"/>
    <w:rsid w:val="00CA0F2C"/>
    <w:rsid w:val="00CA6A66"/>
    <w:rsid w:val="00CC1337"/>
    <w:rsid w:val="00CC2514"/>
    <w:rsid w:val="00CC282E"/>
    <w:rsid w:val="00CC48DF"/>
    <w:rsid w:val="00CC6FB9"/>
    <w:rsid w:val="00CD4A91"/>
    <w:rsid w:val="00CD6BD0"/>
    <w:rsid w:val="00CD70E7"/>
    <w:rsid w:val="00CD7363"/>
    <w:rsid w:val="00CE0964"/>
    <w:rsid w:val="00CE0C1F"/>
    <w:rsid w:val="00CE3191"/>
    <w:rsid w:val="00CE455F"/>
    <w:rsid w:val="00CE4A15"/>
    <w:rsid w:val="00CE5195"/>
    <w:rsid w:val="00CE6B63"/>
    <w:rsid w:val="00CE74B4"/>
    <w:rsid w:val="00CE7D16"/>
    <w:rsid w:val="00CF0BF9"/>
    <w:rsid w:val="00CF2E86"/>
    <w:rsid w:val="00CF5957"/>
    <w:rsid w:val="00CF7FAD"/>
    <w:rsid w:val="00D0004A"/>
    <w:rsid w:val="00D04BA2"/>
    <w:rsid w:val="00D077B0"/>
    <w:rsid w:val="00D157A0"/>
    <w:rsid w:val="00D22D42"/>
    <w:rsid w:val="00D24AF1"/>
    <w:rsid w:val="00D31447"/>
    <w:rsid w:val="00D35A6D"/>
    <w:rsid w:val="00D36D8D"/>
    <w:rsid w:val="00D45711"/>
    <w:rsid w:val="00D47190"/>
    <w:rsid w:val="00D500FC"/>
    <w:rsid w:val="00D50EC4"/>
    <w:rsid w:val="00D51597"/>
    <w:rsid w:val="00D5326E"/>
    <w:rsid w:val="00D536A4"/>
    <w:rsid w:val="00D54A15"/>
    <w:rsid w:val="00D55867"/>
    <w:rsid w:val="00D57410"/>
    <w:rsid w:val="00D634A3"/>
    <w:rsid w:val="00D66D80"/>
    <w:rsid w:val="00D72339"/>
    <w:rsid w:val="00D73E47"/>
    <w:rsid w:val="00D74ABB"/>
    <w:rsid w:val="00D83CB7"/>
    <w:rsid w:val="00D95437"/>
    <w:rsid w:val="00D959E6"/>
    <w:rsid w:val="00D976B3"/>
    <w:rsid w:val="00D97FA8"/>
    <w:rsid w:val="00DA01CC"/>
    <w:rsid w:val="00DB179C"/>
    <w:rsid w:val="00DB4363"/>
    <w:rsid w:val="00DB5923"/>
    <w:rsid w:val="00DB66BD"/>
    <w:rsid w:val="00DC0EC5"/>
    <w:rsid w:val="00DC6837"/>
    <w:rsid w:val="00DC7B25"/>
    <w:rsid w:val="00DD340F"/>
    <w:rsid w:val="00DD39EA"/>
    <w:rsid w:val="00DD6B73"/>
    <w:rsid w:val="00DE23F8"/>
    <w:rsid w:val="00DE7CC2"/>
    <w:rsid w:val="00DF4FE3"/>
    <w:rsid w:val="00DF5006"/>
    <w:rsid w:val="00E007DD"/>
    <w:rsid w:val="00E02FFE"/>
    <w:rsid w:val="00E04392"/>
    <w:rsid w:val="00E05CF6"/>
    <w:rsid w:val="00E112C9"/>
    <w:rsid w:val="00E1314C"/>
    <w:rsid w:val="00E158F7"/>
    <w:rsid w:val="00E16ABE"/>
    <w:rsid w:val="00E17864"/>
    <w:rsid w:val="00E2087E"/>
    <w:rsid w:val="00E234CA"/>
    <w:rsid w:val="00E2356E"/>
    <w:rsid w:val="00E2636D"/>
    <w:rsid w:val="00E34976"/>
    <w:rsid w:val="00E36818"/>
    <w:rsid w:val="00E41C74"/>
    <w:rsid w:val="00E442E4"/>
    <w:rsid w:val="00E47B97"/>
    <w:rsid w:val="00E5203C"/>
    <w:rsid w:val="00E61516"/>
    <w:rsid w:val="00E634CC"/>
    <w:rsid w:val="00E65D79"/>
    <w:rsid w:val="00E739F4"/>
    <w:rsid w:val="00E81727"/>
    <w:rsid w:val="00E82F0E"/>
    <w:rsid w:val="00E83245"/>
    <w:rsid w:val="00E90673"/>
    <w:rsid w:val="00E95F89"/>
    <w:rsid w:val="00E96FAC"/>
    <w:rsid w:val="00EA0382"/>
    <w:rsid w:val="00EA129F"/>
    <w:rsid w:val="00EB7A31"/>
    <w:rsid w:val="00EC08DC"/>
    <w:rsid w:val="00ED0267"/>
    <w:rsid w:val="00ED0582"/>
    <w:rsid w:val="00ED0872"/>
    <w:rsid w:val="00ED1262"/>
    <w:rsid w:val="00ED7374"/>
    <w:rsid w:val="00EE31F6"/>
    <w:rsid w:val="00EE36DC"/>
    <w:rsid w:val="00EE6896"/>
    <w:rsid w:val="00EF06B5"/>
    <w:rsid w:val="00EF7DDD"/>
    <w:rsid w:val="00F044EE"/>
    <w:rsid w:val="00F04D64"/>
    <w:rsid w:val="00F20069"/>
    <w:rsid w:val="00F21201"/>
    <w:rsid w:val="00F2414C"/>
    <w:rsid w:val="00F27CD8"/>
    <w:rsid w:val="00F32657"/>
    <w:rsid w:val="00F3320B"/>
    <w:rsid w:val="00F3537B"/>
    <w:rsid w:val="00F40E92"/>
    <w:rsid w:val="00F41947"/>
    <w:rsid w:val="00F42774"/>
    <w:rsid w:val="00F435AA"/>
    <w:rsid w:val="00F45370"/>
    <w:rsid w:val="00F511B7"/>
    <w:rsid w:val="00F578CF"/>
    <w:rsid w:val="00F60A04"/>
    <w:rsid w:val="00F63C5D"/>
    <w:rsid w:val="00F72E52"/>
    <w:rsid w:val="00F76C6A"/>
    <w:rsid w:val="00F83BF1"/>
    <w:rsid w:val="00F84307"/>
    <w:rsid w:val="00F90CB9"/>
    <w:rsid w:val="00F91D23"/>
    <w:rsid w:val="00F91DD8"/>
    <w:rsid w:val="00F97373"/>
    <w:rsid w:val="00F97F69"/>
    <w:rsid w:val="00FA0254"/>
    <w:rsid w:val="00FA0BF4"/>
    <w:rsid w:val="00FA44C3"/>
    <w:rsid w:val="00FA59F1"/>
    <w:rsid w:val="00FA6854"/>
    <w:rsid w:val="00FB064F"/>
    <w:rsid w:val="00FB0F6B"/>
    <w:rsid w:val="00FB144F"/>
    <w:rsid w:val="00FB159A"/>
    <w:rsid w:val="00FB2A03"/>
    <w:rsid w:val="00FB4D77"/>
    <w:rsid w:val="00FB644B"/>
    <w:rsid w:val="00FC40F0"/>
    <w:rsid w:val="00FC497D"/>
    <w:rsid w:val="00FD076B"/>
    <w:rsid w:val="00FD1BF5"/>
    <w:rsid w:val="00FD39DE"/>
    <w:rsid w:val="00FE4B61"/>
    <w:rsid w:val="00FE7F71"/>
    <w:rsid w:val="00FF3782"/>
    <w:rsid w:val="00FF6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F9775E"/>
  <w15:docId w15:val="{5852CB09-21DD-4156-8576-6A8E02F7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paragraph" w:styleId="berschrift1">
    <w:name w:val="heading 1"/>
    <w:basedOn w:val="Standard"/>
    <w:next w:val="Standard"/>
    <w:link w:val="berschrift1Zchn"/>
    <w:qFormat/>
    <w:locked/>
    <w:rsid w:val="00767063"/>
    <w:pPr>
      <w:keepNext/>
      <w:keepLines/>
      <w:spacing w:before="240" w:after="0"/>
      <w:outlineLvl w:val="0"/>
    </w:pPr>
    <w:rPr>
      <w:rFonts w:asciiTheme="majorHAnsi" w:eastAsiaTheme="majorEastAsia" w:hAnsiTheme="majorHAnsi" w:cstheme="majorBidi"/>
      <w:color w:val="BD9100" w:themeColor="accent1" w:themeShade="BF"/>
      <w:sz w:val="32"/>
      <w:szCs w:val="32"/>
    </w:rPr>
  </w:style>
  <w:style w:type="paragraph" w:styleId="berschrift3">
    <w:name w:val="heading 3"/>
    <w:basedOn w:val="Standard"/>
    <w:next w:val="Standard"/>
    <w:link w:val="berschrift3Zchn"/>
    <w:unhideWhenUsed/>
    <w:qFormat/>
    <w:locked/>
    <w:rsid w:val="00767063"/>
    <w:pPr>
      <w:keepNext/>
      <w:keepLines/>
      <w:spacing w:before="40" w:after="0"/>
      <w:outlineLvl w:val="2"/>
    </w:pPr>
    <w:rPr>
      <w:rFonts w:asciiTheme="majorHAnsi" w:eastAsiaTheme="majorEastAsia" w:hAnsiTheme="majorHAnsi" w:cstheme="majorBidi"/>
      <w:color w:val="7E6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unhideWhenUsed/>
    <w:rsid w:val="00567D57"/>
    <w:rPr>
      <w:sz w:val="20"/>
      <w:szCs w:val="20"/>
    </w:rPr>
  </w:style>
  <w:style w:type="character" w:customStyle="1" w:styleId="KommentartextZchn">
    <w:name w:val="Kommentartext Zchn"/>
    <w:basedOn w:val="Absatz-Standardschriftart"/>
    <w:link w:val="Kommentartext"/>
    <w:uiPriority w:val="99"/>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67063"/>
    <w:rPr>
      <w:rFonts w:asciiTheme="majorHAnsi" w:eastAsiaTheme="majorEastAsia" w:hAnsiTheme="majorHAnsi" w:cstheme="majorBidi"/>
      <w:color w:val="BD9100" w:themeColor="accent1" w:themeShade="BF"/>
      <w:sz w:val="32"/>
      <w:szCs w:val="32"/>
      <w:lang w:eastAsia="en-US"/>
    </w:rPr>
  </w:style>
  <w:style w:type="character" w:customStyle="1" w:styleId="berschrift3Zchn">
    <w:name w:val="Überschrift 3 Zchn"/>
    <w:basedOn w:val="Absatz-Standardschriftart"/>
    <w:link w:val="berschrift3"/>
    <w:rsid w:val="00767063"/>
    <w:rPr>
      <w:rFonts w:asciiTheme="majorHAnsi" w:eastAsiaTheme="majorEastAsia" w:hAnsiTheme="majorHAnsi" w:cstheme="majorBidi"/>
      <w:color w:val="7E600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829">
      <w:bodyDiv w:val="1"/>
      <w:marLeft w:val="0"/>
      <w:marRight w:val="0"/>
      <w:marTop w:val="0"/>
      <w:marBottom w:val="0"/>
      <w:divBdr>
        <w:top w:val="none" w:sz="0" w:space="0" w:color="auto"/>
        <w:left w:val="none" w:sz="0" w:space="0" w:color="auto"/>
        <w:bottom w:val="none" w:sz="0" w:space="0" w:color="auto"/>
        <w:right w:val="none" w:sz="0" w:space="0" w:color="auto"/>
      </w:divBdr>
    </w:div>
    <w:div w:id="55788995">
      <w:bodyDiv w:val="1"/>
      <w:marLeft w:val="0"/>
      <w:marRight w:val="0"/>
      <w:marTop w:val="0"/>
      <w:marBottom w:val="0"/>
      <w:divBdr>
        <w:top w:val="none" w:sz="0" w:space="0" w:color="auto"/>
        <w:left w:val="none" w:sz="0" w:space="0" w:color="auto"/>
        <w:bottom w:val="none" w:sz="0" w:space="0" w:color="auto"/>
        <w:right w:val="none" w:sz="0" w:space="0" w:color="auto"/>
      </w:divBdr>
    </w:div>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65246966">
      <w:bodyDiv w:val="1"/>
      <w:marLeft w:val="0"/>
      <w:marRight w:val="0"/>
      <w:marTop w:val="0"/>
      <w:marBottom w:val="0"/>
      <w:divBdr>
        <w:top w:val="none" w:sz="0" w:space="0" w:color="auto"/>
        <w:left w:val="none" w:sz="0" w:space="0" w:color="auto"/>
        <w:bottom w:val="none" w:sz="0" w:space="0" w:color="auto"/>
        <w:right w:val="none" w:sz="0" w:space="0" w:color="auto"/>
      </w:divBdr>
    </w:div>
    <w:div w:id="168377120">
      <w:bodyDiv w:val="1"/>
      <w:marLeft w:val="0"/>
      <w:marRight w:val="0"/>
      <w:marTop w:val="0"/>
      <w:marBottom w:val="0"/>
      <w:divBdr>
        <w:top w:val="none" w:sz="0" w:space="0" w:color="auto"/>
        <w:left w:val="none" w:sz="0" w:space="0" w:color="auto"/>
        <w:bottom w:val="none" w:sz="0" w:space="0" w:color="auto"/>
        <w:right w:val="none" w:sz="0" w:space="0" w:color="auto"/>
      </w:divBdr>
    </w:div>
    <w:div w:id="228268108">
      <w:bodyDiv w:val="1"/>
      <w:marLeft w:val="0"/>
      <w:marRight w:val="0"/>
      <w:marTop w:val="0"/>
      <w:marBottom w:val="0"/>
      <w:divBdr>
        <w:top w:val="none" w:sz="0" w:space="0" w:color="auto"/>
        <w:left w:val="none" w:sz="0" w:space="0" w:color="auto"/>
        <w:bottom w:val="none" w:sz="0" w:space="0" w:color="auto"/>
        <w:right w:val="none" w:sz="0" w:space="0" w:color="auto"/>
      </w:divBdr>
    </w:div>
    <w:div w:id="308095336">
      <w:bodyDiv w:val="1"/>
      <w:marLeft w:val="0"/>
      <w:marRight w:val="0"/>
      <w:marTop w:val="0"/>
      <w:marBottom w:val="0"/>
      <w:divBdr>
        <w:top w:val="none" w:sz="0" w:space="0" w:color="auto"/>
        <w:left w:val="none" w:sz="0" w:space="0" w:color="auto"/>
        <w:bottom w:val="none" w:sz="0" w:space="0" w:color="auto"/>
        <w:right w:val="none" w:sz="0" w:space="0" w:color="auto"/>
      </w:divBdr>
    </w:div>
    <w:div w:id="341660978">
      <w:bodyDiv w:val="1"/>
      <w:marLeft w:val="0"/>
      <w:marRight w:val="0"/>
      <w:marTop w:val="0"/>
      <w:marBottom w:val="0"/>
      <w:divBdr>
        <w:top w:val="none" w:sz="0" w:space="0" w:color="auto"/>
        <w:left w:val="none" w:sz="0" w:space="0" w:color="auto"/>
        <w:bottom w:val="none" w:sz="0" w:space="0" w:color="auto"/>
        <w:right w:val="none" w:sz="0" w:space="0" w:color="auto"/>
      </w:divBdr>
    </w:div>
    <w:div w:id="369644447">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897037">
      <w:bodyDiv w:val="1"/>
      <w:marLeft w:val="0"/>
      <w:marRight w:val="0"/>
      <w:marTop w:val="0"/>
      <w:marBottom w:val="0"/>
      <w:divBdr>
        <w:top w:val="none" w:sz="0" w:space="0" w:color="auto"/>
        <w:left w:val="none" w:sz="0" w:space="0" w:color="auto"/>
        <w:bottom w:val="none" w:sz="0" w:space="0" w:color="auto"/>
        <w:right w:val="none" w:sz="0" w:space="0" w:color="auto"/>
      </w:divBdr>
    </w:div>
    <w:div w:id="462619305">
      <w:bodyDiv w:val="1"/>
      <w:marLeft w:val="0"/>
      <w:marRight w:val="0"/>
      <w:marTop w:val="0"/>
      <w:marBottom w:val="0"/>
      <w:divBdr>
        <w:top w:val="none" w:sz="0" w:space="0" w:color="auto"/>
        <w:left w:val="none" w:sz="0" w:space="0" w:color="auto"/>
        <w:bottom w:val="none" w:sz="0" w:space="0" w:color="auto"/>
        <w:right w:val="none" w:sz="0" w:space="0" w:color="auto"/>
      </w:divBdr>
    </w:div>
    <w:div w:id="485703102">
      <w:bodyDiv w:val="1"/>
      <w:marLeft w:val="0"/>
      <w:marRight w:val="0"/>
      <w:marTop w:val="0"/>
      <w:marBottom w:val="0"/>
      <w:divBdr>
        <w:top w:val="none" w:sz="0" w:space="0" w:color="auto"/>
        <w:left w:val="none" w:sz="0" w:space="0" w:color="auto"/>
        <w:bottom w:val="none" w:sz="0" w:space="0" w:color="auto"/>
        <w:right w:val="none" w:sz="0" w:space="0" w:color="auto"/>
      </w:divBdr>
    </w:div>
    <w:div w:id="658462484">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7752">
      <w:bodyDiv w:val="1"/>
      <w:marLeft w:val="0"/>
      <w:marRight w:val="0"/>
      <w:marTop w:val="0"/>
      <w:marBottom w:val="0"/>
      <w:divBdr>
        <w:top w:val="none" w:sz="0" w:space="0" w:color="auto"/>
        <w:left w:val="none" w:sz="0" w:space="0" w:color="auto"/>
        <w:bottom w:val="none" w:sz="0" w:space="0" w:color="auto"/>
        <w:right w:val="none" w:sz="0" w:space="0" w:color="auto"/>
      </w:divBdr>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845888">
      <w:bodyDiv w:val="1"/>
      <w:marLeft w:val="0"/>
      <w:marRight w:val="0"/>
      <w:marTop w:val="0"/>
      <w:marBottom w:val="0"/>
      <w:divBdr>
        <w:top w:val="none" w:sz="0" w:space="0" w:color="auto"/>
        <w:left w:val="none" w:sz="0" w:space="0" w:color="auto"/>
        <w:bottom w:val="none" w:sz="0" w:space="0" w:color="auto"/>
        <w:right w:val="none" w:sz="0" w:space="0" w:color="auto"/>
      </w:divBdr>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901600879">
      <w:bodyDiv w:val="1"/>
      <w:marLeft w:val="0"/>
      <w:marRight w:val="0"/>
      <w:marTop w:val="0"/>
      <w:marBottom w:val="0"/>
      <w:divBdr>
        <w:top w:val="none" w:sz="0" w:space="0" w:color="auto"/>
        <w:left w:val="none" w:sz="0" w:space="0" w:color="auto"/>
        <w:bottom w:val="none" w:sz="0" w:space="0" w:color="auto"/>
        <w:right w:val="none" w:sz="0" w:space="0" w:color="auto"/>
      </w:divBdr>
    </w:div>
    <w:div w:id="1048457314">
      <w:bodyDiv w:val="1"/>
      <w:marLeft w:val="0"/>
      <w:marRight w:val="0"/>
      <w:marTop w:val="0"/>
      <w:marBottom w:val="0"/>
      <w:divBdr>
        <w:top w:val="none" w:sz="0" w:space="0" w:color="auto"/>
        <w:left w:val="none" w:sz="0" w:space="0" w:color="auto"/>
        <w:bottom w:val="none" w:sz="0" w:space="0" w:color="auto"/>
        <w:right w:val="none" w:sz="0" w:space="0" w:color="auto"/>
      </w:divBdr>
    </w:div>
    <w:div w:id="1151870192">
      <w:bodyDiv w:val="1"/>
      <w:marLeft w:val="0"/>
      <w:marRight w:val="0"/>
      <w:marTop w:val="0"/>
      <w:marBottom w:val="0"/>
      <w:divBdr>
        <w:top w:val="none" w:sz="0" w:space="0" w:color="auto"/>
        <w:left w:val="none" w:sz="0" w:space="0" w:color="auto"/>
        <w:bottom w:val="none" w:sz="0" w:space="0" w:color="auto"/>
        <w:right w:val="none" w:sz="0" w:space="0" w:color="auto"/>
      </w:divBdr>
    </w:div>
    <w:div w:id="1165510627">
      <w:bodyDiv w:val="1"/>
      <w:marLeft w:val="0"/>
      <w:marRight w:val="0"/>
      <w:marTop w:val="0"/>
      <w:marBottom w:val="0"/>
      <w:divBdr>
        <w:top w:val="none" w:sz="0" w:space="0" w:color="auto"/>
        <w:left w:val="none" w:sz="0" w:space="0" w:color="auto"/>
        <w:bottom w:val="none" w:sz="0" w:space="0" w:color="auto"/>
        <w:right w:val="none" w:sz="0" w:space="0" w:color="auto"/>
      </w:divBdr>
    </w:div>
    <w:div w:id="1220095767">
      <w:bodyDiv w:val="1"/>
      <w:marLeft w:val="0"/>
      <w:marRight w:val="0"/>
      <w:marTop w:val="0"/>
      <w:marBottom w:val="0"/>
      <w:divBdr>
        <w:top w:val="none" w:sz="0" w:space="0" w:color="auto"/>
        <w:left w:val="none" w:sz="0" w:space="0" w:color="auto"/>
        <w:bottom w:val="none" w:sz="0" w:space="0" w:color="auto"/>
        <w:right w:val="none" w:sz="0" w:space="0" w:color="auto"/>
      </w:divBdr>
    </w:div>
    <w:div w:id="1237983007">
      <w:bodyDiv w:val="1"/>
      <w:marLeft w:val="0"/>
      <w:marRight w:val="0"/>
      <w:marTop w:val="0"/>
      <w:marBottom w:val="0"/>
      <w:divBdr>
        <w:top w:val="none" w:sz="0" w:space="0" w:color="auto"/>
        <w:left w:val="none" w:sz="0" w:space="0" w:color="auto"/>
        <w:bottom w:val="none" w:sz="0" w:space="0" w:color="auto"/>
        <w:right w:val="none" w:sz="0" w:space="0" w:color="auto"/>
      </w:divBdr>
    </w:div>
    <w:div w:id="1315061569">
      <w:bodyDiv w:val="1"/>
      <w:marLeft w:val="0"/>
      <w:marRight w:val="0"/>
      <w:marTop w:val="0"/>
      <w:marBottom w:val="0"/>
      <w:divBdr>
        <w:top w:val="none" w:sz="0" w:space="0" w:color="auto"/>
        <w:left w:val="none" w:sz="0" w:space="0" w:color="auto"/>
        <w:bottom w:val="none" w:sz="0" w:space="0" w:color="auto"/>
        <w:right w:val="none" w:sz="0" w:space="0" w:color="auto"/>
      </w:divBdr>
    </w:div>
    <w:div w:id="1455558272">
      <w:bodyDiv w:val="1"/>
      <w:marLeft w:val="0"/>
      <w:marRight w:val="0"/>
      <w:marTop w:val="0"/>
      <w:marBottom w:val="0"/>
      <w:divBdr>
        <w:top w:val="none" w:sz="0" w:space="0" w:color="auto"/>
        <w:left w:val="none" w:sz="0" w:space="0" w:color="auto"/>
        <w:bottom w:val="none" w:sz="0" w:space="0" w:color="auto"/>
        <w:right w:val="none" w:sz="0" w:space="0" w:color="auto"/>
      </w:divBdr>
    </w:div>
    <w:div w:id="1463500317">
      <w:bodyDiv w:val="1"/>
      <w:marLeft w:val="0"/>
      <w:marRight w:val="0"/>
      <w:marTop w:val="0"/>
      <w:marBottom w:val="0"/>
      <w:divBdr>
        <w:top w:val="none" w:sz="0" w:space="0" w:color="auto"/>
        <w:left w:val="none" w:sz="0" w:space="0" w:color="auto"/>
        <w:bottom w:val="none" w:sz="0" w:space="0" w:color="auto"/>
        <w:right w:val="none" w:sz="0" w:space="0" w:color="auto"/>
      </w:divBdr>
    </w:div>
    <w:div w:id="1465586959">
      <w:bodyDiv w:val="1"/>
      <w:marLeft w:val="0"/>
      <w:marRight w:val="0"/>
      <w:marTop w:val="0"/>
      <w:marBottom w:val="0"/>
      <w:divBdr>
        <w:top w:val="none" w:sz="0" w:space="0" w:color="auto"/>
        <w:left w:val="none" w:sz="0" w:space="0" w:color="auto"/>
        <w:bottom w:val="none" w:sz="0" w:space="0" w:color="auto"/>
        <w:right w:val="none" w:sz="0" w:space="0" w:color="auto"/>
      </w:divBdr>
    </w:div>
    <w:div w:id="1483696168">
      <w:bodyDiv w:val="1"/>
      <w:marLeft w:val="0"/>
      <w:marRight w:val="0"/>
      <w:marTop w:val="0"/>
      <w:marBottom w:val="0"/>
      <w:divBdr>
        <w:top w:val="none" w:sz="0" w:space="0" w:color="auto"/>
        <w:left w:val="none" w:sz="0" w:space="0" w:color="auto"/>
        <w:bottom w:val="none" w:sz="0" w:space="0" w:color="auto"/>
        <w:right w:val="none" w:sz="0" w:space="0" w:color="auto"/>
      </w:divBdr>
    </w:div>
    <w:div w:id="1622608427">
      <w:bodyDiv w:val="1"/>
      <w:marLeft w:val="0"/>
      <w:marRight w:val="0"/>
      <w:marTop w:val="0"/>
      <w:marBottom w:val="0"/>
      <w:divBdr>
        <w:top w:val="none" w:sz="0" w:space="0" w:color="auto"/>
        <w:left w:val="none" w:sz="0" w:space="0" w:color="auto"/>
        <w:bottom w:val="none" w:sz="0" w:space="0" w:color="auto"/>
        <w:right w:val="none" w:sz="0" w:space="0" w:color="auto"/>
      </w:divBdr>
    </w:div>
    <w:div w:id="1796024579">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1882474938">
      <w:bodyDiv w:val="1"/>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089377147">
      <w:bodyDiv w:val="1"/>
      <w:marLeft w:val="0"/>
      <w:marRight w:val="0"/>
      <w:marTop w:val="0"/>
      <w:marBottom w:val="0"/>
      <w:divBdr>
        <w:top w:val="none" w:sz="0" w:space="0" w:color="auto"/>
        <w:left w:val="none" w:sz="0" w:space="0" w:color="auto"/>
        <w:bottom w:val="none" w:sz="0" w:space="0" w:color="auto"/>
        <w:right w:val="none" w:sz="0" w:space="0" w:color="auto"/>
      </w:divBdr>
    </w:div>
    <w:div w:id="2095739872">
      <w:bodyDiv w:val="1"/>
      <w:marLeft w:val="0"/>
      <w:marRight w:val="0"/>
      <w:marTop w:val="0"/>
      <w:marBottom w:val="0"/>
      <w:divBdr>
        <w:top w:val="none" w:sz="0" w:space="0" w:color="auto"/>
        <w:left w:val="none" w:sz="0" w:space="0" w:color="auto"/>
        <w:bottom w:val="none" w:sz="0" w:space="0" w:color="auto"/>
        <w:right w:val="none" w:sz="0" w:space="0" w:color="auto"/>
      </w:divBdr>
    </w:div>
    <w:div w:id="2106001120">
      <w:bodyDiv w:val="1"/>
      <w:marLeft w:val="0"/>
      <w:marRight w:val="0"/>
      <w:marTop w:val="0"/>
      <w:marBottom w:val="0"/>
      <w:divBdr>
        <w:top w:val="none" w:sz="0" w:space="0" w:color="auto"/>
        <w:left w:val="none" w:sz="0" w:space="0" w:color="auto"/>
        <w:bottom w:val="none" w:sz="0" w:space="0" w:color="auto"/>
        <w:right w:val="none" w:sz="0" w:space="0" w:color="auto"/>
      </w:divBdr>
    </w:div>
    <w:div w:id="2108572068">
      <w:bodyDiv w:val="1"/>
      <w:marLeft w:val="0"/>
      <w:marRight w:val="0"/>
      <w:marTop w:val="0"/>
      <w:marBottom w:val="0"/>
      <w:divBdr>
        <w:top w:val="none" w:sz="0" w:space="0" w:color="auto"/>
        <w:left w:val="none" w:sz="0" w:space="0" w:color="auto"/>
        <w:bottom w:val="none" w:sz="0" w:space="0" w:color="auto"/>
        <w:right w:val="none" w:sz="0" w:space="0" w:color="auto"/>
      </w:divBdr>
      <w:divsChild>
        <w:div w:id="348677127">
          <w:marLeft w:val="0"/>
          <w:marRight w:val="0"/>
          <w:marTop w:val="90"/>
          <w:marBottom w:val="0"/>
          <w:divBdr>
            <w:top w:val="none" w:sz="0" w:space="0" w:color="auto"/>
            <w:left w:val="none" w:sz="0" w:space="0" w:color="auto"/>
            <w:bottom w:val="none" w:sz="0" w:space="0" w:color="auto"/>
            <w:right w:val="none" w:sz="0" w:space="0" w:color="auto"/>
          </w:divBdr>
          <w:divsChild>
            <w:div w:id="139273232">
              <w:marLeft w:val="0"/>
              <w:marRight w:val="0"/>
              <w:marTop w:val="0"/>
              <w:marBottom w:val="405"/>
              <w:divBdr>
                <w:top w:val="none" w:sz="0" w:space="0" w:color="auto"/>
                <w:left w:val="none" w:sz="0" w:space="0" w:color="auto"/>
                <w:bottom w:val="none" w:sz="0" w:space="0" w:color="auto"/>
                <w:right w:val="none" w:sz="0" w:space="0" w:color="auto"/>
              </w:divBdr>
              <w:divsChild>
                <w:div w:id="2000306464">
                  <w:marLeft w:val="0"/>
                  <w:marRight w:val="0"/>
                  <w:marTop w:val="0"/>
                  <w:marBottom w:val="0"/>
                  <w:divBdr>
                    <w:top w:val="none" w:sz="0" w:space="0" w:color="auto"/>
                    <w:left w:val="none" w:sz="0" w:space="0" w:color="auto"/>
                    <w:bottom w:val="none" w:sz="0" w:space="0" w:color="auto"/>
                    <w:right w:val="none" w:sz="0" w:space="0" w:color="auto"/>
                  </w:divBdr>
                  <w:divsChild>
                    <w:div w:id="13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file01\Marketing\Presse\5_PresseMITTEILUNGEN\Marktbericht%20B&#252;ro\2020\2020%20Q2\20180517_Dokumentation%20der%20Verarbeitungstaetigkeit%20nach%20DSGVO_Presse.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rossmann-berger.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ossmann-berger.de/marktbericht/gewerbe/hamburg-investment/" TargetMode="External"/><Relationship Id="rId14" Type="http://schemas.openxmlformats.org/officeDocument/2006/relationships/hyperlink" Target="mailto:presse@grossmann-berger.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51C8-9DD6-4D0A-BF06-85FDA5E4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5240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8</cp:revision>
  <cp:lastPrinted>2020-09-29T15:02:00Z</cp:lastPrinted>
  <dcterms:created xsi:type="dcterms:W3CDTF">2020-09-30T07:01:00Z</dcterms:created>
  <dcterms:modified xsi:type="dcterms:W3CDTF">2020-09-30T09:45:00Z</dcterms:modified>
</cp:coreProperties>
</file>