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AA26D" w14:textId="192C43AB" w:rsidR="000334E4" w:rsidRPr="004C21B7" w:rsidRDefault="00D157A0" w:rsidP="00E44FA3">
      <w:pPr>
        <w:spacing w:after="0" w:line="360" w:lineRule="auto"/>
        <w:rPr>
          <w:rFonts w:ascii="Arial" w:hAnsi="Arial" w:cs="Arial"/>
          <w:b/>
          <w:sz w:val="28"/>
          <w:szCs w:val="28"/>
        </w:rPr>
      </w:pPr>
      <w:r>
        <w:rPr>
          <w:rFonts w:ascii="Arial" w:hAnsi="Arial"/>
          <w:b/>
        </w:rPr>
        <w:t>Hamburg: Investment market</w:t>
      </w:r>
      <w:r w:rsidR="005F5F7D">
        <w:rPr>
          <w:rFonts w:ascii="Arial" w:hAnsi="Arial"/>
          <w:b/>
        </w:rPr>
        <w:t>,</w:t>
      </w:r>
      <w:r>
        <w:rPr>
          <w:rFonts w:ascii="Arial" w:hAnsi="Arial"/>
          <w:b/>
        </w:rPr>
        <w:t xml:space="preserve"> 1st-4th quarters of 2020</w:t>
      </w:r>
      <w:r>
        <w:rPr>
          <w:rFonts w:ascii="Arial" w:hAnsi="Arial"/>
          <w:b/>
        </w:rPr>
        <w:br/>
      </w:r>
      <w:r w:rsidRPr="004C21B7">
        <w:rPr>
          <w:rFonts w:ascii="Arial" w:hAnsi="Arial"/>
          <w:b/>
          <w:sz w:val="28"/>
          <w:szCs w:val="28"/>
        </w:rPr>
        <w:t>Flight of capital into core real estate produces second highest annual result ever</w:t>
      </w:r>
    </w:p>
    <w:p w14:paraId="5DC3EAC5" w14:textId="5A13ADF7" w:rsidR="00590903" w:rsidRPr="004C21B7" w:rsidRDefault="00590903" w:rsidP="00365AF8">
      <w:pPr>
        <w:spacing w:after="0" w:line="360" w:lineRule="auto"/>
        <w:jc w:val="both"/>
        <w:rPr>
          <w:rFonts w:ascii="Arial" w:hAnsi="Arial" w:cs="Arial"/>
          <w:b/>
          <w:sz w:val="20"/>
          <w:szCs w:val="20"/>
        </w:rPr>
      </w:pPr>
    </w:p>
    <w:p w14:paraId="072041BD" w14:textId="3F9BB586" w:rsidR="00523E82" w:rsidRDefault="00E90673" w:rsidP="00674B95">
      <w:pPr>
        <w:spacing w:after="0" w:line="360" w:lineRule="auto"/>
        <w:rPr>
          <w:rFonts w:ascii="Arial" w:hAnsi="Arial" w:cs="Arial"/>
          <w:sz w:val="20"/>
          <w:szCs w:val="20"/>
        </w:rPr>
      </w:pPr>
      <w:r>
        <w:rPr>
          <w:rFonts w:ascii="Arial" w:hAnsi="Arial"/>
          <w:b/>
          <w:sz w:val="20"/>
          <w:szCs w:val="20"/>
        </w:rPr>
        <w:t xml:space="preserve">Hamburg, 5 January 2021 </w:t>
      </w:r>
      <w:r>
        <w:rPr>
          <w:rFonts w:ascii="Arial" w:hAnsi="Arial"/>
          <w:sz w:val="20"/>
          <w:szCs w:val="20"/>
        </w:rPr>
        <w:t xml:space="preserve">- By the end of 2020 it was clear that in Hamburg the market for investment in commercial properties had fulfilled the promise of the first three quarters. The dynamic market practically ignored the all-pervading coronavirus crisis to generate 111 transactions with a total volume of €5.37bn. Total investment in Hamburg real estate was 24 % higher than the prior year’s figure (2019: €4.34bn) and, with the exception of 2018 (€5.95bn), the highest result on record. Following the spring lockdown the market rallied extremely well in the 3rd and 4th quarters, providing a very good counter-balance to the wait-and-see attitude observed in the 2nd quarter. </w:t>
      </w:r>
      <w:r>
        <w:rPr>
          <w:rFonts w:ascii="Arial" w:hAnsi="Arial"/>
          <w:i/>
          <w:sz w:val="20"/>
          <w:szCs w:val="20"/>
        </w:rPr>
        <w:t>“Due to volatile capital markets and low interest rates in 2020 investors’ need to find investments for their capital was greater than their fear of the possible impact of Covid-19.</w:t>
      </w:r>
      <w:r>
        <w:rPr>
          <w:rFonts w:ascii="Arial" w:hAnsi="Arial"/>
          <w:sz w:val="20"/>
          <w:szCs w:val="20"/>
        </w:rPr>
        <w:t xml:space="preserve"> </w:t>
      </w:r>
      <w:r>
        <w:rPr>
          <w:rFonts w:ascii="Arial" w:hAnsi="Arial"/>
          <w:i/>
          <w:sz w:val="20"/>
          <w:szCs w:val="20"/>
        </w:rPr>
        <w:t xml:space="preserve"> Numerous investors chose to buy real estate in Hamburg thanks to its strong economy and the diversity of its business sectors,”</w:t>
      </w:r>
      <w:r>
        <w:rPr>
          <w:rFonts w:ascii="Arial" w:hAnsi="Arial"/>
          <w:sz w:val="20"/>
          <w:szCs w:val="20"/>
        </w:rPr>
        <w:t xml:space="preserve"> says </w:t>
      </w:r>
      <w:r>
        <w:rPr>
          <w:rFonts w:ascii="Arial" w:hAnsi="Arial"/>
          <w:b/>
          <w:sz w:val="20"/>
          <w:szCs w:val="20"/>
        </w:rPr>
        <w:t>Sandra Ludwig</w:t>
      </w:r>
      <w:r>
        <w:rPr>
          <w:rFonts w:ascii="Arial" w:hAnsi="Arial"/>
          <w:sz w:val="20"/>
          <w:szCs w:val="20"/>
        </w:rPr>
        <w:t>, new managing director at Grossmann &amp; Berger, a member of G</w:t>
      </w:r>
      <w:r w:rsidR="004C21B7">
        <w:rPr>
          <w:rFonts w:ascii="Arial" w:hAnsi="Arial"/>
          <w:sz w:val="20"/>
          <w:szCs w:val="20"/>
        </w:rPr>
        <w:t xml:space="preserve">erman </w:t>
      </w:r>
      <w:r>
        <w:rPr>
          <w:rFonts w:ascii="Arial" w:hAnsi="Arial"/>
          <w:sz w:val="20"/>
          <w:szCs w:val="20"/>
        </w:rPr>
        <w:t>P</w:t>
      </w:r>
      <w:r w:rsidR="004C21B7">
        <w:rPr>
          <w:rFonts w:ascii="Arial" w:hAnsi="Arial"/>
          <w:sz w:val="20"/>
          <w:szCs w:val="20"/>
        </w:rPr>
        <w:t xml:space="preserve">roperty </w:t>
      </w:r>
      <w:r>
        <w:rPr>
          <w:rFonts w:ascii="Arial" w:hAnsi="Arial"/>
          <w:sz w:val="20"/>
          <w:szCs w:val="20"/>
        </w:rPr>
        <w:t>P</w:t>
      </w:r>
      <w:r w:rsidR="004C21B7">
        <w:rPr>
          <w:rFonts w:ascii="Arial" w:hAnsi="Arial"/>
          <w:sz w:val="20"/>
          <w:szCs w:val="20"/>
        </w:rPr>
        <w:t>artners (GPP)</w:t>
      </w:r>
      <w:r>
        <w:rPr>
          <w:rFonts w:ascii="Arial" w:hAnsi="Arial"/>
          <w:sz w:val="20"/>
          <w:szCs w:val="20"/>
        </w:rPr>
        <w:t xml:space="preserve">. </w:t>
      </w:r>
      <w:r>
        <w:rPr>
          <w:rFonts w:ascii="Arial" w:hAnsi="Arial"/>
          <w:i/>
          <w:sz w:val="20"/>
          <w:szCs w:val="20"/>
        </w:rPr>
        <w:t>“Investors increasingly chose the safe options, i.e. core office real estate and avoided the greater risks of hotel and retail properties, whose businesses have been more affected by the pandemic</w:t>
      </w:r>
      <w:r>
        <w:rPr>
          <w:rFonts w:ascii="Arial" w:hAnsi="Arial"/>
          <w:sz w:val="20"/>
          <w:szCs w:val="20"/>
        </w:rPr>
        <w:t>.</w:t>
      </w:r>
      <w:r>
        <w:rPr>
          <w:rFonts w:ascii="Arial" w:hAnsi="Arial"/>
          <w:i/>
          <w:sz w:val="20"/>
          <w:szCs w:val="20"/>
        </w:rPr>
        <w:t xml:space="preserve"> This trend is likely to continue </w:t>
      </w:r>
      <w:r w:rsidR="00B77F2F">
        <w:rPr>
          <w:rFonts w:ascii="Arial" w:hAnsi="Arial"/>
          <w:i/>
          <w:sz w:val="20"/>
          <w:szCs w:val="20"/>
        </w:rPr>
        <w:t>2021</w:t>
      </w:r>
      <w:r>
        <w:rPr>
          <w:rFonts w:ascii="Arial" w:hAnsi="Arial"/>
          <w:i/>
          <w:sz w:val="20"/>
          <w:szCs w:val="20"/>
        </w:rPr>
        <w:t xml:space="preserve"> too.” </w:t>
      </w:r>
    </w:p>
    <w:p w14:paraId="04B89B28" w14:textId="392509B3" w:rsidR="00FC1ADD" w:rsidRPr="00D35A6D" w:rsidRDefault="00FC1ADD" w:rsidP="00906FC5">
      <w:pPr>
        <w:spacing w:after="0" w:line="360" w:lineRule="auto"/>
        <w:rPr>
          <w:rFonts w:ascii="Arial" w:hAnsi="Arial" w:cs="Arial"/>
          <w:sz w:val="18"/>
          <w:szCs w:val="20"/>
        </w:rPr>
      </w:pPr>
    </w:p>
    <w:p w14:paraId="243044D2" w14:textId="125A4A20" w:rsidR="00EF7DDD" w:rsidRPr="00ED0267" w:rsidRDefault="00F4209C" w:rsidP="00061A84">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248E0726" w14:textId="35D00528" w:rsidR="007F7422" w:rsidRPr="007202BB" w:rsidRDefault="00A25F99" w:rsidP="00792145">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The top priority for most investors in 2020 was to minimize risk. Accordingly, 43 % of the volume traded (€2.29bn) related</w:t>
      </w:r>
      <w:r w:rsidR="000B0F6C">
        <w:rPr>
          <w:rFonts w:ascii="Arial" w:hAnsi="Arial"/>
          <w:sz w:val="20"/>
          <w:szCs w:val="20"/>
        </w:rPr>
        <w:t xml:space="preserve"> to properties in Hamburg City.</w:t>
      </w:r>
    </w:p>
    <w:p w14:paraId="0917CAD7" w14:textId="019FFE8A" w:rsidR="0056775C" w:rsidRPr="007202BB" w:rsidRDefault="00440A2E" w:rsidP="00D76449">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A further indication that buyers were focussing on core properties came from the 15 trades priced at over €100m each, which dominated the market and accounted for a share of 52 % (2019: 10 trades, 33 %). The average purchase price per property rose to a new record level of €48m (2019: €37m). </w:t>
      </w:r>
    </w:p>
    <w:p w14:paraId="64B30624" w14:textId="37096D4E" w:rsidR="007F7422" w:rsidRPr="007202BB" w:rsidRDefault="00D76449" w:rsidP="00061A84">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Although the issue of working from home was omnipresent, investors still place faith in office blocks, which remained the most popular real estate investment, comprising 53 % of total trades. Retail shop properties, badly hit by the lockdown, accounted for 15 %. Hotels, however, were given a wide berth by most investors (2 %). </w:t>
      </w:r>
    </w:p>
    <w:p w14:paraId="4A391FE3" w14:textId="27540947" w:rsidR="000C30AB" w:rsidRPr="007202BB" w:rsidRDefault="000C30AB" w:rsidP="00061A84">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Whereas portfolio sales had pushed up the volume of transactions in the middle of the year, they played only a minor role at the end of 2020. Accounting for a 27 % share, their volume fell well below the prior year (40 %). </w:t>
      </w:r>
    </w:p>
    <w:p w14:paraId="1DB744CD" w14:textId="77777777" w:rsidR="004C21B7" w:rsidRPr="004C21B7" w:rsidRDefault="0073549D" w:rsidP="00725AA9">
      <w:pPr>
        <w:pStyle w:val="Listenabsatz"/>
        <w:numPr>
          <w:ilvl w:val="0"/>
          <w:numId w:val="16"/>
        </w:numPr>
        <w:spacing w:after="0" w:line="360" w:lineRule="auto"/>
        <w:ind w:left="425" w:hanging="357"/>
        <w:textAlignment w:val="baseline"/>
        <w:rPr>
          <w:rFonts w:ascii="Arial" w:hAnsi="Arial" w:cs="Arial"/>
          <w:sz w:val="20"/>
          <w:szCs w:val="20"/>
        </w:rPr>
      </w:pPr>
      <w:r w:rsidRPr="004C21B7">
        <w:rPr>
          <w:rFonts w:ascii="Arial" w:hAnsi="Arial"/>
          <w:sz w:val="20"/>
          <w:szCs w:val="20"/>
        </w:rPr>
        <w:t xml:space="preserve">Prime yields on the asset class which seems crisis-proof, logistics properties, contracted year on year to 4.00 %. The prime yield on logistics properties will probably fall further, as has already happened at other top locations. On offices and commercial buildings the figures were unchanged year on year at </w:t>
      </w:r>
      <w:r w:rsidR="004C21B7">
        <w:rPr>
          <w:rFonts w:ascii="Arial" w:hAnsi="Arial"/>
          <w:sz w:val="20"/>
          <w:szCs w:val="20"/>
        </w:rPr>
        <w:t>2.80 % and 2.70 % respectively.</w:t>
      </w:r>
    </w:p>
    <w:p w14:paraId="5E40163B" w14:textId="79FFCF05" w:rsidR="008A2BA4" w:rsidRPr="00B7444E" w:rsidRDefault="005B78B1" w:rsidP="00725AA9">
      <w:pPr>
        <w:pStyle w:val="Listenabsatz"/>
        <w:numPr>
          <w:ilvl w:val="0"/>
          <w:numId w:val="16"/>
        </w:numPr>
        <w:spacing w:after="0" w:line="360" w:lineRule="auto"/>
        <w:ind w:left="425" w:hanging="357"/>
        <w:textAlignment w:val="baseline"/>
        <w:rPr>
          <w:rFonts w:ascii="Arial" w:hAnsi="Arial" w:cs="Arial"/>
          <w:sz w:val="20"/>
          <w:szCs w:val="20"/>
        </w:rPr>
      </w:pPr>
      <w:r w:rsidRPr="004C21B7">
        <w:rPr>
          <w:rFonts w:ascii="Arial" w:hAnsi="Arial"/>
          <w:sz w:val="20"/>
          <w:szCs w:val="20"/>
        </w:rPr>
        <w:lastRenderedPageBreak/>
        <w:t xml:space="preserve">The current crisis has caused some investors to adjust their strategies. They focus on properties let to good tenants in attractive locations. This trend is likely to persist while the crisis lasts. It would seem unlikely that the good result of 2020 will be repeated </w:t>
      </w:r>
      <w:r w:rsidR="007B0EB3">
        <w:rPr>
          <w:rFonts w:ascii="Arial" w:hAnsi="Arial"/>
          <w:sz w:val="20"/>
          <w:szCs w:val="20"/>
        </w:rPr>
        <w:t>2021</w:t>
      </w:r>
      <w:r w:rsidRPr="004C21B7">
        <w:rPr>
          <w:rFonts w:ascii="Arial" w:hAnsi="Arial"/>
          <w:sz w:val="20"/>
          <w:szCs w:val="20"/>
        </w:rPr>
        <w:t xml:space="preserve">. </w:t>
      </w:r>
    </w:p>
    <w:p w14:paraId="4B9D741A" w14:textId="0B2E5037" w:rsidR="00B7444E" w:rsidRPr="00B7444E" w:rsidRDefault="00B7444E" w:rsidP="00B7444E">
      <w:pPr>
        <w:spacing w:after="0" w:line="360" w:lineRule="auto"/>
        <w:ind w:left="68"/>
        <w:textAlignment w:val="baselin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240" behindDoc="0" locked="0" layoutInCell="1" allowOverlap="1" wp14:anchorId="7FC766F8" wp14:editId="609EC985">
            <wp:simplePos x="0" y="0"/>
            <wp:positionH relativeFrom="column">
              <wp:posOffset>3223270</wp:posOffset>
            </wp:positionH>
            <wp:positionV relativeFrom="paragraph">
              <wp:posOffset>296545</wp:posOffset>
            </wp:positionV>
            <wp:extent cx="3097530" cy="2296795"/>
            <wp:effectExtent l="19050" t="19050" r="26670" b="273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stment-market-Hamburg-4Q2020-tav-en.JPG"/>
                    <pic:cNvPicPr/>
                  </pic:nvPicPr>
                  <pic:blipFill>
                    <a:blip r:embed="rId8">
                      <a:extLst>
                        <a:ext uri="{28A0092B-C50C-407E-A947-70E740481C1C}">
                          <a14:useLocalDpi xmlns:a14="http://schemas.microsoft.com/office/drawing/2010/main" val="0"/>
                        </a:ext>
                      </a:extLst>
                    </a:blip>
                    <a:stretch>
                      <a:fillRect/>
                    </a:stretch>
                  </pic:blipFill>
                  <pic:spPr>
                    <a:xfrm>
                      <a:off x="0" y="0"/>
                      <a:ext cx="3097530" cy="2296795"/>
                    </a:xfrm>
                    <a:prstGeom prst="rect">
                      <a:avLst/>
                    </a:prstGeom>
                    <a:ln w="3175">
                      <a:solidFill>
                        <a:schemeClr val="tx1">
                          <a:lumMod val="100000"/>
                          <a:lumOff val="0"/>
                        </a:schemeClr>
                      </a:solidFill>
                    </a:ln>
                  </pic:spPr>
                </pic:pic>
              </a:graphicData>
            </a:graphic>
            <wp14:sizeRelH relativeFrom="margin">
              <wp14:pctWidth>0</wp14:pctWidth>
            </wp14:sizeRelH>
            <wp14:sizeRelV relativeFrom="margin">
              <wp14:pctHeight>0</wp14:pctHeight>
            </wp14:sizeRelV>
          </wp:anchor>
        </w:drawing>
      </w:r>
    </w:p>
    <w:tbl>
      <w:tblPr>
        <w:tblStyle w:val="TableGrid2"/>
        <w:tblpPr w:leftFromText="141" w:rightFromText="141" w:vertAnchor="text" w:horzAnchor="margin" w:tblpY="106"/>
        <w:tblW w:w="0" w:type="auto"/>
        <w:tblLook w:val="04A0" w:firstRow="1" w:lastRow="0" w:firstColumn="1" w:lastColumn="0" w:noHBand="0" w:noVBand="1"/>
      </w:tblPr>
      <w:tblGrid>
        <w:gridCol w:w="3823"/>
        <w:gridCol w:w="1134"/>
      </w:tblGrid>
      <w:tr w:rsidR="000A5ED1" w:rsidRPr="006F49D0" w14:paraId="2928D7C9" w14:textId="77777777" w:rsidTr="00365AF8">
        <w:trPr>
          <w:trHeight w:val="283"/>
        </w:trPr>
        <w:tc>
          <w:tcPr>
            <w:tcW w:w="0" w:type="auto"/>
            <w:shd w:val="clear" w:color="auto" w:fill="1F242B" w:themeFill="accent2"/>
          </w:tcPr>
          <w:p w14:paraId="513B5E89" w14:textId="0E2F594A" w:rsidR="000A5ED1" w:rsidRPr="00060752" w:rsidRDefault="000A5ED1" w:rsidP="00CD6BD0">
            <w:pPr>
              <w:widowControl w:val="0"/>
              <w:spacing w:before="60" w:after="60"/>
              <w:jc w:val="both"/>
              <w:rPr>
                <w:rFonts w:ascii="Arial" w:hAnsi="Arial" w:cs="Arial"/>
                <w:b/>
                <w:sz w:val="18"/>
                <w:szCs w:val="18"/>
              </w:rPr>
            </w:pPr>
            <w:r>
              <w:rPr>
                <w:rFonts w:ascii="Arial" w:hAnsi="Arial"/>
                <w:b/>
                <w:sz w:val="18"/>
                <w:szCs w:val="18"/>
              </w:rPr>
              <w:t>Investment market | Hamburg</w:t>
            </w:r>
            <w:r>
              <w:rPr>
                <w:sz w:val="18"/>
                <w:szCs w:val="18"/>
              </w:rPr>
              <w:t xml:space="preserve"> </w:t>
            </w:r>
            <w:r>
              <w:rPr>
                <w:rFonts w:ascii="Arial" w:hAnsi="Arial"/>
                <w:b/>
                <w:sz w:val="18"/>
                <w:szCs w:val="18"/>
              </w:rPr>
              <w:t>| 2020</w:t>
            </w:r>
          </w:p>
        </w:tc>
        <w:tc>
          <w:tcPr>
            <w:tcW w:w="1134" w:type="dxa"/>
            <w:shd w:val="clear" w:color="auto" w:fill="1F242B" w:themeFill="accent2"/>
          </w:tcPr>
          <w:p w14:paraId="6DA68AD4" w14:textId="14752B88" w:rsidR="000A5ED1" w:rsidRPr="00060752" w:rsidRDefault="002D4BA8" w:rsidP="00465B0E">
            <w:pPr>
              <w:widowControl w:val="0"/>
              <w:spacing w:before="60" w:after="60"/>
              <w:jc w:val="center"/>
              <w:rPr>
                <w:rFonts w:ascii="Arial" w:hAnsi="Arial" w:cs="Arial"/>
                <w:b/>
                <w:sz w:val="18"/>
                <w:szCs w:val="18"/>
              </w:rPr>
            </w:pPr>
            <w:r>
              <w:rPr>
                <w:rFonts w:ascii="Arial" w:hAnsi="Arial"/>
                <w:b/>
                <w:sz w:val="18"/>
                <w:szCs w:val="18"/>
              </w:rPr>
              <w:t>Q1</w:t>
            </w:r>
            <w:r w:rsidR="000A5ED1">
              <w:rPr>
                <w:rFonts w:ascii="Arial" w:hAnsi="Arial"/>
                <w:b/>
                <w:sz w:val="18"/>
                <w:szCs w:val="18"/>
              </w:rPr>
              <w:t>-4</w:t>
            </w:r>
          </w:p>
        </w:tc>
      </w:tr>
      <w:tr w:rsidR="00797E4F" w:rsidRPr="006F49D0" w14:paraId="12A35FD1" w14:textId="77777777" w:rsidTr="00365AF8">
        <w:trPr>
          <w:trHeight w:val="283"/>
        </w:trPr>
        <w:tc>
          <w:tcPr>
            <w:tcW w:w="3823" w:type="dxa"/>
          </w:tcPr>
          <w:p w14:paraId="1EEAFBBC" w14:textId="7D79639C" w:rsidR="00797E4F" w:rsidRPr="004712BA" w:rsidRDefault="00797E4F" w:rsidP="00E17864">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37C81A3D" w14:textId="65484BC8" w:rsidR="00797E4F" w:rsidRPr="007202BB" w:rsidRDefault="007B66A9" w:rsidP="002E3440">
            <w:pPr>
              <w:widowControl w:val="0"/>
              <w:spacing w:before="40" w:after="40"/>
              <w:jc w:val="right"/>
              <w:rPr>
                <w:rFonts w:ascii="Arial" w:hAnsi="Arial" w:cs="Arial"/>
                <w:sz w:val="18"/>
                <w:szCs w:val="16"/>
              </w:rPr>
            </w:pPr>
            <w:r>
              <w:rPr>
                <w:rFonts w:ascii="Arial" w:hAnsi="Arial"/>
                <w:sz w:val="18"/>
                <w:szCs w:val="16"/>
              </w:rPr>
              <w:t>5,370</w:t>
            </w:r>
          </w:p>
        </w:tc>
      </w:tr>
      <w:tr w:rsidR="00797E4F" w:rsidRPr="006F49D0" w14:paraId="6A7ABFCD" w14:textId="77777777" w:rsidTr="00365AF8">
        <w:trPr>
          <w:trHeight w:val="283"/>
        </w:trPr>
        <w:tc>
          <w:tcPr>
            <w:tcW w:w="3823" w:type="dxa"/>
          </w:tcPr>
          <w:p w14:paraId="209F9D9C" w14:textId="77777777"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266E247E" w14:textId="2B15E549" w:rsidR="00797E4F" w:rsidRPr="007202BB" w:rsidRDefault="003B0F06" w:rsidP="007202BB">
            <w:pPr>
              <w:widowControl w:val="0"/>
              <w:spacing w:before="40" w:after="40"/>
              <w:jc w:val="right"/>
              <w:rPr>
                <w:rFonts w:ascii="Arial" w:hAnsi="Arial" w:cs="Arial"/>
                <w:sz w:val="18"/>
                <w:szCs w:val="16"/>
              </w:rPr>
            </w:pPr>
            <w:r>
              <w:rPr>
                <w:rFonts w:ascii="Arial" w:hAnsi="Arial"/>
                <w:sz w:val="18"/>
                <w:szCs w:val="16"/>
              </w:rPr>
              <w:t>+24</w:t>
            </w:r>
          </w:p>
        </w:tc>
      </w:tr>
      <w:tr w:rsidR="00797E4F" w:rsidRPr="006F49D0" w14:paraId="1F46D6E3" w14:textId="77777777" w:rsidTr="00365AF8">
        <w:trPr>
          <w:trHeight w:val="283"/>
        </w:trPr>
        <w:tc>
          <w:tcPr>
            <w:tcW w:w="3823" w:type="dxa"/>
          </w:tcPr>
          <w:p w14:paraId="021D0700" w14:textId="77777777" w:rsidR="00797E4F" w:rsidRPr="00A7575D" w:rsidRDefault="00797E4F" w:rsidP="00797E4F">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2EA23137" w14:textId="4071748A" w:rsidR="00797E4F" w:rsidRPr="007202BB" w:rsidRDefault="007202BB" w:rsidP="000B7D28">
            <w:pPr>
              <w:widowControl w:val="0"/>
              <w:spacing w:before="40" w:after="40"/>
              <w:jc w:val="right"/>
              <w:rPr>
                <w:rFonts w:ascii="Arial" w:hAnsi="Arial" w:cs="Arial"/>
                <w:sz w:val="18"/>
                <w:szCs w:val="16"/>
              </w:rPr>
            </w:pPr>
            <w:r>
              <w:rPr>
                <w:rFonts w:ascii="Arial" w:hAnsi="Arial"/>
                <w:sz w:val="18"/>
                <w:szCs w:val="16"/>
              </w:rPr>
              <w:t>43</w:t>
            </w:r>
          </w:p>
        </w:tc>
      </w:tr>
      <w:tr w:rsidR="00797E4F" w:rsidRPr="006F49D0" w14:paraId="1F687A93" w14:textId="77777777" w:rsidTr="00365AF8">
        <w:trPr>
          <w:trHeight w:val="283"/>
        </w:trPr>
        <w:tc>
          <w:tcPr>
            <w:tcW w:w="3823" w:type="dxa"/>
          </w:tcPr>
          <w:p w14:paraId="7BAE8D04" w14:textId="77777777" w:rsidR="00797E4F" w:rsidRPr="00CF57DD" w:rsidRDefault="00797E4F" w:rsidP="00797E4F">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7264C863" w14:textId="4F4E521A" w:rsidR="00797E4F" w:rsidRPr="007202BB" w:rsidRDefault="007202BB" w:rsidP="002E3440">
            <w:pPr>
              <w:widowControl w:val="0"/>
              <w:spacing w:before="40" w:after="40"/>
              <w:jc w:val="right"/>
              <w:rPr>
                <w:rFonts w:ascii="Arial" w:hAnsi="Arial" w:cs="Arial"/>
                <w:sz w:val="18"/>
                <w:szCs w:val="16"/>
              </w:rPr>
            </w:pPr>
            <w:r>
              <w:rPr>
                <w:rFonts w:ascii="Arial" w:hAnsi="Arial"/>
                <w:sz w:val="18"/>
                <w:szCs w:val="16"/>
              </w:rPr>
              <w:t>38</w:t>
            </w:r>
          </w:p>
        </w:tc>
      </w:tr>
      <w:tr w:rsidR="00797E4F" w:rsidRPr="006F49D0" w14:paraId="16A9EFD5" w14:textId="77777777" w:rsidTr="00365AF8">
        <w:trPr>
          <w:trHeight w:val="283"/>
        </w:trPr>
        <w:tc>
          <w:tcPr>
            <w:tcW w:w="3823" w:type="dxa"/>
          </w:tcPr>
          <w:p w14:paraId="776A8B5E" w14:textId="7BB3F725"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office</w:t>
            </w:r>
            <w:r w:rsidR="00B7444E">
              <w:rPr>
                <w:rFonts w:ascii="Arial" w:hAnsi="Arial"/>
                <w:b/>
                <w:sz w:val="18"/>
                <w:szCs w:val="16"/>
              </w:rPr>
              <w:t>s</w:t>
            </w:r>
            <w:r>
              <w:rPr>
                <w:rFonts w:ascii="Arial" w:hAnsi="Arial"/>
                <w:sz w:val="18"/>
                <w:szCs w:val="16"/>
              </w:rPr>
              <w:t xml:space="preserve"> [%]</w:t>
            </w:r>
          </w:p>
        </w:tc>
        <w:tc>
          <w:tcPr>
            <w:tcW w:w="1134" w:type="dxa"/>
            <w:vAlign w:val="center"/>
          </w:tcPr>
          <w:p w14:paraId="4D71828B" w14:textId="717A48C3" w:rsidR="00797E4F" w:rsidRPr="007202BB" w:rsidRDefault="00277361" w:rsidP="000B7D28">
            <w:pPr>
              <w:widowControl w:val="0"/>
              <w:spacing w:before="40" w:after="40"/>
              <w:jc w:val="right"/>
              <w:rPr>
                <w:rFonts w:ascii="Arial" w:hAnsi="Arial" w:cs="Arial"/>
                <w:sz w:val="18"/>
                <w:szCs w:val="16"/>
              </w:rPr>
            </w:pPr>
            <w:r>
              <w:rPr>
                <w:rFonts w:ascii="Arial" w:hAnsi="Arial"/>
                <w:sz w:val="18"/>
                <w:szCs w:val="16"/>
              </w:rPr>
              <w:t>2.80</w:t>
            </w:r>
          </w:p>
        </w:tc>
      </w:tr>
      <w:tr w:rsidR="00797E4F" w14:paraId="55B3498E" w14:textId="77777777" w:rsidTr="00365AF8">
        <w:trPr>
          <w:trHeight w:val="283"/>
        </w:trPr>
        <w:tc>
          <w:tcPr>
            <w:tcW w:w="3823" w:type="dxa"/>
          </w:tcPr>
          <w:p w14:paraId="10626FFC" w14:textId="3379598B" w:rsidR="00797E4F" w:rsidRPr="00A7575D" w:rsidRDefault="00797E4F" w:rsidP="0057685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2B6ED377" w14:textId="3DE00338" w:rsidR="00797E4F" w:rsidRPr="007202BB" w:rsidRDefault="00277361" w:rsidP="000B7D28">
            <w:pPr>
              <w:widowControl w:val="0"/>
              <w:spacing w:before="40" w:after="40"/>
              <w:jc w:val="right"/>
              <w:rPr>
                <w:rFonts w:ascii="Arial" w:hAnsi="Arial" w:cs="Arial"/>
                <w:sz w:val="18"/>
                <w:szCs w:val="16"/>
              </w:rPr>
            </w:pPr>
            <w:r>
              <w:rPr>
                <w:rFonts w:ascii="Arial" w:hAnsi="Arial"/>
                <w:sz w:val="18"/>
                <w:szCs w:val="16"/>
              </w:rPr>
              <w:t>±0.00</w:t>
            </w:r>
          </w:p>
        </w:tc>
      </w:tr>
      <w:tr w:rsidR="00797E4F" w:rsidRPr="006F49D0" w14:paraId="3FF9A817" w14:textId="77777777" w:rsidTr="00365AF8">
        <w:trPr>
          <w:trHeight w:val="283"/>
        </w:trPr>
        <w:tc>
          <w:tcPr>
            <w:tcW w:w="3823" w:type="dxa"/>
          </w:tcPr>
          <w:p w14:paraId="5A19B7CF"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27AD5745" w14:textId="50D777AC" w:rsidR="00797E4F" w:rsidRPr="007202BB" w:rsidRDefault="00277361" w:rsidP="000B7D28">
            <w:pPr>
              <w:widowControl w:val="0"/>
              <w:spacing w:before="40" w:after="40"/>
              <w:jc w:val="right"/>
              <w:rPr>
                <w:rFonts w:ascii="Arial" w:hAnsi="Arial" w:cs="Arial"/>
                <w:sz w:val="18"/>
                <w:szCs w:val="16"/>
              </w:rPr>
            </w:pPr>
            <w:r>
              <w:rPr>
                <w:rFonts w:ascii="Arial" w:hAnsi="Arial"/>
                <w:sz w:val="18"/>
                <w:szCs w:val="16"/>
              </w:rPr>
              <w:t>2.70</w:t>
            </w:r>
          </w:p>
        </w:tc>
      </w:tr>
      <w:tr w:rsidR="00797E4F" w14:paraId="0515B637" w14:textId="77777777" w:rsidTr="00365AF8">
        <w:trPr>
          <w:trHeight w:val="283"/>
        </w:trPr>
        <w:tc>
          <w:tcPr>
            <w:tcW w:w="3823" w:type="dxa"/>
          </w:tcPr>
          <w:p w14:paraId="67B252C5" w14:textId="516CED9B"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3F1E364B" w14:textId="61527676" w:rsidR="00797E4F" w:rsidRPr="007202BB" w:rsidRDefault="00277361" w:rsidP="000B7D28">
            <w:pPr>
              <w:widowControl w:val="0"/>
              <w:spacing w:before="40" w:after="40"/>
              <w:jc w:val="right"/>
              <w:rPr>
                <w:rFonts w:ascii="Arial" w:hAnsi="Arial" w:cs="Arial"/>
                <w:sz w:val="18"/>
                <w:szCs w:val="16"/>
              </w:rPr>
            </w:pPr>
            <w:r>
              <w:rPr>
                <w:rFonts w:ascii="Arial" w:hAnsi="Arial"/>
                <w:sz w:val="18"/>
                <w:szCs w:val="16"/>
              </w:rPr>
              <w:t>±0.00</w:t>
            </w:r>
          </w:p>
        </w:tc>
      </w:tr>
      <w:tr w:rsidR="00797E4F" w:rsidRPr="006F49D0" w14:paraId="5FADA812" w14:textId="77777777" w:rsidTr="00365AF8">
        <w:trPr>
          <w:trHeight w:val="283"/>
        </w:trPr>
        <w:tc>
          <w:tcPr>
            <w:tcW w:w="3823" w:type="dxa"/>
          </w:tcPr>
          <w:p w14:paraId="2CFBFCBA"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5A1B2D82" w14:textId="31EAE06C" w:rsidR="00797E4F" w:rsidRPr="007202BB" w:rsidRDefault="00277361" w:rsidP="000B7D28">
            <w:pPr>
              <w:widowControl w:val="0"/>
              <w:spacing w:before="40" w:after="40"/>
              <w:jc w:val="right"/>
              <w:rPr>
                <w:rFonts w:ascii="Arial" w:hAnsi="Arial" w:cs="Arial"/>
                <w:sz w:val="18"/>
                <w:szCs w:val="16"/>
              </w:rPr>
            </w:pPr>
            <w:r>
              <w:rPr>
                <w:rFonts w:ascii="Arial" w:hAnsi="Arial"/>
                <w:sz w:val="18"/>
                <w:szCs w:val="16"/>
              </w:rPr>
              <w:t>4.00</w:t>
            </w:r>
          </w:p>
        </w:tc>
      </w:tr>
      <w:tr w:rsidR="00797E4F" w14:paraId="20B8D9B7" w14:textId="77777777" w:rsidTr="00365AF8">
        <w:trPr>
          <w:trHeight w:val="283"/>
        </w:trPr>
        <w:tc>
          <w:tcPr>
            <w:tcW w:w="3823" w:type="dxa"/>
          </w:tcPr>
          <w:p w14:paraId="24159E32" w14:textId="5AE4316B"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6C62ADF7" w14:textId="1E4577B6" w:rsidR="00797E4F" w:rsidRPr="007202BB" w:rsidRDefault="00313876" w:rsidP="000B7D28">
            <w:pPr>
              <w:widowControl w:val="0"/>
              <w:spacing w:before="40" w:after="40"/>
              <w:jc w:val="right"/>
              <w:rPr>
                <w:rFonts w:ascii="Arial" w:hAnsi="Arial" w:cs="Arial"/>
                <w:sz w:val="18"/>
                <w:szCs w:val="16"/>
              </w:rPr>
            </w:pPr>
            <w:r>
              <w:rPr>
                <w:rFonts w:ascii="Arial" w:hAnsi="Arial"/>
                <w:sz w:val="18"/>
                <w:szCs w:val="16"/>
              </w:rPr>
              <w:t>-0.25</w:t>
            </w:r>
          </w:p>
        </w:tc>
      </w:tr>
      <w:tr w:rsidR="00797E4F" w:rsidRPr="006F49D0" w14:paraId="258FCBB3" w14:textId="77777777" w:rsidTr="00365AF8">
        <w:trPr>
          <w:trHeight w:val="283"/>
        </w:trPr>
        <w:tc>
          <w:tcPr>
            <w:tcW w:w="3823" w:type="dxa"/>
            <w:tcBorders>
              <w:bottom w:val="single" w:sz="4" w:space="0" w:color="auto"/>
            </w:tcBorders>
          </w:tcPr>
          <w:p w14:paraId="6E84F40E"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7D93AE39" w14:textId="6107A027" w:rsidR="00797E4F" w:rsidRPr="007202BB" w:rsidRDefault="004C3F94" w:rsidP="000B7D28">
            <w:pPr>
              <w:widowControl w:val="0"/>
              <w:spacing w:before="40" w:after="40"/>
              <w:jc w:val="right"/>
              <w:rPr>
                <w:rFonts w:ascii="Arial" w:hAnsi="Arial" w:cs="Arial"/>
                <w:sz w:val="18"/>
                <w:szCs w:val="16"/>
              </w:rPr>
            </w:pPr>
            <w:r>
              <w:rPr>
                <w:rFonts w:ascii="Arial" w:hAnsi="Arial"/>
                <w:sz w:val="18"/>
                <w:szCs w:val="16"/>
              </w:rPr>
              <w:t>Offices</w:t>
            </w:r>
          </w:p>
        </w:tc>
      </w:tr>
      <w:tr w:rsidR="00797E4F" w:rsidRPr="006F49D0" w14:paraId="15F08F3E" w14:textId="77777777" w:rsidTr="00365AF8">
        <w:trPr>
          <w:trHeight w:val="283"/>
        </w:trPr>
        <w:tc>
          <w:tcPr>
            <w:tcW w:w="3823" w:type="dxa"/>
            <w:tcBorders>
              <w:bottom w:val="single" w:sz="4" w:space="0" w:color="auto"/>
            </w:tcBorders>
          </w:tcPr>
          <w:p w14:paraId="188669C5"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779478F0" w14:textId="32976B53" w:rsidR="00797E4F" w:rsidRPr="007202BB" w:rsidRDefault="00ED0267" w:rsidP="002E3440">
            <w:pPr>
              <w:widowControl w:val="0"/>
              <w:spacing w:before="40" w:after="40"/>
              <w:jc w:val="right"/>
              <w:rPr>
                <w:rFonts w:ascii="Arial" w:hAnsi="Arial" w:cs="Arial"/>
                <w:sz w:val="18"/>
                <w:szCs w:val="16"/>
              </w:rPr>
            </w:pPr>
            <w:r>
              <w:rPr>
                <w:rFonts w:ascii="Arial" w:hAnsi="Arial"/>
                <w:sz w:val="18"/>
                <w:szCs w:val="16"/>
              </w:rPr>
              <w:t>53</w:t>
            </w:r>
          </w:p>
        </w:tc>
      </w:tr>
    </w:tbl>
    <w:p w14:paraId="7AFFF209" w14:textId="4123855B" w:rsidR="000A5ED1" w:rsidRPr="00B26FFD" w:rsidRDefault="000A5ED1" w:rsidP="000A5ED1">
      <w:pPr>
        <w:spacing w:after="0" w:line="360" w:lineRule="auto"/>
        <w:ind w:left="66"/>
        <w:textAlignment w:val="baseline"/>
        <w:rPr>
          <w:rFonts w:ascii="Arial" w:hAnsi="Arial" w:cs="Arial"/>
          <w:sz w:val="20"/>
          <w:szCs w:val="20"/>
        </w:rPr>
      </w:pPr>
    </w:p>
    <w:p w14:paraId="664A1698" w14:textId="77777777" w:rsidR="007C0ABB" w:rsidRDefault="007C0ABB" w:rsidP="000A5ED1">
      <w:pPr>
        <w:spacing w:after="0" w:line="360" w:lineRule="auto"/>
        <w:rPr>
          <w:rFonts w:ascii="Arial" w:eastAsia="Arial" w:hAnsi="Arial" w:cs="Arial"/>
          <w:b/>
          <w:color w:val="000000" w:themeColor="text1"/>
          <w:sz w:val="20"/>
          <w:szCs w:val="20"/>
        </w:rPr>
      </w:pPr>
    </w:p>
    <w:p w14:paraId="29B26E04" w14:textId="515175DB" w:rsidR="00A0600B" w:rsidRPr="00A0600B" w:rsidRDefault="00713D81" w:rsidP="008327E5">
      <w:pPr>
        <w:rPr>
          <w:rFonts w:ascii="Arial" w:hAnsi="Arial" w:cs="Arial"/>
          <w:b/>
          <w:sz w:val="20"/>
          <w:szCs w:val="20"/>
        </w:rPr>
      </w:pPr>
      <w:r>
        <w:rPr>
          <w:rFonts w:ascii="Arial" w:hAnsi="Arial"/>
          <w:b/>
          <w:sz w:val="20"/>
          <w:szCs w:val="20"/>
        </w:rPr>
        <w:t>Selected top transactions | investments in Hamburg | 1st to 4th quarters 2020</w:t>
      </w:r>
    </w:p>
    <w:tbl>
      <w:tblPr>
        <w:tblStyle w:val="TableGrid1"/>
        <w:tblpPr w:leftFromText="141" w:rightFromText="141" w:vertAnchor="text" w:horzAnchor="margin" w:tblpY="61"/>
        <w:tblW w:w="10015" w:type="dxa"/>
        <w:tblLayout w:type="fixed"/>
        <w:tblLook w:val="04A0" w:firstRow="1" w:lastRow="0" w:firstColumn="1" w:lastColumn="0" w:noHBand="0" w:noVBand="1"/>
      </w:tblPr>
      <w:tblGrid>
        <w:gridCol w:w="2689"/>
        <w:gridCol w:w="1134"/>
        <w:gridCol w:w="1134"/>
        <w:gridCol w:w="2126"/>
        <w:gridCol w:w="1701"/>
        <w:gridCol w:w="1231"/>
      </w:tblGrid>
      <w:tr w:rsidR="0057685F" w:rsidRPr="006F49D0" w14:paraId="3881C746" w14:textId="77777777" w:rsidTr="00B7444E">
        <w:trPr>
          <w:trHeight w:val="567"/>
        </w:trPr>
        <w:tc>
          <w:tcPr>
            <w:tcW w:w="2689" w:type="dxa"/>
            <w:shd w:val="clear" w:color="auto" w:fill="1F242B" w:themeFill="accent2"/>
          </w:tcPr>
          <w:p w14:paraId="2D3315CD" w14:textId="0D0C7528" w:rsidR="00713D81" w:rsidRDefault="00B7444E" w:rsidP="00B7444E">
            <w:pPr>
              <w:spacing w:after="0"/>
              <w:jc w:val="center"/>
              <w:rPr>
                <w:rFonts w:ascii="Arial" w:hAnsi="Arial" w:cs="Arial"/>
                <w:b/>
                <w:sz w:val="18"/>
                <w:szCs w:val="16"/>
              </w:rPr>
            </w:pPr>
            <w:r>
              <w:rPr>
                <w:rFonts w:ascii="Arial" w:hAnsi="Arial"/>
                <w:b/>
                <w:sz w:val="18"/>
                <w:szCs w:val="16"/>
              </w:rPr>
              <w:br/>
            </w:r>
            <w:r w:rsidR="00713D81">
              <w:rPr>
                <w:rFonts w:ascii="Arial" w:hAnsi="Arial"/>
                <w:b/>
                <w:sz w:val="18"/>
                <w:szCs w:val="16"/>
              </w:rPr>
              <w:t>Project/property</w:t>
            </w:r>
          </w:p>
          <w:p w14:paraId="1BD8284D" w14:textId="2B0B7497" w:rsidR="00713D81" w:rsidRPr="00C626E7" w:rsidRDefault="00713D81" w:rsidP="00B7444E">
            <w:pPr>
              <w:spacing w:after="0"/>
              <w:jc w:val="center"/>
              <w:rPr>
                <w:rFonts w:ascii="Arial" w:hAnsi="Arial" w:cs="Arial"/>
                <w:b/>
                <w:sz w:val="18"/>
                <w:szCs w:val="16"/>
              </w:rPr>
            </w:pPr>
            <w:r>
              <w:rPr>
                <w:rFonts w:ascii="Arial" w:hAnsi="Arial"/>
                <w:b/>
                <w:sz w:val="18"/>
                <w:szCs w:val="16"/>
              </w:rPr>
              <w:t>Street no.</w:t>
            </w:r>
          </w:p>
        </w:tc>
        <w:tc>
          <w:tcPr>
            <w:tcW w:w="1134" w:type="dxa"/>
            <w:shd w:val="clear" w:color="auto" w:fill="1F242B" w:themeFill="accent2"/>
          </w:tcPr>
          <w:p w14:paraId="4E8EC8BF" w14:textId="4B090EEB" w:rsidR="00713D81" w:rsidRPr="009F10F1" w:rsidRDefault="00B7444E" w:rsidP="00B7444E">
            <w:pPr>
              <w:widowControl w:val="0"/>
              <w:spacing w:before="60" w:afterLines="60" w:after="144"/>
              <w:jc w:val="center"/>
              <w:rPr>
                <w:rFonts w:ascii="Arial" w:hAnsi="Arial" w:cs="Arial"/>
                <w:b/>
                <w:sz w:val="18"/>
                <w:szCs w:val="16"/>
              </w:rPr>
            </w:pPr>
            <w:r>
              <w:rPr>
                <w:rFonts w:ascii="Arial" w:hAnsi="Arial"/>
                <w:b/>
                <w:sz w:val="18"/>
                <w:szCs w:val="16"/>
              </w:rPr>
              <w:br/>
            </w:r>
            <w:r w:rsidR="00713D81">
              <w:rPr>
                <w:rFonts w:ascii="Arial" w:hAnsi="Arial"/>
                <w:b/>
                <w:sz w:val="18"/>
                <w:szCs w:val="16"/>
              </w:rPr>
              <w:t>Sub-market</w:t>
            </w:r>
          </w:p>
        </w:tc>
        <w:tc>
          <w:tcPr>
            <w:tcW w:w="1134" w:type="dxa"/>
            <w:shd w:val="clear" w:color="auto" w:fill="1F242B" w:themeFill="accent2"/>
          </w:tcPr>
          <w:p w14:paraId="56B818C2" w14:textId="75220DE4" w:rsidR="00713D81" w:rsidRPr="009F10F1" w:rsidRDefault="00B7444E" w:rsidP="00B7444E">
            <w:pPr>
              <w:widowControl w:val="0"/>
              <w:spacing w:before="60" w:afterLines="60" w:after="144"/>
              <w:jc w:val="center"/>
              <w:rPr>
                <w:rFonts w:ascii="Arial" w:hAnsi="Arial" w:cs="Arial"/>
                <w:b/>
                <w:sz w:val="18"/>
                <w:szCs w:val="16"/>
              </w:rPr>
            </w:pPr>
            <w:r>
              <w:rPr>
                <w:rFonts w:ascii="Arial" w:hAnsi="Arial"/>
                <w:b/>
                <w:sz w:val="18"/>
                <w:szCs w:val="16"/>
              </w:rPr>
              <w:br/>
            </w:r>
            <w:r w:rsidR="00713D81">
              <w:rPr>
                <w:rFonts w:ascii="Arial" w:hAnsi="Arial"/>
                <w:b/>
                <w:sz w:val="18"/>
                <w:szCs w:val="16"/>
              </w:rPr>
              <w:t>Asset class</w:t>
            </w:r>
          </w:p>
        </w:tc>
        <w:tc>
          <w:tcPr>
            <w:tcW w:w="2126" w:type="dxa"/>
            <w:shd w:val="clear" w:color="auto" w:fill="1F242B" w:themeFill="accent2"/>
          </w:tcPr>
          <w:p w14:paraId="6F9AAE5A" w14:textId="7345F895" w:rsidR="00713D81" w:rsidRPr="009F10F1" w:rsidRDefault="00B7444E" w:rsidP="00B7444E">
            <w:pPr>
              <w:widowControl w:val="0"/>
              <w:spacing w:before="60" w:afterLines="60" w:after="144"/>
              <w:jc w:val="center"/>
              <w:rPr>
                <w:rFonts w:ascii="Arial" w:hAnsi="Arial" w:cs="Arial"/>
                <w:b/>
                <w:sz w:val="18"/>
                <w:szCs w:val="16"/>
              </w:rPr>
            </w:pPr>
            <w:r>
              <w:rPr>
                <w:rFonts w:ascii="Arial" w:hAnsi="Arial"/>
                <w:b/>
                <w:sz w:val="18"/>
                <w:szCs w:val="16"/>
              </w:rPr>
              <w:br/>
            </w:r>
            <w:r w:rsidR="00D0004A">
              <w:rPr>
                <w:rFonts w:ascii="Arial" w:hAnsi="Arial"/>
                <w:b/>
                <w:sz w:val="18"/>
                <w:szCs w:val="16"/>
              </w:rPr>
              <w:t>Buyer/investor</w:t>
            </w:r>
          </w:p>
        </w:tc>
        <w:tc>
          <w:tcPr>
            <w:tcW w:w="1701" w:type="dxa"/>
            <w:shd w:val="clear" w:color="auto" w:fill="1F242B" w:themeFill="accent2"/>
          </w:tcPr>
          <w:p w14:paraId="1C1FB7C5" w14:textId="438D9AA5" w:rsidR="00713D81" w:rsidRPr="009F10F1" w:rsidRDefault="00B7444E" w:rsidP="00B7444E">
            <w:pPr>
              <w:widowControl w:val="0"/>
              <w:spacing w:before="60" w:afterLines="60" w:after="144"/>
              <w:jc w:val="center"/>
              <w:rPr>
                <w:rFonts w:ascii="Arial" w:hAnsi="Arial" w:cs="Arial"/>
                <w:b/>
                <w:sz w:val="18"/>
                <w:szCs w:val="16"/>
              </w:rPr>
            </w:pPr>
            <w:r>
              <w:rPr>
                <w:rFonts w:ascii="Arial" w:hAnsi="Arial"/>
                <w:b/>
                <w:sz w:val="18"/>
                <w:szCs w:val="16"/>
              </w:rPr>
              <w:br/>
              <w:t>Vendor</w:t>
            </w:r>
          </w:p>
        </w:tc>
        <w:tc>
          <w:tcPr>
            <w:tcW w:w="1231" w:type="dxa"/>
            <w:shd w:val="clear" w:color="auto" w:fill="1F242B" w:themeFill="accent2"/>
          </w:tcPr>
          <w:p w14:paraId="07D9CAD3" w14:textId="678A9FB3" w:rsidR="00713D81" w:rsidRPr="009F10F1" w:rsidRDefault="00713D81" w:rsidP="00B7444E">
            <w:pPr>
              <w:widowControl w:val="0"/>
              <w:spacing w:before="60" w:after="0"/>
              <w:jc w:val="center"/>
              <w:rPr>
                <w:rFonts w:ascii="Arial" w:hAnsi="Arial" w:cs="Arial"/>
                <w:b/>
                <w:sz w:val="18"/>
                <w:szCs w:val="16"/>
              </w:rPr>
            </w:pPr>
            <w:r>
              <w:rPr>
                <w:rFonts w:ascii="Arial" w:hAnsi="Arial"/>
                <w:b/>
                <w:sz w:val="18"/>
                <w:szCs w:val="16"/>
              </w:rPr>
              <w:t>Purchase price*</w:t>
            </w:r>
          </w:p>
          <w:p w14:paraId="4946B45A" w14:textId="1E52F7FD" w:rsidR="00713D81" w:rsidRPr="009F10F1" w:rsidRDefault="00713D81" w:rsidP="00B7444E">
            <w:pPr>
              <w:widowControl w:val="0"/>
              <w:spacing w:before="60" w:after="0"/>
              <w:jc w:val="center"/>
              <w:rPr>
                <w:rFonts w:ascii="Arial" w:hAnsi="Arial" w:cs="Arial"/>
                <w:b/>
                <w:sz w:val="18"/>
                <w:szCs w:val="16"/>
              </w:rPr>
            </w:pPr>
            <w:r>
              <w:rPr>
                <w:rFonts w:ascii="Arial" w:hAnsi="Arial"/>
                <w:sz w:val="18"/>
                <w:szCs w:val="16"/>
              </w:rPr>
              <w:t>[approx. €m]</w:t>
            </w:r>
          </w:p>
        </w:tc>
      </w:tr>
      <w:tr w:rsidR="00F2414C" w:rsidRPr="00F2414C" w14:paraId="536A5B8F" w14:textId="77777777" w:rsidTr="00B7444E">
        <w:trPr>
          <w:trHeight w:val="567"/>
        </w:trPr>
        <w:tc>
          <w:tcPr>
            <w:tcW w:w="2689" w:type="dxa"/>
            <w:shd w:val="clear" w:color="auto" w:fill="auto"/>
            <w:vAlign w:val="center"/>
          </w:tcPr>
          <w:p w14:paraId="04F9605D" w14:textId="77777777" w:rsidR="00B7444E" w:rsidRDefault="00B7444E" w:rsidP="00CF2E86">
            <w:pPr>
              <w:widowControl w:val="0"/>
              <w:spacing w:after="0"/>
              <w:rPr>
                <w:rFonts w:ascii="Arial" w:hAnsi="Arial"/>
                <w:color w:val="000000" w:themeColor="text1"/>
                <w:sz w:val="18"/>
                <w:szCs w:val="18"/>
              </w:rPr>
            </w:pPr>
            <w:r>
              <w:rPr>
                <w:rFonts w:ascii="Arial" w:hAnsi="Arial"/>
                <w:color w:val="000000" w:themeColor="text1"/>
                <w:sz w:val="18"/>
                <w:szCs w:val="18"/>
              </w:rPr>
              <w:t xml:space="preserve">“Johann </w:t>
            </w:r>
            <w:proofErr w:type="spellStart"/>
            <w:r>
              <w:rPr>
                <w:rFonts w:ascii="Arial" w:hAnsi="Arial"/>
                <w:color w:val="000000" w:themeColor="text1"/>
                <w:sz w:val="18"/>
                <w:szCs w:val="18"/>
              </w:rPr>
              <w:t>Kontor</w:t>
            </w:r>
            <w:proofErr w:type="spellEnd"/>
            <w:r>
              <w:rPr>
                <w:rFonts w:ascii="Arial" w:hAnsi="Arial"/>
                <w:color w:val="000000" w:themeColor="text1"/>
                <w:sz w:val="18"/>
                <w:szCs w:val="18"/>
              </w:rPr>
              <w:t>”,</w:t>
            </w:r>
          </w:p>
          <w:p w14:paraId="61881AA3" w14:textId="13537D44" w:rsidR="006321DC" w:rsidRPr="005D3366" w:rsidRDefault="000623C0" w:rsidP="00CF2E8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Klosterwall</w:t>
            </w:r>
            <w:proofErr w:type="spellEnd"/>
            <w:r>
              <w:rPr>
                <w:rFonts w:ascii="Arial" w:hAnsi="Arial"/>
                <w:color w:val="000000" w:themeColor="text1"/>
                <w:sz w:val="18"/>
                <w:szCs w:val="18"/>
              </w:rPr>
              <w:t xml:space="preserve"> 6-8 </w:t>
            </w:r>
          </w:p>
        </w:tc>
        <w:tc>
          <w:tcPr>
            <w:tcW w:w="1134" w:type="dxa"/>
            <w:shd w:val="clear" w:color="auto" w:fill="auto"/>
            <w:vAlign w:val="center"/>
          </w:tcPr>
          <w:p w14:paraId="3D72BEE6" w14:textId="5F0353D5" w:rsidR="006321DC" w:rsidRPr="000B7D28" w:rsidRDefault="000623C0" w:rsidP="00797E4F">
            <w:pPr>
              <w:widowControl w:val="0"/>
              <w:spacing w:after="0"/>
              <w:rPr>
                <w:rFonts w:ascii="Arial" w:hAnsi="Arial" w:cs="Arial"/>
                <w:color w:val="000000" w:themeColor="text1"/>
                <w:sz w:val="18"/>
                <w:szCs w:val="18"/>
              </w:rPr>
            </w:pPr>
            <w:r>
              <w:rPr>
                <w:rFonts w:ascii="Arial" w:hAnsi="Arial"/>
                <w:color w:val="000000" w:themeColor="text1"/>
                <w:sz w:val="18"/>
                <w:szCs w:val="18"/>
              </w:rPr>
              <w:t>City</w:t>
            </w:r>
          </w:p>
        </w:tc>
        <w:tc>
          <w:tcPr>
            <w:tcW w:w="1134" w:type="dxa"/>
            <w:shd w:val="clear" w:color="auto" w:fill="auto"/>
            <w:vAlign w:val="center"/>
          </w:tcPr>
          <w:p w14:paraId="761255AB" w14:textId="32A9A9F6" w:rsidR="006321DC" w:rsidRPr="000B7D28" w:rsidRDefault="000623C0" w:rsidP="00797E4F">
            <w:pPr>
              <w:widowControl w:val="0"/>
              <w:spacing w:after="0"/>
              <w:rPr>
                <w:rFonts w:ascii="Arial" w:hAnsi="Arial" w:cs="Arial"/>
                <w:color w:val="000000" w:themeColor="text1"/>
                <w:sz w:val="18"/>
                <w:szCs w:val="18"/>
              </w:rPr>
            </w:pPr>
            <w:r>
              <w:rPr>
                <w:rFonts w:ascii="Arial" w:hAnsi="Arial"/>
                <w:color w:val="000000" w:themeColor="text1"/>
                <w:sz w:val="18"/>
                <w:szCs w:val="18"/>
              </w:rPr>
              <w:t>Mixed use</w:t>
            </w:r>
          </w:p>
        </w:tc>
        <w:tc>
          <w:tcPr>
            <w:tcW w:w="2126" w:type="dxa"/>
            <w:shd w:val="clear" w:color="auto" w:fill="auto"/>
            <w:vAlign w:val="center"/>
          </w:tcPr>
          <w:p w14:paraId="386D7257" w14:textId="1E52B92B" w:rsidR="006321DC" w:rsidRPr="000B7D28" w:rsidRDefault="00A81626" w:rsidP="008652FA">
            <w:pPr>
              <w:widowControl w:val="0"/>
              <w:spacing w:after="0"/>
              <w:rPr>
                <w:rFonts w:ascii="Arial" w:hAnsi="Arial" w:cs="Arial"/>
                <w:color w:val="000000" w:themeColor="text1"/>
                <w:sz w:val="18"/>
                <w:szCs w:val="18"/>
              </w:rPr>
            </w:pPr>
            <w:r>
              <w:rPr>
                <w:rFonts w:ascii="Arial" w:hAnsi="Arial"/>
                <w:sz w:val="18"/>
                <w:szCs w:val="18"/>
              </w:rPr>
              <w:t xml:space="preserve">Captiva / </w:t>
            </w:r>
            <w:proofErr w:type="spellStart"/>
            <w:r>
              <w:rPr>
                <w:rFonts w:ascii="Arial" w:hAnsi="Arial"/>
                <w:sz w:val="18"/>
                <w:szCs w:val="18"/>
              </w:rPr>
              <w:t>HanseMerkur</w:t>
            </w:r>
            <w:proofErr w:type="spellEnd"/>
            <w:r>
              <w:rPr>
                <w:rFonts w:ascii="Arial" w:hAnsi="Arial"/>
                <w:sz w:val="18"/>
                <w:szCs w:val="18"/>
              </w:rPr>
              <w:t xml:space="preserve"> / </w:t>
            </w:r>
            <w:r>
              <w:rPr>
                <w:rFonts w:ascii="Arial" w:hAnsi="Arial"/>
                <w:bCs/>
                <w:sz w:val="18"/>
                <w:szCs w:val="18"/>
              </w:rPr>
              <w:t xml:space="preserve">Aug. </w:t>
            </w:r>
            <w:proofErr w:type="spellStart"/>
            <w:r>
              <w:rPr>
                <w:rFonts w:ascii="Arial" w:hAnsi="Arial"/>
                <w:bCs/>
                <w:sz w:val="18"/>
                <w:szCs w:val="18"/>
              </w:rPr>
              <w:t>Prien</w:t>
            </w:r>
            <w:proofErr w:type="spellEnd"/>
            <w:r>
              <w:rPr>
                <w:rFonts w:ascii="Arial" w:hAnsi="Arial"/>
                <w:bCs/>
                <w:sz w:val="18"/>
                <w:szCs w:val="18"/>
              </w:rPr>
              <w:t xml:space="preserve"> Family Office</w:t>
            </w:r>
          </w:p>
        </w:tc>
        <w:tc>
          <w:tcPr>
            <w:tcW w:w="1701" w:type="dxa"/>
            <w:shd w:val="clear" w:color="auto" w:fill="auto"/>
            <w:vAlign w:val="center"/>
          </w:tcPr>
          <w:p w14:paraId="59C838C3" w14:textId="03CBE3D5" w:rsidR="006321DC" w:rsidRPr="000B7D28" w:rsidRDefault="000623C0" w:rsidP="00CF2E8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Aug. </w:t>
            </w:r>
            <w:proofErr w:type="spellStart"/>
            <w:r>
              <w:rPr>
                <w:rFonts w:ascii="Arial" w:hAnsi="Arial"/>
                <w:color w:val="000000" w:themeColor="text1"/>
                <w:sz w:val="18"/>
                <w:szCs w:val="18"/>
              </w:rPr>
              <w:t>Prien</w:t>
            </w:r>
            <w:proofErr w:type="spellEnd"/>
            <w:r>
              <w:rPr>
                <w:rFonts w:ascii="Arial" w:hAnsi="Arial"/>
                <w:color w:val="000000" w:themeColor="text1"/>
                <w:sz w:val="18"/>
                <w:szCs w:val="18"/>
              </w:rPr>
              <w:t xml:space="preserve"> </w:t>
            </w:r>
          </w:p>
        </w:tc>
        <w:tc>
          <w:tcPr>
            <w:tcW w:w="1231" w:type="dxa"/>
            <w:shd w:val="clear" w:color="auto" w:fill="auto"/>
            <w:vAlign w:val="center"/>
          </w:tcPr>
          <w:p w14:paraId="713683C7" w14:textId="3C86D22D" w:rsidR="006321DC" w:rsidRPr="000B7D28" w:rsidRDefault="0061138B" w:rsidP="00346814">
            <w:pPr>
              <w:widowControl w:val="0"/>
              <w:spacing w:after="0"/>
              <w:jc w:val="right"/>
              <w:rPr>
                <w:rFonts w:ascii="Arial" w:hAnsi="Arial" w:cs="Arial"/>
                <w:color w:val="000000" w:themeColor="text1"/>
                <w:sz w:val="18"/>
                <w:szCs w:val="18"/>
              </w:rPr>
            </w:pPr>
            <w:r>
              <w:rPr>
                <w:rFonts w:ascii="Arial" w:hAnsi="Arial"/>
                <w:color w:val="000000" w:themeColor="text1"/>
                <w:sz w:val="18"/>
                <w:szCs w:val="18"/>
              </w:rPr>
              <w:t>&gt; 300</w:t>
            </w:r>
          </w:p>
        </w:tc>
      </w:tr>
      <w:tr w:rsidR="00E007DD" w:rsidRPr="006F49D0" w14:paraId="7ED75F87" w14:textId="77777777" w:rsidTr="00B7444E">
        <w:trPr>
          <w:trHeight w:val="567"/>
        </w:trPr>
        <w:tc>
          <w:tcPr>
            <w:tcW w:w="2689" w:type="dxa"/>
            <w:shd w:val="clear" w:color="auto" w:fill="auto"/>
            <w:vAlign w:val="center"/>
          </w:tcPr>
          <w:p w14:paraId="23C7E9E3" w14:textId="5EC5EE76" w:rsidR="00E007DD" w:rsidRPr="004C21B7" w:rsidRDefault="00346814" w:rsidP="00B7444E">
            <w:pPr>
              <w:widowControl w:val="0"/>
              <w:spacing w:after="0"/>
              <w:rPr>
                <w:rFonts w:ascii="Arial" w:hAnsi="Arial" w:cs="Arial"/>
                <w:sz w:val="18"/>
                <w:szCs w:val="18"/>
                <w:lang w:val="de-DE"/>
              </w:rPr>
            </w:pPr>
            <w:r w:rsidRPr="004C21B7">
              <w:rPr>
                <w:rFonts w:ascii="Arial" w:hAnsi="Arial"/>
                <w:sz w:val="18"/>
                <w:szCs w:val="18"/>
                <w:lang w:val="de-DE"/>
              </w:rPr>
              <w:t xml:space="preserve">Gruner + Jahr </w:t>
            </w:r>
            <w:proofErr w:type="spellStart"/>
            <w:r w:rsidRPr="004C21B7">
              <w:rPr>
                <w:rFonts w:ascii="Arial" w:hAnsi="Arial"/>
                <w:sz w:val="18"/>
                <w:szCs w:val="18"/>
                <w:lang w:val="de-DE"/>
              </w:rPr>
              <w:t>publishing</w:t>
            </w:r>
            <w:proofErr w:type="spellEnd"/>
            <w:r w:rsidRPr="004C21B7">
              <w:rPr>
                <w:rFonts w:ascii="Arial" w:hAnsi="Arial"/>
                <w:sz w:val="18"/>
                <w:szCs w:val="18"/>
                <w:lang w:val="de-DE"/>
              </w:rPr>
              <w:t xml:space="preserve"> </w:t>
            </w:r>
            <w:proofErr w:type="spellStart"/>
            <w:r w:rsidRPr="004C21B7">
              <w:rPr>
                <w:rFonts w:ascii="Arial" w:hAnsi="Arial"/>
                <w:sz w:val="18"/>
                <w:szCs w:val="18"/>
                <w:lang w:val="de-DE"/>
              </w:rPr>
              <w:t>house</w:t>
            </w:r>
            <w:proofErr w:type="spellEnd"/>
            <w:r w:rsidRPr="004C21B7">
              <w:rPr>
                <w:rFonts w:ascii="Arial" w:hAnsi="Arial"/>
                <w:sz w:val="18"/>
                <w:szCs w:val="18"/>
                <w:lang w:val="de-DE"/>
              </w:rPr>
              <w:t>,</w:t>
            </w:r>
            <w:r w:rsidR="00B7444E">
              <w:rPr>
                <w:rFonts w:ascii="Arial" w:hAnsi="Arial"/>
                <w:sz w:val="18"/>
                <w:szCs w:val="18"/>
                <w:lang w:val="de-DE"/>
              </w:rPr>
              <w:t xml:space="preserve"> </w:t>
            </w:r>
            <w:r w:rsidRPr="004C21B7">
              <w:rPr>
                <w:rFonts w:ascii="Arial" w:hAnsi="Arial"/>
                <w:sz w:val="18"/>
                <w:szCs w:val="18"/>
                <w:lang w:val="de-DE"/>
              </w:rPr>
              <w:t>Am Baumwall 11</w:t>
            </w:r>
          </w:p>
        </w:tc>
        <w:tc>
          <w:tcPr>
            <w:tcW w:w="1134" w:type="dxa"/>
            <w:shd w:val="clear" w:color="auto" w:fill="auto"/>
            <w:vAlign w:val="center"/>
          </w:tcPr>
          <w:p w14:paraId="476473DE" w14:textId="1615B41A" w:rsidR="00E007DD" w:rsidRPr="0061138B" w:rsidRDefault="005D3366" w:rsidP="00797E4F">
            <w:pPr>
              <w:widowControl w:val="0"/>
              <w:spacing w:after="0"/>
              <w:rPr>
                <w:rFonts w:ascii="Arial" w:hAnsi="Arial" w:cs="Arial"/>
                <w:sz w:val="18"/>
                <w:szCs w:val="18"/>
              </w:rPr>
            </w:pPr>
            <w:r>
              <w:rPr>
                <w:rFonts w:ascii="Arial" w:hAnsi="Arial"/>
                <w:sz w:val="18"/>
                <w:szCs w:val="18"/>
              </w:rPr>
              <w:t>City</w:t>
            </w:r>
          </w:p>
        </w:tc>
        <w:tc>
          <w:tcPr>
            <w:tcW w:w="1134" w:type="dxa"/>
            <w:shd w:val="clear" w:color="auto" w:fill="auto"/>
            <w:vAlign w:val="center"/>
          </w:tcPr>
          <w:p w14:paraId="73BDF3A5" w14:textId="3FC186D9" w:rsidR="00E007DD" w:rsidRPr="0061138B" w:rsidRDefault="005D3366" w:rsidP="00CC6FB9">
            <w:pPr>
              <w:widowControl w:val="0"/>
              <w:spacing w:after="0"/>
              <w:rPr>
                <w:rFonts w:ascii="Arial" w:hAnsi="Arial" w:cs="Arial"/>
                <w:sz w:val="18"/>
                <w:szCs w:val="18"/>
              </w:rPr>
            </w:pPr>
            <w:r>
              <w:rPr>
                <w:rFonts w:ascii="Arial" w:hAnsi="Arial"/>
                <w:sz w:val="18"/>
                <w:szCs w:val="18"/>
              </w:rPr>
              <w:t>Offices</w:t>
            </w:r>
          </w:p>
        </w:tc>
        <w:tc>
          <w:tcPr>
            <w:tcW w:w="2126" w:type="dxa"/>
            <w:shd w:val="clear" w:color="auto" w:fill="auto"/>
            <w:vAlign w:val="center"/>
          </w:tcPr>
          <w:p w14:paraId="593905A3" w14:textId="37E4FF1C" w:rsidR="00E007DD" w:rsidRPr="0061138B" w:rsidRDefault="00FA44C3" w:rsidP="00FA44C3">
            <w:pPr>
              <w:widowControl w:val="0"/>
              <w:spacing w:after="0"/>
              <w:rPr>
                <w:rFonts w:ascii="Arial" w:hAnsi="Arial" w:cs="Arial"/>
                <w:sz w:val="18"/>
                <w:szCs w:val="18"/>
              </w:rPr>
            </w:pPr>
            <w:proofErr w:type="spellStart"/>
            <w:r>
              <w:rPr>
                <w:rFonts w:ascii="Arial" w:hAnsi="Arial"/>
                <w:sz w:val="18"/>
                <w:szCs w:val="18"/>
              </w:rPr>
              <w:t>Tishman</w:t>
            </w:r>
            <w:proofErr w:type="spellEnd"/>
            <w:r>
              <w:rPr>
                <w:rFonts w:ascii="Arial" w:hAnsi="Arial"/>
                <w:sz w:val="18"/>
                <w:szCs w:val="18"/>
              </w:rPr>
              <w:t xml:space="preserve"> Speyer </w:t>
            </w:r>
          </w:p>
        </w:tc>
        <w:tc>
          <w:tcPr>
            <w:tcW w:w="1701" w:type="dxa"/>
            <w:shd w:val="clear" w:color="auto" w:fill="auto"/>
            <w:vAlign w:val="center"/>
          </w:tcPr>
          <w:p w14:paraId="7B9A326D" w14:textId="05635854" w:rsidR="00E007DD" w:rsidRPr="0061138B" w:rsidRDefault="00FA44C3" w:rsidP="00FA44C3">
            <w:pPr>
              <w:widowControl w:val="0"/>
              <w:spacing w:after="0"/>
              <w:rPr>
                <w:rFonts w:ascii="Arial" w:hAnsi="Arial" w:cs="Arial"/>
                <w:sz w:val="18"/>
                <w:szCs w:val="18"/>
              </w:rPr>
            </w:pPr>
            <w:proofErr w:type="spellStart"/>
            <w:r>
              <w:rPr>
                <w:rFonts w:ascii="Arial" w:hAnsi="Arial"/>
                <w:sz w:val="18"/>
                <w:szCs w:val="18"/>
              </w:rPr>
              <w:t>Gruner</w:t>
            </w:r>
            <w:proofErr w:type="spellEnd"/>
            <w:r>
              <w:rPr>
                <w:rFonts w:ascii="Arial" w:hAnsi="Arial"/>
                <w:sz w:val="18"/>
                <w:szCs w:val="18"/>
              </w:rPr>
              <w:t xml:space="preserve"> + </w:t>
            </w:r>
            <w:proofErr w:type="spellStart"/>
            <w:r>
              <w:rPr>
                <w:rFonts w:ascii="Arial" w:hAnsi="Arial"/>
                <w:sz w:val="18"/>
                <w:szCs w:val="18"/>
              </w:rPr>
              <w:t>Jahr</w:t>
            </w:r>
            <w:proofErr w:type="spellEnd"/>
            <w:r>
              <w:rPr>
                <w:rFonts w:ascii="Arial" w:hAnsi="Arial"/>
                <w:sz w:val="18"/>
                <w:szCs w:val="18"/>
              </w:rPr>
              <w:t xml:space="preserve"> </w:t>
            </w:r>
          </w:p>
        </w:tc>
        <w:tc>
          <w:tcPr>
            <w:tcW w:w="1231" w:type="dxa"/>
            <w:shd w:val="clear" w:color="auto" w:fill="auto"/>
            <w:vAlign w:val="center"/>
          </w:tcPr>
          <w:p w14:paraId="658D753C" w14:textId="7439C907" w:rsidR="00E007DD" w:rsidRPr="0061138B" w:rsidRDefault="00A77745" w:rsidP="00A77745">
            <w:pPr>
              <w:widowControl w:val="0"/>
              <w:spacing w:after="0"/>
              <w:jc w:val="right"/>
              <w:rPr>
                <w:rFonts w:ascii="Arial" w:hAnsi="Arial" w:cs="Arial"/>
                <w:sz w:val="18"/>
                <w:szCs w:val="18"/>
              </w:rPr>
            </w:pPr>
            <w:r>
              <w:rPr>
                <w:rFonts w:ascii="Arial" w:hAnsi="Arial"/>
                <w:sz w:val="18"/>
                <w:szCs w:val="18"/>
              </w:rPr>
              <w:t>300</w:t>
            </w:r>
          </w:p>
        </w:tc>
      </w:tr>
      <w:tr w:rsidR="00CF2E86" w:rsidRPr="006F49D0" w14:paraId="0B564638" w14:textId="77777777" w:rsidTr="00B7444E">
        <w:trPr>
          <w:trHeight w:val="567"/>
        </w:trPr>
        <w:tc>
          <w:tcPr>
            <w:tcW w:w="2689" w:type="dxa"/>
            <w:shd w:val="clear" w:color="auto" w:fill="auto"/>
            <w:vAlign w:val="center"/>
          </w:tcPr>
          <w:p w14:paraId="31E8663B" w14:textId="77777777" w:rsidR="00B7444E" w:rsidRDefault="00B7444E" w:rsidP="00CF2E86">
            <w:pPr>
              <w:widowControl w:val="0"/>
              <w:spacing w:after="0"/>
              <w:rPr>
                <w:rFonts w:ascii="Arial" w:hAnsi="Arial"/>
                <w:sz w:val="18"/>
                <w:szCs w:val="18"/>
              </w:rPr>
            </w:pPr>
            <w:r>
              <w:rPr>
                <w:rFonts w:ascii="Arial" w:hAnsi="Arial"/>
                <w:sz w:val="18"/>
                <w:szCs w:val="18"/>
              </w:rPr>
              <w:t>“</w:t>
            </w:r>
            <w:proofErr w:type="spellStart"/>
            <w:r>
              <w:rPr>
                <w:rFonts w:ascii="Arial" w:hAnsi="Arial"/>
                <w:sz w:val="18"/>
                <w:szCs w:val="18"/>
              </w:rPr>
              <w:t>Karstadt</w:t>
            </w:r>
            <w:proofErr w:type="spellEnd"/>
            <w:r>
              <w:rPr>
                <w:rFonts w:ascii="Arial" w:hAnsi="Arial"/>
                <w:sz w:val="18"/>
                <w:szCs w:val="18"/>
              </w:rPr>
              <w:t>”,</w:t>
            </w:r>
          </w:p>
          <w:p w14:paraId="0E6078DB" w14:textId="6AD2BEA3" w:rsidR="00CF2E86" w:rsidRPr="000B7D28" w:rsidRDefault="00ED0872" w:rsidP="00CF2E86">
            <w:pPr>
              <w:widowControl w:val="0"/>
              <w:spacing w:after="0"/>
              <w:rPr>
                <w:rFonts w:ascii="Arial" w:hAnsi="Arial" w:cs="Arial"/>
                <w:sz w:val="18"/>
                <w:szCs w:val="18"/>
              </w:rPr>
            </w:pPr>
            <w:proofErr w:type="spellStart"/>
            <w:r>
              <w:rPr>
                <w:rFonts w:ascii="Arial" w:hAnsi="Arial"/>
                <w:sz w:val="18"/>
                <w:szCs w:val="18"/>
              </w:rPr>
              <w:t>Mönckebergstrasse</w:t>
            </w:r>
            <w:proofErr w:type="spellEnd"/>
            <w:r>
              <w:rPr>
                <w:rFonts w:ascii="Arial" w:hAnsi="Arial"/>
                <w:sz w:val="18"/>
                <w:szCs w:val="18"/>
              </w:rPr>
              <w:t xml:space="preserve"> 16</w:t>
            </w:r>
          </w:p>
        </w:tc>
        <w:tc>
          <w:tcPr>
            <w:tcW w:w="1134" w:type="dxa"/>
            <w:shd w:val="clear" w:color="auto" w:fill="auto"/>
            <w:vAlign w:val="center"/>
          </w:tcPr>
          <w:p w14:paraId="26092AC0" w14:textId="7C159DF9" w:rsidR="00CF2E86" w:rsidRPr="000B7D28" w:rsidRDefault="00ED0872" w:rsidP="00CF2E86">
            <w:pPr>
              <w:widowControl w:val="0"/>
              <w:spacing w:after="0"/>
              <w:rPr>
                <w:rFonts w:ascii="Arial" w:hAnsi="Arial" w:cs="Arial"/>
                <w:sz w:val="18"/>
                <w:szCs w:val="18"/>
              </w:rPr>
            </w:pPr>
            <w:r>
              <w:rPr>
                <w:rFonts w:ascii="Arial" w:hAnsi="Arial"/>
                <w:sz w:val="18"/>
                <w:szCs w:val="18"/>
              </w:rPr>
              <w:t>City</w:t>
            </w:r>
          </w:p>
        </w:tc>
        <w:tc>
          <w:tcPr>
            <w:tcW w:w="1134" w:type="dxa"/>
            <w:shd w:val="clear" w:color="auto" w:fill="auto"/>
            <w:vAlign w:val="center"/>
          </w:tcPr>
          <w:p w14:paraId="48B9BC46" w14:textId="530D23B5" w:rsidR="00CF2E86" w:rsidRPr="000B7D28" w:rsidRDefault="00ED0872" w:rsidP="00CF2E86">
            <w:pPr>
              <w:widowControl w:val="0"/>
              <w:spacing w:after="0"/>
              <w:rPr>
                <w:rFonts w:ascii="Arial" w:hAnsi="Arial" w:cs="Arial"/>
                <w:sz w:val="18"/>
                <w:szCs w:val="18"/>
              </w:rPr>
            </w:pPr>
            <w:r>
              <w:rPr>
                <w:rFonts w:ascii="Arial" w:hAnsi="Arial"/>
                <w:sz w:val="18"/>
                <w:szCs w:val="18"/>
              </w:rPr>
              <w:t>Retail</w:t>
            </w:r>
          </w:p>
        </w:tc>
        <w:tc>
          <w:tcPr>
            <w:tcW w:w="2126" w:type="dxa"/>
            <w:shd w:val="clear" w:color="auto" w:fill="auto"/>
            <w:vAlign w:val="center"/>
          </w:tcPr>
          <w:p w14:paraId="1878AFEF" w14:textId="208C8B2A" w:rsidR="00CF2E86" w:rsidRPr="000B7D28" w:rsidRDefault="00ED0872" w:rsidP="00CF2E86">
            <w:pPr>
              <w:widowControl w:val="0"/>
              <w:spacing w:after="0"/>
              <w:rPr>
                <w:rFonts w:ascii="Arial" w:hAnsi="Arial" w:cs="Arial"/>
                <w:sz w:val="18"/>
                <w:szCs w:val="18"/>
              </w:rPr>
            </w:pPr>
            <w:proofErr w:type="spellStart"/>
            <w:r>
              <w:rPr>
                <w:rFonts w:ascii="Arial" w:hAnsi="Arial"/>
                <w:sz w:val="18"/>
                <w:szCs w:val="18"/>
              </w:rPr>
              <w:t>Signa</w:t>
            </w:r>
            <w:proofErr w:type="spellEnd"/>
            <w:r>
              <w:rPr>
                <w:rFonts w:ascii="Arial" w:hAnsi="Arial"/>
                <w:sz w:val="18"/>
                <w:szCs w:val="18"/>
              </w:rPr>
              <w:t xml:space="preserve"> Holding</w:t>
            </w:r>
          </w:p>
        </w:tc>
        <w:tc>
          <w:tcPr>
            <w:tcW w:w="1701" w:type="dxa"/>
            <w:shd w:val="clear" w:color="auto" w:fill="auto"/>
            <w:vAlign w:val="center"/>
          </w:tcPr>
          <w:p w14:paraId="690229E1" w14:textId="3B5884EB" w:rsidR="00CF2E86" w:rsidRPr="000B7D28" w:rsidRDefault="00ED0872" w:rsidP="00ED0872">
            <w:pPr>
              <w:widowControl w:val="0"/>
              <w:spacing w:after="0"/>
              <w:rPr>
                <w:rFonts w:ascii="Arial" w:hAnsi="Arial" w:cs="Arial"/>
                <w:sz w:val="18"/>
                <w:szCs w:val="18"/>
              </w:rPr>
            </w:pPr>
            <w:r>
              <w:rPr>
                <w:rFonts w:ascii="Arial" w:hAnsi="Arial"/>
                <w:sz w:val="18"/>
                <w:szCs w:val="18"/>
              </w:rPr>
              <w:t xml:space="preserve">Quantum </w:t>
            </w:r>
            <w:proofErr w:type="spellStart"/>
            <w:r>
              <w:rPr>
                <w:rFonts w:ascii="Arial" w:hAnsi="Arial"/>
                <w:sz w:val="18"/>
                <w:szCs w:val="18"/>
              </w:rPr>
              <w:t>Immobilien</w:t>
            </w:r>
            <w:proofErr w:type="spellEnd"/>
            <w:r>
              <w:rPr>
                <w:rFonts w:ascii="Arial" w:hAnsi="Arial"/>
                <w:sz w:val="18"/>
                <w:szCs w:val="18"/>
              </w:rPr>
              <w:t xml:space="preserve"> </w:t>
            </w:r>
          </w:p>
        </w:tc>
        <w:tc>
          <w:tcPr>
            <w:tcW w:w="1231" w:type="dxa"/>
            <w:shd w:val="clear" w:color="auto" w:fill="auto"/>
            <w:vAlign w:val="center"/>
          </w:tcPr>
          <w:p w14:paraId="130D9693" w14:textId="2D3A3EA2" w:rsidR="00CF2E86" w:rsidRPr="000B7D28" w:rsidRDefault="00B4411F" w:rsidP="00CF2E86">
            <w:pPr>
              <w:widowControl w:val="0"/>
              <w:spacing w:after="0"/>
              <w:jc w:val="right"/>
              <w:rPr>
                <w:rFonts w:ascii="Arial" w:hAnsi="Arial" w:cs="Arial"/>
                <w:sz w:val="18"/>
                <w:szCs w:val="18"/>
              </w:rPr>
            </w:pPr>
            <w:r>
              <w:rPr>
                <w:rFonts w:ascii="Arial" w:hAnsi="Arial"/>
                <w:sz w:val="18"/>
                <w:szCs w:val="18"/>
              </w:rPr>
              <w:t>260</w:t>
            </w:r>
          </w:p>
        </w:tc>
      </w:tr>
      <w:tr w:rsidR="00ED0872" w:rsidRPr="00F4684B" w14:paraId="451329F1" w14:textId="77777777" w:rsidTr="00B7444E">
        <w:trPr>
          <w:trHeight w:val="567"/>
        </w:trPr>
        <w:tc>
          <w:tcPr>
            <w:tcW w:w="2689" w:type="dxa"/>
            <w:shd w:val="clear" w:color="auto" w:fill="D9D9D9" w:themeFill="background1" w:themeFillShade="D9"/>
            <w:vAlign w:val="center"/>
          </w:tcPr>
          <w:p w14:paraId="39635D3E" w14:textId="21DC45BE" w:rsidR="00B7444E" w:rsidRDefault="00F4310C" w:rsidP="007202BB">
            <w:pPr>
              <w:widowControl w:val="0"/>
              <w:spacing w:after="0"/>
            </w:pPr>
            <w:r>
              <w:rPr>
                <w:rFonts w:ascii="Arial" w:hAnsi="Arial"/>
                <w:sz w:val="18"/>
                <w:szCs w:val="18"/>
              </w:rPr>
              <w:t>“EDGE ElbSide</w:t>
            </w:r>
            <w:bookmarkStart w:id="0" w:name="_GoBack"/>
            <w:bookmarkEnd w:id="0"/>
            <w:r w:rsidR="007B66A9">
              <w:rPr>
                <w:rFonts w:ascii="Arial" w:hAnsi="Arial"/>
                <w:sz w:val="18"/>
                <w:szCs w:val="18"/>
              </w:rPr>
              <w:t>”,</w:t>
            </w:r>
          </w:p>
          <w:p w14:paraId="6659F312" w14:textId="408B41AD" w:rsidR="00ED0872" w:rsidRPr="00060752" w:rsidRDefault="007B66A9" w:rsidP="007202BB">
            <w:pPr>
              <w:widowControl w:val="0"/>
              <w:spacing w:after="0"/>
              <w:rPr>
                <w:rFonts w:ascii="Arial" w:hAnsi="Arial" w:cs="Arial"/>
                <w:sz w:val="18"/>
                <w:szCs w:val="18"/>
              </w:rPr>
            </w:pPr>
            <w:proofErr w:type="spellStart"/>
            <w:r>
              <w:rPr>
                <w:rFonts w:ascii="Arial" w:hAnsi="Arial"/>
                <w:sz w:val="18"/>
                <w:szCs w:val="18"/>
              </w:rPr>
              <w:t>Amerigo</w:t>
            </w:r>
            <w:proofErr w:type="spellEnd"/>
            <w:r>
              <w:rPr>
                <w:rFonts w:ascii="Arial" w:hAnsi="Arial"/>
                <w:sz w:val="18"/>
                <w:szCs w:val="18"/>
              </w:rPr>
              <w:t>-Vespucci-</w:t>
            </w:r>
            <w:proofErr w:type="spellStart"/>
            <w:r>
              <w:rPr>
                <w:rFonts w:ascii="Arial" w:hAnsi="Arial"/>
                <w:sz w:val="18"/>
                <w:szCs w:val="18"/>
              </w:rPr>
              <w:t>Platz</w:t>
            </w:r>
            <w:proofErr w:type="spellEnd"/>
          </w:p>
        </w:tc>
        <w:tc>
          <w:tcPr>
            <w:tcW w:w="1134" w:type="dxa"/>
            <w:shd w:val="clear" w:color="auto" w:fill="D9D9D9" w:themeFill="background1" w:themeFillShade="D9"/>
            <w:vAlign w:val="center"/>
          </w:tcPr>
          <w:p w14:paraId="23CEE417" w14:textId="07269E0E" w:rsidR="00ED0872" w:rsidRPr="000B7D28" w:rsidRDefault="007202BB" w:rsidP="00ED0872">
            <w:pPr>
              <w:widowControl w:val="0"/>
              <w:spacing w:after="0"/>
              <w:rPr>
                <w:rFonts w:ascii="Arial" w:hAnsi="Arial" w:cs="Arial"/>
                <w:sz w:val="18"/>
                <w:szCs w:val="18"/>
              </w:rPr>
            </w:pPr>
            <w:r>
              <w:rPr>
                <w:rFonts w:ascii="Arial" w:hAnsi="Arial"/>
                <w:sz w:val="18"/>
                <w:szCs w:val="18"/>
              </w:rPr>
              <w:t>HafenCity</w:t>
            </w:r>
          </w:p>
        </w:tc>
        <w:tc>
          <w:tcPr>
            <w:tcW w:w="1134" w:type="dxa"/>
            <w:shd w:val="clear" w:color="auto" w:fill="D9D9D9" w:themeFill="background1" w:themeFillShade="D9"/>
            <w:vAlign w:val="center"/>
          </w:tcPr>
          <w:p w14:paraId="53110512" w14:textId="7C0516B9" w:rsidR="00ED0872" w:rsidRPr="000B7D28" w:rsidRDefault="007202BB" w:rsidP="00ED0872">
            <w:pPr>
              <w:widowControl w:val="0"/>
              <w:spacing w:after="0"/>
              <w:rPr>
                <w:rFonts w:ascii="Arial" w:hAnsi="Arial" w:cs="Arial"/>
                <w:sz w:val="18"/>
                <w:szCs w:val="18"/>
              </w:rPr>
            </w:pPr>
            <w:r>
              <w:rPr>
                <w:rFonts w:ascii="Arial" w:hAnsi="Arial"/>
                <w:sz w:val="18"/>
                <w:szCs w:val="18"/>
              </w:rPr>
              <w:t>Offices</w:t>
            </w:r>
          </w:p>
        </w:tc>
        <w:tc>
          <w:tcPr>
            <w:tcW w:w="2126" w:type="dxa"/>
            <w:shd w:val="clear" w:color="auto" w:fill="D9D9D9" w:themeFill="background1" w:themeFillShade="D9"/>
            <w:vAlign w:val="center"/>
          </w:tcPr>
          <w:p w14:paraId="4EFC5EA7" w14:textId="3103A7D7" w:rsidR="00ED0872" w:rsidRPr="000B7D28" w:rsidRDefault="007202BB" w:rsidP="00ED0872">
            <w:pPr>
              <w:spacing w:after="0"/>
              <w:rPr>
                <w:rFonts w:ascii="Arial" w:hAnsi="Arial" w:cs="Arial"/>
                <w:color w:val="000000"/>
                <w:sz w:val="18"/>
                <w:szCs w:val="18"/>
              </w:rPr>
            </w:pPr>
            <w:proofErr w:type="spellStart"/>
            <w:r>
              <w:rPr>
                <w:rFonts w:ascii="Arial" w:hAnsi="Arial"/>
                <w:sz w:val="18"/>
                <w:szCs w:val="18"/>
              </w:rPr>
              <w:t>HanseMerkur</w:t>
            </w:r>
            <w:proofErr w:type="spellEnd"/>
          </w:p>
        </w:tc>
        <w:tc>
          <w:tcPr>
            <w:tcW w:w="1701" w:type="dxa"/>
            <w:shd w:val="clear" w:color="auto" w:fill="D9D9D9" w:themeFill="background1" w:themeFillShade="D9"/>
            <w:vAlign w:val="center"/>
          </w:tcPr>
          <w:p w14:paraId="42C801B6" w14:textId="75664CCF" w:rsidR="00ED0872" w:rsidRPr="000B7D28" w:rsidRDefault="007202BB" w:rsidP="00ED0872">
            <w:pPr>
              <w:widowControl w:val="0"/>
              <w:spacing w:after="0"/>
              <w:rPr>
                <w:rFonts w:ascii="Arial" w:hAnsi="Arial" w:cs="Arial"/>
                <w:sz w:val="18"/>
                <w:szCs w:val="18"/>
              </w:rPr>
            </w:pPr>
            <w:r>
              <w:rPr>
                <w:rFonts w:ascii="Arial" w:hAnsi="Arial"/>
                <w:sz w:val="18"/>
                <w:szCs w:val="18"/>
              </w:rPr>
              <w:t>EDGE Technologies</w:t>
            </w:r>
          </w:p>
        </w:tc>
        <w:tc>
          <w:tcPr>
            <w:tcW w:w="1231" w:type="dxa"/>
            <w:shd w:val="clear" w:color="auto" w:fill="D9D9D9" w:themeFill="background1" w:themeFillShade="D9"/>
            <w:vAlign w:val="center"/>
          </w:tcPr>
          <w:p w14:paraId="0DF6832E" w14:textId="51757BB1" w:rsidR="00ED0872" w:rsidRPr="000B7D28" w:rsidRDefault="00B20E35" w:rsidP="007202BB">
            <w:pPr>
              <w:widowControl w:val="0"/>
              <w:spacing w:after="0"/>
              <w:jc w:val="right"/>
              <w:rPr>
                <w:rFonts w:ascii="Arial" w:hAnsi="Arial" w:cs="Arial"/>
                <w:sz w:val="18"/>
                <w:szCs w:val="18"/>
              </w:rPr>
            </w:pPr>
            <w:r>
              <w:rPr>
                <w:rFonts w:ascii="Arial" w:hAnsi="Arial"/>
                <w:sz w:val="18"/>
                <w:szCs w:val="18"/>
              </w:rPr>
              <w:t>&gt; 220</w:t>
            </w:r>
          </w:p>
        </w:tc>
      </w:tr>
      <w:tr w:rsidR="003518C7" w:rsidRPr="00F4684B" w14:paraId="1D8A7DFC" w14:textId="77777777" w:rsidTr="00B7444E">
        <w:trPr>
          <w:trHeight w:val="121"/>
        </w:trPr>
        <w:tc>
          <w:tcPr>
            <w:tcW w:w="2689" w:type="dxa"/>
            <w:shd w:val="clear" w:color="auto" w:fill="7F7F7F" w:themeFill="text1" w:themeFillTint="80"/>
            <w:vAlign w:val="center"/>
          </w:tcPr>
          <w:p w14:paraId="75AE6D64" w14:textId="77777777" w:rsidR="003518C7" w:rsidRDefault="003518C7" w:rsidP="007202BB">
            <w:pPr>
              <w:widowControl w:val="0"/>
              <w:spacing w:after="0"/>
              <w:rPr>
                <w:rFonts w:ascii="Arial" w:hAnsi="Arial" w:cs="Arial"/>
                <w:sz w:val="18"/>
                <w:szCs w:val="18"/>
              </w:rPr>
            </w:pPr>
          </w:p>
        </w:tc>
        <w:tc>
          <w:tcPr>
            <w:tcW w:w="1134" w:type="dxa"/>
            <w:shd w:val="clear" w:color="auto" w:fill="7F7F7F" w:themeFill="text1" w:themeFillTint="80"/>
            <w:vAlign w:val="center"/>
          </w:tcPr>
          <w:p w14:paraId="3FA79B60" w14:textId="77777777" w:rsidR="003518C7" w:rsidRDefault="003518C7" w:rsidP="00ED0872">
            <w:pPr>
              <w:widowControl w:val="0"/>
              <w:spacing w:after="0"/>
              <w:rPr>
                <w:rFonts w:ascii="Arial" w:hAnsi="Arial" w:cs="Arial"/>
                <w:sz w:val="18"/>
                <w:szCs w:val="18"/>
              </w:rPr>
            </w:pPr>
          </w:p>
        </w:tc>
        <w:tc>
          <w:tcPr>
            <w:tcW w:w="1134" w:type="dxa"/>
            <w:shd w:val="clear" w:color="auto" w:fill="7F7F7F" w:themeFill="text1" w:themeFillTint="80"/>
            <w:vAlign w:val="center"/>
          </w:tcPr>
          <w:p w14:paraId="1C008A11" w14:textId="77777777" w:rsidR="003518C7" w:rsidRDefault="003518C7" w:rsidP="00ED0872">
            <w:pPr>
              <w:widowControl w:val="0"/>
              <w:spacing w:after="0"/>
              <w:rPr>
                <w:rFonts w:ascii="Arial" w:hAnsi="Arial" w:cs="Arial"/>
                <w:sz w:val="18"/>
                <w:szCs w:val="18"/>
              </w:rPr>
            </w:pPr>
          </w:p>
        </w:tc>
        <w:tc>
          <w:tcPr>
            <w:tcW w:w="2126" w:type="dxa"/>
            <w:shd w:val="clear" w:color="auto" w:fill="7F7F7F" w:themeFill="text1" w:themeFillTint="80"/>
            <w:vAlign w:val="center"/>
          </w:tcPr>
          <w:p w14:paraId="5BBD7FFF" w14:textId="77777777" w:rsidR="003518C7" w:rsidRPr="007202BB" w:rsidRDefault="003518C7" w:rsidP="00ED0872">
            <w:pPr>
              <w:spacing w:after="0"/>
              <w:rPr>
                <w:rFonts w:ascii="Arial" w:hAnsi="Arial" w:cs="Arial"/>
                <w:sz w:val="18"/>
                <w:szCs w:val="18"/>
              </w:rPr>
            </w:pPr>
          </w:p>
        </w:tc>
        <w:tc>
          <w:tcPr>
            <w:tcW w:w="1701" w:type="dxa"/>
            <w:shd w:val="clear" w:color="auto" w:fill="7F7F7F" w:themeFill="text1" w:themeFillTint="80"/>
            <w:vAlign w:val="center"/>
          </w:tcPr>
          <w:p w14:paraId="0FE440F7" w14:textId="77777777" w:rsidR="003518C7" w:rsidRDefault="003518C7" w:rsidP="00ED0872">
            <w:pPr>
              <w:widowControl w:val="0"/>
              <w:spacing w:after="0"/>
              <w:rPr>
                <w:rFonts w:ascii="Arial" w:hAnsi="Arial" w:cs="Arial"/>
                <w:sz w:val="18"/>
                <w:szCs w:val="18"/>
              </w:rPr>
            </w:pPr>
          </w:p>
        </w:tc>
        <w:tc>
          <w:tcPr>
            <w:tcW w:w="1231" w:type="dxa"/>
            <w:shd w:val="clear" w:color="auto" w:fill="7F7F7F" w:themeFill="text1" w:themeFillTint="80"/>
            <w:vAlign w:val="center"/>
          </w:tcPr>
          <w:p w14:paraId="429D09B7" w14:textId="77777777" w:rsidR="003518C7" w:rsidRDefault="003518C7" w:rsidP="007202BB">
            <w:pPr>
              <w:widowControl w:val="0"/>
              <w:spacing w:after="0"/>
              <w:jc w:val="right"/>
              <w:rPr>
                <w:rFonts w:ascii="Arial" w:hAnsi="Arial" w:cs="Arial"/>
                <w:sz w:val="18"/>
                <w:szCs w:val="18"/>
              </w:rPr>
            </w:pPr>
          </w:p>
        </w:tc>
      </w:tr>
      <w:tr w:rsidR="00B20E35" w:rsidRPr="00F4684B" w14:paraId="61230CAD" w14:textId="77777777" w:rsidTr="00B7444E">
        <w:trPr>
          <w:trHeight w:val="567"/>
        </w:trPr>
        <w:tc>
          <w:tcPr>
            <w:tcW w:w="2689" w:type="dxa"/>
            <w:tcBorders>
              <w:bottom w:val="single" w:sz="4" w:space="0" w:color="auto"/>
            </w:tcBorders>
            <w:shd w:val="clear" w:color="auto" w:fill="D9D9D9" w:themeFill="background1" w:themeFillShade="D9"/>
            <w:vAlign w:val="center"/>
          </w:tcPr>
          <w:p w14:paraId="3495EC0C" w14:textId="77777777" w:rsidR="00B20E35" w:rsidRPr="004C21B7" w:rsidRDefault="00347F1C" w:rsidP="007202BB">
            <w:pPr>
              <w:widowControl w:val="0"/>
              <w:spacing w:after="0"/>
              <w:rPr>
                <w:rFonts w:ascii="Arial" w:hAnsi="Arial" w:cs="Arial"/>
                <w:sz w:val="18"/>
                <w:szCs w:val="18"/>
                <w:lang w:val="de-DE"/>
              </w:rPr>
            </w:pPr>
            <w:r w:rsidRPr="004C21B7">
              <w:rPr>
                <w:rFonts w:ascii="Arial" w:hAnsi="Arial"/>
                <w:sz w:val="18"/>
                <w:szCs w:val="18"/>
                <w:lang w:val="de-DE"/>
              </w:rPr>
              <w:t>“HCOB-Zentrale / Perle”,</w:t>
            </w:r>
          </w:p>
          <w:p w14:paraId="1589D7FC" w14:textId="4514A5E2" w:rsidR="00347F1C" w:rsidRPr="004C21B7" w:rsidRDefault="00347F1C" w:rsidP="007202BB">
            <w:pPr>
              <w:widowControl w:val="0"/>
              <w:spacing w:after="0"/>
              <w:rPr>
                <w:rFonts w:ascii="Arial" w:hAnsi="Arial" w:cs="Arial"/>
                <w:sz w:val="18"/>
                <w:szCs w:val="18"/>
                <w:lang w:val="de-DE"/>
              </w:rPr>
            </w:pPr>
            <w:r w:rsidRPr="004C21B7">
              <w:rPr>
                <w:rFonts w:ascii="Arial" w:hAnsi="Arial"/>
                <w:sz w:val="18"/>
                <w:szCs w:val="18"/>
                <w:lang w:val="de-DE"/>
              </w:rPr>
              <w:t>Gerhart-Hauptmann-Platz 50</w:t>
            </w:r>
          </w:p>
        </w:tc>
        <w:tc>
          <w:tcPr>
            <w:tcW w:w="1134" w:type="dxa"/>
            <w:tcBorders>
              <w:bottom w:val="single" w:sz="4" w:space="0" w:color="auto"/>
            </w:tcBorders>
            <w:shd w:val="clear" w:color="auto" w:fill="D9D9D9" w:themeFill="background1" w:themeFillShade="D9"/>
            <w:vAlign w:val="center"/>
          </w:tcPr>
          <w:p w14:paraId="642F8EB9" w14:textId="2ECE8D3D" w:rsidR="00B20E35" w:rsidRDefault="00347F1C" w:rsidP="00ED0872">
            <w:pPr>
              <w:widowControl w:val="0"/>
              <w:spacing w:after="0"/>
              <w:rPr>
                <w:rFonts w:ascii="Arial" w:hAnsi="Arial" w:cs="Arial"/>
                <w:sz w:val="18"/>
                <w:szCs w:val="18"/>
              </w:rPr>
            </w:pPr>
            <w:r>
              <w:rPr>
                <w:rFonts w:ascii="Arial" w:hAnsi="Arial"/>
                <w:sz w:val="18"/>
                <w:szCs w:val="18"/>
              </w:rPr>
              <w:t>City</w:t>
            </w:r>
          </w:p>
        </w:tc>
        <w:tc>
          <w:tcPr>
            <w:tcW w:w="1134" w:type="dxa"/>
            <w:tcBorders>
              <w:bottom w:val="single" w:sz="4" w:space="0" w:color="auto"/>
            </w:tcBorders>
            <w:shd w:val="clear" w:color="auto" w:fill="D9D9D9" w:themeFill="background1" w:themeFillShade="D9"/>
            <w:vAlign w:val="center"/>
          </w:tcPr>
          <w:p w14:paraId="0F83478C" w14:textId="5E5C95ED" w:rsidR="00B20E35" w:rsidRDefault="00347F1C" w:rsidP="00ED0872">
            <w:pPr>
              <w:widowControl w:val="0"/>
              <w:spacing w:after="0"/>
              <w:rPr>
                <w:rFonts w:ascii="Arial" w:hAnsi="Arial" w:cs="Arial"/>
                <w:sz w:val="18"/>
                <w:szCs w:val="18"/>
              </w:rPr>
            </w:pPr>
            <w:r>
              <w:rPr>
                <w:rFonts w:ascii="Arial" w:hAnsi="Arial"/>
                <w:sz w:val="18"/>
                <w:szCs w:val="18"/>
              </w:rPr>
              <w:t>Mixed use</w:t>
            </w:r>
          </w:p>
        </w:tc>
        <w:tc>
          <w:tcPr>
            <w:tcW w:w="2126" w:type="dxa"/>
            <w:tcBorders>
              <w:bottom w:val="single" w:sz="4" w:space="0" w:color="auto"/>
            </w:tcBorders>
            <w:shd w:val="clear" w:color="auto" w:fill="D9D9D9" w:themeFill="background1" w:themeFillShade="D9"/>
            <w:vAlign w:val="center"/>
          </w:tcPr>
          <w:p w14:paraId="3A5C6E65" w14:textId="3719E3EF" w:rsidR="00B20E35" w:rsidRPr="007202BB" w:rsidRDefault="00347F1C" w:rsidP="00ED0872">
            <w:pPr>
              <w:spacing w:after="0"/>
              <w:rPr>
                <w:rFonts w:ascii="Arial" w:hAnsi="Arial" w:cs="Arial"/>
                <w:sz w:val="18"/>
                <w:szCs w:val="18"/>
              </w:rPr>
            </w:pPr>
            <w:proofErr w:type="spellStart"/>
            <w:r>
              <w:rPr>
                <w:rFonts w:ascii="Arial" w:hAnsi="Arial"/>
                <w:sz w:val="18"/>
                <w:szCs w:val="18"/>
              </w:rPr>
              <w:t>Signa</w:t>
            </w:r>
            <w:proofErr w:type="spellEnd"/>
            <w:r>
              <w:rPr>
                <w:rFonts w:ascii="Arial" w:hAnsi="Arial"/>
                <w:sz w:val="18"/>
                <w:szCs w:val="18"/>
              </w:rPr>
              <w:t xml:space="preserve"> Holding</w:t>
            </w:r>
          </w:p>
        </w:tc>
        <w:tc>
          <w:tcPr>
            <w:tcW w:w="1701" w:type="dxa"/>
            <w:tcBorders>
              <w:bottom w:val="single" w:sz="4" w:space="0" w:color="auto"/>
            </w:tcBorders>
            <w:shd w:val="clear" w:color="auto" w:fill="D9D9D9" w:themeFill="background1" w:themeFillShade="D9"/>
            <w:vAlign w:val="center"/>
          </w:tcPr>
          <w:p w14:paraId="0703FCCD" w14:textId="0922B13B" w:rsidR="00B20E35" w:rsidRDefault="00347F1C" w:rsidP="00ED0872">
            <w:pPr>
              <w:widowControl w:val="0"/>
              <w:spacing w:after="0"/>
              <w:rPr>
                <w:rFonts w:ascii="Arial" w:hAnsi="Arial" w:cs="Arial"/>
                <w:sz w:val="18"/>
                <w:szCs w:val="18"/>
              </w:rPr>
            </w:pPr>
            <w:r>
              <w:rPr>
                <w:rFonts w:ascii="Arial" w:hAnsi="Arial"/>
                <w:sz w:val="18"/>
                <w:szCs w:val="18"/>
              </w:rPr>
              <w:t>Hamburg Commercial Bank (HCOB)</w:t>
            </w:r>
          </w:p>
        </w:tc>
        <w:tc>
          <w:tcPr>
            <w:tcW w:w="1231" w:type="dxa"/>
            <w:tcBorders>
              <w:bottom w:val="single" w:sz="4" w:space="0" w:color="auto"/>
            </w:tcBorders>
            <w:shd w:val="clear" w:color="auto" w:fill="D9D9D9" w:themeFill="background1" w:themeFillShade="D9"/>
            <w:vAlign w:val="center"/>
          </w:tcPr>
          <w:p w14:paraId="3F05EB5C" w14:textId="7CAFCF74" w:rsidR="00B20E35" w:rsidRDefault="003E2812" w:rsidP="007202BB">
            <w:pPr>
              <w:widowControl w:val="0"/>
              <w:spacing w:after="0"/>
              <w:jc w:val="right"/>
              <w:rPr>
                <w:rFonts w:ascii="Arial" w:hAnsi="Arial" w:cs="Arial"/>
                <w:sz w:val="18"/>
                <w:szCs w:val="18"/>
              </w:rPr>
            </w:pPr>
            <w:r>
              <w:rPr>
                <w:rFonts w:ascii="Arial" w:hAnsi="Arial"/>
                <w:sz w:val="18"/>
                <w:szCs w:val="18"/>
              </w:rPr>
              <w:t>confidential</w:t>
            </w:r>
          </w:p>
        </w:tc>
      </w:tr>
    </w:tbl>
    <w:p w14:paraId="0101C8CA" w14:textId="5BBF04D6" w:rsidR="007C0ABB" w:rsidRDefault="007C0ABB" w:rsidP="007C0ABB">
      <w:pPr>
        <w:widowControl w:val="0"/>
        <w:spacing w:after="0"/>
        <w:rPr>
          <w:rFonts w:ascii="Arial" w:hAnsi="Arial" w:cs="Arial"/>
          <w:sz w:val="16"/>
          <w:szCs w:val="16"/>
        </w:rPr>
      </w:pPr>
      <w:r>
        <w:rPr>
          <w:rFonts w:ascii="Arial" w:hAnsi="Arial"/>
          <w:sz w:val="16"/>
          <w:szCs w:val="16"/>
        </w:rPr>
        <w:t>*The purchase prices stated are based on publicly available data, where none is available an estimate is made; transactions occurring in the quarter dealt with</w:t>
      </w:r>
      <w:r w:rsidR="004C21B7">
        <w:rPr>
          <w:rFonts w:ascii="Arial" w:hAnsi="Arial"/>
          <w:sz w:val="16"/>
          <w:szCs w:val="16"/>
        </w:rPr>
        <w:t xml:space="preserve"> in this report are highlighted</w:t>
      </w:r>
    </w:p>
    <w:p w14:paraId="06A84312" w14:textId="77777777" w:rsidR="00713D81" w:rsidRDefault="00713D81" w:rsidP="000A5ED1">
      <w:pPr>
        <w:spacing w:after="0"/>
        <w:rPr>
          <w:rFonts w:ascii="Arial" w:eastAsia="Arial" w:hAnsi="Arial" w:cs="Arial"/>
          <w:color w:val="000000" w:themeColor="text1"/>
          <w:sz w:val="20"/>
          <w:szCs w:val="20"/>
        </w:rPr>
      </w:pPr>
    </w:p>
    <w:p w14:paraId="1CB225B7" w14:textId="4C872A7A" w:rsidR="00897DBE" w:rsidRPr="00897DBE" w:rsidRDefault="00FC40F0" w:rsidP="00CE4A15">
      <w:pPr>
        <w:spacing w:after="0" w:line="360" w:lineRule="auto"/>
        <w:rPr>
          <w:rFonts w:ascii="Arial" w:hAnsi="Arial" w:cs="Arial"/>
          <w:sz w:val="20"/>
          <w:szCs w:val="20"/>
        </w:rPr>
      </w:pPr>
      <w:r>
        <w:rPr>
          <w:rFonts w:ascii="Arial" w:hAnsi="Arial"/>
          <w:color w:val="000000" w:themeColor="text1"/>
          <w:sz w:val="20"/>
          <w:szCs w:val="20"/>
        </w:rPr>
        <w:t xml:space="preserve">The complete </w:t>
      </w:r>
      <w:r>
        <w:rPr>
          <w:rFonts w:ascii="Arial" w:hAnsi="Arial"/>
          <w:sz w:val="20"/>
          <w:szCs w:val="20"/>
        </w:rPr>
        <w:t>market survey</w:t>
      </w:r>
      <w:r>
        <w:rPr>
          <w:rFonts w:ascii="Arial" w:hAnsi="Arial"/>
          <w:color w:val="000000" w:themeColor="text1"/>
          <w:sz w:val="20"/>
          <w:szCs w:val="20"/>
        </w:rPr>
        <w:t xml:space="preserve"> will soon be available and can be downloaded from our </w:t>
      </w:r>
      <w:hyperlink r:id="rId9" w:history="1">
        <w:r w:rsidR="004C21B7">
          <w:rPr>
            <w:rStyle w:val="Hyperlink"/>
            <w:rFonts w:ascii="Arial" w:hAnsi="Arial"/>
            <w:sz w:val="20"/>
            <w:szCs w:val="20"/>
          </w:rPr>
          <w:t>w</w:t>
        </w:r>
        <w:r>
          <w:rPr>
            <w:rStyle w:val="Hyperlink"/>
            <w:rFonts w:ascii="Arial" w:hAnsi="Arial"/>
            <w:sz w:val="20"/>
            <w:szCs w:val="20"/>
          </w:rPr>
          <w:t>ebsite</w:t>
        </w:r>
      </w:hyperlink>
      <w:r>
        <w:rPr>
          <w:rFonts w:ascii="Arial" w:hAnsi="Arial"/>
          <w:color w:val="000000" w:themeColor="text1"/>
          <w:sz w:val="20"/>
          <w:szCs w:val="20"/>
        </w:rPr>
        <w:t>.</w:t>
      </w:r>
    </w:p>
    <w:p w14:paraId="51C1AA4D" w14:textId="23D05B49" w:rsidR="00046FEC" w:rsidRDefault="00046FEC" w:rsidP="00A73C12">
      <w:pPr>
        <w:spacing w:after="0" w:line="360" w:lineRule="auto"/>
        <w:rPr>
          <w:rFonts w:ascii="Arial" w:hAnsi="Arial" w:cs="Arial"/>
          <w:sz w:val="16"/>
          <w:szCs w:val="16"/>
        </w:rPr>
      </w:pPr>
    </w:p>
    <w:p w14:paraId="67CB0AA0" w14:textId="77777777" w:rsidR="002B0F0D" w:rsidRPr="0090748B" w:rsidRDefault="002B0F0D" w:rsidP="002B0F0D">
      <w:pPr>
        <w:spacing w:after="0" w:line="360" w:lineRule="auto"/>
        <w:rPr>
          <w:rFonts w:ascii="Arial" w:hAnsi="Arial" w:cs="Arial"/>
          <w:b/>
          <w:sz w:val="16"/>
          <w:szCs w:val="16"/>
        </w:rPr>
      </w:pPr>
      <w:r>
        <w:rPr>
          <w:rFonts w:ascii="Arial" w:hAnsi="Arial"/>
          <w:b/>
          <w:sz w:val="16"/>
          <w:szCs w:val="16"/>
        </w:rPr>
        <w:t>About Grossmann &amp; Berger</w:t>
      </w:r>
    </w:p>
    <w:p w14:paraId="4ABAC92F" w14:textId="5101FA75" w:rsidR="002B0F0D" w:rsidRPr="00583E25" w:rsidRDefault="00F4310C" w:rsidP="002B0F0D">
      <w:pPr>
        <w:spacing w:after="0" w:line="360" w:lineRule="auto"/>
        <w:rPr>
          <w:rFonts w:ascii="Arial" w:hAnsi="Arial" w:cs="Arial"/>
          <w:snapToGrid w:val="0"/>
          <w:sz w:val="16"/>
          <w:szCs w:val="16"/>
        </w:rPr>
      </w:pPr>
      <w:hyperlink r:id="rId10" w:history="1">
        <w:r w:rsidR="002B0F0D" w:rsidRPr="000B0F6C">
          <w:rPr>
            <w:rStyle w:val="Hyperlink"/>
            <w:rFonts w:ascii="Arial" w:hAnsi="Arial" w:cs="Arial"/>
            <w:snapToGrid w:val="0"/>
            <w:sz w:val="16"/>
            <w:szCs w:val="16"/>
          </w:rPr>
          <w:t>Grossmann &amp; Berger GmbH</w:t>
        </w:r>
      </w:hyperlink>
      <w:r w:rsidR="002B0F0D" w:rsidRPr="000B0F6C">
        <w:rPr>
          <w:rFonts w:ascii="Arial" w:hAnsi="Arial" w:cs="Arial"/>
          <w:snapToGrid w:val="0"/>
          <w:sz w:val="16"/>
          <w:szCs w:val="16"/>
        </w:rPr>
        <w:t xml:space="preserve"> is one of the leading service providers for selling and letting commercial and residential properties in North Germany. Headquartered in Hamburg, the Company has a branch office in</w:t>
      </w:r>
      <w:r w:rsidR="002B0F0D">
        <w:rPr>
          <w:rFonts w:ascii="Arial" w:hAnsi="Arial"/>
          <w:snapToGrid w:val="0"/>
          <w:sz w:val="16"/>
          <w:szCs w:val="16"/>
        </w:rPr>
        <w:t xml:space="preserve"> Berlin, a total of fourteen property shops, and over 190 employees who cover the entire North German market. With over 85 years of experience in the business, Grossmann &amp; Berger offers a complete package of real estate expertise. </w:t>
      </w:r>
      <w:r w:rsidR="002B0F0D">
        <w:rPr>
          <w:rFonts w:ascii="Arial" w:hAnsi="Arial"/>
          <w:sz w:val="16"/>
          <w:szCs w:val="16"/>
        </w:rPr>
        <w:t xml:space="preserve">Grossmann &amp; Berger is a member of the HASPA Group of Companies, which also includes Germany's largest savings bank, Hamburger </w:t>
      </w:r>
      <w:proofErr w:type="spellStart"/>
      <w:r w:rsidR="002B0F0D">
        <w:rPr>
          <w:rFonts w:ascii="Arial" w:hAnsi="Arial"/>
          <w:sz w:val="16"/>
          <w:szCs w:val="16"/>
        </w:rPr>
        <w:t>Sparkasse</w:t>
      </w:r>
      <w:proofErr w:type="spellEnd"/>
      <w:r w:rsidR="002B0F0D">
        <w:rPr>
          <w:rFonts w:ascii="Arial" w:hAnsi="Arial"/>
          <w:sz w:val="16"/>
          <w:szCs w:val="16"/>
        </w:rPr>
        <w:t xml:space="preserve"> (</w:t>
      </w:r>
      <w:proofErr w:type="spellStart"/>
      <w:r w:rsidR="002B0F0D">
        <w:rPr>
          <w:rFonts w:ascii="Arial" w:hAnsi="Arial"/>
          <w:sz w:val="16"/>
          <w:szCs w:val="16"/>
        </w:rPr>
        <w:t>Haspa</w:t>
      </w:r>
      <w:proofErr w:type="spellEnd"/>
      <w:r w:rsidR="002B0F0D">
        <w:rPr>
          <w:rFonts w:ascii="Arial" w:hAnsi="Arial"/>
          <w:sz w:val="16"/>
          <w:szCs w:val="16"/>
        </w:rPr>
        <w:t xml:space="preserve">). Moreover, the Company is a founding member of the nation-wide commercial property network </w:t>
      </w:r>
      <w:hyperlink r:id="rId11" w:history="1">
        <w:r w:rsidR="002B0F0D">
          <w:rPr>
            <w:rStyle w:val="Hyperlink"/>
            <w:rFonts w:ascii="Arial" w:hAnsi="Arial"/>
            <w:sz w:val="16"/>
            <w:szCs w:val="16"/>
          </w:rPr>
          <w:t>German Property Partners</w:t>
        </w:r>
      </w:hyperlink>
      <w:r w:rsidR="002B0F0D">
        <w:rPr>
          <w:rFonts w:ascii="Arial" w:hAnsi="Arial"/>
          <w:sz w:val="16"/>
          <w:szCs w:val="16"/>
        </w:rPr>
        <w:t xml:space="preserve"> (GPP) and the working group of brokers associated with banks and building societies, </w:t>
      </w:r>
      <w:proofErr w:type="spellStart"/>
      <w:r w:rsidR="002B0F0D">
        <w:rPr>
          <w:rFonts w:ascii="Arial" w:hAnsi="Arial"/>
          <w:sz w:val="16"/>
          <w:szCs w:val="16"/>
        </w:rPr>
        <w:t>Arbeitsgemeinschaft</w:t>
      </w:r>
      <w:proofErr w:type="spellEnd"/>
      <w:r w:rsidR="002B0F0D">
        <w:rPr>
          <w:rFonts w:ascii="Arial" w:hAnsi="Arial"/>
          <w:sz w:val="16"/>
          <w:szCs w:val="16"/>
        </w:rPr>
        <w:t xml:space="preserve"> </w:t>
      </w:r>
      <w:proofErr w:type="spellStart"/>
      <w:r w:rsidR="002B0F0D">
        <w:rPr>
          <w:rFonts w:ascii="Arial" w:hAnsi="Arial"/>
          <w:sz w:val="16"/>
          <w:szCs w:val="16"/>
        </w:rPr>
        <w:t>ImmobilienVermittler</w:t>
      </w:r>
      <w:proofErr w:type="spellEnd"/>
      <w:r w:rsidR="002B0F0D">
        <w:rPr>
          <w:rFonts w:ascii="Arial" w:hAnsi="Arial"/>
          <w:sz w:val="16"/>
          <w:szCs w:val="16"/>
        </w:rPr>
        <w:t xml:space="preserve"> </w:t>
      </w:r>
      <w:proofErr w:type="spellStart"/>
      <w:r w:rsidR="002B0F0D">
        <w:rPr>
          <w:rFonts w:ascii="Arial" w:hAnsi="Arial"/>
          <w:sz w:val="16"/>
          <w:szCs w:val="16"/>
        </w:rPr>
        <w:t>Banken</w:t>
      </w:r>
      <w:proofErr w:type="spellEnd"/>
      <w:r w:rsidR="002B0F0D">
        <w:rPr>
          <w:rFonts w:ascii="Arial" w:hAnsi="Arial"/>
          <w:sz w:val="16"/>
          <w:szCs w:val="16"/>
        </w:rPr>
        <w:t xml:space="preserve"> </w:t>
      </w:r>
      <w:proofErr w:type="spellStart"/>
      <w:r w:rsidR="002B0F0D">
        <w:rPr>
          <w:rFonts w:ascii="Arial" w:hAnsi="Arial"/>
          <w:sz w:val="16"/>
          <w:szCs w:val="16"/>
        </w:rPr>
        <w:t>Bausparkassen</w:t>
      </w:r>
      <w:proofErr w:type="spellEnd"/>
      <w:r w:rsidR="002B0F0D">
        <w:rPr>
          <w:rFonts w:ascii="Arial" w:hAnsi="Arial"/>
          <w:sz w:val="16"/>
          <w:szCs w:val="16"/>
        </w:rPr>
        <w:t xml:space="preserve"> </w:t>
      </w:r>
      <w:proofErr w:type="spellStart"/>
      <w:r w:rsidR="002B0F0D">
        <w:rPr>
          <w:rFonts w:ascii="Arial" w:hAnsi="Arial"/>
          <w:sz w:val="16"/>
          <w:szCs w:val="16"/>
        </w:rPr>
        <w:t>e.V</w:t>
      </w:r>
      <w:proofErr w:type="spellEnd"/>
      <w:r w:rsidR="002B0F0D">
        <w:rPr>
          <w:rFonts w:ascii="Arial" w:hAnsi="Arial"/>
          <w:sz w:val="16"/>
          <w:szCs w:val="16"/>
        </w:rPr>
        <w:t>. (IVBB).</w:t>
      </w:r>
      <w:r w:rsidR="002B0F0D">
        <w:rPr>
          <w:rFonts w:ascii="Arial" w:hAnsi="Arial"/>
          <w:snapToGrid w:val="0"/>
          <w:sz w:val="16"/>
          <w:szCs w:val="16"/>
        </w:rPr>
        <w:t xml:space="preserve"> </w:t>
      </w:r>
    </w:p>
    <w:p w14:paraId="7AC4E6FD" w14:textId="77777777" w:rsidR="002B0F0D" w:rsidRPr="00583E25" w:rsidRDefault="002B0F0D" w:rsidP="002B0F0D">
      <w:pPr>
        <w:spacing w:after="0" w:line="360" w:lineRule="auto"/>
        <w:rPr>
          <w:rFonts w:ascii="Arial" w:hAnsi="Arial" w:cs="Arial"/>
          <w:sz w:val="16"/>
          <w:szCs w:val="16"/>
        </w:rPr>
      </w:pPr>
    </w:p>
    <w:p w14:paraId="483E5564" w14:textId="0D54E786" w:rsidR="002B0F0D" w:rsidRPr="008E51AD" w:rsidRDefault="002B0F0D" w:rsidP="00A73C12">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sidRPr="007B0EB3">
          <w:rPr>
            <w:rStyle w:val="Hyperlink"/>
            <w:rFonts w:ascii="Arial" w:hAnsi="Arial"/>
            <w:sz w:val="16"/>
            <w:szCs w:val="16"/>
            <w:u w:val="none"/>
          </w:rPr>
          <w:t xml:space="preserve"> </w:t>
        </w:r>
        <w:r>
          <w:rPr>
            <w:rStyle w:val="Hyperlink"/>
            <w:rFonts w:ascii="Arial" w:hAnsi="Arial"/>
            <w:sz w:val="16"/>
            <w:szCs w:val="16"/>
          </w:rPr>
          <w:t>data privacy policy</w:t>
        </w:r>
        <w:r w:rsidRPr="004C21B7">
          <w:rPr>
            <w:rStyle w:val="Hyperlink"/>
            <w:rFonts w:ascii="Arial" w:hAnsi="Arial"/>
            <w:sz w:val="16"/>
            <w:szCs w:val="16"/>
            <w:u w:val="none"/>
          </w:rPr>
          <w:t>.</w:t>
        </w:r>
      </w:hyperlink>
      <w:r w:rsidR="004C21B7">
        <w:rPr>
          <w:rFonts w:ascii="Arial" w:hAnsi="Arial"/>
          <w:sz w:val="16"/>
          <w:szCs w:val="16"/>
        </w:rPr>
        <w:t xml:space="preserve"> </w:t>
      </w:r>
      <w:r>
        <w:rPr>
          <w:rFonts w:ascii="Arial" w:hAnsi="Arial"/>
          <w:sz w:val="16"/>
          <w:szCs w:val="16"/>
        </w:rPr>
        <w:t>Here you will also be able to access our</w:t>
      </w:r>
      <w:hyperlink r:id="rId13" w:history="1">
        <w:r w:rsidRPr="004C21B7">
          <w:rPr>
            <w:rStyle w:val="Hyperlink"/>
            <w:rFonts w:ascii="Arial" w:hAnsi="Arial"/>
            <w:sz w:val="16"/>
            <w:szCs w:val="16"/>
            <w:u w:val="none"/>
          </w:rPr>
          <w:t xml:space="preserve"> </w:t>
        </w:r>
        <w:r>
          <w:rPr>
            <w:rStyle w:val="Hyperlink"/>
            <w:rFonts w:ascii="Arial" w:hAnsi="Arial"/>
            <w:sz w:val="16"/>
            <w:szCs w:val="16"/>
          </w:rPr>
          <w:t>press kit</w:t>
        </w:r>
        <w:r w:rsidRPr="004C21B7">
          <w:rPr>
            <w:rStyle w:val="Hyperlink"/>
            <w:rFonts w:ascii="Arial" w:hAnsi="Arial"/>
            <w:sz w:val="16"/>
            <w:szCs w:val="16"/>
            <w:u w:val="none"/>
          </w:rPr>
          <w:t xml:space="preserve"> </w:t>
        </w:r>
      </w:hyperlink>
      <w:r>
        <w:rPr>
          <w:rFonts w:ascii="Arial" w:hAnsi="Arial"/>
          <w:sz w:val="16"/>
          <w:szCs w:val="16"/>
        </w:rPr>
        <w:t xml:space="preserve">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r>
        <w:rPr>
          <w:rFonts w:ascii="Times New Roman" w:hAnsi="Times New Roman"/>
          <w:snapToGrid w:val="0"/>
          <w:color w:val="000000"/>
          <w:sz w:val="0"/>
          <w:szCs w:val="0"/>
          <w:u w:color="000000"/>
          <w:bdr w:val="none" w:sz="0" w:space="0" w:color="000000"/>
          <w:shd w:val="clear" w:color="000000" w:fill="000000"/>
        </w:rPr>
        <w:t xml:space="preserve"> </w:t>
      </w:r>
    </w:p>
    <w:sectPr w:rsidR="002B0F0D" w:rsidRPr="008E51AD"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BBE2" w16cex:dateUtc="2020-12-29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C3FBC" w16cid:durableId="2395BB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87B8" w14:textId="77777777" w:rsidR="000378DF" w:rsidRDefault="000378DF">
      <w:r>
        <w:separator/>
      </w:r>
    </w:p>
  </w:endnote>
  <w:endnote w:type="continuationSeparator" w:id="0">
    <w:p w14:paraId="5A5554BB" w14:textId="77777777" w:rsidR="000378DF" w:rsidRDefault="0003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1233CED1"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4C21B7">
      <w:rPr>
        <w:rFonts w:ascii="Arial" w:hAnsi="Arial"/>
        <w:b/>
        <w:bCs/>
        <w:color w:val="918F90"/>
        <w:sz w:val="18"/>
        <w:szCs w:val="18"/>
        <w:lang w:val="de-DE"/>
      </w:rPr>
      <w:t xml:space="preserve">Grossmann &amp; Berger GmbH </w:t>
    </w:r>
    <w:r w:rsidR="004C21B7" w:rsidRPr="004C21B7">
      <w:rPr>
        <w:rFonts w:ascii="Arial" w:hAnsi="Arial"/>
        <w:color w:val="918F90"/>
        <w:sz w:val="18"/>
        <w:szCs w:val="18"/>
        <w:lang w:val="de-DE"/>
      </w:rPr>
      <w:t xml:space="preserve">| </w:t>
    </w:r>
    <w:proofErr w:type="spellStart"/>
    <w:r w:rsidR="004C21B7" w:rsidRPr="004C21B7">
      <w:rPr>
        <w:rFonts w:ascii="Arial" w:hAnsi="Arial"/>
        <w:color w:val="918F90"/>
        <w:sz w:val="18"/>
        <w:szCs w:val="18"/>
        <w:lang w:val="de-DE"/>
      </w:rPr>
      <w:t>Bleichenbrücke</w:t>
    </w:r>
    <w:proofErr w:type="spellEnd"/>
    <w:r w:rsidR="004C21B7" w:rsidRPr="004C21B7">
      <w:rPr>
        <w:rFonts w:ascii="Arial" w:hAnsi="Arial"/>
        <w:color w:val="918F90"/>
        <w:sz w:val="18"/>
        <w:szCs w:val="18"/>
        <w:lang w:val="de-DE"/>
      </w:rPr>
      <w:t xml:space="preserve"> 9 | </w:t>
    </w:r>
    <w:r w:rsidRPr="004C21B7">
      <w:rPr>
        <w:rFonts w:ascii="Arial" w:hAnsi="Arial"/>
        <w:color w:val="918F90"/>
        <w:sz w:val="18"/>
        <w:szCs w:val="18"/>
        <w:lang w:val="de-DE"/>
      </w:rPr>
      <w:t xml:space="preserve">20354 Hamburg | Tel. </w:t>
    </w:r>
    <w:r>
      <w:rPr>
        <w:rFonts w:ascii="Arial" w:hAnsi="Arial"/>
        <w:color w:val="918F90"/>
        <w:sz w:val="18"/>
        <w:szCs w:val="18"/>
      </w:rPr>
      <w:t>+49 (0)40/350 80 2-0 | www.grossmann-berger.de</w:t>
    </w:r>
  </w:p>
  <w:p w14:paraId="5440A7EF" w14:textId="75491DF6"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F4310C">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F4310C">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7808" w14:textId="77777777" w:rsidR="000378DF" w:rsidRDefault="000378DF">
      <w:r>
        <w:separator/>
      </w:r>
    </w:p>
  </w:footnote>
  <w:footnote w:type="continuationSeparator" w:id="0">
    <w:p w14:paraId="2D1572F4" w14:textId="77777777" w:rsidR="000378DF" w:rsidRDefault="0003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565DED62">
              <wp:simplePos x="0" y="0"/>
              <wp:positionH relativeFrom="margin">
                <wp:posOffset>-74930</wp:posOffset>
              </wp:positionH>
              <wp:positionV relativeFrom="paragraph">
                <wp:posOffset>42530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6DB86C90"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3.35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" filled="f" stroked="f">
              <v:textbox>
                <w:txbxContent>
                  <w:p w14:paraId="49DF3728" w14:textId="6DB86C90"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0D1FFBD4"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0D1FFBD4"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87F2D4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8B204E4"/>
    <w:multiLevelType w:val="multilevel"/>
    <w:tmpl w:val="7E7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5"/>
  </w:num>
  <w:num w:numId="16">
    <w:abstractNumId w:val="11"/>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59FE"/>
    <w:rsid w:val="00022F16"/>
    <w:rsid w:val="00023D78"/>
    <w:rsid w:val="00027644"/>
    <w:rsid w:val="0003075C"/>
    <w:rsid w:val="0003107F"/>
    <w:rsid w:val="00032035"/>
    <w:rsid w:val="000334E4"/>
    <w:rsid w:val="000378DF"/>
    <w:rsid w:val="000418C7"/>
    <w:rsid w:val="00046FEC"/>
    <w:rsid w:val="00060743"/>
    <w:rsid w:val="00060752"/>
    <w:rsid w:val="000615E2"/>
    <w:rsid w:val="00061A84"/>
    <w:rsid w:val="000623C0"/>
    <w:rsid w:val="00064A03"/>
    <w:rsid w:val="00066796"/>
    <w:rsid w:val="0006754E"/>
    <w:rsid w:val="00072265"/>
    <w:rsid w:val="000739E8"/>
    <w:rsid w:val="00075002"/>
    <w:rsid w:val="000755CE"/>
    <w:rsid w:val="000766D7"/>
    <w:rsid w:val="0007670A"/>
    <w:rsid w:val="00080488"/>
    <w:rsid w:val="00080F27"/>
    <w:rsid w:val="000834E2"/>
    <w:rsid w:val="000A517C"/>
    <w:rsid w:val="000A5ED1"/>
    <w:rsid w:val="000A6314"/>
    <w:rsid w:val="000A72C3"/>
    <w:rsid w:val="000B0335"/>
    <w:rsid w:val="000B0C81"/>
    <w:rsid w:val="000B0F6C"/>
    <w:rsid w:val="000B1606"/>
    <w:rsid w:val="000B3315"/>
    <w:rsid w:val="000B3A6C"/>
    <w:rsid w:val="000B7D28"/>
    <w:rsid w:val="000C087C"/>
    <w:rsid w:val="000C30AB"/>
    <w:rsid w:val="000C4EAB"/>
    <w:rsid w:val="000C655C"/>
    <w:rsid w:val="000C74B2"/>
    <w:rsid w:val="000C770D"/>
    <w:rsid w:val="000D48D4"/>
    <w:rsid w:val="000E03F3"/>
    <w:rsid w:val="000E49CB"/>
    <w:rsid w:val="000E7BC7"/>
    <w:rsid w:val="000F5742"/>
    <w:rsid w:val="00102873"/>
    <w:rsid w:val="001029C4"/>
    <w:rsid w:val="0011486D"/>
    <w:rsid w:val="0011749C"/>
    <w:rsid w:val="00117D5D"/>
    <w:rsid w:val="00117EF7"/>
    <w:rsid w:val="00121E33"/>
    <w:rsid w:val="00126550"/>
    <w:rsid w:val="001324D6"/>
    <w:rsid w:val="00132522"/>
    <w:rsid w:val="00135BD2"/>
    <w:rsid w:val="00135E09"/>
    <w:rsid w:val="00144CE4"/>
    <w:rsid w:val="00152B8F"/>
    <w:rsid w:val="00154825"/>
    <w:rsid w:val="0016387C"/>
    <w:rsid w:val="001640DA"/>
    <w:rsid w:val="0017364E"/>
    <w:rsid w:val="0017516B"/>
    <w:rsid w:val="00176075"/>
    <w:rsid w:val="00176F1D"/>
    <w:rsid w:val="0018068D"/>
    <w:rsid w:val="00180801"/>
    <w:rsid w:val="001809AE"/>
    <w:rsid w:val="00184A4E"/>
    <w:rsid w:val="001871BC"/>
    <w:rsid w:val="0019467B"/>
    <w:rsid w:val="001A199C"/>
    <w:rsid w:val="001A2ABE"/>
    <w:rsid w:val="001A360C"/>
    <w:rsid w:val="001A6817"/>
    <w:rsid w:val="001B577C"/>
    <w:rsid w:val="001C2520"/>
    <w:rsid w:val="001C2BFF"/>
    <w:rsid w:val="001C34B0"/>
    <w:rsid w:val="001D14DA"/>
    <w:rsid w:val="001D43BB"/>
    <w:rsid w:val="001D645F"/>
    <w:rsid w:val="001D64B8"/>
    <w:rsid w:val="001E1172"/>
    <w:rsid w:val="001E6995"/>
    <w:rsid w:val="001F1513"/>
    <w:rsid w:val="001F15FF"/>
    <w:rsid w:val="001F3C3A"/>
    <w:rsid w:val="001F6DFF"/>
    <w:rsid w:val="001F77D1"/>
    <w:rsid w:val="0020062D"/>
    <w:rsid w:val="00201E4A"/>
    <w:rsid w:val="00205769"/>
    <w:rsid w:val="00212FEC"/>
    <w:rsid w:val="002131BB"/>
    <w:rsid w:val="00213F07"/>
    <w:rsid w:val="00214952"/>
    <w:rsid w:val="0022086D"/>
    <w:rsid w:val="00224830"/>
    <w:rsid w:val="00226DDF"/>
    <w:rsid w:val="00227E31"/>
    <w:rsid w:val="00230F81"/>
    <w:rsid w:val="002341EE"/>
    <w:rsid w:val="002353AA"/>
    <w:rsid w:val="00237341"/>
    <w:rsid w:val="002462B6"/>
    <w:rsid w:val="00251FC5"/>
    <w:rsid w:val="00252F40"/>
    <w:rsid w:val="00253412"/>
    <w:rsid w:val="00254C6F"/>
    <w:rsid w:val="002550BA"/>
    <w:rsid w:val="00255675"/>
    <w:rsid w:val="00255679"/>
    <w:rsid w:val="002561F0"/>
    <w:rsid w:val="00261FB3"/>
    <w:rsid w:val="0027266B"/>
    <w:rsid w:val="00274734"/>
    <w:rsid w:val="00277361"/>
    <w:rsid w:val="00277C66"/>
    <w:rsid w:val="00277D9C"/>
    <w:rsid w:val="00281E80"/>
    <w:rsid w:val="002834B0"/>
    <w:rsid w:val="00283671"/>
    <w:rsid w:val="00284A5D"/>
    <w:rsid w:val="00284E27"/>
    <w:rsid w:val="00294B7D"/>
    <w:rsid w:val="0029731B"/>
    <w:rsid w:val="002A1973"/>
    <w:rsid w:val="002B0F0D"/>
    <w:rsid w:val="002B14F6"/>
    <w:rsid w:val="002B71B8"/>
    <w:rsid w:val="002B7C7F"/>
    <w:rsid w:val="002C055A"/>
    <w:rsid w:val="002C2392"/>
    <w:rsid w:val="002C450A"/>
    <w:rsid w:val="002C79F7"/>
    <w:rsid w:val="002D1C5C"/>
    <w:rsid w:val="002D1E20"/>
    <w:rsid w:val="002D3615"/>
    <w:rsid w:val="002D4BA8"/>
    <w:rsid w:val="002E2A92"/>
    <w:rsid w:val="002E2C78"/>
    <w:rsid w:val="002E3440"/>
    <w:rsid w:val="002E6860"/>
    <w:rsid w:val="002F0411"/>
    <w:rsid w:val="002F7518"/>
    <w:rsid w:val="002F767E"/>
    <w:rsid w:val="00301F3A"/>
    <w:rsid w:val="00304D7A"/>
    <w:rsid w:val="0030711D"/>
    <w:rsid w:val="0031189D"/>
    <w:rsid w:val="00313876"/>
    <w:rsid w:val="003246F0"/>
    <w:rsid w:val="00325E2A"/>
    <w:rsid w:val="00326066"/>
    <w:rsid w:val="003272F3"/>
    <w:rsid w:val="003326FA"/>
    <w:rsid w:val="00335A2C"/>
    <w:rsid w:val="0034064A"/>
    <w:rsid w:val="00345716"/>
    <w:rsid w:val="00346814"/>
    <w:rsid w:val="0034786C"/>
    <w:rsid w:val="00347A18"/>
    <w:rsid w:val="00347F1C"/>
    <w:rsid w:val="00350D85"/>
    <w:rsid w:val="00351477"/>
    <w:rsid w:val="003517C9"/>
    <w:rsid w:val="003518C7"/>
    <w:rsid w:val="00351DCD"/>
    <w:rsid w:val="00357EC4"/>
    <w:rsid w:val="003627E1"/>
    <w:rsid w:val="00365AF8"/>
    <w:rsid w:val="00370000"/>
    <w:rsid w:val="00372A64"/>
    <w:rsid w:val="00373507"/>
    <w:rsid w:val="00375C0F"/>
    <w:rsid w:val="0038230E"/>
    <w:rsid w:val="00382529"/>
    <w:rsid w:val="0038350F"/>
    <w:rsid w:val="003908D1"/>
    <w:rsid w:val="00396CE0"/>
    <w:rsid w:val="003A00C9"/>
    <w:rsid w:val="003A25A4"/>
    <w:rsid w:val="003A7528"/>
    <w:rsid w:val="003B0F06"/>
    <w:rsid w:val="003B19F4"/>
    <w:rsid w:val="003B49E4"/>
    <w:rsid w:val="003B4CCF"/>
    <w:rsid w:val="003B6CD4"/>
    <w:rsid w:val="003C1693"/>
    <w:rsid w:val="003C5218"/>
    <w:rsid w:val="003C6AB4"/>
    <w:rsid w:val="003E099F"/>
    <w:rsid w:val="003E27B4"/>
    <w:rsid w:val="003E2812"/>
    <w:rsid w:val="003E4DF9"/>
    <w:rsid w:val="003E7A1E"/>
    <w:rsid w:val="003F665D"/>
    <w:rsid w:val="0040086D"/>
    <w:rsid w:val="004017D8"/>
    <w:rsid w:val="00405D59"/>
    <w:rsid w:val="00411E03"/>
    <w:rsid w:val="004123B1"/>
    <w:rsid w:val="00412E3D"/>
    <w:rsid w:val="00417F4D"/>
    <w:rsid w:val="004269AC"/>
    <w:rsid w:val="00426E13"/>
    <w:rsid w:val="004303A1"/>
    <w:rsid w:val="00436114"/>
    <w:rsid w:val="00440A2E"/>
    <w:rsid w:val="00440DC9"/>
    <w:rsid w:val="004450C4"/>
    <w:rsid w:val="0044510C"/>
    <w:rsid w:val="00445DF9"/>
    <w:rsid w:val="004477DC"/>
    <w:rsid w:val="004506D2"/>
    <w:rsid w:val="00456F40"/>
    <w:rsid w:val="00457DE3"/>
    <w:rsid w:val="004609BD"/>
    <w:rsid w:val="00463081"/>
    <w:rsid w:val="004661EE"/>
    <w:rsid w:val="00466741"/>
    <w:rsid w:val="00466A79"/>
    <w:rsid w:val="00470064"/>
    <w:rsid w:val="0047198B"/>
    <w:rsid w:val="004739AF"/>
    <w:rsid w:val="00476B6E"/>
    <w:rsid w:val="004818CE"/>
    <w:rsid w:val="004865AE"/>
    <w:rsid w:val="004966E3"/>
    <w:rsid w:val="004A2BEA"/>
    <w:rsid w:val="004A3C64"/>
    <w:rsid w:val="004A5AEA"/>
    <w:rsid w:val="004B2694"/>
    <w:rsid w:val="004B2FDA"/>
    <w:rsid w:val="004B3391"/>
    <w:rsid w:val="004B480A"/>
    <w:rsid w:val="004B5A6D"/>
    <w:rsid w:val="004C0CA2"/>
    <w:rsid w:val="004C21B7"/>
    <w:rsid w:val="004C3F94"/>
    <w:rsid w:val="004D50C0"/>
    <w:rsid w:val="004D772A"/>
    <w:rsid w:val="004D7FFC"/>
    <w:rsid w:val="004E1D29"/>
    <w:rsid w:val="004E339B"/>
    <w:rsid w:val="004E4273"/>
    <w:rsid w:val="004E4562"/>
    <w:rsid w:val="004F077F"/>
    <w:rsid w:val="004F78B4"/>
    <w:rsid w:val="005023DD"/>
    <w:rsid w:val="00503D8C"/>
    <w:rsid w:val="00505C1E"/>
    <w:rsid w:val="0051485A"/>
    <w:rsid w:val="00522B84"/>
    <w:rsid w:val="00523E82"/>
    <w:rsid w:val="00524FBD"/>
    <w:rsid w:val="00531A7F"/>
    <w:rsid w:val="00534BAD"/>
    <w:rsid w:val="005356B3"/>
    <w:rsid w:val="005360E8"/>
    <w:rsid w:val="005412D0"/>
    <w:rsid w:val="005428C5"/>
    <w:rsid w:val="0054319A"/>
    <w:rsid w:val="00543C55"/>
    <w:rsid w:val="0054412E"/>
    <w:rsid w:val="0054563C"/>
    <w:rsid w:val="005504C9"/>
    <w:rsid w:val="005529CE"/>
    <w:rsid w:val="0055393B"/>
    <w:rsid w:val="005554C7"/>
    <w:rsid w:val="00556F58"/>
    <w:rsid w:val="0056184E"/>
    <w:rsid w:val="0056775C"/>
    <w:rsid w:val="00567D57"/>
    <w:rsid w:val="00567E49"/>
    <w:rsid w:val="00570104"/>
    <w:rsid w:val="00571004"/>
    <w:rsid w:val="0057189A"/>
    <w:rsid w:val="0057685F"/>
    <w:rsid w:val="00576B3F"/>
    <w:rsid w:val="00577B63"/>
    <w:rsid w:val="00582B99"/>
    <w:rsid w:val="00584EAD"/>
    <w:rsid w:val="00590903"/>
    <w:rsid w:val="005A0421"/>
    <w:rsid w:val="005A2F39"/>
    <w:rsid w:val="005A617A"/>
    <w:rsid w:val="005B0FC9"/>
    <w:rsid w:val="005B24B2"/>
    <w:rsid w:val="005B66D3"/>
    <w:rsid w:val="005B78B1"/>
    <w:rsid w:val="005B7D91"/>
    <w:rsid w:val="005C4556"/>
    <w:rsid w:val="005C5302"/>
    <w:rsid w:val="005D307B"/>
    <w:rsid w:val="005D3366"/>
    <w:rsid w:val="005E362E"/>
    <w:rsid w:val="005E43B3"/>
    <w:rsid w:val="005F0A7E"/>
    <w:rsid w:val="005F25E4"/>
    <w:rsid w:val="005F5F7D"/>
    <w:rsid w:val="005F69D4"/>
    <w:rsid w:val="005F7593"/>
    <w:rsid w:val="0060010D"/>
    <w:rsid w:val="006029D7"/>
    <w:rsid w:val="006046B3"/>
    <w:rsid w:val="00606BFF"/>
    <w:rsid w:val="00606E35"/>
    <w:rsid w:val="0061109D"/>
    <w:rsid w:val="0061138B"/>
    <w:rsid w:val="00612AA0"/>
    <w:rsid w:val="006138CB"/>
    <w:rsid w:val="006224C4"/>
    <w:rsid w:val="006225EA"/>
    <w:rsid w:val="006261DF"/>
    <w:rsid w:val="00631936"/>
    <w:rsid w:val="006321DC"/>
    <w:rsid w:val="00641270"/>
    <w:rsid w:val="00642074"/>
    <w:rsid w:val="006424F8"/>
    <w:rsid w:val="00653AA8"/>
    <w:rsid w:val="00656049"/>
    <w:rsid w:val="00656597"/>
    <w:rsid w:val="00672C84"/>
    <w:rsid w:val="00674ADA"/>
    <w:rsid w:val="00674B95"/>
    <w:rsid w:val="00675A3F"/>
    <w:rsid w:val="0067639A"/>
    <w:rsid w:val="00681CAB"/>
    <w:rsid w:val="00682CFC"/>
    <w:rsid w:val="006842EF"/>
    <w:rsid w:val="00690C37"/>
    <w:rsid w:val="00691585"/>
    <w:rsid w:val="00692D4F"/>
    <w:rsid w:val="00693E35"/>
    <w:rsid w:val="00695194"/>
    <w:rsid w:val="00695E58"/>
    <w:rsid w:val="0069757D"/>
    <w:rsid w:val="006A1329"/>
    <w:rsid w:val="006A4C7A"/>
    <w:rsid w:val="006A66F9"/>
    <w:rsid w:val="006B4303"/>
    <w:rsid w:val="006D024C"/>
    <w:rsid w:val="006E2E4F"/>
    <w:rsid w:val="006E5C9C"/>
    <w:rsid w:val="006F1774"/>
    <w:rsid w:val="006F292B"/>
    <w:rsid w:val="006F31D6"/>
    <w:rsid w:val="00713D81"/>
    <w:rsid w:val="00717A20"/>
    <w:rsid w:val="007202BB"/>
    <w:rsid w:val="00720DFF"/>
    <w:rsid w:val="007265F3"/>
    <w:rsid w:val="00730191"/>
    <w:rsid w:val="00730E23"/>
    <w:rsid w:val="0073549D"/>
    <w:rsid w:val="00753311"/>
    <w:rsid w:val="00754513"/>
    <w:rsid w:val="00757304"/>
    <w:rsid w:val="00761363"/>
    <w:rsid w:val="00762CC5"/>
    <w:rsid w:val="00767063"/>
    <w:rsid w:val="00773DF1"/>
    <w:rsid w:val="007833EB"/>
    <w:rsid w:val="00785AC4"/>
    <w:rsid w:val="007906B4"/>
    <w:rsid w:val="00792145"/>
    <w:rsid w:val="007970A0"/>
    <w:rsid w:val="00797E4F"/>
    <w:rsid w:val="007A314C"/>
    <w:rsid w:val="007B0EB3"/>
    <w:rsid w:val="007B215B"/>
    <w:rsid w:val="007B4617"/>
    <w:rsid w:val="007B5558"/>
    <w:rsid w:val="007B66A9"/>
    <w:rsid w:val="007B761C"/>
    <w:rsid w:val="007C0ABB"/>
    <w:rsid w:val="007C1760"/>
    <w:rsid w:val="007C26B6"/>
    <w:rsid w:val="007C2D96"/>
    <w:rsid w:val="007D2733"/>
    <w:rsid w:val="007E759D"/>
    <w:rsid w:val="007F2DBE"/>
    <w:rsid w:val="007F33B6"/>
    <w:rsid w:val="007F642D"/>
    <w:rsid w:val="007F7422"/>
    <w:rsid w:val="007F756A"/>
    <w:rsid w:val="00800E2C"/>
    <w:rsid w:val="0080214D"/>
    <w:rsid w:val="00803AC5"/>
    <w:rsid w:val="008045E7"/>
    <w:rsid w:val="00805D7E"/>
    <w:rsid w:val="00812471"/>
    <w:rsid w:val="00817CDC"/>
    <w:rsid w:val="008261A5"/>
    <w:rsid w:val="008327E5"/>
    <w:rsid w:val="0083382E"/>
    <w:rsid w:val="00844AAC"/>
    <w:rsid w:val="0085354A"/>
    <w:rsid w:val="00855325"/>
    <w:rsid w:val="00862E34"/>
    <w:rsid w:val="008634F3"/>
    <w:rsid w:val="00863818"/>
    <w:rsid w:val="008652FA"/>
    <w:rsid w:val="00865915"/>
    <w:rsid w:val="008661AA"/>
    <w:rsid w:val="00871832"/>
    <w:rsid w:val="00875E9B"/>
    <w:rsid w:val="00876FCA"/>
    <w:rsid w:val="00886CCE"/>
    <w:rsid w:val="008942C6"/>
    <w:rsid w:val="00896B33"/>
    <w:rsid w:val="00897DBE"/>
    <w:rsid w:val="008A2995"/>
    <w:rsid w:val="008A2BA4"/>
    <w:rsid w:val="008A47D4"/>
    <w:rsid w:val="008A62FB"/>
    <w:rsid w:val="008A77B7"/>
    <w:rsid w:val="008B0319"/>
    <w:rsid w:val="008B0F67"/>
    <w:rsid w:val="008B297B"/>
    <w:rsid w:val="008B3833"/>
    <w:rsid w:val="008C0535"/>
    <w:rsid w:val="008C0BCD"/>
    <w:rsid w:val="008C0BD9"/>
    <w:rsid w:val="008C608D"/>
    <w:rsid w:val="008D1F37"/>
    <w:rsid w:val="008E14BE"/>
    <w:rsid w:val="008E1E1D"/>
    <w:rsid w:val="008E461D"/>
    <w:rsid w:val="008E51AD"/>
    <w:rsid w:val="008E5520"/>
    <w:rsid w:val="008F0896"/>
    <w:rsid w:val="008F08E5"/>
    <w:rsid w:val="008F097F"/>
    <w:rsid w:val="008F0EA4"/>
    <w:rsid w:val="008F10B9"/>
    <w:rsid w:val="008F1EE5"/>
    <w:rsid w:val="008F38F6"/>
    <w:rsid w:val="008F5213"/>
    <w:rsid w:val="008F67E7"/>
    <w:rsid w:val="008F6A25"/>
    <w:rsid w:val="008F6B2D"/>
    <w:rsid w:val="009000CF"/>
    <w:rsid w:val="00903957"/>
    <w:rsid w:val="009050B3"/>
    <w:rsid w:val="00906FC5"/>
    <w:rsid w:val="0090748B"/>
    <w:rsid w:val="00913E52"/>
    <w:rsid w:val="00920C9C"/>
    <w:rsid w:val="00922754"/>
    <w:rsid w:val="00925600"/>
    <w:rsid w:val="00925781"/>
    <w:rsid w:val="009258D0"/>
    <w:rsid w:val="00926F6E"/>
    <w:rsid w:val="00934D87"/>
    <w:rsid w:val="00935AB3"/>
    <w:rsid w:val="009635CF"/>
    <w:rsid w:val="009646C4"/>
    <w:rsid w:val="009668BB"/>
    <w:rsid w:val="00966CA0"/>
    <w:rsid w:val="00972AE9"/>
    <w:rsid w:val="009734CE"/>
    <w:rsid w:val="00974CB0"/>
    <w:rsid w:val="00975085"/>
    <w:rsid w:val="00980A57"/>
    <w:rsid w:val="0098460C"/>
    <w:rsid w:val="0099413E"/>
    <w:rsid w:val="00996E1A"/>
    <w:rsid w:val="009A0BD5"/>
    <w:rsid w:val="009B1E02"/>
    <w:rsid w:val="009B3F04"/>
    <w:rsid w:val="009B4392"/>
    <w:rsid w:val="009B7D09"/>
    <w:rsid w:val="009C0784"/>
    <w:rsid w:val="009C1AA0"/>
    <w:rsid w:val="009C2EC0"/>
    <w:rsid w:val="009D24DA"/>
    <w:rsid w:val="009D4C49"/>
    <w:rsid w:val="009D5D75"/>
    <w:rsid w:val="009E0A01"/>
    <w:rsid w:val="009E0C0B"/>
    <w:rsid w:val="009E572D"/>
    <w:rsid w:val="009F32A2"/>
    <w:rsid w:val="009F54CE"/>
    <w:rsid w:val="009F70FE"/>
    <w:rsid w:val="00A0600B"/>
    <w:rsid w:val="00A06264"/>
    <w:rsid w:val="00A10FEE"/>
    <w:rsid w:val="00A119F6"/>
    <w:rsid w:val="00A1639A"/>
    <w:rsid w:val="00A215C9"/>
    <w:rsid w:val="00A21AF6"/>
    <w:rsid w:val="00A25474"/>
    <w:rsid w:val="00A25F99"/>
    <w:rsid w:val="00A3551C"/>
    <w:rsid w:val="00A357EE"/>
    <w:rsid w:val="00A535FD"/>
    <w:rsid w:val="00A5364B"/>
    <w:rsid w:val="00A615E0"/>
    <w:rsid w:val="00A631F3"/>
    <w:rsid w:val="00A64690"/>
    <w:rsid w:val="00A65E2B"/>
    <w:rsid w:val="00A70878"/>
    <w:rsid w:val="00A73C12"/>
    <w:rsid w:val="00A74AA0"/>
    <w:rsid w:val="00A7546D"/>
    <w:rsid w:val="00A7613D"/>
    <w:rsid w:val="00A77035"/>
    <w:rsid w:val="00A77100"/>
    <w:rsid w:val="00A77745"/>
    <w:rsid w:val="00A80070"/>
    <w:rsid w:val="00A81626"/>
    <w:rsid w:val="00A83191"/>
    <w:rsid w:val="00A848FC"/>
    <w:rsid w:val="00A975B1"/>
    <w:rsid w:val="00AA0609"/>
    <w:rsid w:val="00AA4D97"/>
    <w:rsid w:val="00AA70E5"/>
    <w:rsid w:val="00AB424B"/>
    <w:rsid w:val="00AC7178"/>
    <w:rsid w:val="00AC77A0"/>
    <w:rsid w:val="00AD17B7"/>
    <w:rsid w:val="00AF03C4"/>
    <w:rsid w:val="00AF08D2"/>
    <w:rsid w:val="00AF288C"/>
    <w:rsid w:val="00AF44B5"/>
    <w:rsid w:val="00B01A1B"/>
    <w:rsid w:val="00B02242"/>
    <w:rsid w:val="00B05098"/>
    <w:rsid w:val="00B069C5"/>
    <w:rsid w:val="00B06D1B"/>
    <w:rsid w:val="00B077D5"/>
    <w:rsid w:val="00B16A78"/>
    <w:rsid w:val="00B200E4"/>
    <w:rsid w:val="00B20E35"/>
    <w:rsid w:val="00B245A8"/>
    <w:rsid w:val="00B26FFD"/>
    <w:rsid w:val="00B31E12"/>
    <w:rsid w:val="00B31F77"/>
    <w:rsid w:val="00B35B6D"/>
    <w:rsid w:val="00B35DC6"/>
    <w:rsid w:val="00B35F93"/>
    <w:rsid w:val="00B4411F"/>
    <w:rsid w:val="00B4666C"/>
    <w:rsid w:val="00B51699"/>
    <w:rsid w:val="00B517F5"/>
    <w:rsid w:val="00B53FAF"/>
    <w:rsid w:val="00B55D98"/>
    <w:rsid w:val="00B63153"/>
    <w:rsid w:val="00B6527D"/>
    <w:rsid w:val="00B67D66"/>
    <w:rsid w:val="00B73B3A"/>
    <w:rsid w:val="00B7444E"/>
    <w:rsid w:val="00B74507"/>
    <w:rsid w:val="00B75718"/>
    <w:rsid w:val="00B75834"/>
    <w:rsid w:val="00B75E7E"/>
    <w:rsid w:val="00B77F2F"/>
    <w:rsid w:val="00B81257"/>
    <w:rsid w:val="00B9324B"/>
    <w:rsid w:val="00B93817"/>
    <w:rsid w:val="00B9391B"/>
    <w:rsid w:val="00B9682D"/>
    <w:rsid w:val="00BA0B96"/>
    <w:rsid w:val="00BA52C9"/>
    <w:rsid w:val="00BB15DA"/>
    <w:rsid w:val="00BB340D"/>
    <w:rsid w:val="00BB6626"/>
    <w:rsid w:val="00BC2A3A"/>
    <w:rsid w:val="00BC64EC"/>
    <w:rsid w:val="00BC7971"/>
    <w:rsid w:val="00BC7BF3"/>
    <w:rsid w:val="00BD073D"/>
    <w:rsid w:val="00BD6001"/>
    <w:rsid w:val="00BD75E0"/>
    <w:rsid w:val="00BE10CC"/>
    <w:rsid w:val="00BE4198"/>
    <w:rsid w:val="00BF029A"/>
    <w:rsid w:val="00BF3AFD"/>
    <w:rsid w:val="00C1606C"/>
    <w:rsid w:val="00C16E16"/>
    <w:rsid w:val="00C21138"/>
    <w:rsid w:val="00C23180"/>
    <w:rsid w:val="00C26F94"/>
    <w:rsid w:val="00C41492"/>
    <w:rsid w:val="00C4628F"/>
    <w:rsid w:val="00C502EC"/>
    <w:rsid w:val="00C50874"/>
    <w:rsid w:val="00C56F7E"/>
    <w:rsid w:val="00C66717"/>
    <w:rsid w:val="00C700D6"/>
    <w:rsid w:val="00C702B5"/>
    <w:rsid w:val="00C70389"/>
    <w:rsid w:val="00C712CA"/>
    <w:rsid w:val="00C73270"/>
    <w:rsid w:val="00C77E01"/>
    <w:rsid w:val="00C84310"/>
    <w:rsid w:val="00C904B6"/>
    <w:rsid w:val="00C90A75"/>
    <w:rsid w:val="00C90AF7"/>
    <w:rsid w:val="00C96DF4"/>
    <w:rsid w:val="00CA0F2C"/>
    <w:rsid w:val="00CA59C8"/>
    <w:rsid w:val="00CA6A66"/>
    <w:rsid w:val="00CC1337"/>
    <w:rsid w:val="00CC2514"/>
    <w:rsid w:val="00CC282E"/>
    <w:rsid w:val="00CC38AE"/>
    <w:rsid w:val="00CC48DF"/>
    <w:rsid w:val="00CC6FB9"/>
    <w:rsid w:val="00CD4A91"/>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CF7FAD"/>
    <w:rsid w:val="00D0004A"/>
    <w:rsid w:val="00D04BA2"/>
    <w:rsid w:val="00D077B0"/>
    <w:rsid w:val="00D157A0"/>
    <w:rsid w:val="00D22D42"/>
    <w:rsid w:val="00D24AF1"/>
    <w:rsid w:val="00D25B48"/>
    <w:rsid w:val="00D31447"/>
    <w:rsid w:val="00D35A6D"/>
    <w:rsid w:val="00D36D8D"/>
    <w:rsid w:val="00D45711"/>
    <w:rsid w:val="00D47190"/>
    <w:rsid w:val="00D500FC"/>
    <w:rsid w:val="00D50EC4"/>
    <w:rsid w:val="00D51597"/>
    <w:rsid w:val="00D5326E"/>
    <w:rsid w:val="00D54A15"/>
    <w:rsid w:val="00D55867"/>
    <w:rsid w:val="00D55CB5"/>
    <w:rsid w:val="00D57410"/>
    <w:rsid w:val="00D634A3"/>
    <w:rsid w:val="00D72339"/>
    <w:rsid w:val="00D73E47"/>
    <w:rsid w:val="00D74ABB"/>
    <w:rsid w:val="00D76449"/>
    <w:rsid w:val="00D83CB7"/>
    <w:rsid w:val="00D95437"/>
    <w:rsid w:val="00D959E6"/>
    <w:rsid w:val="00D976B3"/>
    <w:rsid w:val="00D97FA8"/>
    <w:rsid w:val="00DA01CC"/>
    <w:rsid w:val="00DA1E60"/>
    <w:rsid w:val="00DB179C"/>
    <w:rsid w:val="00DB4363"/>
    <w:rsid w:val="00DB5923"/>
    <w:rsid w:val="00DB66BD"/>
    <w:rsid w:val="00DC0384"/>
    <w:rsid w:val="00DC0EC5"/>
    <w:rsid w:val="00DC5146"/>
    <w:rsid w:val="00DC6837"/>
    <w:rsid w:val="00DC7B25"/>
    <w:rsid w:val="00DD340F"/>
    <w:rsid w:val="00DD39EA"/>
    <w:rsid w:val="00DD6B73"/>
    <w:rsid w:val="00DE23F8"/>
    <w:rsid w:val="00DE7CC2"/>
    <w:rsid w:val="00DF4FE3"/>
    <w:rsid w:val="00DF5006"/>
    <w:rsid w:val="00E007DD"/>
    <w:rsid w:val="00E02FFE"/>
    <w:rsid w:val="00E04392"/>
    <w:rsid w:val="00E05CF6"/>
    <w:rsid w:val="00E112C9"/>
    <w:rsid w:val="00E1314C"/>
    <w:rsid w:val="00E158F7"/>
    <w:rsid w:val="00E16ABE"/>
    <w:rsid w:val="00E17864"/>
    <w:rsid w:val="00E2087E"/>
    <w:rsid w:val="00E234CA"/>
    <w:rsid w:val="00E2356E"/>
    <w:rsid w:val="00E2636D"/>
    <w:rsid w:val="00E34976"/>
    <w:rsid w:val="00E36818"/>
    <w:rsid w:val="00E41C74"/>
    <w:rsid w:val="00E442E4"/>
    <w:rsid w:val="00E44FA3"/>
    <w:rsid w:val="00E47B97"/>
    <w:rsid w:val="00E5203C"/>
    <w:rsid w:val="00E61516"/>
    <w:rsid w:val="00E634CC"/>
    <w:rsid w:val="00E63654"/>
    <w:rsid w:val="00E65D79"/>
    <w:rsid w:val="00E739F4"/>
    <w:rsid w:val="00E779DB"/>
    <w:rsid w:val="00E81727"/>
    <w:rsid w:val="00E82F0E"/>
    <w:rsid w:val="00E83245"/>
    <w:rsid w:val="00E90673"/>
    <w:rsid w:val="00E95F89"/>
    <w:rsid w:val="00E96FAC"/>
    <w:rsid w:val="00EA0382"/>
    <w:rsid w:val="00EA129F"/>
    <w:rsid w:val="00EB7A31"/>
    <w:rsid w:val="00EC08DC"/>
    <w:rsid w:val="00ED0267"/>
    <w:rsid w:val="00ED0582"/>
    <w:rsid w:val="00ED0872"/>
    <w:rsid w:val="00ED1262"/>
    <w:rsid w:val="00ED7374"/>
    <w:rsid w:val="00EE31F6"/>
    <w:rsid w:val="00EE36DC"/>
    <w:rsid w:val="00EE6896"/>
    <w:rsid w:val="00EE6E3A"/>
    <w:rsid w:val="00EF06B5"/>
    <w:rsid w:val="00EF7DDD"/>
    <w:rsid w:val="00F044EE"/>
    <w:rsid w:val="00F04D64"/>
    <w:rsid w:val="00F1502A"/>
    <w:rsid w:val="00F20069"/>
    <w:rsid w:val="00F21201"/>
    <w:rsid w:val="00F2414C"/>
    <w:rsid w:val="00F27CD8"/>
    <w:rsid w:val="00F32657"/>
    <w:rsid w:val="00F3320B"/>
    <w:rsid w:val="00F3537B"/>
    <w:rsid w:val="00F40E92"/>
    <w:rsid w:val="00F41947"/>
    <w:rsid w:val="00F4209C"/>
    <w:rsid w:val="00F42774"/>
    <w:rsid w:val="00F4310C"/>
    <w:rsid w:val="00F435AA"/>
    <w:rsid w:val="00F45370"/>
    <w:rsid w:val="00F4550B"/>
    <w:rsid w:val="00F511B7"/>
    <w:rsid w:val="00F578CF"/>
    <w:rsid w:val="00F60A04"/>
    <w:rsid w:val="00F63C5D"/>
    <w:rsid w:val="00F72E52"/>
    <w:rsid w:val="00F72F96"/>
    <w:rsid w:val="00F76C6A"/>
    <w:rsid w:val="00F77EF7"/>
    <w:rsid w:val="00F83BF1"/>
    <w:rsid w:val="00F84307"/>
    <w:rsid w:val="00F90CB9"/>
    <w:rsid w:val="00F91D23"/>
    <w:rsid w:val="00F91DD8"/>
    <w:rsid w:val="00F97373"/>
    <w:rsid w:val="00F97F69"/>
    <w:rsid w:val="00FA0254"/>
    <w:rsid w:val="00FA0BF4"/>
    <w:rsid w:val="00FA44C3"/>
    <w:rsid w:val="00FA59F1"/>
    <w:rsid w:val="00FA6854"/>
    <w:rsid w:val="00FB064F"/>
    <w:rsid w:val="00FB0F6B"/>
    <w:rsid w:val="00FB144F"/>
    <w:rsid w:val="00FB159A"/>
    <w:rsid w:val="00FB2A03"/>
    <w:rsid w:val="00FB4D77"/>
    <w:rsid w:val="00FB626B"/>
    <w:rsid w:val="00FB644B"/>
    <w:rsid w:val="00FC1ADD"/>
    <w:rsid w:val="00FC40F0"/>
    <w:rsid w:val="00FC497D"/>
    <w:rsid w:val="00FC5C04"/>
    <w:rsid w:val="00FD076B"/>
    <w:rsid w:val="00FD1BF5"/>
    <w:rsid w:val="00FD24DA"/>
    <w:rsid w:val="00FD39DE"/>
    <w:rsid w:val="00FE4B61"/>
    <w:rsid w:val="00FE7F71"/>
    <w:rsid w:val="00FF0F9F"/>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F9775E"/>
  <w15:docId w15:val="{465F9D07-7C51-4049-A19E-1AB7A0F1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unhideWhenUsed/>
    <w:rsid w:val="00567D57"/>
    <w:rPr>
      <w:sz w:val="20"/>
      <w:szCs w:val="20"/>
    </w:rPr>
  </w:style>
  <w:style w:type="character" w:customStyle="1" w:styleId="KommentartextZchn">
    <w:name w:val="Kommentartext Zchn"/>
    <w:basedOn w:val="Absatz-Standardschriftart"/>
    <w:link w:val="Kommentartext"/>
    <w:uiPriority w:val="99"/>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829">
      <w:bodyDiv w:val="1"/>
      <w:marLeft w:val="0"/>
      <w:marRight w:val="0"/>
      <w:marTop w:val="0"/>
      <w:marBottom w:val="0"/>
      <w:divBdr>
        <w:top w:val="none" w:sz="0" w:space="0" w:color="auto"/>
        <w:left w:val="none" w:sz="0" w:space="0" w:color="auto"/>
        <w:bottom w:val="none" w:sz="0" w:space="0" w:color="auto"/>
        <w:right w:val="none" w:sz="0" w:space="0" w:color="auto"/>
      </w:divBdr>
    </w:div>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901600879">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085419517">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3798300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547258860">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6001120">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28" Type="http://schemas.microsoft.com/office/2016/09/relationships/commentsIds" Target="commentsIds.xm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hamburg-investment/" TargetMode="External"/><Relationship Id="rId14" Type="http://schemas.openxmlformats.org/officeDocument/2006/relationships/hyperlink" Target="file:///\\file01\Marketing\Presse\5_PresseMITTEILUNGEN\Marktbericht%20B&#252;ro\2020\2020%20Q2\20180517_Dokumentation%20der%20Verarbeitungstaetigkeit%20nach%20DSGVO_Presse.docx" TargetMode="Externa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5BA0-9C8A-4BF9-A377-D2E1C5B0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Berit Friedrich</cp:lastModifiedBy>
  <cp:revision>5</cp:revision>
  <cp:lastPrinted>2021-01-04T08:55:00Z</cp:lastPrinted>
  <dcterms:created xsi:type="dcterms:W3CDTF">2021-01-04T09:45:00Z</dcterms:created>
  <dcterms:modified xsi:type="dcterms:W3CDTF">2021-01-06T10:38:00Z</dcterms:modified>
</cp:coreProperties>
</file>