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E2CD1" w14:textId="1C886F43" w:rsidR="00C7341F" w:rsidRDefault="00C7341F" w:rsidP="000C770D">
      <w:pPr>
        <w:spacing w:after="0" w:line="360" w:lineRule="auto"/>
        <w:rPr>
          <w:rFonts w:ascii="Arial" w:hAnsi="Arial" w:cs="Arial"/>
          <w:b/>
        </w:rPr>
      </w:pPr>
      <w:r>
        <w:rPr>
          <w:rFonts w:ascii="Arial" w:hAnsi="Arial"/>
          <w:b/>
        </w:rPr>
        <w:t>Hamburg: Investment Market, 1st - 3rd quarters of 2022</w:t>
      </w:r>
    </w:p>
    <w:p w14:paraId="6919F2CA" w14:textId="40A16018" w:rsidR="00D04BA2" w:rsidRPr="00656B29" w:rsidRDefault="00043DB3" w:rsidP="000C770D">
      <w:pPr>
        <w:spacing w:after="0" w:line="360" w:lineRule="auto"/>
        <w:rPr>
          <w:rFonts w:ascii="Arial" w:hAnsi="Arial" w:cs="Arial"/>
          <w:b/>
          <w:sz w:val="28"/>
          <w:szCs w:val="28"/>
        </w:rPr>
      </w:pPr>
      <w:r>
        <w:rPr>
          <w:rFonts w:ascii="Arial" w:hAnsi="Arial"/>
          <w:b/>
          <w:sz w:val="28"/>
          <w:szCs w:val="28"/>
        </w:rPr>
        <w:t>Share purchases and take-overs boost volume of transactions</w:t>
      </w:r>
    </w:p>
    <w:p w14:paraId="23842E4F" w14:textId="77777777" w:rsidR="00590903" w:rsidRPr="0090748B" w:rsidRDefault="00590903" w:rsidP="00590903">
      <w:pPr>
        <w:spacing w:after="0" w:line="360" w:lineRule="auto"/>
        <w:jc w:val="both"/>
        <w:rPr>
          <w:rFonts w:ascii="Arial" w:hAnsi="Arial" w:cs="Arial"/>
          <w:b/>
          <w:sz w:val="20"/>
          <w:szCs w:val="20"/>
        </w:rPr>
      </w:pPr>
    </w:p>
    <w:p w14:paraId="04123225" w14:textId="03AECFF4" w:rsidR="00DA08B0" w:rsidRDefault="00C7341F" w:rsidP="000C770D">
      <w:pPr>
        <w:spacing w:after="0" w:line="360" w:lineRule="auto"/>
        <w:rPr>
          <w:rFonts w:ascii="Arial" w:hAnsi="Arial" w:cs="Arial"/>
          <w:sz w:val="20"/>
          <w:szCs w:val="20"/>
        </w:rPr>
      </w:pPr>
      <w:r>
        <w:rPr>
          <w:rFonts w:ascii="Arial" w:hAnsi="Arial"/>
          <w:b/>
          <w:sz w:val="20"/>
          <w:szCs w:val="20"/>
        </w:rPr>
        <w:t>Hamburg, 30 September 2022</w:t>
      </w:r>
      <w:r>
        <w:rPr>
          <w:rFonts w:ascii="Arial" w:hAnsi="Arial"/>
          <w:sz w:val="20"/>
          <w:szCs w:val="20"/>
        </w:rPr>
        <w:t xml:space="preserve"> — The volume of transactions completed on the market for commercial real estate in Hamburg stood at some €3.9bn by the end of the 3rd quarter. This figure was well above that of the prior year (€2.1bn) and was in fact the second-highest total ever recorded at the end of a third quarter, topped only by</w:t>
      </w:r>
      <w:r w:rsidR="00740FBE">
        <w:rPr>
          <w:rFonts w:ascii="Arial" w:hAnsi="Arial"/>
          <w:sz w:val="20"/>
          <w:szCs w:val="20"/>
        </w:rPr>
        <w:t xml:space="preserve"> the record €4bn noted in 2018.</w:t>
      </w:r>
      <w:r>
        <w:rPr>
          <w:rFonts w:ascii="Arial" w:hAnsi="Arial"/>
          <w:sz w:val="20"/>
          <w:szCs w:val="20"/>
        </w:rPr>
        <w:t xml:space="preserve"> Nearly half of the transaction volume was completed in the 3rd quarter. However, the high figure owed much to some outlier trades. </w:t>
      </w:r>
      <w:r>
        <w:rPr>
          <w:rFonts w:ascii="Arial" w:hAnsi="Arial"/>
          <w:i/>
          <w:sz w:val="20"/>
          <w:szCs w:val="20"/>
        </w:rPr>
        <w:t xml:space="preserve">“The figures seem to indicate brisk trading, but about half of this year’s overall volume to date results from major take-over deals and </w:t>
      </w:r>
      <w:r w:rsidR="003165FD">
        <w:rPr>
          <w:rFonts w:ascii="Arial" w:hAnsi="Arial"/>
          <w:i/>
          <w:sz w:val="20"/>
          <w:szCs w:val="20"/>
        </w:rPr>
        <w:t>the acquisition of shareholdings</w:t>
      </w:r>
      <w:r>
        <w:rPr>
          <w:rFonts w:ascii="Arial" w:hAnsi="Arial"/>
          <w:i/>
          <w:sz w:val="20"/>
          <w:szCs w:val="20"/>
        </w:rPr>
        <w:t xml:space="preserve"> in development projects,”</w:t>
      </w:r>
      <w:r>
        <w:rPr>
          <w:rFonts w:ascii="Arial" w:hAnsi="Arial"/>
          <w:sz w:val="20"/>
          <w:szCs w:val="20"/>
        </w:rPr>
        <w:t xml:space="preserve"> reports </w:t>
      </w:r>
      <w:r>
        <w:rPr>
          <w:rFonts w:ascii="Arial" w:hAnsi="Arial"/>
          <w:b/>
          <w:sz w:val="20"/>
          <w:szCs w:val="20"/>
        </w:rPr>
        <w:t>Sandra Ludwig</w:t>
      </w:r>
      <w:r>
        <w:rPr>
          <w:rFonts w:ascii="Arial" w:hAnsi="Arial"/>
          <w:sz w:val="20"/>
          <w:szCs w:val="20"/>
        </w:rPr>
        <w:t xml:space="preserve">, managing director of Grossmann &amp; Berger, a member of German Property Partners (GPP). As Grossmann &amp; Berger has observed, trades of this kind included the takeover of the huge </w:t>
      </w:r>
      <w:proofErr w:type="spellStart"/>
      <w:r>
        <w:rPr>
          <w:rFonts w:ascii="Arial" w:hAnsi="Arial"/>
          <w:sz w:val="20"/>
          <w:szCs w:val="20"/>
        </w:rPr>
        <w:t>alstria</w:t>
      </w:r>
      <w:proofErr w:type="spellEnd"/>
      <w:r>
        <w:rPr>
          <w:rFonts w:ascii="Arial" w:hAnsi="Arial"/>
          <w:sz w:val="20"/>
          <w:szCs w:val="20"/>
        </w:rPr>
        <w:t xml:space="preserve"> portfolio (Q1) and </w:t>
      </w:r>
      <w:r w:rsidR="003165FD">
        <w:rPr>
          <w:rFonts w:ascii="Arial" w:hAnsi="Arial"/>
          <w:sz w:val="20"/>
          <w:szCs w:val="20"/>
        </w:rPr>
        <w:t xml:space="preserve">the purchase of </w:t>
      </w:r>
      <w:r>
        <w:rPr>
          <w:rFonts w:ascii="Arial" w:hAnsi="Arial"/>
          <w:sz w:val="20"/>
          <w:szCs w:val="20"/>
        </w:rPr>
        <w:t>shareholdings in the “</w:t>
      </w:r>
      <w:proofErr w:type="spellStart"/>
      <w:r>
        <w:rPr>
          <w:rFonts w:ascii="Arial" w:hAnsi="Arial"/>
          <w:sz w:val="20"/>
          <w:szCs w:val="20"/>
        </w:rPr>
        <w:t>Elbtower</w:t>
      </w:r>
      <w:proofErr w:type="spellEnd"/>
      <w:r>
        <w:rPr>
          <w:rFonts w:ascii="Arial" w:hAnsi="Arial"/>
          <w:sz w:val="20"/>
          <w:szCs w:val="20"/>
        </w:rPr>
        <w:t xml:space="preserve">” (Q3) </w:t>
      </w:r>
      <w:r w:rsidR="003165FD">
        <w:rPr>
          <w:rFonts w:ascii="Arial" w:hAnsi="Arial"/>
          <w:sz w:val="20"/>
          <w:szCs w:val="20"/>
        </w:rPr>
        <w:t>and</w:t>
      </w:r>
      <w:r>
        <w:rPr>
          <w:rFonts w:ascii="Arial" w:hAnsi="Arial"/>
          <w:sz w:val="20"/>
          <w:szCs w:val="20"/>
        </w:rPr>
        <w:t xml:space="preserve"> “EDGE </w:t>
      </w:r>
      <w:proofErr w:type="spellStart"/>
      <w:r>
        <w:rPr>
          <w:rFonts w:ascii="Arial" w:hAnsi="Arial"/>
          <w:sz w:val="20"/>
          <w:szCs w:val="20"/>
        </w:rPr>
        <w:t>ElbSide</w:t>
      </w:r>
      <w:proofErr w:type="spellEnd"/>
      <w:r>
        <w:rPr>
          <w:rFonts w:ascii="Arial" w:hAnsi="Arial"/>
          <w:sz w:val="20"/>
          <w:szCs w:val="20"/>
        </w:rPr>
        <w:t xml:space="preserve">” (Q2). If these outlier trades are factored out, the volume of transactions falls to a mere €1.9bn. </w:t>
      </w:r>
      <w:r>
        <w:rPr>
          <w:rFonts w:ascii="Arial" w:hAnsi="Arial"/>
          <w:b/>
          <w:sz w:val="20"/>
          <w:szCs w:val="20"/>
        </w:rPr>
        <w:t>Ludwig</w:t>
      </w:r>
      <w:r>
        <w:rPr>
          <w:rFonts w:ascii="Arial" w:hAnsi="Arial"/>
          <w:sz w:val="20"/>
          <w:szCs w:val="20"/>
        </w:rPr>
        <w:t xml:space="preserve"> expects the year to close on a more subdued note.</w:t>
      </w:r>
      <w:r>
        <w:rPr>
          <w:rFonts w:ascii="Arial" w:hAnsi="Arial"/>
          <w:i/>
          <w:sz w:val="20"/>
          <w:szCs w:val="20"/>
        </w:rPr>
        <w:t xml:space="preserve"> “The increased cost</w:t>
      </w:r>
      <w:r w:rsidR="003165FD">
        <w:rPr>
          <w:rFonts w:ascii="Arial" w:hAnsi="Arial"/>
          <w:i/>
          <w:sz w:val="20"/>
          <w:szCs w:val="20"/>
        </w:rPr>
        <w:t>s</w:t>
      </w:r>
      <w:r>
        <w:rPr>
          <w:rFonts w:ascii="Arial" w:hAnsi="Arial"/>
          <w:i/>
          <w:sz w:val="20"/>
          <w:szCs w:val="20"/>
        </w:rPr>
        <w:t xml:space="preserve"> of borrowing coupled with persistently high asking prices continue to weigh on the market. Interest rates have now reached a level last seen ten years ago. Therefore there is ongoing pressure on sellers to reduce prices.”</w:t>
      </w:r>
      <w:r>
        <w:rPr>
          <w:rFonts w:ascii="Arial" w:hAnsi="Arial"/>
          <w:sz w:val="20"/>
          <w:szCs w:val="20"/>
        </w:rPr>
        <w:t xml:space="preserve"> Thanks to the outlier trades, the volume of transactions has already surpassed the total for the</w:t>
      </w:r>
      <w:r w:rsidR="003165FD">
        <w:rPr>
          <w:rFonts w:ascii="Arial" w:hAnsi="Arial"/>
          <w:sz w:val="20"/>
          <w:szCs w:val="20"/>
        </w:rPr>
        <w:t xml:space="preserve"> full year in 2021 (€3.2bn).</w:t>
      </w:r>
    </w:p>
    <w:p w14:paraId="6517AEE9" w14:textId="5CC0D0A0" w:rsidR="00ED39A3" w:rsidRDefault="00ED39A3" w:rsidP="000C770D">
      <w:pPr>
        <w:spacing w:after="0" w:line="360" w:lineRule="auto"/>
        <w:rPr>
          <w:rFonts w:ascii="Arial" w:hAnsi="Arial" w:cs="Arial"/>
          <w:sz w:val="20"/>
          <w:szCs w:val="20"/>
        </w:rPr>
      </w:pPr>
    </w:p>
    <w:p w14:paraId="589E0D37" w14:textId="77777777" w:rsidR="00710607" w:rsidRPr="00D35A6D" w:rsidRDefault="00710607" w:rsidP="00710607">
      <w:pPr>
        <w:spacing w:after="0" w:line="360" w:lineRule="auto"/>
        <w:textAlignment w:val="baseline"/>
        <w:rPr>
          <w:rFonts w:ascii="Arial" w:hAnsi="Arial" w:cs="Arial"/>
          <w:b/>
          <w:sz w:val="20"/>
          <w:szCs w:val="20"/>
        </w:rPr>
      </w:pPr>
      <w:r>
        <w:rPr>
          <w:rFonts w:ascii="Arial" w:hAnsi="Arial"/>
          <w:b/>
          <w:sz w:val="20"/>
          <w:szCs w:val="20"/>
        </w:rPr>
        <w:t xml:space="preserve">Market details: </w:t>
      </w:r>
    </w:p>
    <w:p w14:paraId="5C0544E9" w14:textId="2319F5C2" w:rsidR="00A01098" w:rsidRPr="00A01098" w:rsidRDefault="00A01098" w:rsidP="00A01098">
      <w:pPr>
        <w:pStyle w:val="Listenabsatz"/>
        <w:numPr>
          <w:ilvl w:val="0"/>
          <w:numId w:val="20"/>
        </w:numPr>
        <w:spacing w:after="0" w:line="360" w:lineRule="auto"/>
        <w:textAlignment w:val="baseline"/>
        <w:rPr>
          <w:rFonts w:ascii="Arial" w:hAnsi="Arial" w:cs="Arial"/>
          <w:sz w:val="20"/>
          <w:szCs w:val="20"/>
        </w:rPr>
      </w:pPr>
      <w:r>
        <w:rPr>
          <w:rFonts w:ascii="Arial" w:hAnsi="Arial"/>
          <w:sz w:val="20"/>
          <w:szCs w:val="20"/>
        </w:rPr>
        <w:t xml:space="preserve">Once again, office properties were the most sought-after </w:t>
      </w:r>
      <w:r>
        <w:rPr>
          <w:rFonts w:ascii="Arial" w:hAnsi="Arial"/>
          <w:sz w:val="20"/>
          <w:szCs w:val="20"/>
          <w:u w:val="single"/>
        </w:rPr>
        <w:t>asset class</w:t>
      </w:r>
      <w:r>
        <w:rPr>
          <w:rFonts w:ascii="Arial" w:hAnsi="Arial"/>
          <w:sz w:val="20"/>
          <w:szCs w:val="20"/>
        </w:rPr>
        <w:t xml:space="preserve">, accounting for 80 % of total trading. Trailing a long way behind, retail properties (9 %) and logistics real estate (7 %) were in second and third place. Even without the </w:t>
      </w:r>
      <w:proofErr w:type="spellStart"/>
      <w:r>
        <w:rPr>
          <w:rFonts w:ascii="Arial" w:hAnsi="Arial"/>
          <w:sz w:val="20"/>
          <w:szCs w:val="20"/>
        </w:rPr>
        <w:t>alstria</w:t>
      </w:r>
      <w:proofErr w:type="spellEnd"/>
      <w:r>
        <w:rPr>
          <w:rFonts w:ascii="Arial" w:hAnsi="Arial"/>
          <w:sz w:val="20"/>
          <w:szCs w:val="20"/>
        </w:rPr>
        <w:t xml:space="preserve"> portfolio, 68 % of trades</w:t>
      </w:r>
      <w:r w:rsidR="003165FD">
        <w:rPr>
          <w:rFonts w:ascii="Arial" w:hAnsi="Arial"/>
          <w:sz w:val="20"/>
          <w:szCs w:val="20"/>
        </w:rPr>
        <w:t xml:space="preserve"> related to office buildings.</w:t>
      </w:r>
    </w:p>
    <w:p w14:paraId="52235341" w14:textId="657FA06B" w:rsidR="003179D7" w:rsidRDefault="003179D7" w:rsidP="00A01098">
      <w:pPr>
        <w:pStyle w:val="Listenabsatz"/>
        <w:numPr>
          <w:ilvl w:val="0"/>
          <w:numId w:val="20"/>
        </w:numPr>
        <w:spacing w:after="0" w:line="360" w:lineRule="auto"/>
        <w:textAlignment w:val="baseline"/>
        <w:rPr>
          <w:rFonts w:ascii="Arial" w:hAnsi="Arial" w:cs="Arial"/>
          <w:sz w:val="20"/>
          <w:szCs w:val="20"/>
        </w:rPr>
      </w:pPr>
      <w:r>
        <w:rPr>
          <w:rFonts w:ascii="Arial" w:hAnsi="Arial"/>
          <w:sz w:val="20"/>
          <w:szCs w:val="20"/>
          <w:u w:val="single"/>
        </w:rPr>
        <w:t>Portfolio sales</w:t>
      </w:r>
      <w:r>
        <w:rPr>
          <w:rFonts w:ascii="Arial" w:hAnsi="Arial"/>
          <w:sz w:val="20"/>
          <w:szCs w:val="20"/>
        </w:rPr>
        <w:t xml:space="preserve"> generated 43 % of the total traded. Without the </w:t>
      </w:r>
      <w:proofErr w:type="spellStart"/>
      <w:r>
        <w:rPr>
          <w:rFonts w:ascii="Arial" w:hAnsi="Arial"/>
          <w:sz w:val="20"/>
          <w:szCs w:val="20"/>
        </w:rPr>
        <w:t>alstria</w:t>
      </w:r>
      <w:proofErr w:type="spellEnd"/>
      <w:r>
        <w:rPr>
          <w:rFonts w:ascii="Arial" w:hAnsi="Arial"/>
          <w:sz w:val="20"/>
          <w:szCs w:val="20"/>
        </w:rPr>
        <w:t xml:space="preserve"> transaction, their share would have been only 8 %. </w:t>
      </w:r>
    </w:p>
    <w:p w14:paraId="6D9B42D3" w14:textId="0DB4CBBA" w:rsidR="003179D7" w:rsidRPr="003179D7" w:rsidRDefault="003179D7" w:rsidP="003179D7">
      <w:pPr>
        <w:pStyle w:val="Listenabsatz"/>
        <w:numPr>
          <w:ilvl w:val="0"/>
          <w:numId w:val="20"/>
        </w:numPr>
        <w:spacing w:after="0" w:line="360" w:lineRule="auto"/>
        <w:textAlignment w:val="baseline"/>
        <w:rPr>
          <w:rFonts w:ascii="Arial" w:hAnsi="Arial" w:cs="Arial"/>
          <w:b/>
          <w:sz w:val="20"/>
          <w:szCs w:val="20"/>
        </w:rPr>
      </w:pPr>
      <w:r>
        <w:rPr>
          <w:rFonts w:ascii="Arial" w:hAnsi="Arial"/>
          <w:sz w:val="20"/>
          <w:szCs w:val="20"/>
        </w:rPr>
        <w:t xml:space="preserve">Fund managers were the biggest group of </w:t>
      </w:r>
      <w:r>
        <w:rPr>
          <w:rFonts w:ascii="Arial" w:hAnsi="Arial"/>
          <w:sz w:val="20"/>
          <w:szCs w:val="20"/>
          <w:u w:val="single"/>
        </w:rPr>
        <w:t>investors</w:t>
      </w:r>
      <w:r>
        <w:rPr>
          <w:rFonts w:ascii="Arial" w:hAnsi="Arial"/>
          <w:sz w:val="20"/>
          <w:szCs w:val="20"/>
        </w:rPr>
        <w:t xml:space="preserve">, responsible for some 42 % of the volume – likewise a result of the </w:t>
      </w:r>
      <w:proofErr w:type="spellStart"/>
      <w:r>
        <w:rPr>
          <w:rFonts w:ascii="Arial" w:hAnsi="Arial"/>
          <w:sz w:val="20"/>
          <w:szCs w:val="20"/>
        </w:rPr>
        <w:t>alstria</w:t>
      </w:r>
      <w:proofErr w:type="spellEnd"/>
      <w:r>
        <w:rPr>
          <w:rFonts w:ascii="Arial" w:hAnsi="Arial"/>
          <w:sz w:val="20"/>
          <w:szCs w:val="20"/>
        </w:rPr>
        <w:t xml:space="preserve"> portfolio. Discounting this trade, specialist funds were the biggest group of investors (29 %) followed by open-ended pro</w:t>
      </w:r>
      <w:r w:rsidR="003165FD">
        <w:rPr>
          <w:rFonts w:ascii="Arial" w:hAnsi="Arial"/>
          <w:sz w:val="20"/>
          <w:szCs w:val="20"/>
        </w:rPr>
        <w:t>perty investment funds (23 %).</w:t>
      </w:r>
    </w:p>
    <w:p w14:paraId="5A62DF7F" w14:textId="1951EA9C" w:rsidR="00A01098" w:rsidRPr="003179D7" w:rsidRDefault="003179D7" w:rsidP="003179D7">
      <w:pPr>
        <w:pStyle w:val="Listenabsatz"/>
        <w:numPr>
          <w:ilvl w:val="0"/>
          <w:numId w:val="20"/>
        </w:numPr>
        <w:spacing w:after="0" w:line="360" w:lineRule="auto"/>
        <w:textAlignment w:val="baseline"/>
        <w:rPr>
          <w:rFonts w:ascii="Arial" w:hAnsi="Arial" w:cs="Arial"/>
          <w:b/>
          <w:sz w:val="20"/>
          <w:szCs w:val="20"/>
        </w:rPr>
      </w:pPr>
      <w:r>
        <w:rPr>
          <w:rFonts w:ascii="Arial" w:hAnsi="Arial"/>
          <w:sz w:val="20"/>
          <w:szCs w:val="20"/>
        </w:rPr>
        <w:t xml:space="preserve">Looking at the </w:t>
      </w:r>
      <w:r>
        <w:rPr>
          <w:rFonts w:ascii="Arial" w:hAnsi="Arial"/>
          <w:sz w:val="20"/>
          <w:szCs w:val="20"/>
          <w:u w:val="single"/>
        </w:rPr>
        <w:t>Vendors</w:t>
      </w:r>
      <w:r>
        <w:rPr>
          <w:rFonts w:ascii="Arial" w:hAnsi="Arial"/>
          <w:sz w:val="20"/>
          <w:szCs w:val="20"/>
        </w:rPr>
        <w:t xml:space="preserve">, property investment AGs/REITs </w:t>
      </w:r>
      <w:r w:rsidR="003165FD">
        <w:rPr>
          <w:rFonts w:ascii="Arial" w:hAnsi="Arial"/>
          <w:sz w:val="20"/>
          <w:szCs w:val="20"/>
        </w:rPr>
        <w:t xml:space="preserve">were predominant with a market share of </w:t>
      </w:r>
      <w:r>
        <w:rPr>
          <w:rFonts w:ascii="Arial" w:hAnsi="Arial"/>
          <w:sz w:val="20"/>
          <w:szCs w:val="20"/>
        </w:rPr>
        <w:t xml:space="preserve">some 44 %.  Factoring out the </w:t>
      </w:r>
      <w:proofErr w:type="spellStart"/>
      <w:r>
        <w:rPr>
          <w:rFonts w:ascii="Arial" w:hAnsi="Arial"/>
          <w:sz w:val="20"/>
          <w:szCs w:val="20"/>
        </w:rPr>
        <w:t>alstria</w:t>
      </w:r>
      <w:proofErr w:type="spellEnd"/>
      <w:r>
        <w:rPr>
          <w:rFonts w:ascii="Arial" w:hAnsi="Arial"/>
          <w:sz w:val="20"/>
          <w:szCs w:val="20"/>
        </w:rPr>
        <w:t xml:space="preserve"> outlier trade, developers (35 %) and open-ended property investment funds (27 %) were the biggest groups of vendors. </w:t>
      </w:r>
    </w:p>
    <w:p w14:paraId="04463216" w14:textId="25F22535" w:rsidR="002450D6" w:rsidRPr="002450D6" w:rsidRDefault="00CA7BB6" w:rsidP="00A01098">
      <w:pPr>
        <w:pStyle w:val="Listenabsatz"/>
        <w:numPr>
          <w:ilvl w:val="0"/>
          <w:numId w:val="20"/>
        </w:numPr>
        <w:spacing w:after="0" w:line="360" w:lineRule="auto"/>
        <w:textAlignment w:val="baseline"/>
        <w:rPr>
          <w:rFonts w:ascii="Arial" w:hAnsi="Arial" w:cs="Arial"/>
          <w:b/>
          <w:sz w:val="20"/>
          <w:szCs w:val="20"/>
        </w:rPr>
      </w:pPr>
      <w:r>
        <w:rPr>
          <w:rFonts w:ascii="Arial" w:hAnsi="Arial"/>
          <w:sz w:val="20"/>
          <w:szCs w:val="20"/>
          <w:u w:val="single"/>
        </w:rPr>
        <w:t>International investors</w:t>
      </w:r>
      <w:r>
        <w:rPr>
          <w:rFonts w:ascii="Arial" w:hAnsi="Arial"/>
          <w:sz w:val="20"/>
          <w:szCs w:val="20"/>
        </w:rPr>
        <w:t xml:space="preserve"> accounted for 56 % of the volume traded. Without the </w:t>
      </w:r>
      <w:proofErr w:type="spellStart"/>
      <w:r>
        <w:rPr>
          <w:rFonts w:ascii="Arial" w:hAnsi="Arial"/>
          <w:sz w:val="20"/>
          <w:szCs w:val="20"/>
        </w:rPr>
        <w:t>alstria</w:t>
      </w:r>
      <w:proofErr w:type="spellEnd"/>
      <w:r>
        <w:rPr>
          <w:rFonts w:ascii="Arial" w:hAnsi="Arial"/>
          <w:sz w:val="20"/>
          <w:szCs w:val="20"/>
        </w:rPr>
        <w:t xml:space="preserve"> transaction, their share would have been 29 %. </w:t>
      </w:r>
    </w:p>
    <w:p w14:paraId="38128D5E" w14:textId="77777777" w:rsidR="000B4583" w:rsidRPr="000B4583" w:rsidRDefault="00A01098" w:rsidP="00FF6BDD">
      <w:pPr>
        <w:pStyle w:val="Listenabsatz"/>
        <w:numPr>
          <w:ilvl w:val="0"/>
          <w:numId w:val="20"/>
        </w:numPr>
        <w:spacing w:after="0" w:line="360" w:lineRule="auto"/>
        <w:textAlignment w:val="baseline"/>
        <w:rPr>
          <w:rFonts w:ascii="Arial" w:hAnsi="Arial" w:cs="Arial"/>
          <w:b/>
          <w:sz w:val="20"/>
          <w:szCs w:val="20"/>
        </w:rPr>
      </w:pPr>
      <w:r>
        <w:rPr>
          <w:rFonts w:ascii="Arial" w:hAnsi="Arial"/>
          <w:sz w:val="20"/>
          <w:szCs w:val="20"/>
        </w:rPr>
        <w:t xml:space="preserve">The </w:t>
      </w:r>
      <w:r>
        <w:rPr>
          <w:rFonts w:ascii="Arial" w:hAnsi="Arial"/>
          <w:sz w:val="20"/>
          <w:szCs w:val="20"/>
          <w:u w:val="single"/>
        </w:rPr>
        <w:t>prime yields</w:t>
      </w:r>
      <w:r>
        <w:rPr>
          <w:rFonts w:ascii="Arial" w:hAnsi="Arial"/>
          <w:sz w:val="20"/>
          <w:szCs w:val="20"/>
        </w:rPr>
        <w:t xml:space="preserve"> on office properties (2.9 %) and commercial buildings (3.0 %) inched up by 0.3 percentage points year on year. Yields on industrial and logistics real estate remained unchanged year on year but were 0.2 percentage points higher than in the previous quarter. Yields are expected to rise </w:t>
      </w:r>
    </w:p>
    <w:p w14:paraId="3E24CE0E" w14:textId="77777777" w:rsidR="000B4583" w:rsidRDefault="000B4583" w:rsidP="000B4583">
      <w:pPr>
        <w:spacing w:after="0" w:line="360" w:lineRule="auto"/>
        <w:textAlignment w:val="baseline"/>
        <w:rPr>
          <w:rFonts w:ascii="Arial" w:hAnsi="Arial"/>
          <w:sz w:val="20"/>
          <w:szCs w:val="20"/>
        </w:rPr>
      </w:pPr>
    </w:p>
    <w:p w14:paraId="689C354E" w14:textId="77777777" w:rsidR="000B4583" w:rsidRDefault="000B4583" w:rsidP="000B4583">
      <w:pPr>
        <w:spacing w:after="0" w:line="360" w:lineRule="auto"/>
        <w:textAlignment w:val="baseline"/>
        <w:rPr>
          <w:rFonts w:ascii="Arial" w:hAnsi="Arial"/>
          <w:sz w:val="20"/>
          <w:szCs w:val="20"/>
        </w:rPr>
      </w:pPr>
    </w:p>
    <w:p w14:paraId="0D15DC80" w14:textId="14A7134D" w:rsidR="00A816C0" w:rsidRPr="000B4583" w:rsidRDefault="00A01098" w:rsidP="000B4583">
      <w:pPr>
        <w:spacing w:after="0" w:line="360" w:lineRule="auto"/>
        <w:textAlignment w:val="baseline"/>
        <w:rPr>
          <w:rFonts w:ascii="Arial" w:hAnsi="Arial" w:cs="Arial"/>
          <w:b/>
          <w:sz w:val="20"/>
          <w:szCs w:val="20"/>
        </w:rPr>
      </w:pPr>
      <w:r w:rsidRPr="000B4583">
        <w:rPr>
          <w:rFonts w:ascii="Arial" w:hAnsi="Arial"/>
          <w:sz w:val="20"/>
          <w:szCs w:val="20"/>
        </w:rPr>
        <w:t>further by the end of the year due to rising interest rates.</w:t>
      </w:r>
      <w:r w:rsidRPr="000B4583">
        <w:rPr>
          <w:rFonts w:ascii="Arial" w:hAnsi="Arial"/>
          <w:sz w:val="20"/>
          <w:szCs w:val="20"/>
        </w:rPr>
        <w:br/>
      </w:r>
    </w:p>
    <w:tbl>
      <w:tblPr>
        <w:tblStyle w:val="TableGrid2"/>
        <w:tblpPr w:leftFromText="141" w:rightFromText="141" w:vertAnchor="text" w:horzAnchor="margin" w:tblpY="45"/>
        <w:tblW w:w="0" w:type="auto"/>
        <w:tblLook w:val="04A0" w:firstRow="1" w:lastRow="0" w:firstColumn="1" w:lastColumn="0" w:noHBand="0" w:noVBand="1"/>
      </w:tblPr>
      <w:tblGrid>
        <w:gridCol w:w="3964"/>
        <w:gridCol w:w="993"/>
      </w:tblGrid>
      <w:tr w:rsidR="00C7341F" w:rsidRPr="006F49D0" w14:paraId="2F4A79AC" w14:textId="77777777" w:rsidTr="00CF0163">
        <w:trPr>
          <w:trHeight w:val="283"/>
        </w:trPr>
        <w:tc>
          <w:tcPr>
            <w:tcW w:w="3964" w:type="dxa"/>
            <w:shd w:val="clear" w:color="auto" w:fill="000000" w:themeFill="text1"/>
          </w:tcPr>
          <w:p w14:paraId="185DEA24" w14:textId="77777777" w:rsidR="00C7341F" w:rsidRPr="004712BA" w:rsidRDefault="00C7341F" w:rsidP="00927886">
            <w:pPr>
              <w:widowControl w:val="0"/>
              <w:spacing w:before="60" w:after="60"/>
              <w:jc w:val="both"/>
              <w:rPr>
                <w:rFonts w:ascii="Arial" w:hAnsi="Arial" w:cs="Arial"/>
                <w:b/>
                <w:sz w:val="18"/>
                <w:szCs w:val="16"/>
              </w:rPr>
            </w:pPr>
            <w:r>
              <w:rPr>
                <w:rFonts w:ascii="Arial" w:hAnsi="Arial"/>
                <w:b/>
                <w:sz w:val="20"/>
                <w:szCs w:val="20"/>
              </w:rPr>
              <w:t>Investment market | Hamburg</w:t>
            </w:r>
            <w:r>
              <w:t xml:space="preserve"> </w:t>
            </w:r>
            <w:r>
              <w:rPr>
                <w:rFonts w:ascii="Arial" w:hAnsi="Arial"/>
                <w:b/>
                <w:sz w:val="20"/>
                <w:szCs w:val="20"/>
              </w:rPr>
              <w:t>| 2022</w:t>
            </w:r>
          </w:p>
        </w:tc>
        <w:tc>
          <w:tcPr>
            <w:tcW w:w="993" w:type="dxa"/>
            <w:shd w:val="clear" w:color="auto" w:fill="000000" w:themeFill="text1"/>
          </w:tcPr>
          <w:p w14:paraId="65EC24BE" w14:textId="13CE34CA" w:rsidR="00C7341F" w:rsidRPr="004712BA" w:rsidRDefault="00C7341F" w:rsidP="00927886">
            <w:pPr>
              <w:widowControl w:val="0"/>
              <w:spacing w:before="60" w:after="60"/>
              <w:jc w:val="center"/>
              <w:rPr>
                <w:rFonts w:ascii="Arial" w:hAnsi="Arial" w:cs="Arial"/>
                <w:b/>
                <w:sz w:val="18"/>
                <w:szCs w:val="16"/>
              </w:rPr>
            </w:pPr>
            <w:r>
              <w:rPr>
                <w:rFonts w:ascii="Arial" w:hAnsi="Arial"/>
                <w:b/>
                <w:sz w:val="18"/>
                <w:szCs w:val="16"/>
              </w:rPr>
              <w:t>Q 1-3</w:t>
            </w:r>
          </w:p>
        </w:tc>
      </w:tr>
      <w:tr w:rsidR="00C7341F" w:rsidRPr="006F49D0" w14:paraId="42F788D0" w14:textId="77777777" w:rsidTr="00CF0163">
        <w:trPr>
          <w:trHeight w:val="193"/>
        </w:trPr>
        <w:tc>
          <w:tcPr>
            <w:tcW w:w="3964" w:type="dxa"/>
          </w:tcPr>
          <w:p w14:paraId="572A7D7F" w14:textId="77777777" w:rsidR="00C7341F" w:rsidRPr="004712BA" w:rsidRDefault="00C7341F" w:rsidP="00927886">
            <w:pPr>
              <w:widowControl w:val="0"/>
              <w:spacing w:before="40" w:after="40"/>
              <w:jc w:val="both"/>
              <w:rPr>
                <w:rFonts w:ascii="Arial" w:hAnsi="Arial" w:cs="Arial"/>
                <w:b/>
                <w:sz w:val="18"/>
                <w:szCs w:val="16"/>
              </w:rPr>
            </w:pPr>
            <w:r>
              <w:rPr>
                <w:rFonts w:ascii="Arial" w:hAnsi="Arial"/>
                <w:b/>
                <w:sz w:val="18"/>
                <w:szCs w:val="16"/>
              </w:rPr>
              <w:t xml:space="preserve">Transaction volume </w:t>
            </w:r>
            <w:r>
              <w:rPr>
                <w:rFonts w:ascii="Arial" w:hAnsi="Arial"/>
                <w:sz w:val="18"/>
                <w:szCs w:val="16"/>
              </w:rPr>
              <w:t>[€ millions]</w:t>
            </w:r>
          </w:p>
        </w:tc>
        <w:tc>
          <w:tcPr>
            <w:tcW w:w="993" w:type="dxa"/>
            <w:vAlign w:val="center"/>
          </w:tcPr>
          <w:p w14:paraId="141D4BF4" w14:textId="1C178024" w:rsidR="00C7341F" w:rsidRPr="00E771E0" w:rsidRDefault="00844A10" w:rsidP="00927886">
            <w:pPr>
              <w:widowControl w:val="0"/>
              <w:spacing w:before="40" w:after="40"/>
              <w:jc w:val="right"/>
              <w:rPr>
                <w:rFonts w:ascii="Arial" w:hAnsi="Arial" w:cs="Arial"/>
                <w:sz w:val="18"/>
                <w:szCs w:val="16"/>
              </w:rPr>
            </w:pPr>
            <w:r>
              <w:rPr>
                <w:rFonts w:ascii="Arial" w:hAnsi="Arial"/>
                <w:sz w:val="18"/>
                <w:szCs w:val="16"/>
              </w:rPr>
              <w:t>3,900</w:t>
            </w:r>
          </w:p>
        </w:tc>
      </w:tr>
      <w:tr w:rsidR="00C7341F" w:rsidRPr="006F49D0" w14:paraId="77D40A98" w14:textId="77777777" w:rsidTr="00CF0163">
        <w:trPr>
          <w:trHeight w:val="283"/>
        </w:trPr>
        <w:tc>
          <w:tcPr>
            <w:tcW w:w="3964" w:type="dxa"/>
          </w:tcPr>
          <w:p w14:paraId="2D485DBE" w14:textId="77777777" w:rsidR="00C7341F" w:rsidRPr="00A7575D" w:rsidRDefault="00C7341F" w:rsidP="00927886">
            <w:pPr>
              <w:widowControl w:val="0"/>
              <w:spacing w:before="40" w:after="40"/>
              <w:jc w:val="both"/>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w:t>
            </w:r>
          </w:p>
        </w:tc>
        <w:tc>
          <w:tcPr>
            <w:tcW w:w="993" w:type="dxa"/>
            <w:vAlign w:val="center"/>
          </w:tcPr>
          <w:p w14:paraId="4C41151E" w14:textId="7559F152" w:rsidR="00C7341F" w:rsidRPr="00E771E0" w:rsidRDefault="001B3575" w:rsidP="00844A10">
            <w:pPr>
              <w:widowControl w:val="0"/>
              <w:spacing w:before="40" w:after="40"/>
              <w:jc w:val="right"/>
              <w:rPr>
                <w:rFonts w:ascii="Arial" w:hAnsi="Arial" w:cs="Arial"/>
                <w:sz w:val="18"/>
                <w:szCs w:val="16"/>
              </w:rPr>
            </w:pPr>
            <w:r>
              <w:rPr>
                <w:rFonts w:ascii="Arial" w:hAnsi="Arial"/>
                <w:sz w:val="18"/>
                <w:szCs w:val="16"/>
              </w:rPr>
              <w:t>+86</w:t>
            </w:r>
          </w:p>
        </w:tc>
      </w:tr>
      <w:tr w:rsidR="00C7341F" w:rsidRPr="006F49D0" w14:paraId="297EB5D3" w14:textId="77777777" w:rsidTr="00CF0163">
        <w:trPr>
          <w:trHeight w:val="283"/>
        </w:trPr>
        <w:tc>
          <w:tcPr>
            <w:tcW w:w="3964" w:type="dxa"/>
          </w:tcPr>
          <w:p w14:paraId="4DA1F0EA" w14:textId="77777777" w:rsidR="00C7341F" w:rsidRPr="00CF57DD" w:rsidRDefault="00C7341F" w:rsidP="00927886">
            <w:pPr>
              <w:widowControl w:val="0"/>
              <w:spacing w:before="40" w:after="40"/>
              <w:jc w:val="both"/>
              <w:rPr>
                <w:rFonts w:ascii="Arial" w:hAnsi="Arial" w:cs="Arial"/>
                <w:b/>
                <w:sz w:val="18"/>
                <w:szCs w:val="16"/>
              </w:rPr>
            </w:pPr>
            <w:r>
              <w:rPr>
                <w:rFonts w:ascii="Arial" w:hAnsi="Arial"/>
                <w:b/>
                <w:sz w:val="18"/>
                <w:szCs w:val="16"/>
              </w:rPr>
              <w:t>Proportion of international investors</w:t>
            </w:r>
            <w:r>
              <w:rPr>
                <w:rFonts w:ascii="Arial" w:hAnsi="Arial"/>
                <w:sz w:val="18"/>
                <w:szCs w:val="16"/>
              </w:rPr>
              <w:t xml:space="preserve"> [%]</w:t>
            </w:r>
          </w:p>
        </w:tc>
        <w:tc>
          <w:tcPr>
            <w:tcW w:w="993" w:type="dxa"/>
            <w:vAlign w:val="center"/>
          </w:tcPr>
          <w:p w14:paraId="58A41321" w14:textId="5C4FBDE3" w:rsidR="00C7341F" w:rsidRPr="00E771E0" w:rsidRDefault="00844A10" w:rsidP="00927886">
            <w:pPr>
              <w:widowControl w:val="0"/>
              <w:spacing w:before="40" w:after="40"/>
              <w:jc w:val="right"/>
              <w:rPr>
                <w:rFonts w:ascii="Arial" w:hAnsi="Arial" w:cs="Arial"/>
                <w:sz w:val="18"/>
                <w:szCs w:val="16"/>
              </w:rPr>
            </w:pPr>
            <w:r>
              <w:rPr>
                <w:rFonts w:ascii="Arial" w:hAnsi="Arial"/>
                <w:sz w:val="18"/>
                <w:szCs w:val="16"/>
              </w:rPr>
              <w:t>56</w:t>
            </w:r>
          </w:p>
        </w:tc>
      </w:tr>
      <w:tr w:rsidR="00C7341F" w:rsidRPr="006F49D0" w14:paraId="7A04E1EC" w14:textId="77777777" w:rsidTr="00CF0163">
        <w:trPr>
          <w:trHeight w:val="283"/>
        </w:trPr>
        <w:tc>
          <w:tcPr>
            <w:tcW w:w="3964" w:type="dxa"/>
          </w:tcPr>
          <w:p w14:paraId="7D123B83" w14:textId="77777777" w:rsidR="00C7341F" w:rsidRPr="004712BA" w:rsidRDefault="00C7341F" w:rsidP="00927886">
            <w:pPr>
              <w:widowControl w:val="0"/>
              <w:spacing w:before="40" w:after="40"/>
              <w:jc w:val="both"/>
              <w:rPr>
                <w:rFonts w:ascii="Arial" w:hAnsi="Arial" w:cs="Arial"/>
                <w:b/>
                <w:sz w:val="18"/>
                <w:szCs w:val="16"/>
              </w:rPr>
            </w:pPr>
            <w:r>
              <w:rPr>
                <w:rFonts w:ascii="Arial" w:hAnsi="Arial"/>
                <w:b/>
                <w:sz w:val="18"/>
                <w:szCs w:val="16"/>
              </w:rPr>
              <w:t>Prime net yield, office</w:t>
            </w:r>
            <w:r>
              <w:rPr>
                <w:rFonts w:ascii="Arial" w:hAnsi="Arial"/>
                <w:sz w:val="18"/>
                <w:szCs w:val="16"/>
              </w:rPr>
              <w:t xml:space="preserve"> [%]</w:t>
            </w:r>
          </w:p>
        </w:tc>
        <w:tc>
          <w:tcPr>
            <w:tcW w:w="993" w:type="dxa"/>
            <w:vAlign w:val="center"/>
          </w:tcPr>
          <w:p w14:paraId="3F8204F4" w14:textId="46AE1CFE" w:rsidR="00C7341F" w:rsidRPr="00E771E0" w:rsidRDefault="00EB076D" w:rsidP="00927886">
            <w:pPr>
              <w:widowControl w:val="0"/>
              <w:spacing w:before="40" w:after="40"/>
              <w:jc w:val="right"/>
              <w:rPr>
                <w:rFonts w:ascii="Arial" w:hAnsi="Arial" w:cs="Arial"/>
                <w:sz w:val="18"/>
                <w:szCs w:val="16"/>
              </w:rPr>
            </w:pPr>
            <w:r>
              <w:rPr>
                <w:rFonts w:ascii="Arial" w:hAnsi="Arial"/>
                <w:sz w:val="18"/>
                <w:szCs w:val="16"/>
              </w:rPr>
              <w:t>2.90</w:t>
            </w:r>
          </w:p>
        </w:tc>
      </w:tr>
      <w:tr w:rsidR="00C7341F" w14:paraId="412D1554" w14:textId="77777777" w:rsidTr="00CF0163">
        <w:trPr>
          <w:trHeight w:val="283"/>
        </w:trPr>
        <w:tc>
          <w:tcPr>
            <w:tcW w:w="3964" w:type="dxa"/>
          </w:tcPr>
          <w:p w14:paraId="285C2069" w14:textId="77777777" w:rsidR="00C7341F" w:rsidRPr="00A7575D" w:rsidRDefault="00C7341F" w:rsidP="00927886">
            <w:pPr>
              <w:widowControl w:val="0"/>
              <w:spacing w:before="40" w:after="40"/>
              <w:jc w:val="both"/>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[percentage points]</w:t>
            </w:r>
          </w:p>
        </w:tc>
        <w:tc>
          <w:tcPr>
            <w:tcW w:w="993" w:type="dxa"/>
            <w:vAlign w:val="center"/>
          </w:tcPr>
          <w:p w14:paraId="7154116A" w14:textId="05FCEA4F" w:rsidR="00C7341F" w:rsidRPr="00E771E0" w:rsidRDefault="00EB076D" w:rsidP="00927886">
            <w:pPr>
              <w:widowControl w:val="0"/>
              <w:spacing w:before="40" w:after="40"/>
              <w:jc w:val="right"/>
              <w:rPr>
                <w:rFonts w:ascii="Arial" w:hAnsi="Arial" w:cs="Arial"/>
                <w:sz w:val="18"/>
                <w:szCs w:val="16"/>
              </w:rPr>
            </w:pPr>
            <w:r>
              <w:rPr>
                <w:rFonts w:ascii="Arial" w:hAnsi="Arial"/>
                <w:sz w:val="18"/>
                <w:szCs w:val="16"/>
              </w:rPr>
              <w:t>+0.30</w:t>
            </w:r>
          </w:p>
        </w:tc>
      </w:tr>
      <w:tr w:rsidR="00C7341F" w:rsidRPr="006F49D0" w14:paraId="1F3F0D4C" w14:textId="77777777" w:rsidTr="00CF0163">
        <w:trPr>
          <w:trHeight w:val="283"/>
        </w:trPr>
        <w:tc>
          <w:tcPr>
            <w:tcW w:w="3964" w:type="dxa"/>
          </w:tcPr>
          <w:p w14:paraId="7998213C" w14:textId="77777777" w:rsidR="00C7341F" w:rsidRPr="004712BA" w:rsidRDefault="00C7341F" w:rsidP="00927886">
            <w:pPr>
              <w:widowControl w:val="0"/>
              <w:spacing w:before="40" w:after="40"/>
              <w:jc w:val="both"/>
              <w:rPr>
                <w:rFonts w:ascii="Arial" w:hAnsi="Arial" w:cs="Arial"/>
                <w:b/>
                <w:sz w:val="18"/>
                <w:szCs w:val="16"/>
              </w:rPr>
            </w:pPr>
            <w:r>
              <w:rPr>
                <w:rFonts w:ascii="Arial" w:hAnsi="Arial"/>
                <w:b/>
                <w:sz w:val="18"/>
                <w:szCs w:val="16"/>
              </w:rPr>
              <w:t>Prime net yield, commercial buildings</w:t>
            </w:r>
            <w:r>
              <w:rPr>
                <w:rFonts w:ascii="Arial" w:hAnsi="Arial"/>
                <w:sz w:val="18"/>
                <w:szCs w:val="16"/>
              </w:rPr>
              <w:t xml:space="preserve"> [%]</w:t>
            </w:r>
          </w:p>
        </w:tc>
        <w:tc>
          <w:tcPr>
            <w:tcW w:w="993" w:type="dxa"/>
            <w:vAlign w:val="center"/>
          </w:tcPr>
          <w:p w14:paraId="5C400650" w14:textId="4873296E" w:rsidR="00C7341F" w:rsidRPr="00F67E03" w:rsidRDefault="00EB076D" w:rsidP="00EB076D">
            <w:pPr>
              <w:widowControl w:val="0"/>
              <w:spacing w:before="40" w:after="40"/>
              <w:jc w:val="right"/>
              <w:rPr>
                <w:rFonts w:ascii="Arial" w:hAnsi="Arial" w:cs="Arial"/>
                <w:sz w:val="18"/>
                <w:szCs w:val="16"/>
              </w:rPr>
            </w:pPr>
            <w:r>
              <w:rPr>
                <w:rFonts w:ascii="Arial" w:hAnsi="Arial"/>
                <w:sz w:val="18"/>
                <w:szCs w:val="16"/>
              </w:rPr>
              <w:t>3.00</w:t>
            </w:r>
          </w:p>
        </w:tc>
      </w:tr>
      <w:tr w:rsidR="00C7341F" w14:paraId="7E04E2D1" w14:textId="77777777" w:rsidTr="00CF0163">
        <w:trPr>
          <w:trHeight w:val="283"/>
        </w:trPr>
        <w:tc>
          <w:tcPr>
            <w:tcW w:w="3964" w:type="dxa"/>
          </w:tcPr>
          <w:p w14:paraId="50EDD51B" w14:textId="77777777" w:rsidR="00C7341F" w:rsidRPr="00A7575D" w:rsidRDefault="00C7341F" w:rsidP="00927886">
            <w:pPr>
              <w:widowControl w:val="0"/>
              <w:spacing w:before="40" w:after="40"/>
              <w:jc w:val="both"/>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[percentage points]</w:t>
            </w:r>
          </w:p>
        </w:tc>
        <w:tc>
          <w:tcPr>
            <w:tcW w:w="993" w:type="dxa"/>
            <w:vAlign w:val="center"/>
          </w:tcPr>
          <w:p w14:paraId="4F154500" w14:textId="7876AE65" w:rsidR="00C7341F" w:rsidRPr="00F67E03" w:rsidRDefault="00EB076D" w:rsidP="00EB076D">
            <w:pPr>
              <w:widowControl w:val="0"/>
              <w:spacing w:before="40" w:after="40"/>
              <w:jc w:val="right"/>
              <w:rPr>
                <w:rFonts w:ascii="Arial" w:hAnsi="Arial" w:cs="Arial"/>
                <w:sz w:val="18"/>
                <w:szCs w:val="16"/>
              </w:rPr>
            </w:pPr>
            <w:r>
              <w:rPr>
                <w:rFonts w:ascii="Arial" w:hAnsi="Arial"/>
                <w:sz w:val="18"/>
                <w:szCs w:val="16"/>
              </w:rPr>
              <w:t>+0.30</w:t>
            </w:r>
          </w:p>
        </w:tc>
      </w:tr>
      <w:tr w:rsidR="00C7341F" w:rsidRPr="006F49D0" w14:paraId="661023F9" w14:textId="77777777" w:rsidTr="00CF0163">
        <w:trPr>
          <w:trHeight w:val="283"/>
        </w:trPr>
        <w:tc>
          <w:tcPr>
            <w:tcW w:w="3964" w:type="dxa"/>
          </w:tcPr>
          <w:p w14:paraId="1C7E799E" w14:textId="77777777" w:rsidR="00C7341F" w:rsidRPr="004712BA" w:rsidRDefault="00C7341F" w:rsidP="00927886">
            <w:pPr>
              <w:widowControl w:val="0"/>
              <w:spacing w:before="40" w:after="40"/>
              <w:jc w:val="both"/>
              <w:rPr>
                <w:rFonts w:ascii="Arial" w:hAnsi="Arial" w:cs="Arial"/>
                <w:b/>
                <w:sz w:val="18"/>
                <w:szCs w:val="16"/>
              </w:rPr>
            </w:pPr>
            <w:r>
              <w:rPr>
                <w:rFonts w:ascii="Arial" w:hAnsi="Arial"/>
                <w:b/>
                <w:sz w:val="18"/>
                <w:szCs w:val="16"/>
              </w:rPr>
              <w:t>Prime net yield, logistics properties</w:t>
            </w:r>
            <w:r>
              <w:rPr>
                <w:rFonts w:ascii="Arial" w:hAnsi="Arial"/>
                <w:sz w:val="18"/>
                <w:szCs w:val="16"/>
              </w:rPr>
              <w:t xml:space="preserve"> [%]</w:t>
            </w:r>
          </w:p>
        </w:tc>
        <w:tc>
          <w:tcPr>
            <w:tcW w:w="993" w:type="dxa"/>
            <w:vAlign w:val="center"/>
          </w:tcPr>
          <w:p w14:paraId="3B0C6875" w14:textId="5B32B95D" w:rsidR="00C7341F" w:rsidRPr="00F67E03" w:rsidRDefault="00EB076D" w:rsidP="00927886">
            <w:pPr>
              <w:widowControl w:val="0"/>
              <w:spacing w:before="40" w:after="40"/>
              <w:jc w:val="right"/>
              <w:rPr>
                <w:rFonts w:ascii="Arial" w:hAnsi="Arial" w:cs="Arial"/>
                <w:sz w:val="18"/>
                <w:szCs w:val="16"/>
              </w:rPr>
            </w:pPr>
            <w:r>
              <w:rPr>
                <w:rFonts w:ascii="Arial" w:hAnsi="Arial"/>
                <w:sz w:val="18"/>
                <w:szCs w:val="16"/>
              </w:rPr>
              <w:t>3.50</w:t>
            </w:r>
          </w:p>
        </w:tc>
      </w:tr>
      <w:tr w:rsidR="00C7341F" w14:paraId="63C42E15" w14:textId="77777777" w:rsidTr="00CF0163">
        <w:trPr>
          <w:trHeight w:val="283"/>
        </w:trPr>
        <w:tc>
          <w:tcPr>
            <w:tcW w:w="3964" w:type="dxa"/>
          </w:tcPr>
          <w:p w14:paraId="1440EEA3" w14:textId="77777777" w:rsidR="00C7341F" w:rsidRPr="00A7575D" w:rsidRDefault="00C7341F" w:rsidP="00927886">
            <w:pPr>
              <w:widowControl w:val="0"/>
              <w:spacing w:before="40" w:after="40"/>
              <w:jc w:val="both"/>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[percentage points]</w:t>
            </w:r>
          </w:p>
        </w:tc>
        <w:tc>
          <w:tcPr>
            <w:tcW w:w="993" w:type="dxa"/>
            <w:vAlign w:val="center"/>
          </w:tcPr>
          <w:p w14:paraId="1A0F9B44" w14:textId="24CAD925" w:rsidR="00C7341F" w:rsidRPr="00F67E03" w:rsidRDefault="00EB076D" w:rsidP="001914C9">
            <w:pPr>
              <w:widowControl w:val="0"/>
              <w:spacing w:before="40" w:after="40"/>
              <w:jc w:val="right"/>
              <w:rPr>
                <w:rFonts w:ascii="Arial" w:hAnsi="Arial" w:cs="Arial"/>
                <w:sz w:val="18"/>
                <w:szCs w:val="16"/>
              </w:rPr>
            </w:pPr>
            <w:r>
              <w:rPr>
                <w:rFonts w:ascii="Arial" w:hAnsi="Arial"/>
                <w:sz w:val="18"/>
                <w:szCs w:val="16"/>
              </w:rPr>
              <w:t>±0.00</w:t>
            </w:r>
          </w:p>
        </w:tc>
      </w:tr>
      <w:tr w:rsidR="00C7341F" w:rsidRPr="006F49D0" w14:paraId="07A2DDCA" w14:textId="77777777" w:rsidTr="00CF0163">
        <w:trPr>
          <w:trHeight w:val="283"/>
        </w:trPr>
        <w:tc>
          <w:tcPr>
            <w:tcW w:w="3964" w:type="dxa"/>
            <w:tcBorders>
              <w:bottom w:val="single" w:sz="4" w:space="0" w:color="auto"/>
            </w:tcBorders>
          </w:tcPr>
          <w:p w14:paraId="7828C62D" w14:textId="77777777" w:rsidR="00C7341F" w:rsidRPr="004712BA" w:rsidRDefault="00C7341F" w:rsidP="00927886">
            <w:pPr>
              <w:widowControl w:val="0"/>
              <w:spacing w:before="40" w:after="40"/>
              <w:jc w:val="both"/>
              <w:rPr>
                <w:rFonts w:ascii="Arial" w:hAnsi="Arial" w:cs="Arial"/>
                <w:b/>
                <w:sz w:val="18"/>
                <w:szCs w:val="16"/>
              </w:rPr>
            </w:pPr>
            <w:r>
              <w:rPr>
                <w:rFonts w:ascii="Arial" w:hAnsi="Arial"/>
                <w:b/>
                <w:sz w:val="18"/>
                <w:szCs w:val="16"/>
              </w:rPr>
              <w:t>Strongest asset class</w:t>
            </w:r>
          </w:p>
        </w:tc>
        <w:tc>
          <w:tcPr>
            <w:tcW w:w="993" w:type="dxa"/>
            <w:tcBorders>
              <w:bottom w:val="single" w:sz="4" w:space="0" w:color="auto"/>
            </w:tcBorders>
            <w:vAlign w:val="center"/>
          </w:tcPr>
          <w:p w14:paraId="4F47916D" w14:textId="77777777" w:rsidR="00C7341F" w:rsidRPr="00F67E03" w:rsidRDefault="001B3575" w:rsidP="00927886">
            <w:pPr>
              <w:widowControl w:val="0"/>
              <w:spacing w:before="40" w:after="40"/>
              <w:jc w:val="right"/>
              <w:rPr>
                <w:rFonts w:ascii="Arial" w:hAnsi="Arial" w:cs="Arial"/>
                <w:sz w:val="18"/>
                <w:szCs w:val="16"/>
              </w:rPr>
            </w:pPr>
            <w:r>
              <w:rPr>
                <w:rFonts w:ascii="Arial" w:hAnsi="Arial"/>
                <w:sz w:val="18"/>
                <w:szCs w:val="16"/>
              </w:rPr>
              <w:t>Offices</w:t>
            </w:r>
          </w:p>
        </w:tc>
      </w:tr>
      <w:tr w:rsidR="00C7341F" w:rsidRPr="006F49D0" w14:paraId="6440AD70" w14:textId="77777777" w:rsidTr="00CF0163">
        <w:trPr>
          <w:trHeight w:val="283"/>
        </w:trPr>
        <w:tc>
          <w:tcPr>
            <w:tcW w:w="3964" w:type="dxa"/>
            <w:tcBorders>
              <w:bottom w:val="single" w:sz="4" w:space="0" w:color="auto"/>
            </w:tcBorders>
          </w:tcPr>
          <w:p w14:paraId="0E234409" w14:textId="77777777" w:rsidR="00C7341F" w:rsidRPr="004712BA" w:rsidRDefault="00C7341F" w:rsidP="00927886">
            <w:pPr>
              <w:widowControl w:val="0"/>
              <w:spacing w:before="40" w:after="40"/>
              <w:jc w:val="both"/>
              <w:rPr>
                <w:rFonts w:ascii="Arial" w:hAnsi="Arial" w:cs="Arial"/>
                <w:b/>
                <w:sz w:val="18"/>
                <w:szCs w:val="16"/>
              </w:rPr>
            </w:pPr>
            <w:r>
              <w:rPr>
                <w:rFonts w:ascii="Arial" w:hAnsi="Arial"/>
                <w:b/>
                <w:sz w:val="18"/>
                <w:szCs w:val="16"/>
              </w:rPr>
              <w:t>Strongest asset class</w:t>
            </w:r>
            <w:r>
              <w:rPr>
                <w:rFonts w:ascii="Arial" w:hAnsi="Arial"/>
                <w:sz w:val="18"/>
                <w:szCs w:val="16"/>
              </w:rPr>
              <w:t xml:space="preserve"> [%]</w:t>
            </w:r>
          </w:p>
        </w:tc>
        <w:tc>
          <w:tcPr>
            <w:tcW w:w="993" w:type="dxa"/>
            <w:tcBorders>
              <w:bottom w:val="single" w:sz="4" w:space="0" w:color="auto"/>
            </w:tcBorders>
            <w:vAlign w:val="center"/>
          </w:tcPr>
          <w:p w14:paraId="79F5C2D7" w14:textId="259AE4CF" w:rsidR="00C7341F" w:rsidRPr="00F67E03" w:rsidRDefault="00EB076D" w:rsidP="00BF0444">
            <w:pPr>
              <w:widowControl w:val="0"/>
              <w:spacing w:before="40" w:after="40"/>
              <w:jc w:val="right"/>
              <w:rPr>
                <w:rFonts w:ascii="Arial" w:hAnsi="Arial" w:cs="Arial"/>
                <w:sz w:val="18"/>
                <w:szCs w:val="16"/>
              </w:rPr>
            </w:pPr>
            <w:r>
              <w:rPr>
                <w:rFonts w:ascii="Arial" w:hAnsi="Arial"/>
                <w:sz w:val="18"/>
                <w:szCs w:val="16"/>
              </w:rPr>
              <w:t>80</w:t>
            </w:r>
          </w:p>
        </w:tc>
      </w:tr>
    </w:tbl>
    <w:p w14:paraId="57438FD8" w14:textId="2FF6AD50" w:rsidR="00C7341F" w:rsidRDefault="00FF6BDD" w:rsidP="0090748B">
      <w:pPr>
        <w:spacing w:after="0" w:line="360" w:lineRule="auto"/>
        <w:textAlignment w:val="baseline"/>
        <w:rPr>
          <w:rFonts w:ascii="Arial" w:eastAsia="Arial" w:hAnsi="Arial" w:cs="Arial"/>
          <w:color w:val="000000" w:themeColor="text1"/>
          <w:sz w:val="20"/>
          <w:szCs w:val="20"/>
        </w:rPr>
      </w:pPr>
      <w:r>
        <w:rPr>
          <w:rFonts w:ascii="Arial" w:eastAsia="Arial" w:hAnsi="Arial" w:cs="Arial"/>
          <w:noProof/>
          <w:color w:val="000000" w:themeColor="text1"/>
          <w:sz w:val="20"/>
          <w:szCs w:val="20"/>
          <w:lang w:val="de-DE" w:eastAsia="de-DE"/>
        </w:rPr>
        <w:drawing>
          <wp:inline distT="0" distB="0" distL="0" distR="0" wp14:anchorId="25639F58" wp14:editId="4BC37D33">
            <wp:extent cx="2706624" cy="2244566"/>
            <wp:effectExtent l="19050" t="19050" r="17780" b="2286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vest-HH-3Q2022.JPG"/>
                    <pic:cNvPicPr/>
                  </pic:nvPicPr>
                  <pic:blipFill>
                    <a:blip r:embed="rId8">
                      <a:extLst>
                        <a:ext uri="{28A0092B-C50C-407E-A947-70E740481C1C}">
                          <a14:useLocalDpi xmlns:a14="http://schemas.microsoft.com/office/drawing/2010/main" val="0"/>
                        </a:ext>
                      </a:extLst>
                    </a:blip>
                    <a:stretch>
                      <a:fillRect/>
                    </a:stretch>
                  </pic:blipFill>
                  <pic:spPr>
                    <a:xfrm>
                      <a:off x="0" y="0"/>
                      <a:ext cx="2726308" cy="2260889"/>
                    </a:xfrm>
                    <a:prstGeom prst="rect">
                      <a:avLst/>
                    </a:prstGeom>
                    <a:ln w="3175">
                      <a:solidFill>
                        <a:schemeClr val="tx1"/>
                      </a:solidFill>
                    </a:ln>
                  </pic:spPr>
                </pic:pic>
              </a:graphicData>
            </a:graphic>
          </wp:inline>
        </w:drawing>
      </w:r>
    </w:p>
    <w:p w14:paraId="02656DC4" w14:textId="1CEAF119" w:rsidR="00FF6BDD" w:rsidRDefault="00FF6BDD" w:rsidP="00C7341F">
      <w:pPr>
        <w:rPr>
          <w:rFonts w:ascii="Arial" w:hAnsi="Arial" w:cs="Arial"/>
          <w:b/>
          <w:sz w:val="20"/>
          <w:szCs w:val="20"/>
        </w:rPr>
      </w:pPr>
    </w:p>
    <w:p w14:paraId="4582D23C" w14:textId="5CC2C597" w:rsidR="00C7341F" w:rsidRPr="00A0600B" w:rsidRDefault="00C7341F" w:rsidP="00C7341F">
      <w:pPr>
        <w:rPr>
          <w:rFonts w:ascii="Arial" w:hAnsi="Arial" w:cs="Arial"/>
          <w:b/>
          <w:sz w:val="20"/>
          <w:szCs w:val="20"/>
        </w:rPr>
      </w:pPr>
      <w:r>
        <w:rPr>
          <w:rFonts w:ascii="Arial" w:hAnsi="Arial"/>
          <w:b/>
          <w:sz w:val="20"/>
          <w:szCs w:val="20"/>
        </w:rPr>
        <w:t>Selected top transactions | investments in Hamburg | 1st-3rd quarters of 2022</w:t>
      </w:r>
    </w:p>
    <w:tbl>
      <w:tblPr>
        <w:tblStyle w:val="TableGrid1"/>
        <w:tblpPr w:leftFromText="141" w:rightFromText="141" w:vertAnchor="text" w:horzAnchor="margin" w:tblpY="61"/>
        <w:tblW w:w="9776" w:type="dxa"/>
        <w:tblLayout w:type="fixed"/>
        <w:tblLook w:val="04A0" w:firstRow="1" w:lastRow="0" w:firstColumn="1" w:lastColumn="0" w:noHBand="0" w:noVBand="1"/>
      </w:tblPr>
      <w:tblGrid>
        <w:gridCol w:w="2547"/>
        <w:gridCol w:w="1276"/>
        <w:gridCol w:w="1275"/>
        <w:gridCol w:w="1701"/>
        <w:gridCol w:w="1843"/>
        <w:gridCol w:w="1134"/>
      </w:tblGrid>
      <w:tr w:rsidR="00A0406F" w:rsidRPr="006F49D0" w14:paraId="22515A8A" w14:textId="77777777" w:rsidTr="00D753BA">
        <w:trPr>
          <w:trHeight w:val="567"/>
        </w:trPr>
        <w:tc>
          <w:tcPr>
            <w:tcW w:w="2547" w:type="dxa"/>
            <w:shd w:val="clear" w:color="auto" w:fill="000000" w:themeFill="text1"/>
            <w:vAlign w:val="center"/>
          </w:tcPr>
          <w:p w14:paraId="7BEBBC2A" w14:textId="77777777" w:rsidR="00A0406F" w:rsidRPr="00C7341F" w:rsidRDefault="00A0406F" w:rsidP="00D753BA">
            <w:pPr>
              <w:spacing w:after="0"/>
              <w:jc w:val="center"/>
              <w:rPr>
                <w:rFonts w:ascii="Arial" w:hAnsi="Arial" w:cs="Arial"/>
                <w:b/>
                <w:color w:val="FFFFFF" w:themeColor="background1"/>
                <w:sz w:val="18"/>
                <w:szCs w:val="16"/>
              </w:rPr>
            </w:pPr>
            <w:r>
              <w:rPr>
                <w:rFonts w:ascii="Arial" w:hAnsi="Arial"/>
                <w:b/>
                <w:color w:val="FFFFFF" w:themeColor="background1"/>
                <w:sz w:val="18"/>
                <w:szCs w:val="16"/>
              </w:rPr>
              <w:t>Project/property</w:t>
            </w:r>
          </w:p>
          <w:p w14:paraId="1D9E85C8" w14:textId="77777777" w:rsidR="00A0406F" w:rsidRPr="00C7341F" w:rsidRDefault="00A0406F" w:rsidP="00D753BA">
            <w:pPr>
              <w:spacing w:after="0"/>
              <w:jc w:val="center"/>
              <w:rPr>
                <w:rFonts w:ascii="Arial" w:hAnsi="Arial" w:cs="Arial"/>
                <w:b/>
                <w:color w:val="FFFFFF" w:themeColor="background1"/>
                <w:sz w:val="18"/>
                <w:szCs w:val="16"/>
              </w:rPr>
            </w:pPr>
            <w:r>
              <w:rPr>
                <w:rFonts w:ascii="Arial" w:hAnsi="Arial"/>
                <w:b/>
                <w:color w:val="FFFFFF" w:themeColor="background1"/>
                <w:sz w:val="18"/>
                <w:szCs w:val="16"/>
              </w:rPr>
              <w:t>Street no.</w:t>
            </w:r>
          </w:p>
        </w:tc>
        <w:tc>
          <w:tcPr>
            <w:tcW w:w="1276" w:type="dxa"/>
            <w:shd w:val="clear" w:color="auto" w:fill="000000" w:themeFill="text1"/>
          </w:tcPr>
          <w:p w14:paraId="657EFA22" w14:textId="77777777" w:rsidR="00A0406F" w:rsidRPr="00C7341F" w:rsidRDefault="00A0406F" w:rsidP="00D753BA">
            <w:pPr>
              <w:widowControl w:val="0"/>
              <w:spacing w:before="60" w:afterLines="60" w:after="144"/>
              <w:jc w:val="center"/>
              <w:rPr>
                <w:rFonts w:ascii="Arial" w:hAnsi="Arial" w:cs="Arial"/>
                <w:b/>
                <w:color w:val="FFFFFF" w:themeColor="background1"/>
                <w:sz w:val="18"/>
                <w:szCs w:val="16"/>
              </w:rPr>
            </w:pPr>
            <w:r>
              <w:rPr>
                <w:rFonts w:ascii="Arial" w:hAnsi="Arial"/>
                <w:b/>
                <w:color w:val="FFFFFF" w:themeColor="background1"/>
                <w:sz w:val="18"/>
                <w:szCs w:val="16"/>
              </w:rPr>
              <w:br/>
              <w:t>Sub-market</w:t>
            </w:r>
          </w:p>
        </w:tc>
        <w:tc>
          <w:tcPr>
            <w:tcW w:w="1275" w:type="dxa"/>
            <w:shd w:val="clear" w:color="auto" w:fill="000000" w:themeFill="text1"/>
          </w:tcPr>
          <w:p w14:paraId="534ED832" w14:textId="77777777" w:rsidR="00A0406F" w:rsidRPr="00C7341F" w:rsidRDefault="00A0406F" w:rsidP="00D753BA">
            <w:pPr>
              <w:widowControl w:val="0"/>
              <w:spacing w:before="60" w:afterLines="60" w:after="144"/>
              <w:jc w:val="center"/>
              <w:rPr>
                <w:rFonts w:ascii="Arial" w:hAnsi="Arial" w:cs="Arial"/>
                <w:b/>
                <w:color w:val="FFFFFF" w:themeColor="background1"/>
                <w:sz w:val="18"/>
                <w:szCs w:val="16"/>
              </w:rPr>
            </w:pPr>
            <w:r>
              <w:rPr>
                <w:rFonts w:ascii="Arial" w:hAnsi="Arial"/>
                <w:b/>
                <w:color w:val="FFFFFF" w:themeColor="background1"/>
                <w:sz w:val="18"/>
                <w:szCs w:val="16"/>
              </w:rPr>
              <w:br/>
              <w:t>Asset class</w:t>
            </w:r>
          </w:p>
        </w:tc>
        <w:tc>
          <w:tcPr>
            <w:tcW w:w="1701" w:type="dxa"/>
            <w:shd w:val="clear" w:color="auto" w:fill="000000" w:themeFill="text1"/>
            <w:vAlign w:val="center"/>
          </w:tcPr>
          <w:p w14:paraId="12C8DAF2" w14:textId="77777777" w:rsidR="00A0406F" w:rsidRPr="00C7341F" w:rsidRDefault="00A0406F" w:rsidP="00D753BA">
            <w:pPr>
              <w:widowControl w:val="0"/>
              <w:spacing w:before="60" w:afterLines="60" w:after="144"/>
              <w:jc w:val="center"/>
              <w:rPr>
                <w:rFonts w:ascii="Arial" w:hAnsi="Arial" w:cs="Arial"/>
                <w:b/>
                <w:color w:val="FFFFFF" w:themeColor="background1"/>
                <w:sz w:val="18"/>
                <w:szCs w:val="16"/>
              </w:rPr>
            </w:pPr>
            <w:r>
              <w:rPr>
                <w:rFonts w:ascii="Arial" w:hAnsi="Arial"/>
                <w:b/>
                <w:color w:val="FFFFFF" w:themeColor="background1"/>
                <w:sz w:val="18"/>
                <w:szCs w:val="16"/>
              </w:rPr>
              <w:t>Buyer/investor</w:t>
            </w:r>
          </w:p>
        </w:tc>
        <w:tc>
          <w:tcPr>
            <w:tcW w:w="1843" w:type="dxa"/>
            <w:shd w:val="clear" w:color="auto" w:fill="000000" w:themeFill="text1"/>
            <w:vAlign w:val="center"/>
          </w:tcPr>
          <w:p w14:paraId="3E843527" w14:textId="77777777" w:rsidR="00A0406F" w:rsidRPr="00C7341F" w:rsidRDefault="00A0406F" w:rsidP="00D753BA">
            <w:pPr>
              <w:widowControl w:val="0"/>
              <w:spacing w:before="60" w:afterLines="60" w:after="144"/>
              <w:jc w:val="center"/>
              <w:rPr>
                <w:rFonts w:ascii="Arial" w:hAnsi="Arial" w:cs="Arial"/>
                <w:b/>
                <w:color w:val="FFFFFF" w:themeColor="background1"/>
                <w:sz w:val="18"/>
                <w:szCs w:val="16"/>
              </w:rPr>
            </w:pPr>
            <w:r>
              <w:rPr>
                <w:rFonts w:ascii="Arial" w:hAnsi="Arial"/>
                <w:b/>
                <w:color w:val="FFFFFF" w:themeColor="background1"/>
                <w:sz w:val="18"/>
                <w:szCs w:val="16"/>
              </w:rPr>
              <w:t>Vendor</w:t>
            </w:r>
          </w:p>
        </w:tc>
        <w:tc>
          <w:tcPr>
            <w:tcW w:w="1134" w:type="dxa"/>
            <w:shd w:val="clear" w:color="auto" w:fill="000000" w:themeFill="text1"/>
            <w:vAlign w:val="center"/>
          </w:tcPr>
          <w:p w14:paraId="70F7FEB1" w14:textId="77777777" w:rsidR="00A0406F" w:rsidRPr="00C7341F" w:rsidRDefault="00A0406F" w:rsidP="00D753BA">
            <w:pPr>
              <w:widowControl w:val="0"/>
              <w:spacing w:before="60" w:after="0"/>
              <w:jc w:val="center"/>
              <w:rPr>
                <w:rFonts w:ascii="Arial" w:hAnsi="Arial" w:cs="Arial"/>
                <w:b/>
                <w:color w:val="FFFFFF" w:themeColor="background1"/>
                <w:sz w:val="18"/>
                <w:szCs w:val="16"/>
              </w:rPr>
            </w:pPr>
            <w:r>
              <w:rPr>
                <w:rFonts w:ascii="Arial" w:hAnsi="Arial"/>
                <w:b/>
                <w:color w:val="FFFFFF" w:themeColor="background1"/>
                <w:sz w:val="18"/>
                <w:szCs w:val="16"/>
              </w:rPr>
              <w:t>Purchase price*</w:t>
            </w:r>
          </w:p>
          <w:p w14:paraId="74F2D138" w14:textId="77777777" w:rsidR="00A0406F" w:rsidRPr="00C7341F" w:rsidRDefault="00A0406F" w:rsidP="00D753BA">
            <w:pPr>
              <w:widowControl w:val="0"/>
              <w:spacing w:before="60" w:after="0"/>
              <w:jc w:val="center"/>
              <w:rPr>
                <w:rFonts w:ascii="Arial" w:hAnsi="Arial" w:cs="Arial"/>
                <w:b/>
                <w:color w:val="FFFFFF" w:themeColor="background1"/>
                <w:sz w:val="18"/>
                <w:szCs w:val="16"/>
              </w:rPr>
            </w:pPr>
            <w:r>
              <w:rPr>
                <w:rFonts w:ascii="Arial" w:hAnsi="Arial"/>
                <w:color w:val="FFFFFF" w:themeColor="background1"/>
                <w:sz w:val="18"/>
                <w:szCs w:val="16"/>
              </w:rPr>
              <w:t>[approx. €m]</w:t>
            </w:r>
          </w:p>
        </w:tc>
      </w:tr>
      <w:tr w:rsidR="00A0406F" w:rsidRPr="00F2414C" w14:paraId="1F33E0D2" w14:textId="77777777" w:rsidTr="00D753BA">
        <w:trPr>
          <w:trHeight w:val="567"/>
        </w:trPr>
        <w:tc>
          <w:tcPr>
            <w:tcW w:w="2547" w:type="dxa"/>
            <w:shd w:val="clear" w:color="auto" w:fill="FFFFFF" w:themeFill="background1"/>
            <w:vAlign w:val="center"/>
          </w:tcPr>
          <w:p w14:paraId="260B2A17" w14:textId="77777777" w:rsidR="00A0406F" w:rsidRPr="00CA462D" w:rsidRDefault="00A0406F" w:rsidP="00D753BA">
            <w:pPr>
              <w:widowControl w:val="0"/>
              <w:spacing w:after="0"/>
              <w:rPr>
                <w:rFonts w:ascii="Arial" w:hAnsi="Arial" w:cs="Arial"/>
                <w:color w:val="000000" w:themeColor="text1"/>
                <w:sz w:val="18"/>
                <w:szCs w:val="18"/>
              </w:rPr>
            </w:pPr>
            <w:r>
              <w:rPr>
                <w:rFonts w:ascii="Arial" w:hAnsi="Arial"/>
                <w:color w:val="000000" w:themeColor="text1"/>
                <w:sz w:val="18"/>
                <w:szCs w:val="18"/>
              </w:rPr>
              <w:t>“</w:t>
            </w:r>
            <w:proofErr w:type="spellStart"/>
            <w:r>
              <w:rPr>
                <w:rFonts w:ascii="Arial" w:hAnsi="Arial"/>
                <w:color w:val="000000" w:themeColor="text1"/>
                <w:sz w:val="18"/>
                <w:szCs w:val="18"/>
              </w:rPr>
              <w:t>alstria</w:t>
            </w:r>
            <w:proofErr w:type="spellEnd"/>
            <w:r>
              <w:rPr>
                <w:rFonts w:ascii="Arial" w:hAnsi="Arial"/>
                <w:color w:val="000000" w:themeColor="text1"/>
                <w:sz w:val="18"/>
                <w:szCs w:val="18"/>
              </w:rPr>
              <w:t xml:space="preserve"> office” portfolio</w:t>
            </w:r>
          </w:p>
        </w:tc>
        <w:tc>
          <w:tcPr>
            <w:tcW w:w="1276" w:type="dxa"/>
            <w:shd w:val="clear" w:color="auto" w:fill="FFFFFF" w:themeFill="background1"/>
            <w:vAlign w:val="center"/>
          </w:tcPr>
          <w:p w14:paraId="155A728D" w14:textId="77777777" w:rsidR="00A0406F" w:rsidRPr="00CA462D" w:rsidRDefault="00A0406F" w:rsidP="00D753BA">
            <w:pPr>
              <w:widowControl w:val="0"/>
              <w:spacing w:after="0"/>
              <w:rPr>
                <w:rFonts w:ascii="Arial" w:hAnsi="Arial" w:cs="Arial"/>
                <w:color w:val="000000" w:themeColor="text1"/>
                <w:sz w:val="18"/>
                <w:szCs w:val="18"/>
              </w:rPr>
            </w:pPr>
            <w:r>
              <w:rPr>
                <w:rFonts w:ascii="Arial" w:hAnsi="Arial"/>
                <w:color w:val="000000" w:themeColor="text1"/>
                <w:sz w:val="18"/>
                <w:szCs w:val="18"/>
              </w:rPr>
              <w:t xml:space="preserve">Hamburg </w:t>
            </w:r>
          </w:p>
        </w:tc>
        <w:tc>
          <w:tcPr>
            <w:tcW w:w="1275" w:type="dxa"/>
            <w:shd w:val="clear" w:color="auto" w:fill="FFFFFF" w:themeFill="background1"/>
            <w:vAlign w:val="center"/>
          </w:tcPr>
          <w:p w14:paraId="49E9358F" w14:textId="77777777" w:rsidR="00A0406F" w:rsidRPr="00CA462D" w:rsidRDefault="00A0406F" w:rsidP="00D753BA">
            <w:pPr>
              <w:widowControl w:val="0"/>
              <w:spacing w:after="0"/>
              <w:rPr>
                <w:rFonts w:ascii="Arial" w:hAnsi="Arial" w:cs="Arial"/>
                <w:color w:val="000000" w:themeColor="text1"/>
                <w:sz w:val="18"/>
                <w:szCs w:val="18"/>
              </w:rPr>
            </w:pPr>
            <w:r>
              <w:rPr>
                <w:rFonts w:ascii="Arial" w:hAnsi="Arial"/>
                <w:color w:val="000000" w:themeColor="text1"/>
                <w:sz w:val="18"/>
                <w:szCs w:val="18"/>
              </w:rPr>
              <w:t>Offices</w:t>
            </w:r>
          </w:p>
        </w:tc>
        <w:tc>
          <w:tcPr>
            <w:tcW w:w="1701" w:type="dxa"/>
            <w:shd w:val="clear" w:color="auto" w:fill="FFFFFF" w:themeFill="background1"/>
            <w:vAlign w:val="center"/>
          </w:tcPr>
          <w:p w14:paraId="12B87A7B" w14:textId="77777777" w:rsidR="00A0406F" w:rsidRPr="00CA462D" w:rsidRDefault="00A0406F" w:rsidP="00D753BA">
            <w:pPr>
              <w:widowControl w:val="0"/>
              <w:spacing w:after="0"/>
              <w:rPr>
                <w:rFonts w:ascii="Arial" w:hAnsi="Arial" w:cs="Arial"/>
                <w:color w:val="000000" w:themeColor="text1"/>
                <w:sz w:val="18"/>
                <w:szCs w:val="18"/>
              </w:rPr>
            </w:pPr>
            <w:r>
              <w:rPr>
                <w:rFonts w:ascii="Arial" w:hAnsi="Arial"/>
                <w:color w:val="000000" w:themeColor="text1"/>
                <w:sz w:val="18"/>
                <w:szCs w:val="18"/>
              </w:rPr>
              <w:t>Brookfield Properties</w:t>
            </w:r>
          </w:p>
        </w:tc>
        <w:tc>
          <w:tcPr>
            <w:tcW w:w="1843" w:type="dxa"/>
            <w:shd w:val="clear" w:color="auto" w:fill="FFFFFF" w:themeFill="background1"/>
            <w:vAlign w:val="center"/>
          </w:tcPr>
          <w:p w14:paraId="4A3F77C1" w14:textId="580622D5" w:rsidR="00A0406F" w:rsidRPr="00CA462D" w:rsidRDefault="00A0406F" w:rsidP="00D753BA">
            <w:pPr>
              <w:widowControl w:val="0"/>
              <w:spacing w:after="0"/>
              <w:rPr>
                <w:rFonts w:ascii="Arial" w:hAnsi="Arial" w:cs="Arial"/>
                <w:color w:val="000000" w:themeColor="text1"/>
                <w:sz w:val="18"/>
                <w:szCs w:val="18"/>
              </w:rPr>
            </w:pPr>
            <w:proofErr w:type="spellStart"/>
            <w:r>
              <w:rPr>
                <w:rFonts w:ascii="Arial" w:hAnsi="Arial"/>
                <w:color w:val="000000" w:themeColor="text1"/>
                <w:sz w:val="18"/>
                <w:szCs w:val="18"/>
              </w:rPr>
              <w:t>alstria</w:t>
            </w:r>
            <w:proofErr w:type="spellEnd"/>
            <w:r>
              <w:rPr>
                <w:rFonts w:ascii="Arial" w:hAnsi="Arial"/>
                <w:color w:val="000000" w:themeColor="text1"/>
                <w:sz w:val="18"/>
                <w:szCs w:val="18"/>
              </w:rPr>
              <w:t xml:space="preserve"> office REIT AG </w:t>
            </w:r>
          </w:p>
        </w:tc>
        <w:tc>
          <w:tcPr>
            <w:tcW w:w="1134" w:type="dxa"/>
            <w:shd w:val="clear" w:color="auto" w:fill="FFFFFF" w:themeFill="background1"/>
            <w:vAlign w:val="center"/>
          </w:tcPr>
          <w:p w14:paraId="7FE2145B" w14:textId="77777777" w:rsidR="00A0406F" w:rsidRPr="00CA462D" w:rsidRDefault="00A0406F" w:rsidP="00D753BA">
            <w:pPr>
              <w:widowControl w:val="0"/>
              <w:spacing w:after="0"/>
              <w:jc w:val="right"/>
              <w:rPr>
                <w:rFonts w:ascii="Arial" w:hAnsi="Arial" w:cs="Arial"/>
                <w:color w:val="000000" w:themeColor="text1"/>
                <w:sz w:val="18"/>
                <w:szCs w:val="18"/>
              </w:rPr>
            </w:pPr>
            <w:r>
              <w:rPr>
                <w:rFonts w:ascii="Arial" w:hAnsi="Arial"/>
                <w:color w:val="000000" w:themeColor="text1"/>
                <w:sz w:val="18"/>
                <w:szCs w:val="18"/>
              </w:rPr>
              <w:t>1,500</w:t>
            </w:r>
          </w:p>
        </w:tc>
      </w:tr>
      <w:tr w:rsidR="00A0406F" w:rsidRPr="00F2414C" w14:paraId="6493C240" w14:textId="77777777" w:rsidTr="00A0406F">
        <w:trPr>
          <w:trHeight w:val="567"/>
        </w:trPr>
        <w:tc>
          <w:tcPr>
            <w:tcW w:w="2547" w:type="dxa"/>
            <w:shd w:val="clear" w:color="auto" w:fill="BFBFBF" w:themeFill="background1" w:themeFillShade="BF"/>
            <w:vAlign w:val="center"/>
          </w:tcPr>
          <w:p w14:paraId="1E118F5A" w14:textId="115BB5BB" w:rsidR="00A0406F" w:rsidRDefault="00A0406F" w:rsidP="00D753BA">
            <w:pPr>
              <w:widowControl w:val="0"/>
              <w:spacing w:after="0"/>
              <w:rPr>
                <w:rFonts w:ascii="Arial" w:hAnsi="Arial" w:cs="Arial"/>
                <w:color w:val="000000" w:themeColor="text1"/>
                <w:sz w:val="18"/>
                <w:szCs w:val="18"/>
              </w:rPr>
            </w:pPr>
            <w:r>
              <w:rPr>
                <w:rFonts w:ascii="Arial" w:hAnsi="Arial"/>
                <w:color w:val="000000" w:themeColor="text1"/>
                <w:sz w:val="18"/>
                <w:szCs w:val="18"/>
              </w:rPr>
              <w:t>“</w:t>
            </w:r>
            <w:proofErr w:type="spellStart"/>
            <w:r>
              <w:rPr>
                <w:rFonts w:ascii="Arial" w:hAnsi="Arial"/>
                <w:color w:val="000000" w:themeColor="text1"/>
                <w:sz w:val="18"/>
                <w:szCs w:val="18"/>
              </w:rPr>
              <w:t>Altes</w:t>
            </w:r>
            <w:proofErr w:type="spellEnd"/>
            <w:r>
              <w:rPr>
                <w:rFonts w:ascii="Arial" w:hAnsi="Arial"/>
                <w:color w:val="000000" w:themeColor="text1"/>
                <w:sz w:val="18"/>
                <w:szCs w:val="18"/>
              </w:rPr>
              <w:t xml:space="preserve"> </w:t>
            </w:r>
            <w:proofErr w:type="spellStart"/>
            <w:r>
              <w:rPr>
                <w:rFonts w:ascii="Arial" w:hAnsi="Arial"/>
                <w:color w:val="000000" w:themeColor="text1"/>
                <w:sz w:val="18"/>
                <w:szCs w:val="18"/>
              </w:rPr>
              <w:t>Fernmeldeamt</w:t>
            </w:r>
            <w:proofErr w:type="spellEnd"/>
            <w:r>
              <w:rPr>
                <w:rFonts w:ascii="Arial" w:hAnsi="Arial"/>
                <w:color w:val="000000" w:themeColor="text1"/>
                <w:sz w:val="18"/>
                <w:szCs w:val="18"/>
              </w:rPr>
              <w:t>”</w:t>
            </w:r>
          </w:p>
        </w:tc>
        <w:tc>
          <w:tcPr>
            <w:tcW w:w="1276" w:type="dxa"/>
            <w:shd w:val="clear" w:color="auto" w:fill="BFBFBF" w:themeFill="background1" w:themeFillShade="BF"/>
            <w:vAlign w:val="center"/>
          </w:tcPr>
          <w:p w14:paraId="22B54065" w14:textId="1636F5F0" w:rsidR="00A0406F" w:rsidRDefault="00A0406F" w:rsidP="00D753BA">
            <w:pPr>
              <w:widowControl w:val="0"/>
              <w:spacing w:after="0"/>
              <w:rPr>
                <w:rFonts w:ascii="Arial" w:hAnsi="Arial" w:cs="Arial"/>
                <w:color w:val="000000" w:themeColor="text1"/>
                <w:sz w:val="18"/>
                <w:szCs w:val="18"/>
              </w:rPr>
            </w:pPr>
            <w:proofErr w:type="spellStart"/>
            <w:r>
              <w:rPr>
                <w:rFonts w:ascii="Arial" w:hAnsi="Arial"/>
                <w:color w:val="000000" w:themeColor="text1"/>
                <w:sz w:val="18"/>
                <w:szCs w:val="18"/>
              </w:rPr>
              <w:t>Alster</w:t>
            </w:r>
            <w:proofErr w:type="spellEnd"/>
            <w:r>
              <w:rPr>
                <w:rFonts w:ascii="Arial" w:hAnsi="Arial"/>
                <w:color w:val="000000" w:themeColor="text1"/>
                <w:sz w:val="18"/>
                <w:szCs w:val="18"/>
              </w:rPr>
              <w:t xml:space="preserve"> West</w:t>
            </w:r>
          </w:p>
        </w:tc>
        <w:tc>
          <w:tcPr>
            <w:tcW w:w="1275" w:type="dxa"/>
            <w:shd w:val="clear" w:color="auto" w:fill="BFBFBF" w:themeFill="background1" w:themeFillShade="BF"/>
            <w:vAlign w:val="center"/>
          </w:tcPr>
          <w:p w14:paraId="1E742E39" w14:textId="1CC9A7B9" w:rsidR="00A0406F" w:rsidRDefault="00A0406F" w:rsidP="00D753BA">
            <w:pPr>
              <w:widowControl w:val="0"/>
              <w:spacing w:after="0"/>
              <w:rPr>
                <w:rFonts w:ascii="Arial" w:hAnsi="Arial" w:cs="Arial"/>
                <w:color w:val="000000" w:themeColor="text1"/>
                <w:sz w:val="18"/>
                <w:szCs w:val="18"/>
              </w:rPr>
            </w:pPr>
            <w:r>
              <w:rPr>
                <w:rFonts w:ascii="Arial" w:hAnsi="Arial"/>
                <w:color w:val="000000" w:themeColor="text1"/>
                <w:sz w:val="18"/>
                <w:szCs w:val="18"/>
              </w:rPr>
              <w:t>Offices</w:t>
            </w:r>
          </w:p>
        </w:tc>
        <w:tc>
          <w:tcPr>
            <w:tcW w:w="1701" w:type="dxa"/>
            <w:shd w:val="clear" w:color="auto" w:fill="BFBFBF" w:themeFill="background1" w:themeFillShade="BF"/>
            <w:vAlign w:val="center"/>
          </w:tcPr>
          <w:p w14:paraId="6A1DF7C7" w14:textId="4BE75B55" w:rsidR="00A0406F" w:rsidRDefault="00A0406F" w:rsidP="00D753BA">
            <w:pPr>
              <w:widowControl w:val="0"/>
              <w:spacing w:after="0"/>
              <w:rPr>
                <w:rFonts w:ascii="Arial" w:hAnsi="Arial" w:cs="Arial"/>
                <w:color w:val="000000" w:themeColor="text1"/>
                <w:sz w:val="18"/>
                <w:szCs w:val="18"/>
              </w:rPr>
            </w:pPr>
            <w:r>
              <w:rPr>
                <w:rFonts w:ascii="Arial" w:hAnsi="Arial"/>
                <w:color w:val="000000" w:themeColor="text1"/>
                <w:sz w:val="18"/>
                <w:szCs w:val="18"/>
              </w:rPr>
              <w:t>Values Real Estate</w:t>
            </w:r>
          </w:p>
        </w:tc>
        <w:tc>
          <w:tcPr>
            <w:tcW w:w="1843" w:type="dxa"/>
            <w:shd w:val="clear" w:color="auto" w:fill="BFBFBF" w:themeFill="background1" w:themeFillShade="BF"/>
            <w:vAlign w:val="center"/>
          </w:tcPr>
          <w:p w14:paraId="1AB77A8B" w14:textId="3B76B759" w:rsidR="00A0406F" w:rsidRDefault="00A0406F" w:rsidP="00D753BA">
            <w:pPr>
              <w:widowControl w:val="0"/>
              <w:spacing w:after="0"/>
              <w:rPr>
                <w:rFonts w:ascii="Arial" w:hAnsi="Arial" w:cs="Arial"/>
                <w:color w:val="000000" w:themeColor="text1"/>
                <w:sz w:val="18"/>
                <w:szCs w:val="18"/>
              </w:rPr>
            </w:pPr>
            <w:proofErr w:type="spellStart"/>
            <w:r>
              <w:rPr>
                <w:rFonts w:ascii="Arial" w:hAnsi="Arial"/>
                <w:color w:val="000000" w:themeColor="text1"/>
                <w:sz w:val="18"/>
                <w:szCs w:val="18"/>
              </w:rPr>
              <w:t>Peakside</w:t>
            </w:r>
            <w:proofErr w:type="spellEnd"/>
            <w:r>
              <w:rPr>
                <w:rFonts w:ascii="Arial" w:hAnsi="Arial"/>
                <w:color w:val="000000" w:themeColor="text1"/>
                <w:sz w:val="18"/>
                <w:szCs w:val="18"/>
              </w:rPr>
              <w:t xml:space="preserve"> Capital</w:t>
            </w:r>
          </w:p>
        </w:tc>
        <w:tc>
          <w:tcPr>
            <w:tcW w:w="1134" w:type="dxa"/>
            <w:shd w:val="clear" w:color="auto" w:fill="BFBFBF" w:themeFill="background1" w:themeFillShade="BF"/>
            <w:vAlign w:val="center"/>
          </w:tcPr>
          <w:p w14:paraId="0BE4D388" w14:textId="79F45C1A" w:rsidR="00A0406F" w:rsidRPr="006D5F37" w:rsidRDefault="00A0406F" w:rsidP="00D753BA">
            <w:pPr>
              <w:widowControl w:val="0"/>
              <w:spacing w:after="0"/>
              <w:jc w:val="right"/>
              <w:rPr>
                <w:rFonts w:ascii="Arial" w:hAnsi="Arial" w:cs="Arial"/>
                <w:color w:val="000000" w:themeColor="text1"/>
                <w:sz w:val="18"/>
                <w:szCs w:val="18"/>
              </w:rPr>
            </w:pPr>
            <w:r>
              <w:rPr>
                <w:rFonts w:ascii="Arial" w:hAnsi="Arial"/>
                <w:color w:val="000000" w:themeColor="text1"/>
                <w:sz w:val="18"/>
                <w:szCs w:val="18"/>
              </w:rPr>
              <w:t>400</w:t>
            </w:r>
          </w:p>
        </w:tc>
      </w:tr>
      <w:tr w:rsidR="00A0406F" w:rsidRPr="00F2414C" w14:paraId="644BC505" w14:textId="77777777" w:rsidTr="00A0406F">
        <w:trPr>
          <w:trHeight w:val="567"/>
        </w:trPr>
        <w:tc>
          <w:tcPr>
            <w:tcW w:w="2547" w:type="dxa"/>
            <w:shd w:val="clear" w:color="auto" w:fill="BFBFBF" w:themeFill="background1" w:themeFillShade="BF"/>
            <w:vAlign w:val="center"/>
          </w:tcPr>
          <w:p w14:paraId="2AC635F6" w14:textId="4E941656" w:rsidR="00A0406F" w:rsidRDefault="00A0406F" w:rsidP="00D753BA">
            <w:pPr>
              <w:widowControl w:val="0"/>
              <w:spacing w:after="0"/>
              <w:rPr>
                <w:rFonts w:ascii="Arial" w:hAnsi="Arial" w:cs="Arial"/>
                <w:color w:val="000000" w:themeColor="text1"/>
                <w:sz w:val="18"/>
                <w:szCs w:val="18"/>
              </w:rPr>
            </w:pPr>
            <w:r>
              <w:rPr>
                <w:rFonts w:ascii="Arial" w:hAnsi="Arial"/>
                <w:color w:val="000000" w:themeColor="text1"/>
                <w:sz w:val="18"/>
                <w:szCs w:val="18"/>
              </w:rPr>
              <w:t>“</w:t>
            </w:r>
            <w:proofErr w:type="spellStart"/>
            <w:r>
              <w:rPr>
                <w:rFonts w:ascii="Arial" w:hAnsi="Arial"/>
                <w:color w:val="000000" w:themeColor="text1"/>
                <w:sz w:val="18"/>
                <w:szCs w:val="18"/>
              </w:rPr>
              <w:t>Elbtower</w:t>
            </w:r>
            <w:proofErr w:type="spellEnd"/>
            <w:r>
              <w:rPr>
                <w:rFonts w:ascii="Arial" w:hAnsi="Arial"/>
                <w:color w:val="000000" w:themeColor="text1"/>
                <w:sz w:val="18"/>
                <w:szCs w:val="18"/>
              </w:rPr>
              <w:t>” (25 %)</w:t>
            </w:r>
          </w:p>
        </w:tc>
        <w:tc>
          <w:tcPr>
            <w:tcW w:w="1276" w:type="dxa"/>
            <w:shd w:val="clear" w:color="auto" w:fill="BFBFBF" w:themeFill="background1" w:themeFillShade="BF"/>
            <w:vAlign w:val="center"/>
          </w:tcPr>
          <w:p w14:paraId="1110E6C0" w14:textId="77AB5559" w:rsidR="00A0406F" w:rsidRDefault="00A0406F" w:rsidP="00D753BA">
            <w:pPr>
              <w:widowControl w:val="0"/>
              <w:spacing w:after="0"/>
              <w:rPr>
                <w:rFonts w:ascii="Arial" w:hAnsi="Arial" w:cs="Arial"/>
                <w:color w:val="000000" w:themeColor="text1"/>
                <w:sz w:val="18"/>
                <w:szCs w:val="18"/>
              </w:rPr>
            </w:pPr>
            <w:r>
              <w:rPr>
                <w:rFonts w:ascii="Arial" w:hAnsi="Arial"/>
                <w:color w:val="000000" w:themeColor="text1"/>
                <w:sz w:val="18"/>
                <w:szCs w:val="18"/>
              </w:rPr>
              <w:t>HafenCity</w:t>
            </w:r>
          </w:p>
        </w:tc>
        <w:tc>
          <w:tcPr>
            <w:tcW w:w="1275" w:type="dxa"/>
            <w:shd w:val="clear" w:color="auto" w:fill="BFBFBF" w:themeFill="background1" w:themeFillShade="BF"/>
            <w:vAlign w:val="center"/>
          </w:tcPr>
          <w:p w14:paraId="5071190F" w14:textId="378668C6" w:rsidR="00A0406F" w:rsidRDefault="00A0406F" w:rsidP="00D753BA">
            <w:pPr>
              <w:widowControl w:val="0"/>
              <w:spacing w:after="0"/>
              <w:rPr>
                <w:rFonts w:ascii="Arial" w:hAnsi="Arial" w:cs="Arial"/>
                <w:color w:val="000000" w:themeColor="text1"/>
                <w:sz w:val="18"/>
                <w:szCs w:val="18"/>
              </w:rPr>
            </w:pPr>
            <w:r>
              <w:rPr>
                <w:rFonts w:ascii="Arial" w:hAnsi="Arial"/>
                <w:color w:val="000000" w:themeColor="text1"/>
                <w:sz w:val="18"/>
                <w:szCs w:val="18"/>
              </w:rPr>
              <w:t>Offices</w:t>
            </w:r>
          </w:p>
        </w:tc>
        <w:tc>
          <w:tcPr>
            <w:tcW w:w="1701" w:type="dxa"/>
            <w:shd w:val="clear" w:color="auto" w:fill="BFBFBF" w:themeFill="background1" w:themeFillShade="BF"/>
            <w:vAlign w:val="center"/>
          </w:tcPr>
          <w:p w14:paraId="1DDB2EF7" w14:textId="7333389E" w:rsidR="00A0406F" w:rsidRDefault="00A0406F" w:rsidP="00D753BA">
            <w:pPr>
              <w:widowControl w:val="0"/>
              <w:spacing w:after="0"/>
              <w:rPr>
                <w:rFonts w:ascii="Arial" w:hAnsi="Arial" w:cs="Arial"/>
                <w:color w:val="000000" w:themeColor="text1"/>
                <w:sz w:val="18"/>
                <w:szCs w:val="18"/>
              </w:rPr>
            </w:pPr>
            <w:proofErr w:type="spellStart"/>
            <w:r>
              <w:rPr>
                <w:rFonts w:ascii="Arial" w:hAnsi="Arial"/>
                <w:color w:val="000000" w:themeColor="text1"/>
                <w:sz w:val="18"/>
                <w:szCs w:val="18"/>
              </w:rPr>
              <w:t>Commerz</w:t>
            </w:r>
            <w:proofErr w:type="spellEnd"/>
            <w:r>
              <w:rPr>
                <w:rFonts w:ascii="Arial" w:hAnsi="Arial"/>
                <w:color w:val="000000" w:themeColor="text1"/>
                <w:sz w:val="18"/>
                <w:szCs w:val="18"/>
              </w:rPr>
              <w:t xml:space="preserve"> Real </w:t>
            </w:r>
          </w:p>
        </w:tc>
        <w:tc>
          <w:tcPr>
            <w:tcW w:w="1843" w:type="dxa"/>
            <w:shd w:val="clear" w:color="auto" w:fill="BFBFBF" w:themeFill="background1" w:themeFillShade="BF"/>
            <w:vAlign w:val="center"/>
          </w:tcPr>
          <w:p w14:paraId="7CA57D63" w14:textId="587770D6" w:rsidR="00A0406F" w:rsidRDefault="00A0406F" w:rsidP="00D753BA">
            <w:pPr>
              <w:widowControl w:val="0"/>
              <w:spacing w:after="0"/>
              <w:rPr>
                <w:rFonts w:ascii="Arial" w:hAnsi="Arial" w:cs="Arial"/>
                <w:color w:val="000000" w:themeColor="text1"/>
                <w:sz w:val="18"/>
                <w:szCs w:val="18"/>
              </w:rPr>
            </w:pPr>
            <w:proofErr w:type="spellStart"/>
            <w:r>
              <w:rPr>
                <w:rFonts w:ascii="Arial" w:hAnsi="Arial"/>
                <w:color w:val="000000" w:themeColor="text1"/>
                <w:sz w:val="18"/>
                <w:szCs w:val="18"/>
              </w:rPr>
              <w:t>Signa</w:t>
            </w:r>
            <w:proofErr w:type="spellEnd"/>
            <w:r>
              <w:rPr>
                <w:rFonts w:ascii="Arial" w:hAnsi="Arial"/>
                <w:color w:val="000000" w:themeColor="text1"/>
                <w:sz w:val="18"/>
                <w:szCs w:val="18"/>
              </w:rPr>
              <w:t xml:space="preserve"> Holding</w:t>
            </w:r>
          </w:p>
        </w:tc>
        <w:tc>
          <w:tcPr>
            <w:tcW w:w="1134" w:type="dxa"/>
            <w:shd w:val="clear" w:color="auto" w:fill="BFBFBF" w:themeFill="background1" w:themeFillShade="BF"/>
            <w:vAlign w:val="center"/>
          </w:tcPr>
          <w:p w14:paraId="73C83FFD" w14:textId="537F1EA5" w:rsidR="00A0406F" w:rsidRPr="006D5F37" w:rsidRDefault="00A0406F" w:rsidP="00D753BA">
            <w:pPr>
              <w:widowControl w:val="0"/>
              <w:spacing w:after="0"/>
              <w:jc w:val="right"/>
              <w:rPr>
                <w:rFonts w:ascii="Arial" w:hAnsi="Arial" w:cs="Arial"/>
                <w:color w:val="000000" w:themeColor="text1"/>
                <w:sz w:val="18"/>
                <w:szCs w:val="18"/>
              </w:rPr>
            </w:pPr>
            <w:r>
              <w:rPr>
                <w:rFonts w:ascii="Arial" w:hAnsi="Arial"/>
                <w:color w:val="000000" w:themeColor="text1"/>
                <w:sz w:val="18"/>
                <w:szCs w:val="18"/>
              </w:rPr>
              <w:t>confidential</w:t>
            </w:r>
          </w:p>
        </w:tc>
      </w:tr>
      <w:tr w:rsidR="00A0406F" w:rsidRPr="00F2414C" w14:paraId="112CCBE0" w14:textId="77777777" w:rsidTr="00A0406F">
        <w:trPr>
          <w:trHeight w:val="567"/>
        </w:trPr>
        <w:tc>
          <w:tcPr>
            <w:tcW w:w="2547" w:type="dxa"/>
            <w:shd w:val="clear" w:color="auto" w:fill="auto"/>
            <w:vAlign w:val="center"/>
          </w:tcPr>
          <w:p w14:paraId="24449236" w14:textId="77777777" w:rsidR="00A0406F" w:rsidRDefault="00A0406F" w:rsidP="00D753BA">
            <w:pPr>
              <w:widowControl w:val="0"/>
              <w:spacing w:after="0"/>
              <w:rPr>
                <w:rFonts w:ascii="Arial" w:hAnsi="Arial" w:cs="Arial"/>
                <w:color w:val="000000" w:themeColor="text1"/>
                <w:sz w:val="18"/>
                <w:szCs w:val="18"/>
              </w:rPr>
            </w:pPr>
            <w:r>
              <w:rPr>
                <w:rFonts w:ascii="Arial" w:hAnsi="Arial"/>
                <w:color w:val="000000" w:themeColor="text1"/>
                <w:sz w:val="18"/>
                <w:szCs w:val="18"/>
              </w:rPr>
              <w:t>“</w:t>
            </w:r>
            <w:proofErr w:type="spellStart"/>
            <w:r>
              <w:rPr>
                <w:rFonts w:ascii="Arial" w:hAnsi="Arial"/>
                <w:color w:val="000000" w:themeColor="text1"/>
                <w:sz w:val="18"/>
                <w:szCs w:val="18"/>
              </w:rPr>
              <w:t>Klöpperhaus</w:t>
            </w:r>
            <w:proofErr w:type="spellEnd"/>
            <w:r>
              <w:rPr>
                <w:rFonts w:ascii="Arial" w:hAnsi="Arial"/>
                <w:color w:val="000000" w:themeColor="text1"/>
                <w:sz w:val="18"/>
                <w:szCs w:val="18"/>
              </w:rPr>
              <w:t>”</w:t>
            </w:r>
            <w:r>
              <w:rPr>
                <w:rFonts w:ascii="Arial" w:hAnsi="Arial"/>
                <w:color w:val="000000" w:themeColor="text1"/>
                <w:sz w:val="18"/>
                <w:szCs w:val="18"/>
              </w:rPr>
              <w:br/>
              <w:t xml:space="preserve">(formerly </w:t>
            </w:r>
            <w:proofErr w:type="spellStart"/>
            <w:r>
              <w:rPr>
                <w:rFonts w:ascii="Arial" w:hAnsi="Arial"/>
                <w:color w:val="000000" w:themeColor="text1"/>
                <w:sz w:val="18"/>
                <w:szCs w:val="18"/>
              </w:rPr>
              <w:t>Galeria</w:t>
            </w:r>
            <w:proofErr w:type="spellEnd"/>
            <w:r>
              <w:rPr>
                <w:rFonts w:ascii="Arial" w:hAnsi="Arial"/>
                <w:color w:val="000000" w:themeColor="text1"/>
                <w:sz w:val="18"/>
                <w:szCs w:val="18"/>
              </w:rPr>
              <w:t xml:space="preserve"> </w:t>
            </w:r>
            <w:proofErr w:type="spellStart"/>
            <w:r>
              <w:rPr>
                <w:rFonts w:ascii="Arial" w:hAnsi="Arial"/>
                <w:color w:val="000000" w:themeColor="text1"/>
                <w:sz w:val="18"/>
                <w:szCs w:val="18"/>
              </w:rPr>
              <w:t>Kaufhof</w:t>
            </w:r>
            <w:proofErr w:type="spellEnd"/>
            <w:r>
              <w:rPr>
                <w:rFonts w:ascii="Arial" w:hAnsi="Arial"/>
                <w:color w:val="000000" w:themeColor="text1"/>
                <w:sz w:val="18"/>
                <w:szCs w:val="18"/>
              </w:rPr>
              <w:t>)</w:t>
            </w:r>
          </w:p>
        </w:tc>
        <w:tc>
          <w:tcPr>
            <w:tcW w:w="1276" w:type="dxa"/>
            <w:shd w:val="clear" w:color="auto" w:fill="auto"/>
            <w:vAlign w:val="center"/>
          </w:tcPr>
          <w:p w14:paraId="75A9E4C0" w14:textId="77777777" w:rsidR="00A0406F" w:rsidRDefault="00A0406F" w:rsidP="00D753BA">
            <w:pPr>
              <w:widowControl w:val="0"/>
              <w:spacing w:after="0"/>
              <w:rPr>
                <w:rFonts w:ascii="Arial" w:hAnsi="Arial" w:cs="Arial"/>
                <w:color w:val="000000" w:themeColor="text1"/>
                <w:sz w:val="18"/>
                <w:szCs w:val="18"/>
              </w:rPr>
            </w:pPr>
            <w:r>
              <w:rPr>
                <w:rFonts w:ascii="Arial" w:hAnsi="Arial"/>
                <w:color w:val="000000" w:themeColor="text1"/>
                <w:sz w:val="18"/>
                <w:szCs w:val="18"/>
              </w:rPr>
              <w:t>City</w:t>
            </w:r>
          </w:p>
        </w:tc>
        <w:tc>
          <w:tcPr>
            <w:tcW w:w="1275" w:type="dxa"/>
            <w:shd w:val="clear" w:color="auto" w:fill="auto"/>
            <w:vAlign w:val="center"/>
          </w:tcPr>
          <w:p w14:paraId="11B9905D" w14:textId="77777777" w:rsidR="00A0406F" w:rsidRDefault="00A0406F" w:rsidP="00D753BA">
            <w:pPr>
              <w:widowControl w:val="0"/>
              <w:spacing w:after="0"/>
              <w:rPr>
                <w:rFonts w:ascii="Arial" w:hAnsi="Arial" w:cs="Arial"/>
                <w:color w:val="000000" w:themeColor="text1"/>
                <w:sz w:val="18"/>
                <w:szCs w:val="18"/>
              </w:rPr>
            </w:pPr>
            <w:r>
              <w:rPr>
                <w:rFonts w:ascii="Arial" w:hAnsi="Arial"/>
                <w:color w:val="000000" w:themeColor="text1"/>
                <w:sz w:val="18"/>
                <w:szCs w:val="18"/>
              </w:rPr>
              <w:t>Retail</w:t>
            </w:r>
          </w:p>
        </w:tc>
        <w:tc>
          <w:tcPr>
            <w:tcW w:w="1701" w:type="dxa"/>
            <w:shd w:val="clear" w:color="auto" w:fill="auto"/>
            <w:vAlign w:val="center"/>
          </w:tcPr>
          <w:p w14:paraId="16E407F2" w14:textId="77777777" w:rsidR="00A0406F" w:rsidRDefault="00A0406F" w:rsidP="00D753BA">
            <w:pPr>
              <w:widowControl w:val="0"/>
              <w:spacing w:after="0"/>
              <w:rPr>
                <w:rFonts w:ascii="Arial" w:hAnsi="Arial" w:cs="Arial"/>
                <w:color w:val="000000" w:themeColor="text1"/>
                <w:sz w:val="18"/>
                <w:szCs w:val="18"/>
              </w:rPr>
            </w:pPr>
            <w:proofErr w:type="spellStart"/>
            <w:r>
              <w:rPr>
                <w:rFonts w:ascii="Arial" w:hAnsi="Arial"/>
                <w:color w:val="000000" w:themeColor="text1"/>
                <w:sz w:val="18"/>
                <w:szCs w:val="18"/>
              </w:rPr>
              <w:t>Tishman</w:t>
            </w:r>
            <w:proofErr w:type="spellEnd"/>
            <w:r>
              <w:rPr>
                <w:rFonts w:ascii="Arial" w:hAnsi="Arial"/>
                <w:color w:val="000000" w:themeColor="text1"/>
                <w:sz w:val="18"/>
                <w:szCs w:val="18"/>
              </w:rPr>
              <w:t xml:space="preserve"> Speyer</w:t>
            </w:r>
          </w:p>
        </w:tc>
        <w:tc>
          <w:tcPr>
            <w:tcW w:w="1843" w:type="dxa"/>
            <w:shd w:val="clear" w:color="auto" w:fill="auto"/>
            <w:vAlign w:val="center"/>
          </w:tcPr>
          <w:p w14:paraId="45117F51" w14:textId="77777777" w:rsidR="00A0406F" w:rsidRPr="00E347F2" w:rsidRDefault="00A0406F" w:rsidP="00D753BA">
            <w:pPr>
              <w:widowControl w:val="0"/>
              <w:spacing w:after="0"/>
              <w:rPr>
                <w:rFonts w:ascii="Arial" w:hAnsi="Arial" w:cs="Arial"/>
                <w:color w:val="000000" w:themeColor="text1"/>
                <w:sz w:val="18"/>
                <w:szCs w:val="18"/>
              </w:rPr>
            </w:pPr>
            <w:proofErr w:type="spellStart"/>
            <w:r>
              <w:rPr>
                <w:rFonts w:ascii="Arial" w:hAnsi="Arial"/>
                <w:color w:val="000000" w:themeColor="text1"/>
                <w:sz w:val="18"/>
                <w:szCs w:val="18"/>
              </w:rPr>
              <w:t>Württembergische</w:t>
            </w:r>
            <w:proofErr w:type="spellEnd"/>
            <w:r>
              <w:rPr>
                <w:rFonts w:ascii="Arial" w:hAnsi="Arial"/>
                <w:color w:val="000000" w:themeColor="text1"/>
                <w:sz w:val="18"/>
                <w:szCs w:val="18"/>
              </w:rPr>
              <w:t xml:space="preserve"> </w:t>
            </w:r>
            <w:proofErr w:type="spellStart"/>
            <w:r>
              <w:rPr>
                <w:rFonts w:ascii="Arial" w:hAnsi="Arial"/>
                <w:color w:val="000000" w:themeColor="text1"/>
                <w:sz w:val="18"/>
                <w:szCs w:val="18"/>
              </w:rPr>
              <w:t>Lebensversicherung</w:t>
            </w:r>
            <w:proofErr w:type="spellEnd"/>
            <w:r>
              <w:rPr>
                <w:rFonts w:ascii="Arial" w:hAnsi="Arial"/>
                <w:color w:val="000000" w:themeColor="text1"/>
                <w:sz w:val="18"/>
                <w:szCs w:val="18"/>
              </w:rPr>
              <w:t xml:space="preserve"> (insurance co.)</w:t>
            </w:r>
          </w:p>
        </w:tc>
        <w:tc>
          <w:tcPr>
            <w:tcW w:w="1134" w:type="dxa"/>
            <w:shd w:val="clear" w:color="auto" w:fill="auto"/>
            <w:vAlign w:val="center"/>
          </w:tcPr>
          <w:p w14:paraId="4B4E2D4D" w14:textId="77777777" w:rsidR="00A0406F" w:rsidRDefault="00A0406F" w:rsidP="00D753BA">
            <w:pPr>
              <w:widowControl w:val="0"/>
              <w:spacing w:after="0"/>
              <w:jc w:val="right"/>
              <w:rPr>
                <w:rFonts w:ascii="Arial" w:hAnsi="Arial" w:cs="Arial"/>
                <w:color w:val="000000" w:themeColor="text1"/>
                <w:sz w:val="18"/>
                <w:szCs w:val="18"/>
              </w:rPr>
            </w:pPr>
            <w:r>
              <w:rPr>
                <w:rFonts w:ascii="Arial" w:hAnsi="Arial"/>
                <w:color w:val="000000" w:themeColor="text1"/>
                <w:sz w:val="18"/>
                <w:szCs w:val="18"/>
              </w:rPr>
              <w:t>±160</w:t>
            </w:r>
          </w:p>
        </w:tc>
      </w:tr>
      <w:tr w:rsidR="00A0406F" w:rsidRPr="00F2414C" w14:paraId="24855084" w14:textId="77777777" w:rsidTr="00EF2759">
        <w:trPr>
          <w:trHeight w:val="567"/>
        </w:trPr>
        <w:tc>
          <w:tcPr>
            <w:tcW w:w="2547" w:type="dxa"/>
            <w:shd w:val="clear" w:color="auto" w:fill="BFBFBF" w:themeFill="background1" w:themeFillShade="BF"/>
            <w:vAlign w:val="center"/>
          </w:tcPr>
          <w:p w14:paraId="4C68CBF4" w14:textId="151A92D6" w:rsidR="00A0406F" w:rsidRDefault="00EF2759" w:rsidP="00D753BA">
            <w:pPr>
              <w:widowControl w:val="0"/>
              <w:spacing w:after="0"/>
              <w:rPr>
                <w:rFonts w:ascii="Arial" w:hAnsi="Arial" w:cs="Arial"/>
                <w:color w:val="000000" w:themeColor="text1"/>
                <w:sz w:val="18"/>
                <w:szCs w:val="18"/>
              </w:rPr>
            </w:pPr>
            <w:r>
              <w:rPr>
                <w:rFonts w:ascii="Arial" w:hAnsi="Arial"/>
                <w:color w:val="000000" w:themeColor="text1"/>
                <w:sz w:val="18"/>
                <w:szCs w:val="18"/>
              </w:rPr>
              <w:t>“</w:t>
            </w:r>
            <w:proofErr w:type="spellStart"/>
            <w:r>
              <w:rPr>
                <w:rFonts w:ascii="Arial" w:hAnsi="Arial"/>
                <w:color w:val="000000" w:themeColor="text1"/>
                <w:sz w:val="18"/>
                <w:szCs w:val="18"/>
              </w:rPr>
              <w:t>ConneXion</w:t>
            </w:r>
            <w:proofErr w:type="spellEnd"/>
            <w:r>
              <w:rPr>
                <w:rFonts w:ascii="Arial" w:hAnsi="Arial"/>
                <w:color w:val="000000" w:themeColor="text1"/>
                <w:sz w:val="18"/>
                <w:szCs w:val="18"/>
              </w:rPr>
              <w:t xml:space="preserve"> Office”</w:t>
            </w:r>
          </w:p>
        </w:tc>
        <w:tc>
          <w:tcPr>
            <w:tcW w:w="1276" w:type="dxa"/>
            <w:shd w:val="clear" w:color="auto" w:fill="BFBFBF" w:themeFill="background1" w:themeFillShade="BF"/>
            <w:vAlign w:val="center"/>
          </w:tcPr>
          <w:p w14:paraId="6B6522E2" w14:textId="37940FC7" w:rsidR="00A0406F" w:rsidRDefault="00EF2759" w:rsidP="00D753BA">
            <w:pPr>
              <w:widowControl w:val="0"/>
              <w:spacing w:after="0"/>
              <w:rPr>
                <w:rFonts w:ascii="Arial" w:hAnsi="Arial" w:cs="Arial"/>
                <w:color w:val="000000" w:themeColor="text1"/>
                <w:sz w:val="18"/>
                <w:szCs w:val="18"/>
              </w:rPr>
            </w:pPr>
            <w:r>
              <w:rPr>
                <w:rFonts w:ascii="Arial" w:hAnsi="Arial"/>
                <w:color w:val="000000" w:themeColor="text1"/>
                <w:sz w:val="18"/>
                <w:szCs w:val="18"/>
              </w:rPr>
              <w:t>City</w:t>
            </w:r>
          </w:p>
        </w:tc>
        <w:tc>
          <w:tcPr>
            <w:tcW w:w="1275" w:type="dxa"/>
            <w:shd w:val="clear" w:color="auto" w:fill="BFBFBF" w:themeFill="background1" w:themeFillShade="BF"/>
            <w:vAlign w:val="center"/>
          </w:tcPr>
          <w:p w14:paraId="21F830BD" w14:textId="517BE198" w:rsidR="00A0406F" w:rsidRDefault="00EF2759" w:rsidP="00D753BA">
            <w:pPr>
              <w:widowControl w:val="0"/>
              <w:spacing w:after="0"/>
              <w:rPr>
                <w:rFonts w:ascii="Arial" w:hAnsi="Arial" w:cs="Arial"/>
                <w:color w:val="000000" w:themeColor="text1"/>
                <w:sz w:val="18"/>
                <w:szCs w:val="18"/>
              </w:rPr>
            </w:pPr>
            <w:r>
              <w:rPr>
                <w:rFonts w:ascii="Arial" w:hAnsi="Arial"/>
                <w:color w:val="000000" w:themeColor="text1"/>
                <w:sz w:val="18"/>
                <w:szCs w:val="18"/>
              </w:rPr>
              <w:t>Offices</w:t>
            </w:r>
          </w:p>
        </w:tc>
        <w:tc>
          <w:tcPr>
            <w:tcW w:w="1701" w:type="dxa"/>
            <w:shd w:val="clear" w:color="auto" w:fill="BFBFBF" w:themeFill="background1" w:themeFillShade="BF"/>
            <w:vAlign w:val="center"/>
          </w:tcPr>
          <w:p w14:paraId="49728738" w14:textId="5685A686" w:rsidR="00A0406F" w:rsidRPr="005524A3" w:rsidRDefault="00EF2759" w:rsidP="00D753BA">
            <w:pPr>
              <w:widowControl w:val="0"/>
              <w:spacing w:after="0"/>
              <w:rPr>
                <w:rFonts w:ascii="Arial" w:hAnsi="Arial" w:cs="Arial"/>
                <w:color w:val="000000" w:themeColor="text1"/>
                <w:sz w:val="18"/>
                <w:szCs w:val="18"/>
              </w:rPr>
            </w:pPr>
            <w:proofErr w:type="spellStart"/>
            <w:r>
              <w:rPr>
                <w:rFonts w:ascii="Arial" w:hAnsi="Arial"/>
                <w:color w:val="000000" w:themeColor="text1"/>
                <w:sz w:val="18"/>
                <w:szCs w:val="18"/>
              </w:rPr>
              <w:t>Erste</w:t>
            </w:r>
            <w:proofErr w:type="spellEnd"/>
            <w:r>
              <w:rPr>
                <w:rFonts w:ascii="Arial" w:hAnsi="Arial"/>
                <w:color w:val="000000" w:themeColor="text1"/>
                <w:sz w:val="18"/>
                <w:szCs w:val="18"/>
              </w:rPr>
              <w:t xml:space="preserve"> </w:t>
            </w:r>
            <w:proofErr w:type="spellStart"/>
            <w:r>
              <w:rPr>
                <w:rFonts w:ascii="Arial" w:hAnsi="Arial"/>
                <w:color w:val="000000" w:themeColor="text1"/>
                <w:sz w:val="18"/>
                <w:szCs w:val="18"/>
              </w:rPr>
              <w:t>Immobilien</w:t>
            </w:r>
            <w:proofErr w:type="spellEnd"/>
            <w:r>
              <w:rPr>
                <w:rFonts w:ascii="Arial" w:hAnsi="Arial"/>
                <w:color w:val="000000" w:themeColor="text1"/>
                <w:sz w:val="18"/>
                <w:szCs w:val="18"/>
              </w:rPr>
              <w:t xml:space="preserve"> KAG</w:t>
            </w:r>
          </w:p>
        </w:tc>
        <w:tc>
          <w:tcPr>
            <w:tcW w:w="1843" w:type="dxa"/>
            <w:shd w:val="clear" w:color="auto" w:fill="BFBFBF" w:themeFill="background1" w:themeFillShade="BF"/>
            <w:vAlign w:val="center"/>
          </w:tcPr>
          <w:p w14:paraId="49BA50E6" w14:textId="31ED3A02" w:rsidR="00A0406F" w:rsidRDefault="00EF2759" w:rsidP="00D753BA">
            <w:pPr>
              <w:widowControl w:val="0"/>
              <w:spacing w:after="0"/>
              <w:rPr>
                <w:rFonts w:ascii="Arial" w:hAnsi="Arial" w:cs="Arial"/>
                <w:color w:val="000000" w:themeColor="text1"/>
                <w:sz w:val="18"/>
                <w:szCs w:val="18"/>
              </w:rPr>
            </w:pPr>
            <w:proofErr w:type="spellStart"/>
            <w:r>
              <w:rPr>
                <w:rFonts w:ascii="Arial" w:hAnsi="Arial"/>
                <w:color w:val="000000" w:themeColor="text1"/>
                <w:sz w:val="18"/>
                <w:szCs w:val="18"/>
              </w:rPr>
              <w:t>Becken</w:t>
            </w:r>
            <w:proofErr w:type="spellEnd"/>
            <w:r>
              <w:rPr>
                <w:rFonts w:ascii="Arial" w:hAnsi="Arial"/>
                <w:color w:val="000000" w:themeColor="text1"/>
                <w:sz w:val="18"/>
                <w:szCs w:val="18"/>
              </w:rPr>
              <w:t xml:space="preserve"> Development</w:t>
            </w:r>
          </w:p>
        </w:tc>
        <w:tc>
          <w:tcPr>
            <w:tcW w:w="1134" w:type="dxa"/>
            <w:shd w:val="clear" w:color="auto" w:fill="BFBFBF" w:themeFill="background1" w:themeFillShade="BF"/>
            <w:vAlign w:val="center"/>
          </w:tcPr>
          <w:p w14:paraId="0BBE746E" w14:textId="47260EC0" w:rsidR="00A0406F" w:rsidRPr="006D5F37" w:rsidRDefault="00EF2759" w:rsidP="00EF2759">
            <w:pPr>
              <w:widowControl w:val="0"/>
              <w:spacing w:after="0"/>
              <w:jc w:val="right"/>
              <w:rPr>
                <w:rFonts w:ascii="Arial" w:hAnsi="Arial" w:cs="Arial"/>
                <w:color w:val="000000" w:themeColor="text1"/>
                <w:sz w:val="18"/>
                <w:szCs w:val="18"/>
              </w:rPr>
            </w:pPr>
            <w:r>
              <w:rPr>
                <w:rFonts w:ascii="Arial" w:hAnsi="Arial"/>
                <w:color w:val="000000" w:themeColor="text1"/>
                <w:sz w:val="18"/>
                <w:szCs w:val="18"/>
              </w:rPr>
              <w:t>±150</w:t>
            </w:r>
          </w:p>
        </w:tc>
      </w:tr>
      <w:tr w:rsidR="00A0406F" w:rsidRPr="00F2414C" w14:paraId="45704EC0" w14:textId="77777777" w:rsidTr="00A0406F">
        <w:trPr>
          <w:trHeight w:val="567"/>
        </w:trPr>
        <w:tc>
          <w:tcPr>
            <w:tcW w:w="2547" w:type="dxa"/>
            <w:shd w:val="clear" w:color="auto" w:fill="auto"/>
            <w:vAlign w:val="center"/>
          </w:tcPr>
          <w:p w14:paraId="7E960F3D" w14:textId="77777777" w:rsidR="00A0406F" w:rsidRDefault="00A0406F" w:rsidP="00D753BA">
            <w:pPr>
              <w:widowControl w:val="0"/>
              <w:spacing w:after="0"/>
              <w:rPr>
                <w:rFonts w:ascii="Arial" w:hAnsi="Arial" w:cs="Arial"/>
                <w:color w:val="000000" w:themeColor="text1"/>
                <w:sz w:val="18"/>
                <w:szCs w:val="18"/>
              </w:rPr>
            </w:pPr>
            <w:r>
              <w:rPr>
                <w:rFonts w:ascii="Arial" w:hAnsi="Arial"/>
                <w:color w:val="000000" w:themeColor="text1"/>
                <w:sz w:val="18"/>
                <w:szCs w:val="18"/>
              </w:rPr>
              <w:t xml:space="preserve">“EDGE </w:t>
            </w:r>
            <w:proofErr w:type="spellStart"/>
            <w:r>
              <w:rPr>
                <w:rFonts w:ascii="Arial" w:hAnsi="Arial"/>
                <w:color w:val="000000" w:themeColor="text1"/>
                <w:sz w:val="18"/>
                <w:szCs w:val="18"/>
              </w:rPr>
              <w:t>Elbside</w:t>
            </w:r>
            <w:proofErr w:type="spellEnd"/>
            <w:r>
              <w:rPr>
                <w:rFonts w:ascii="Arial" w:hAnsi="Arial"/>
                <w:color w:val="000000" w:themeColor="text1"/>
                <w:sz w:val="18"/>
                <w:szCs w:val="18"/>
              </w:rPr>
              <w:t>” (50 %)</w:t>
            </w:r>
          </w:p>
        </w:tc>
        <w:tc>
          <w:tcPr>
            <w:tcW w:w="1276" w:type="dxa"/>
            <w:shd w:val="clear" w:color="auto" w:fill="auto"/>
            <w:vAlign w:val="center"/>
          </w:tcPr>
          <w:p w14:paraId="5DD38035" w14:textId="77777777" w:rsidR="00A0406F" w:rsidRDefault="00A0406F" w:rsidP="00D753BA">
            <w:pPr>
              <w:widowControl w:val="0"/>
              <w:spacing w:after="0"/>
              <w:rPr>
                <w:rFonts w:ascii="Arial" w:hAnsi="Arial" w:cs="Arial"/>
                <w:color w:val="000000" w:themeColor="text1"/>
                <w:sz w:val="18"/>
                <w:szCs w:val="18"/>
              </w:rPr>
            </w:pPr>
            <w:r>
              <w:rPr>
                <w:rFonts w:ascii="Arial" w:hAnsi="Arial"/>
                <w:color w:val="000000" w:themeColor="text1"/>
                <w:sz w:val="18"/>
                <w:szCs w:val="18"/>
              </w:rPr>
              <w:t>HafenCity</w:t>
            </w:r>
          </w:p>
        </w:tc>
        <w:tc>
          <w:tcPr>
            <w:tcW w:w="1275" w:type="dxa"/>
            <w:shd w:val="clear" w:color="auto" w:fill="auto"/>
            <w:vAlign w:val="center"/>
          </w:tcPr>
          <w:p w14:paraId="15EA6492" w14:textId="77777777" w:rsidR="00A0406F" w:rsidRDefault="00A0406F" w:rsidP="00D753BA">
            <w:pPr>
              <w:widowControl w:val="0"/>
              <w:spacing w:after="0"/>
              <w:rPr>
                <w:rFonts w:ascii="Arial" w:hAnsi="Arial" w:cs="Arial"/>
                <w:color w:val="000000" w:themeColor="text1"/>
                <w:sz w:val="18"/>
                <w:szCs w:val="18"/>
              </w:rPr>
            </w:pPr>
            <w:r>
              <w:rPr>
                <w:rFonts w:ascii="Arial" w:hAnsi="Arial"/>
                <w:color w:val="000000" w:themeColor="text1"/>
                <w:sz w:val="18"/>
                <w:szCs w:val="18"/>
              </w:rPr>
              <w:t>Offices</w:t>
            </w:r>
          </w:p>
        </w:tc>
        <w:tc>
          <w:tcPr>
            <w:tcW w:w="1701" w:type="dxa"/>
            <w:shd w:val="clear" w:color="auto" w:fill="auto"/>
            <w:vAlign w:val="center"/>
          </w:tcPr>
          <w:p w14:paraId="5C20FD6B" w14:textId="77777777" w:rsidR="00A0406F" w:rsidRPr="005524A3" w:rsidRDefault="00A0406F" w:rsidP="00D753BA">
            <w:pPr>
              <w:widowControl w:val="0"/>
              <w:spacing w:after="0"/>
              <w:rPr>
                <w:rFonts w:ascii="Arial" w:hAnsi="Arial" w:cs="Arial"/>
                <w:color w:val="000000" w:themeColor="text1"/>
                <w:sz w:val="18"/>
                <w:szCs w:val="18"/>
              </w:rPr>
            </w:pPr>
            <w:proofErr w:type="spellStart"/>
            <w:r>
              <w:rPr>
                <w:rFonts w:ascii="Arial" w:hAnsi="Arial"/>
                <w:color w:val="000000" w:themeColor="text1"/>
                <w:sz w:val="18"/>
                <w:szCs w:val="18"/>
              </w:rPr>
              <w:t>Ampega</w:t>
            </w:r>
            <w:proofErr w:type="spellEnd"/>
            <w:r>
              <w:rPr>
                <w:rFonts w:ascii="Arial" w:hAnsi="Arial"/>
                <w:color w:val="000000" w:themeColor="text1"/>
                <w:sz w:val="18"/>
                <w:szCs w:val="18"/>
              </w:rPr>
              <w:t xml:space="preserve"> Asset Management </w:t>
            </w:r>
          </w:p>
        </w:tc>
        <w:tc>
          <w:tcPr>
            <w:tcW w:w="1843" w:type="dxa"/>
            <w:shd w:val="clear" w:color="auto" w:fill="auto"/>
            <w:vAlign w:val="center"/>
          </w:tcPr>
          <w:p w14:paraId="78A6DD8A" w14:textId="77777777" w:rsidR="00A0406F" w:rsidRPr="00E347F2" w:rsidRDefault="00A0406F" w:rsidP="00D753BA">
            <w:pPr>
              <w:widowControl w:val="0"/>
              <w:spacing w:after="0"/>
              <w:rPr>
                <w:rFonts w:ascii="Arial" w:hAnsi="Arial" w:cs="Arial"/>
                <w:color w:val="000000" w:themeColor="text1"/>
                <w:sz w:val="18"/>
                <w:szCs w:val="18"/>
              </w:rPr>
            </w:pPr>
            <w:proofErr w:type="spellStart"/>
            <w:r>
              <w:rPr>
                <w:rFonts w:ascii="Arial" w:hAnsi="Arial"/>
                <w:color w:val="000000" w:themeColor="text1"/>
                <w:sz w:val="18"/>
                <w:szCs w:val="18"/>
              </w:rPr>
              <w:t>HanseMerkur</w:t>
            </w:r>
            <w:proofErr w:type="spellEnd"/>
            <w:r>
              <w:rPr>
                <w:rFonts w:ascii="Arial" w:hAnsi="Arial"/>
                <w:color w:val="000000" w:themeColor="text1"/>
                <w:sz w:val="18"/>
                <w:szCs w:val="18"/>
              </w:rPr>
              <w:t xml:space="preserve"> </w:t>
            </w:r>
            <w:proofErr w:type="spellStart"/>
            <w:r>
              <w:rPr>
                <w:rFonts w:ascii="Arial" w:hAnsi="Arial"/>
                <w:color w:val="000000" w:themeColor="text1"/>
                <w:sz w:val="18"/>
                <w:szCs w:val="18"/>
              </w:rPr>
              <w:t>Grundvermögen</w:t>
            </w:r>
            <w:proofErr w:type="spellEnd"/>
          </w:p>
        </w:tc>
        <w:tc>
          <w:tcPr>
            <w:tcW w:w="1134" w:type="dxa"/>
            <w:shd w:val="clear" w:color="auto" w:fill="auto"/>
            <w:vAlign w:val="center"/>
          </w:tcPr>
          <w:p w14:paraId="348DF803" w14:textId="77777777" w:rsidR="00A0406F" w:rsidRDefault="00A0406F" w:rsidP="00D753BA">
            <w:pPr>
              <w:widowControl w:val="0"/>
              <w:spacing w:after="0"/>
              <w:jc w:val="right"/>
              <w:rPr>
                <w:rFonts w:ascii="Arial" w:hAnsi="Arial" w:cs="Arial"/>
                <w:color w:val="000000" w:themeColor="text1"/>
                <w:sz w:val="18"/>
                <w:szCs w:val="18"/>
              </w:rPr>
            </w:pPr>
            <w:r>
              <w:rPr>
                <w:rFonts w:ascii="Arial" w:hAnsi="Arial"/>
                <w:color w:val="000000" w:themeColor="text1"/>
                <w:sz w:val="18"/>
                <w:szCs w:val="18"/>
              </w:rPr>
              <w:t>±100</w:t>
            </w:r>
          </w:p>
        </w:tc>
      </w:tr>
    </w:tbl>
    <w:p w14:paraId="38EB286B" w14:textId="35F5D291" w:rsidR="00C7341F" w:rsidRDefault="00C7341F" w:rsidP="00C7341F">
      <w:pPr>
        <w:widowControl w:val="0"/>
        <w:spacing w:after="0"/>
        <w:rPr>
          <w:rFonts w:ascii="Arial" w:hAnsi="Arial" w:cs="Arial"/>
          <w:sz w:val="16"/>
          <w:szCs w:val="16"/>
        </w:rPr>
      </w:pPr>
      <w:r>
        <w:rPr>
          <w:rFonts w:ascii="Arial" w:hAnsi="Arial"/>
          <w:sz w:val="16"/>
          <w:szCs w:val="16"/>
        </w:rPr>
        <w:t>* The purchase prices stated are based on publicly available data, where none is available an estimate is used instead</w:t>
      </w:r>
      <w:r w:rsidR="003165FD">
        <w:rPr>
          <w:rFonts w:ascii="Arial" w:hAnsi="Arial"/>
          <w:sz w:val="16"/>
          <w:szCs w:val="16"/>
        </w:rPr>
        <w:t>.</w:t>
      </w:r>
      <w:r>
        <w:rPr>
          <w:rFonts w:ascii="Arial" w:hAnsi="Arial"/>
          <w:sz w:val="16"/>
          <w:szCs w:val="16"/>
        </w:rPr>
        <w:t xml:space="preserve"> Transactions occurring in the quarter covered by this report are highlighted.</w:t>
      </w:r>
    </w:p>
    <w:p w14:paraId="307A702E" w14:textId="77777777" w:rsidR="00C7341F" w:rsidRDefault="00C7341F" w:rsidP="0090748B">
      <w:pPr>
        <w:spacing w:after="0" w:line="360" w:lineRule="auto"/>
        <w:textAlignment w:val="baseline"/>
        <w:rPr>
          <w:rFonts w:ascii="Arial" w:eastAsia="Arial" w:hAnsi="Arial" w:cs="Arial"/>
          <w:color w:val="000000" w:themeColor="text1"/>
          <w:sz w:val="20"/>
          <w:szCs w:val="20"/>
        </w:rPr>
      </w:pPr>
    </w:p>
    <w:p w14:paraId="642E7059" w14:textId="7CA433F7" w:rsidR="0090748B" w:rsidRPr="00A816C0" w:rsidRDefault="0090748B" w:rsidP="0090748B">
      <w:pPr>
        <w:spacing w:after="0" w:line="360" w:lineRule="auto"/>
        <w:textAlignment w:val="baseline"/>
        <w:rPr>
          <w:rFonts w:ascii="Arial" w:eastAsia="Arial" w:hAnsi="Arial" w:cs="Arial"/>
          <w:color w:val="000000" w:themeColor="text1"/>
          <w:sz w:val="16"/>
          <w:szCs w:val="16"/>
        </w:rPr>
      </w:pPr>
      <w:r w:rsidRPr="00A816C0">
        <w:rPr>
          <w:rFonts w:ascii="Arial" w:hAnsi="Arial" w:cs="Arial"/>
          <w:color w:val="000000" w:themeColor="text1"/>
          <w:sz w:val="16"/>
          <w:szCs w:val="16"/>
        </w:rPr>
        <w:t>The</w:t>
      </w:r>
      <w:r w:rsidR="00A816C0">
        <w:rPr>
          <w:rFonts w:ascii="Arial" w:hAnsi="Arial" w:cs="Arial"/>
          <w:color w:val="000000" w:themeColor="text1"/>
          <w:sz w:val="16"/>
          <w:szCs w:val="16"/>
        </w:rPr>
        <w:t xml:space="preserve"> </w:t>
      </w:r>
      <w:hyperlink r:id="rId9" w:history="1">
        <w:r w:rsidRPr="00A816C0">
          <w:rPr>
            <w:rStyle w:val="Hyperlink"/>
            <w:rFonts w:ascii="Arial" w:hAnsi="Arial" w:cs="Arial"/>
            <w:sz w:val="16"/>
            <w:szCs w:val="16"/>
          </w:rPr>
          <w:t>market survey property investment in Hamburg 2022/Q3</w:t>
        </w:r>
      </w:hyperlink>
      <w:r w:rsidRPr="00A816C0">
        <w:rPr>
          <w:rFonts w:ascii="Arial" w:hAnsi="Arial" w:cs="Arial"/>
          <w:color w:val="000000" w:themeColor="text1"/>
          <w:sz w:val="16"/>
          <w:szCs w:val="16"/>
        </w:rPr>
        <w:t xml:space="preserve"> will soon be available to download from our website.</w:t>
      </w:r>
    </w:p>
    <w:p w14:paraId="6498E5CA" w14:textId="77777777" w:rsidR="0090748B" w:rsidRDefault="0090748B" w:rsidP="000C770D">
      <w:pPr>
        <w:spacing w:after="0" w:line="360" w:lineRule="auto"/>
        <w:rPr>
          <w:rFonts w:ascii="Arial" w:hAnsi="Arial" w:cs="Arial"/>
          <w:sz w:val="20"/>
          <w:szCs w:val="20"/>
        </w:rPr>
      </w:pPr>
    </w:p>
    <w:p w14:paraId="439D6771" w14:textId="77777777" w:rsidR="00096E23" w:rsidRPr="0090748B" w:rsidRDefault="00096E23" w:rsidP="00096E23">
      <w:pPr>
        <w:spacing w:after="0" w:line="360" w:lineRule="auto"/>
        <w:rPr>
          <w:rFonts w:ascii="Arial" w:hAnsi="Arial" w:cs="Arial"/>
          <w:b/>
          <w:sz w:val="16"/>
          <w:szCs w:val="16"/>
        </w:rPr>
      </w:pPr>
      <w:r>
        <w:rPr>
          <w:rFonts w:ascii="Arial" w:hAnsi="Arial"/>
          <w:b/>
          <w:sz w:val="16"/>
          <w:szCs w:val="16"/>
        </w:rPr>
        <w:t>About Grossmann &amp; Berger</w:t>
      </w:r>
    </w:p>
    <w:p w14:paraId="08963923" w14:textId="77777777" w:rsidR="00096E23" w:rsidRPr="00521AA1" w:rsidRDefault="000B4583" w:rsidP="00096E23">
      <w:pPr>
        <w:spacing w:after="0" w:line="360" w:lineRule="auto"/>
        <w:rPr>
          <w:rFonts w:ascii="Arial" w:hAnsi="Arial" w:cs="Arial"/>
          <w:vanish/>
          <w:sz w:val="16"/>
          <w:szCs w:val="16"/>
          <w:specVanish/>
        </w:rPr>
      </w:pPr>
      <w:hyperlink r:id="rId10" w:history="1">
        <w:r w:rsidR="00096E23">
          <w:rPr>
            <w:rStyle w:val="Hyperlink"/>
            <w:rFonts w:ascii="Arial" w:hAnsi="Arial"/>
            <w:snapToGrid w:val="0"/>
            <w:sz w:val="16"/>
            <w:szCs w:val="16"/>
          </w:rPr>
          <w:t>Grossmann &amp; Berger GmbH</w:t>
        </w:r>
      </w:hyperlink>
      <w:r w:rsidR="00096E23">
        <w:rPr>
          <w:rFonts w:ascii="Arial" w:hAnsi="Arial"/>
          <w:snapToGrid w:val="0"/>
          <w:sz w:val="16"/>
          <w:szCs w:val="16"/>
        </w:rPr>
        <w:t xml:space="preserve"> is one of the leading service providers in the business of selling and letting commercial and residential properties in North Germany. Including its main office in Hamburg, the Company has 22 regional offices. This allows Grossmann &amp; Berger to cover the entire North German market. In May 2021 the company was augmented by </w:t>
      </w:r>
      <w:hyperlink r:id="rId11" w:history="1">
        <w:r w:rsidR="00096E23">
          <w:rPr>
            <w:rStyle w:val="Hyperlink"/>
            <w:rFonts w:ascii="Arial" w:hAnsi="Arial"/>
            <w:snapToGrid w:val="0"/>
            <w:sz w:val="16"/>
            <w:szCs w:val="16"/>
          </w:rPr>
          <w:t>E &amp; G Real Estate</w:t>
        </w:r>
      </w:hyperlink>
      <w:r w:rsidR="00096E23">
        <w:rPr>
          <w:rFonts w:ascii="Arial" w:hAnsi="Arial"/>
          <w:snapToGrid w:val="0"/>
          <w:sz w:val="16"/>
          <w:szCs w:val="16"/>
        </w:rPr>
        <w:t xml:space="preserve"> and</w:t>
      </w:r>
      <w:r w:rsidR="00096E23">
        <w:rPr>
          <w:rFonts w:ascii="Arial" w:hAnsi="Arial"/>
          <w:snapToGrid w:val="0"/>
          <w:sz w:val="16"/>
          <w:szCs w:val="16"/>
        </w:rPr>
        <w:br/>
      </w:r>
      <w:hyperlink r:id="rId12" w:history="1">
        <w:r w:rsidR="00096E23">
          <w:rPr>
            <w:rStyle w:val="Hyperlink"/>
            <w:rFonts w:ascii="Arial" w:hAnsi="Arial"/>
            <w:snapToGrid w:val="0"/>
            <w:sz w:val="16"/>
            <w:szCs w:val="16"/>
          </w:rPr>
          <w:t xml:space="preserve">E &amp; G Private </w:t>
        </w:r>
        <w:proofErr w:type="spellStart"/>
        <w:r w:rsidR="00096E23">
          <w:rPr>
            <w:rStyle w:val="Hyperlink"/>
            <w:rFonts w:ascii="Arial" w:hAnsi="Arial"/>
            <w:snapToGrid w:val="0"/>
            <w:sz w:val="16"/>
            <w:szCs w:val="16"/>
          </w:rPr>
          <w:t>Immobilien</w:t>
        </w:r>
        <w:proofErr w:type="spellEnd"/>
      </w:hyperlink>
      <w:r w:rsidR="00096E23">
        <w:rPr>
          <w:rFonts w:ascii="Arial" w:hAnsi="Arial"/>
          <w:snapToGrid w:val="0"/>
          <w:sz w:val="16"/>
          <w:szCs w:val="16"/>
        </w:rPr>
        <w:t xml:space="preserve">, so that Grossmann &amp; Berger also operates in the two South German metropolitan areas of Stuttgart and Munich. Drawing on their comprehensive expertise in the real estate business, some 240 employees provide the full range of relevant services. They also benefit from the company’s more than 85 years standing in the industry. </w:t>
      </w:r>
      <w:r w:rsidR="00096E23">
        <w:rPr>
          <w:rFonts w:ascii="Arial" w:hAnsi="Arial"/>
          <w:sz w:val="16"/>
          <w:szCs w:val="16"/>
        </w:rPr>
        <w:t xml:space="preserve">Grossmann &amp; Berger belongs to the HASPA Group and is a founding member of the national commercial real estate network </w:t>
      </w:r>
      <w:hyperlink r:id="rId13" w:history="1">
        <w:r w:rsidR="00096E23">
          <w:rPr>
            <w:rStyle w:val="Hyperlink"/>
            <w:rFonts w:ascii="Arial" w:hAnsi="Arial"/>
            <w:sz w:val="16"/>
            <w:szCs w:val="16"/>
          </w:rPr>
          <w:t>German Property Partners</w:t>
        </w:r>
      </w:hyperlink>
      <w:r w:rsidR="00096E23">
        <w:rPr>
          <w:rFonts w:ascii="Arial" w:hAnsi="Arial"/>
          <w:sz w:val="16"/>
          <w:szCs w:val="16"/>
        </w:rPr>
        <w:t xml:space="preserve"> (GPP).</w:t>
      </w:r>
    </w:p>
    <w:p w14:paraId="061ABA73" w14:textId="77777777" w:rsidR="00096E23" w:rsidRPr="00521AA1" w:rsidRDefault="00096E23" w:rsidP="00096E23">
      <w:pPr>
        <w:spacing w:after="0" w:line="360" w:lineRule="auto"/>
        <w:rPr>
          <w:rFonts w:ascii="Arial" w:hAnsi="Arial" w:cs="Arial"/>
          <w:sz w:val="16"/>
          <w:szCs w:val="16"/>
        </w:rPr>
      </w:pPr>
    </w:p>
    <w:p w14:paraId="4A6F933C" w14:textId="77777777" w:rsidR="00096E23" w:rsidRDefault="00096E23" w:rsidP="00096E23">
      <w:pPr>
        <w:spacing w:after="0" w:line="360" w:lineRule="auto"/>
        <w:rPr>
          <w:rFonts w:ascii="Arial" w:hAnsi="Arial" w:cs="Arial"/>
          <w:sz w:val="16"/>
          <w:szCs w:val="16"/>
        </w:rPr>
      </w:pPr>
    </w:p>
    <w:p w14:paraId="6255D8D3" w14:textId="77777777" w:rsidR="000B4583" w:rsidRDefault="000B4583" w:rsidP="00096E23">
      <w:pPr>
        <w:spacing w:after="0" w:line="360" w:lineRule="auto"/>
        <w:rPr>
          <w:rFonts w:ascii="Arial" w:hAnsi="Arial"/>
          <w:sz w:val="16"/>
          <w:szCs w:val="16"/>
        </w:rPr>
      </w:pPr>
    </w:p>
    <w:p w14:paraId="5976C7D2" w14:textId="77777777" w:rsidR="000B4583" w:rsidRDefault="000B4583" w:rsidP="00096E23">
      <w:pPr>
        <w:spacing w:after="0" w:line="360" w:lineRule="auto"/>
        <w:rPr>
          <w:rFonts w:ascii="Arial" w:hAnsi="Arial"/>
          <w:sz w:val="16"/>
          <w:szCs w:val="16"/>
        </w:rPr>
      </w:pPr>
    </w:p>
    <w:p w14:paraId="4CECEBB6" w14:textId="5DEFF42A" w:rsidR="00503D8C" w:rsidRPr="00096E23" w:rsidRDefault="00096E23" w:rsidP="00096E23">
      <w:pPr>
        <w:spacing w:after="0" w:line="360" w:lineRule="auto"/>
        <w:rPr>
          <w:rFonts w:ascii="Arial" w:hAnsi="Arial" w:cs="Arial"/>
          <w:bCs/>
          <w:color w:val="000000" w:themeColor="text1"/>
          <w:sz w:val="20"/>
          <w:szCs w:val="20"/>
        </w:rPr>
      </w:pPr>
      <w:bookmarkStart w:id="0" w:name="_GoBack"/>
      <w:bookmarkEnd w:id="0"/>
      <w:r>
        <w:rPr>
          <w:rFonts w:ascii="Arial" w:hAnsi="Arial"/>
          <w:sz w:val="16"/>
          <w:szCs w:val="16"/>
        </w:rPr>
        <w:t>Please consult our website for Grossmann &amp; Berger’s</w:t>
      </w:r>
      <w:r w:rsidR="003165FD">
        <w:rPr>
          <w:rFonts w:ascii="Arial" w:hAnsi="Arial"/>
          <w:sz w:val="16"/>
          <w:szCs w:val="16"/>
        </w:rPr>
        <w:t xml:space="preserve"> </w:t>
      </w:r>
      <w:hyperlink r:id="rId14" w:history="1">
        <w:r>
          <w:rPr>
            <w:rStyle w:val="Hyperlink"/>
            <w:rFonts w:ascii="Arial" w:hAnsi="Arial"/>
            <w:sz w:val="16"/>
            <w:szCs w:val="16"/>
          </w:rPr>
          <w:t>data privacy policy</w:t>
        </w:r>
      </w:hyperlink>
      <w:r w:rsidR="003165FD" w:rsidRPr="00DE1050">
        <w:rPr>
          <w:rStyle w:val="Hyperlink"/>
          <w:rFonts w:ascii="Arial" w:hAnsi="Arial"/>
          <w:sz w:val="16"/>
          <w:szCs w:val="16"/>
          <w:u w:val="none"/>
        </w:rPr>
        <w:t>.</w:t>
      </w:r>
      <w:r w:rsidR="003165FD">
        <w:rPr>
          <w:rFonts w:ascii="Arial" w:hAnsi="Arial"/>
          <w:sz w:val="16"/>
          <w:szCs w:val="16"/>
        </w:rPr>
        <w:t xml:space="preserve"> </w:t>
      </w:r>
      <w:r>
        <w:rPr>
          <w:rFonts w:ascii="Arial" w:hAnsi="Arial"/>
          <w:sz w:val="16"/>
          <w:szCs w:val="16"/>
        </w:rPr>
        <w:t xml:space="preserve">Here you will also be able to access our </w:t>
      </w:r>
      <w:hyperlink r:id="rId15" w:history="1">
        <w:r>
          <w:rPr>
            <w:rStyle w:val="Hyperlink"/>
            <w:rFonts w:ascii="Arial" w:hAnsi="Arial"/>
            <w:sz w:val="16"/>
            <w:szCs w:val="16"/>
          </w:rPr>
          <w:t>press kit</w:t>
        </w:r>
      </w:hyperlink>
      <w:r>
        <w:rPr>
          <w:rFonts w:ascii="Arial" w:hAnsi="Arial"/>
          <w:sz w:val="16"/>
          <w:szCs w:val="16"/>
        </w:rPr>
        <w:t xml:space="preserve"> and the associated </w:t>
      </w:r>
      <w:hyperlink r:id="rId16" w:history="1">
        <w:r>
          <w:rPr>
            <w:rStyle w:val="Hyperlink"/>
            <w:rFonts w:ascii="Arial" w:hAnsi="Arial"/>
            <w:sz w:val="16"/>
            <w:szCs w:val="16"/>
          </w:rPr>
          <w:t>Terms of Use</w:t>
        </w:r>
      </w:hyperlink>
      <w:r>
        <w:rPr>
          <w:rFonts w:ascii="Arial" w:hAnsi="Arial"/>
          <w:sz w:val="16"/>
          <w:szCs w:val="16"/>
        </w:rPr>
        <w:t xml:space="preserve">. If in future you would prefer not to receive any more information from our press office please e-mail us at </w:t>
      </w:r>
      <w:hyperlink r:id="rId17" w:history="1">
        <w:r>
          <w:rPr>
            <w:rStyle w:val="Hyperlink"/>
            <w:rFonts w:ascii="Arial" w:hAnsi="Arial"/>
            <w:sz w:val="16"/>
            <w:szCs w:val="16"/>
          </w:rPr>
          <w:t>presse@grossmann-berger.de</w:t>
        </w:r>
      </w:hyperlink>
      <w:r>
        <w:rPr>
          <w:rFonts w:ascii="Arial" w:hAnsi="Arial"/>
          <w:sz w:val="16"/>
          <w:szCs w:val="16"/>
        </w:rPr>
        <w:t xml:space="preserve"> quoting as reference "</w:t>
      </w:r>
      <w:proofErr w:type="spellStart"/>
      <w:r>
        <w:rPr>
          <w:rFonts w:ascii="Arial" w:hAnsi="Arial"/>
          <w:sz w:val="16"/>
          <w:szCs w:val="16"/>
        </w:rPr>
        <w:t>Abmeldung</w:t>
      </w:r>
      <w:proofErr w:type="spellEnd"/>
      <w:r>
        <w:rPr>
          <w:rFonts w:ascii="Arial" w:hAnsi="Arial"/>
          <w:sz w:val="16"/>
          <w:szCs w:val="16"/>
        </w:rPr>
        <w:t xml:space="preserve"> </w:t>
      </w:r>
      <w:proofErr w:type="spellStart"/>
      <w:r>
        <w:rPr>
          <w:rFonts w:ascii="Arial" w:hAnsi="Arial"/>
          <w:sz w:val="16"/>
          <w:szCs w:val="16"/>
        </w:rPr>
        <w:t>aus</w:t>
      </w:r>
      <w:proofErr w:type="spellEnd"/>
      <w:r>
        <w:rPr>
          <w:rFonts w:ascii="Arial" w:hAnsi="Arial"/>
          <w:sz w:val="16"/>
          <w:szCs w:val="16"/>
        </w:rPr>
        <w:t xml:space="preserve"> </w:t>
      </w:r>
      <w:proofErr w:type="spellStart"/>
      <w:r>
        <w:rPr>
          <w:rFonts w:ascii="Arial" w:hAnsi="Arial"/>
          <w:sz w:val="16"/>
          <w:szCs w:val="16"/>
        </w:rPr>
        <w:t>Presseverteiler</w:t>
      </w:r>
      <w:proofErr w:type="spellEnd"/>
      <w:r>
        <w:rPr>
          <w:rFonts w:ascii="Arial" w:hAnsi="Arial"/>
          <w:sz w:val="16"/>
          <w:szCs w:val="16"/>
        </w:rPr>
        <w:t>” / “Unsubscribe from press mailing list”.</w:t>
      </w:r>
    </w:p>
    <w:sectPr w:rsidR="00503D8C" w:rsidRPr="00096E23" w:rsidSect="00D83CB7">
      <w:headerReference w:type="default" r:id="rId18"/>
      <w:footerReference w:type="default" r:id="rId19"/>
      <w:headerReference w:type="first" r:id="rId20"/>
      <w:footerReference w:type="first" r:id="rId21"/>
      <w:pgSz w:w="11904" w:h="16840"/>
      <w:pgMar w:top="284" w:right="1134" w:bottom="1440" w:left="1134" w:header="567" w:footer="1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D024D" w14:textId="77777777" w:rsidR="009C1C54" w:rsidRDefault="009C1C54">
      <w:r>
        <w:separator/>
      </w:r>
    </w:p>
  </w:endnote>
  <w:endnote w:type="continuationSeparator" w:id="0">
    <w:p w14:paraId="4CB9BD3D" w14:textId="77777777" w:rsidR="009C1C54" w:rsidRDefault="009C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kurat-Fett">
    <w:altName w:val="Akkurat Norm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10022" w14:textId="1C16F89C" w:rsidR="00D83CB7" w:rsidRPr="00D83CB7" w:rsidRDefault="00D83CB7" w:rsidP="00D83CB7">
    <w:pPr>
      <w:pStyle w:val="Fuzeile"/>
      <w:tabs>
        <w:tab w:val="left" w:pos="4145"/>
        <w:tab w:val="right" w:pos="9636"/>
      </w:tabs>
      <w:ind w:left="-426"/>
      <w:jc w:val="center"/>
      <w:rPr>
        <w:rFonts w:ascii="Arial" w:hAnsi="Arial" w:cs="Arial"/>
        <w:color w:val="918F90"/>
        <w:sz w:val="18"/>
        <w:szCs w:val="18"/>
      </w:rPr>
    </w:pPr>
    <w:r w:rsidRPr="00A816C0">
      <w:rPr>
        <w:rFonts w:ascii="Arial" w:hAnsi="Arial"/>
        <w:b/>
        <w:bCs/>
        <w:color w:val="918F90"/>
        <w:sz w:val="18"/>
        <w:szCs w:val="18"/>
        <w:lang w:val="de-DE"/>
      </w:rPr>
      <w:t xml:space="preserve">Grossmann &amp; Berger GmbH </w:t>
    </w:r>
    <w:r w:rsidRPr="00A816C0">
      <w:rPr>
        <w:rFonts w:ascii="Arial" w:hAnsi="Arial"/>
        <w:color w:val="918F90"/>
        <w:sz w:val="18"/>
        <w:szCs w:val="18"/>
        <w:lang w:val="de-DE"/>
      </w:rPr>
      <w:t xml:space="preserve">| </w:t>
    </w:r>
    <w:proofErr w:type="spellStart"/>
    <w:r w:rsidRPr="00A816C0">
      <w:rPr>
        <w:rFonts w:ascii="Arial" w:hAnsi="Arial"/>
        <w:color w:val="918F90"/>
        <w:sz w:val="18"/>
        <w:szCs w:val="18"/>
        <w:lang w:val="de-DE"/>
      </w:rPr>
      <w:t>Bleichenbrücke</w:t>
    </w:r>
    <w:proofErr w:type="spellEnd"/>
    <w:r w:rsidRPr="00A816C0">
      <w:rPr>
        <w:rFonts w:ascii="Arial" w:hAnsi="Arial"/>
        <w:color w:val="918F90"/>
        <w:sz w:val="18"/>
        <w:szCs w:val="18"/>
        <w:lang w:val="de-DE"/>
      </w:rPr>
      <w:t xml:space="preserve"> 9 | 20354 Hamburg | Tel. </w:t>
    </w:r>
    <w:r>
      <w:rPr>
        <w:rFonts w:ascii="Arial" w:hAnsi="Arial"/>
        <w:color w:val="918F90"/>
        <w:sz w:val="18"/>
        <w:szCs w:val="18"/>
      </w:rPr>
      <w:t>+49 (0)40 / 350 80 2-0 | www.grossmann-berger.de</w:t>
    </w:r>
  </w:p>
  <w:p w14:paraId="5E0EDDBC" w14:textId="2DBEDEC4" w:rsidR="00CE455F" w:rsidRPr="00BB15DA" w:rsidRDefault="00BB15DA" w:rsidP="00D83CB7">
    <w:pPr>
      <w:pStyle w:val="Fuzeile"/>
      <w:tabs>
        <w:tab w:val="left" w:pos="4145"/>
        <w:tab w:val="right" w:pos="9636"/>
      </w:tabs>
      <w:jc w:val="right"/>
      <w:rPr>
        <w:rFonts w:ascii="Arial" w:hAnsi="Arial" w:cs="Arial"/>
        <w:color w:val="918F90"/>
        <w:sz w:val="18"/>
        <w:szCs w:val="18"/>
      </w:rPr>
    </w:pPr>
    <w:r>
      <w:rPr>
        <w:rStyle w:val="Seitenzahl"/>
        <w:rFonts w:ascii="Arial" w:hAnsi="Arial"/>
        <w:color w:val="918F90"/>
        <w:sz w:val="18"/>
        <w:szCs w:val="18"/>
      </w:rPr>
      <w:tab/>
    </w:r>
    <w:r>
      <w:rPr>
        <w:rStyle w:val="Seitenzahl"/>
        <w:rFonts w:ascii="Arial" w:hAnsi="Arial"/>
        <w:color w:val="918F90"/>
        <w:sz w:val="18"/>
        <w:szCs w:val="18"/>
      </w:rPr>
      <w:tab/>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PAGE </w:instrText>
    </w:r>
    <w:r w:rsidR="00CE455F" w:rsidRPr="00D83CB7">
      <w:rPr>
        <w:rStyle w:val="Seitenzahl"/>
        <w:rFonts w:ascii="Arial" w:hAnsi="Arial" w:cs="Arial"/>
        <w:color w:val="000000" w:themeColor="text1"/>
        <w:sz w:val="18"/>
        <w:szCs w:val="18"/>
      </w:rPr>
      <w:fldChar w:fldCharType="separate"/>
    </w:r>
    <w:r w:rsidR="000B4583">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r>
      <w:rPr>
        <w:rStyle w:val="Seitenzahl"/>
        <w:rFonts w:ascii="Arial" w:hAnsi="Arial"/>
        <w:color w:val="000000" w:themeColor="text1"/>
        <w:sz w:val="18"/>
        <w:szCs w:val="18"/>
      </w:rPr>
      <w:t xml:space="preserve"> / </w:t>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NUMPAGES </w:instrText>
    </w:r>
    <w:r w:rsidR="00CE455F" w:rsidRPr="00D83CB7">
      <w:rPr>
        <w:rStyle w:val="Seitenzahl"/>
        <w:rFonts w:ascii="Arial" w:hAnsi="Arial" w:cs="Arial"/>
        <w:color w:val="000000" w:themeColor="text1"/>
        <w:sz w:val="18"/>
        <w:szCs w:val="18"/>
      </w:rPr>
      <w:fldChar w:fldCharType="separate"/>
    </w:r>
    <w:r w:rsidR="000B4583">
      <w:rPr>
        <w:rStyle w:val="Seitenzahl"/>
        <w:rFonts w:ascii="Arial" w:hAnsi="Arial" w:cs="Arial"/>
        <w:noProof/>
        <w:color w:val="000000" w:themeColor="text1"/>
        <w:sz w:val="18"/>
        <w:szCs w:val="18"/>
      </w:rPr>
      <w:t>3</w:t>
    </w:r>
    <w:r w:rsidR="00CE455F" w:rsidRPr="00D83CB7">
      <w:rPr>
        <w:rStyle w:val="Seitenzahl"/>
        <w:rFonts w:ascii="Arial" w:hAnsi="Arial" w:cs="Arial"/>
        <w:color w:val="000000" w:themeColor="tex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ECEE9" w14:textId="77777777" w:rsidR="008C608D" w:rsidRDefault="008C608D">
    <w:pPr>
      <w:pStyle w:val="Fuzeile"/>
    </w:pPr>
    <w:r>
      <w:rPr>
        <w:noProof/>
        <w:lang w:val="de-DE" w:eastAsia="de-DE"/>
      </w:rPr>
      <w:drawing>
        <wp:anchor distT="0" distB="0" distL="0" distR="0" simplePos="0" relativeHeight="251659264" behindDoc="0" locked="0" layoutInCell="0" allowOverlap="1" wp14:anchorId="648292C5" wp14:editId="00457459">
          <wp:simplePos x="0" y="0"/>
          <wp:positionH relativeFrom="column">
            <wp:posOffset>-615315</wp:posOffset>
          </wp:positionH>
          <wp:positionV relativeFrom="page">
            <wp:posOffset>9457690</wp:posOffset>
          </wp:positionV>
          <wp:extent cx="7346950" cy="1140460"/>
          <wp:effectExtent l="0" t="0" r="6350" b="2540"/>
          <wp:wrapThrough wrapText="bothSides">
            <wp:wrapPolygon edited="0">
              <wp:start x="0" y="0"/>
              <wp:lineTo x="0" y="21287"/>
              <wp:lineTo x="21563" y="21287"/>
              <wp:lineTo x="21563" y="0"/>
              <wp:lineTo x="0" y="0"/>
            </wp:wrapPolygon>
          </wp:wrapThrough>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1129_Logo_A4_GPP.pdf"/>
                  <pic:cNvPicPr/>
                </pic:nvPicPr>
                <pic:blipFill>
                  <a:blip r:embed="rId1">
                    <a:extLst>
                      <a:ext uri="{28A0092B-C50C-407E-A947-70E740481C1C}">
                        <a14:useLocalDpi xmlns:a14="http://schemas.microsoft.com/office/drawing/2010/main" val="0"/>
                      </a:ext>
                    </a:extLst>
                  </a:blip>
                  <a:stretch>
                    <a:fillRect/>
                  </a:stretch>
                </pic:blipFill>
                <pic:spPr>
                  <a:xfrm>
                    <a:off x="0" y="0"/>
                    <a:ext cx="7346950" cy="11404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06A25" w14:textId="77777777" w:rsidR="009C1C54" w:rsidRDefault="009C1C54">
      <w:r>
        <w:separator/>
      </w:r>
    </w:p>
  </w:footnote>
  <w:footnote w:type="continuationSeparator" w:id="0">
    <w:p w14:paraId="594ECE84" w14:textId="77777777" w:rsidR="009C1C54" w:rsidRDefault="009C1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2834A" w14:textId="362F9921" w:rsidR="00CE455F" w:rsidRPr="00A816C0" w:rsidRDefault="00E5203C" w:rsidP="00A816C0">
    <w:pPr>
      <w:jc w:val="right"/>
      <w:rPr>
        <w:rFonts w:ascii="Arial" w:hAnsi="Arial" w:cs="Arial"/>
        <w:color w:val="918F90"/>
        <w:sz w:val="28"/>
        <w:szCs w:val="28"/>
      </w:rPr>
    </w:pPr>
    <w:r>
      <w:rPr>
        <w:rFonts w:ascii="Arial" w:hAnsi="Arial"/>
        <w:noProof/>
        <w:color w:val="918F90"/>
        <w:sz w:val="28"/>
        <w:szCs w:val="28"/>
        <w:lang w:val="de-DE" w:eastAsia="de-DE"/>
      </w:rPr>
      <mc:AlternateContent>
        <mc:Choice Requires="wps">
          <w:drawing>
            <wp:anchor distT="0" distB="0" distL="114300" distR="114300" simplePos="0" relativeHeight="251663360" behindDoc="0" locked="0" layoutInCell="1" allowOverlap="1" wp14:anchorId="58C25E6F" wp14:editId="008C3A10">
              <wp:simplePos x="0" y="0"/>
              <wp:positionH relativeFrom="column">
                <wp:posOffset>-81182</wp:posOffset>
              </wp:positionH>
              <wp:positionV relativeFrom="paragraph">
                <wp:posOffset>20955</wp:posOffset>
              </wp:positionV>
              <wp:extent cx="4929554" cy="140398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9554" cy="1403985"/>
                      </a:xfrm>
                      <a:prstGeom prst="rect">
                        <a:avLst/>
                      </a:prstGeom>
                      <a:noFill/>
                      <a:ln w="9525">
                        <a:noFill/>
                        <a:miter lim="800000"/>
                        <a:headEnd/>
                        <a:tailEnd/>
                      </a:ln>
                    </wps:spPr>
                    <wps:txbx>
                      <w:txbxContent>
                        <w:p w14:paraId="038D3993" w14:textId="028C27B9" w:rsidR="00E5203C" w:rsidRPr="00A816C0" w:rsidRDefault="00E5203C" w:rsidP="00E5203C">
                          <w:pPr>
                            <w:spacing w:after="0"/>
                            <w:rPr>
                              <w:rFonts w:ascii="Arial" w:hAnsi="Arial"/>
                              <w:sz w:val="16"/>
                              <w:szCs w:val="16"/>
                            </w:rPr>
                          </w:pPr>
                          <w:r>
                            <w:rPr>
                              <w:rFonts w:ascii="Arial" w:hAnsi="Arial"/>
                              <w:b/>
                              <w:sz w:val="16"/>
                              <w:szCs w:val="16"/>
                            </w:rPr>
                            <w:t>Press contact:</w:t>
                          </w:r>
                          <w:r>
                            <w:rPr>
                              <w:rFonts w:ascii="Arial" w:hAnsi="Arial"/>
                              <w:sz w:val="16"/>
                              <w:szCs w:val="16"/>
                            </w:rPr>
                            <w:t xml:space="preserve"> Corinna Fühner | Te</w:t>
                          </w:r>
                          <w:r w:rsidR="00A816C0">
                            <w:rPr>
                              <w:rFonts w:ascii="Arial" w:hAnsi="Arial"/>
                              <w:sz w:val="16"/>
                              <w:szCs w:val="16"/>
                            </w:rPr>
                            <w:t>l.</w:t>
                          </w:r>
                          <w:r>
                            <w:rPr>
                              <w:rFonts w:ascii="Arial" w:hAnsi="Arial"/>
                              <w:sz w:val="16"/>
                              <w:szCs w:val="16"/>
                            </w:rPr>
                            <w:t>+49 (0)40 / 350 80 2-588 | c.fuehner@grossmann-berger.de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C25E6F" id="_x0000_t202" coordsize="21600,21600" o:spt="202" path="m,l,21600r21600,l21600,xe">
              <v:stroke joinstyle="miter"/>
              <v:path gradientshapeok="t" o:connecttype="rect"/>
            </v:shapetype>
            <v:shape id="Textfeld 2" o:spid="_x0000_s1026" type="#_x0000_t202" style="position:absolute;left:0;text-align:left;margin-left:-6.4pt;margin-top:1.65pt;width:388.1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" filled="f" stroked="f">
              <v:textbox style="mso-fit-shape-to-text:t">
                <w:txbxContent>
                  <w:p w14:paraId="038D3993" w14:textId="028C27B9" w:rsidR="00E5203C" w:rsidRPr="00A816C0" w:rsidRDefault="00E5203C" w:rsidP="00E5203C">
                    <w:pPr>
                      <w:spacing w:after="0"/>
                      <w:rPr>
                        <w:rFonts w:ascii="Arial" w:hAnsi="Arial"/>
                        <w:sz w:val="16"/>
                        <w:szCs w:val="16"/>
                      </w:rPr>
                    </w:pPr>
                    <w:r>
                      <w:rPr>
                        <w:rFonts w:ascii="Arial" w:hAnsi="Arial"/>
                        <w:b/>
                        <w:sz w:val="16"/>
                        <w:szCs w:val="16"/>
                      </w:rPr>
                      <w:t>Press contact:</w:t>
                    </w:r>
                    <w:r>
                      <w:rPr>
                        <w:rFonts w:ascii="Arial" w:hAnsi="Arial"/>
                        <w:sz w:val="16"/>
                        <w:szCs w:val="16"/>
                      </w:rPr>
                      <w:t xml:space="preserve"> Corinna Fühner | Te</w:t>
                    </w:r>
                    <w:r w:rsidR="00A816C0">
                      <w:rPr>
                        <w:rFonts w:ascii="Arial" w:hAnsi="Arial"/>
                        <w:sz w:val="16"/>
                        <w:szCs w:val="16"/>
                      </w:rPr>
                      <w:t>l.</w:t>
                    </w:r>
                    <w:r>
                      <w:rPr>
                        <w:rFonts w:ascii="Arial" w:hAnsi="Arial"/>
                        <w:sz w:val="16"/>
                        <w:szCs w:val="16"/>
                      </w:rPr>
                      <w:t>+49 (0)40 / 350 80 2-588 | c.fuehner@grossmann-berger.de</w:t>
                    </w:r>
                  </w:p>
                </w:txbxContent>
              </v:textbox>
            </v:shape>
          </w:pict>
        </mc:Fallback>
      </mc:AlternateContent>
    </w:r>
    <w:r>
      <w:rPr>
        <w:rFonts w:ascii="Arial" w:hAnsi="Arial"/>
        <w:color w:val="918F90"/>
        <w:sz w:val="28"/>
        <w:szCs w:val="28"/>
      </w:rPr>
      <w:t>Press release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6F632" w14:textId="77777777" w:rsidR="00D83CB7" w:rsidRDefault="00E5203C" w:rsidP="000C770D">
    <w:pPr>
      <w:jc w:val="right"/>
      <w:rPr>
        <w:rFonts w:ascii="Arial" w:hAnsi="Arial" w:cs="Arial"/>
        <w:color w:val="918F90"/>
        <w:sz w:val="28"/>
        <w:szCs w:val="28"/>
      </w:rPr>
    </w:pPr>
    <w:r>
      <w:rPr>
        <w:rFonts w:ascii="Arial" w:hAnsi="Arial"/>
        <w:noProof/>
        <w:color w:val="918F90"/>
        <w:sz w:val="28"/>
        <w:szCs w:val="28"/>
        <w:lang w:val="de-DE" w:eastAsia="de-DE"/>
      </w:rPr>
      <mc:AlternateContent>
        <mc:Choice Requires="wps">
          <w:drawing>
            <wp:anchor distT="0" distB="0" distL="114300" distR="114300" simplePos="0" relativeHeight="251661312" behindDoc="0" locked="0" layoutInCell="1" allowOverlap="1" wp14:anchorId="26FF3942" wp14:editId="33A6ED7D">
              <wp:simplePos x="0" y="0"/>
              <wp:positionH relativeFrom="column">
                <wp:posOffset>-81182</wp:posOffset>
              </wp:positionH>
              <wp:positionV relativeFrom="paragraph">
                <wp:posOffset>20955</wp:posOffset>
              </wp:positionV>
              <wp:extent cx="4917830"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7830" cy="1403985"/>
                      </a:xfrm>
                      <a:prstGeom prst="rect">
                        <a:avLst/>
                      </a:prstGeom>
                      <a:noFill/>
                      <a:ln w="9525">
                        <a:noFill/>
                        <a:miter lim="800000"/>
                        <a:headEnd/>
                        <a:tailEnd/>
                      </a:ln>
                    </wps:spPr>
                    <wps:txbx>
                      <w:txbxContent>
                        <w:p w14:paraId="341F569C" w14:textId="6B58B3D7" w:rsidR="00E5203C" w:rsidRPr="001E3456" w:rsidRDefault="00E5203C" w:rsidP="00E5203C">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Corinna Fühner | Tel: +49 (0)40 / 350 80 2-588 | c.fuehner@grossmann-berger.de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FF3942" id="_x0000_t202" coordsize="21600,21600" o:spt="202" path="m,l,21600r21600,l21600,xe">
              <v:stroke joinstyle="miter"/>
              <v:path gradientshapeok="t" o:connecttype="rect"/>
            </v:shapetype>
            <v:shape id="_x0000_s1027" type="#_x0000_t202" style="position:absolute;left:0;text-align:left;margin-left:-6.4pt;margin-top:1.65pt;width:387.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" filled="f" stroked="f">
              <v:textbox style="mso-fit-shape-to-text:t">
                <w:txbxContent>
                  <w:p w14:paraId="341F569C" w14:textId="6B58B3D7" w:rsidR="00E5203C" w:rsidRPr="001E3456" w:rsidRDefault="00E5203C" w:rsidP="00E5203C">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Corinna Fühner | Tel: +49 (0)40 / 350 80 2-588 | c.fuehner@grossmann-berger.de</w:t>
                    </w:r>
                  </w:p>
                </w:txbxContent>
              </v:textbox>
            </v:shape>
          </w:pict>
        </mc:Fallback>
      </mc:AlternateContent>
    </w:r>
    <w:r>
      <w:rPr>
        <w:rFonts w:ascii="Arial" w:hAnsi="Arial"/>
        <w:color w:val="918F90"/>
        <w:sz w:val="28"/>
        <w:szCs w:val="28"/>
      </w:rPr>
      <w:t>Press release</w:t>
    </w:r>
  </w:p>
  <w:p w14:paraId="3FAFB734" w14:textId="77777777" w:rsidR="000C770D" w:rsidRDefault="000C770D" w:rsidP="000C770D">
    <w:pPr>
      <w:jc w:val="right"/>
      <w:rPr>
        <w:rFonts w:ascii="Arial" w:hAnsi="Arial" w:cs="Arial"/>
        <w:color w:val="918F9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96F5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D015A8"/>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D57C894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4470FC1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F5847D8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9664F6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9E7B6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D124C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AAE2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4B695F8"/>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9DFA04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065F13"/>
    <w:multiLevelType w:val="hybridMultilevel"/>
    <w:tmpl w:val="4D16C4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DF305C1"/>
    <w:multiLevelType w:val="hybridMultilevel"/>
    <w:tmpl w:val="BD4E0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71C6700"/>
    <w:multiLevelType w:val="hybridMultilevel"/>
    <w:tmpl w:val="58B0B62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8F830F8"/>
    <w:multiLevelType w:val="hybridMultilevel"/>
    <w:tmpl w:val="CE54F1DE"/>
    <w:lvl w:ilvl="0" w:tplc="41F6EF16">
      <w:start w:val="28"/>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53064DC"/>
    <w:multiLevelType w:val="hybridMultilevel"/>
    <w:tmpl w:val="602C0CE0"/>
    <w:lvl w:ilvl="0" w:tplc="035054B6">
      <w:numFmt w:val="bullet"/>
      <w:lvlText w:val="-"/>
      <w:lvlJc w:val="left"/>
      <w:pPr>
        <w:ind w:left="-349" w:hanging="360"/>
      </w:pPr>
      <w:rPr>
        <w:rFonts w:ascii="Arial" w:eastAsia="Times New Roman" w:hAnsi="Arial" w:hint="default"/>
      </w:rPr>
    </w:lvl>
    <w:lvl w:ilvl="1" w:tplc="04070003" w:tentative="1">
      <w:start w:val="1"/>
      <w:numFmt w:val="bullet"/>
      <w:lvlText w:val="o"/>
      <w:lvlJc w:val="left"/>
      <w:pPr>
        <w:ind w:left="371" w:hanging="360"/>
      </w:pPr>
      <w:rPr>
        <w:rFonts w:ascii="Courier New" w:hAnsi="Courier New" w:hint="default"/>
      </w:rPr>
    </w:lvl>
    <w:lvl w:ilvl="2" w:tplc="04070005" w:tentative="1">
      <w:start w:val="1"/>
      <w:numFmt w:val="bullet"/>
      <w:lvlText w:val=""/>
      <w:lvlJc w:val="left"/>
      <w:pPr>
        <w:ind w:left="1091" w:hanging="360"/>
      </w:pPr>
      <w:rPr>
        <w:rFonts w:ascii="Wingdings" w:hAnsi="Wingdings" w:hint="default"/>
      </w:rPr>
    </w:lvl>
    <w:lvl w:ilvl="3" w:tplc="04070001" w:tentative="1">
      <w:start w:val="1"/>
      <w:numFmt w:val="bullet"/>
      <w:lvlText w:val=""/>
      <w:lvlJc w:val="left"/>
      <w:pPr>
        <w:ind w:left="1811" w:hanging="360"/>
      </w:pPr>
      <w:rPr>
        <w:rFonts w:ascii="Symbol" w:hAnsi="Symbol" w:hint="default"/>
      </w:rPr>
    </w:lvl>
    <w:lvl w:ilvl="4" w:tplc="04070003" w:tentative="1">
      <w:start w:val="1"/>
      <w:numFmt w:val="bullet"/>
      <w:lvlText w:val="o"/>
      <w:lvlJc w:val="left"/>
      <w:pPr>
        <w:ind w:left="2531" w:hanging="360"/>
      </w:pPr>
      <w:rPr>
        <w:rFonts w:ascii="Courier New" w:hAnsi="Courier New" w:hint="default"/>
      </w:rPr>
    </w:lvl>
    <w:lvl w:ilvl="5" w:tplc="04070005" w:tentative="1">
      <w:start w:val="1"/>
      <w:numFmt w:val="bullet"/>
      <w:lvlText w:val=""/>
      <w:lvlJc w:val="left"/>
      <w:pPr>
        <w:ind w:left="3251" w:hanging="360"/>
      </w:pPr>
      <w:rPr>
        <w:rFonts w:ascii="Wingdings" w:hAnsi="Wingdings" w:hint="default"/>
      </w:rPr>
    </w:lvl>
    <w:lvl w:ilvl="6" w:tplc="04070001" w:tentative="1">
      <w:start w:val="1"/>
      <w:numFmt w:val="bullet"/>
      <w:lvlText w:val=""/>
      <w:lvlJc w:val="left"/>
      <w:pPr>
        <w:ind w:left="3971" w:hanging="360"/>
      </w:pPr>
      <w:rPr>
        <w:rFonts w:ascii="Symbol" w:hAnsi="Symbol" w:hint="default"/>
      </w:rPr>
    </w:lvl>
    <w:lvl w:ilvl="7" w:tplc="04070003" w:tentative="1">
      <w:start w:val="1"/>
      <w:numFmt w:val="bullet"/>
      <w:lvlText w:val="o"/>
      <w:lvlJc w:val="left"/>
      <w:pPr>
        <w:ind w:left="4691" w:hanging="360"/>
      </w:pPr>
      <w:rPr>
        <w:rFonts w:ascii="Courier New" w:hAnsi="Courier New" w:hint="default"/>
      </w:rPr>
    </w:lvl>
    <w:lvl w:ilvl="8" w:tplc="04070005" w:tentative="1">
      <w:start w:val="1"/>
      <w:numFmt w:val="bullet"/>
      <w:lvlText w:val=""/>
      <w:lvlJc w:val="left"/>
      <w:pPr>
        <w:ind w:left="5411" w:hanging="360"/>
      </w:pPr>
      <w:rPr>
        <w:rFonts w:ascii="Wingdings" w:hAnsi="Wingdings" w:hint="default"/>
      </w:rPr>
    </w:lvl>
  </w:abstractNum>
  <w:abstractNum w:abstractNumId="16" w15:restartNumberingAfterBreak="0">
    <w:nsid w:val="5FEF1FE5"/>
    <w:multiLevelType w:val="hybridMultilevel"/>
    <w:tmpl w:val="FC5AA5D8"/>
    <w:lvl w:ilvl="0" w:tplc="725CC09E">
      <w:start w:val="18"/>
      <w:numFmt w:val="bullet"/>
      <w:lvlText w:val="-"/>
      <w:lvlJc w:val="left"/>
      <w:pPr>
        <w:ind w:left="1087" w:hanging="360"/>
      </w:pPr>
      <w:rPr>
        <w:rFonts w:ascii="Arial" w:eastAsia="Arial" w:hAnsi="Arial" w:cs="Arial" w:hint="default"/>
      </w:rPr>
    </w:lvl>
    <w:lvl w:ilvl="1" w:tplc="04070003" w:tentative="1">
      <w:start w:val="1"/>
      <w:numFmt w:val="bullet"/>
      <w:lvlText w:val="o"/>
      <w:lvlJc w:val="left"/>
      <w:pPr>
        <w:ind w:left="1807" w:hanging="360"/>
      </w:pPr>
      <w:rPr>
        <w:rFonts w:ascii="Courier New" w:hAnsi="Courier New" w:cs="Courier New" w:hint="default"/>
      </w:rPr>
    </w:lvl>
    <w:lvl w:ilvl="2" w:tplc="04070005" w:tentative="1">
      <w:start w:val="1"/>
      <w:numFmt w:val="bullet"/>
      <w:lvlText w:val=""/>
      <w:lvlJc w:val="left"/>
      <w:pPr>
        <w:ind w:left="2527" w:hanging="360"/>
      </w:pPr>
      <w:rPr>
        <w:rFonts w:ascii="Wingdings" w:hAnsi="Wingdings" w:hint="default"/>
      </w:rPr>
    </w:lvl>
    <w:lvl w:ilvl="3" w:tplc="04070001" w:tentative="1">
      <w:start w:val="1"/>
      <w:numFmt w:val="bullet"/>
      <w:lvlText w:val=""/>
      <w:lvlJc w:val="left"/>
      <w:pPr>
        <w:ind w:left="3247" w:hanging="360"/>
      </w:pPr>
      <w:rPr>
        <w:rFonts w:ascii="Symbol" w:hAnsi="Symbol" w:hint="default"/>
      </w:rPr>
    </w:lvl>
    <w:lvl w:ilvl="4" w:tplc="04070003" w:tentative="1">
      <w:start w:val="1"/>
      <w:numFmt w:val="bullet"/>
      <w:lvlText w:val="o"/>
      <w:lvlJc w:val="left"/>
      <w:pPr>
        <w:ind w:left="3967" w:hanging="360"/>
      </w:pPr>
      <w:rPr>
        <w:rFonts w:ascii="Courier New" w:hAnsi="Courier New" w:cs="Courier New" w:hint="default"/>
      </w:rPr>
    </w:lvl>
    <w:lvl w:ilvl="5" w:tplc="04070005" w:tentative="1">
      <w:start w:val="1"/>
      <w:numFmt w:val="bullet"/>
      <w:lvlText w:val=""/>
      <w:lvlJc w:val="left"/>
      <w:pPr>
        <w:ind w:left="4687" w:hanging="360"/>
      </w:pPr>
      <w:rPr>
        <w:rFonts w:ascii="Wingdings" w:hAnsi="Wingdings" w:hint="default"/>
      </w:rPr>
    </w:lvl>
    <w:lvl w:ilvl="6" w:tplc="04070001" w:tentative="1">
      <w:start w:val="1"/>
      <w:numFmt w:val="bullet"/>
      <w:lvlText w:val=""/>
      <w:lvlJc w:val="left"/>
      <w:pPr>
        <w:ind w:left="5407" w:hanging="360"/>
      </w:pPr>
      <w:rPr>
        <w:rFonts w:ascii="Symbol" w:hAnsi="Symbol" w:hint="default"/>
      </w:rPr>
    </w:lvl>
    <w:lvl w:ilvl="7" w:tplc="04070003" w:tentative="1">
      <w:start w:val="1"/>
      <w:numFmt w:val="bullet"/>
      <w:lvlText w:val="o"/>
      <w:lvlJc w:val="left"/>
      <w:pPr>
        <w:ind w:left="6127" w:hanging="360"/>
      </w:pPr>
      <w:rPr>
        <w:rFonts w:ascii="Courier New" w:hAnsi="Courier New" w:cs="Courier New" w:hint="default"/>
      </w:rPr>
    </w:lvl>
    <w:lvl w:ilvl="8" w:tplc="04070005" w:tentative="1">
      <w:start w:val="1"/>
      <w:numFmt w:val="bullet"/>
      <w:lvlText w:val=""/>
      <w:lvlJc w:val="left"/>
      <w:pPr>
        <w:ind w:left="6847" w:hanging="360"/>
      </w:pPr>
      <w:rPr>
        <w:rFonts w:ascii="Wingdings" w:hAnsi="Wingdings" w:hint="default"/>
      </w:rPr>
    </w:lvl>
  </w:abstractNum>
  <w:abstractNum w:abstractNumId="17" w15:restartNumberingAfterBreak="0">
    <w:nsid w:val="60DD473C"/>
    <w:multiLevelType w:val="hybridMultilevel"/>
    <w:tmpl w:val="3D72A5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8F54FC7"/>
    <w:multiLevelType w:val="hybridMultilevel"/>
    <w:tmpl w:val="7A00E706"/>
    <w:lvl w:ilvl="0" w:tplc="B6F8B6B2">
      <w:numFmt w:val="bullet"/>
      <w:lvlText w:val="-"/>
      <w:lvlJc w:val="left"/>
      <w:pPr>
        <w:ind w:left="1080" w:hanging="360"/>
      </w:pPr>
      <w:rPr>
        <w:rFonts w:ascii="Arial" w:eastAsia="Cambr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6FFF56F7"/>
    <w:multiLevelType w:val="hybridMultilevel"/>
    <w:tmpl w:val="F8825BF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8"/>
  </w:num>
  <w:num w:numId="14">
    <w:abstractNumId w:val="16"/>
  </w:num>
  <w:num w:numId="15">
    <w:abstractNumId w:val="17"/>
  </w:num>
  <w:num w:numId="16">
    <w:abstractNumId w:val="11"/>
  </w:num>
  <w:num w:numId="17">
    <w:abstractNumId w:val="14"/>
  </w:num>
  <w:num w:numId="18">
    <w:abstractNumId w:val="12"/>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4661EE"/>
    <w:rsid w:val="000057C1"/>
    <w:rsid w:val="000159FE"/>
    <w:rsid w:val="000202AA"/>
    <w:rsid w:val="00022F16"/>
    <w:rsid w:val="00023D78"/>
    <w:rsid w:val="0003075C"/>
    <w:rsid w:val="00043DB3"/>
    <w:rsid w:val="00060743"/>
    <w:rsid w:val="00066796"/>
    <w:rsid w:val="000766D7"/>
    <w:rsid w:val="00096E23"/>
    <w:rsid w:val="000A6D3A"/>
    <w:rsid w:val="000B3315"/>
    <w:rsid w:val="000B4583"/>
    <w:rsid w:val="000C770D"/>
    <w:rsid w:val="000E03F3"/>
    <w:rsid w:val="001029C4"/>
    <w:rsid w:val="0011486D"/>
    <w:rsid w:val="00121E33"/>
    <w:rsid w:val="0012484F"/>
    <w:rsid w:val="00126550"/>
    <w:rsid w:val="001324D6"/>
    <w:rsid w:val="00135BD2"/>
    <w:rsid w:val="00142A67"/>
    <w:rsid w:val="00154825"/>
    <w:rsid w:val="00155DAF"/>
    <w:rsid w:val="0016456A"/>
    <w:rsid w:val="00166195"/>
    <w:rsid w:val="0017516B"/>
    <w:rsid w:val="00176F1D"/>
    <w:rsid w:val="00190298"/>
    <w:rsid w:val="001914C9"/>
    <w:rsid w:val="001922E2"/>
    <w:rsid w:val="00192897"/>
    <w:rsid w:val="001A2ABE"/>
    <w:rsid w:val="001A360C"/>
    <w:rsid w:val="001A5E9E"/>
    <w:rsid w:val="001B3575"/>
    <w:rsid w:val="001D0D74"/>
    <w:rsid w:val="001D14DA"/>
    <w:rsid w:val="001E6995"/>
    <w:rsid w:val="001F1513"/>
    <w:rsid w:val="001F6BCE"/>
    <w:rsid w:val="0020443D"/>
    <w:rsid w:val="00205769"/>
    <w:rsid w:val="00212FEC"/>
    <w:rsid w:val="002131BB"/>
    <w:rsid w:val="0022086D"/>
    <w:rsid w:val="002220CB"/>
    <w:rsid w:val="00227E31"/>
    <w:rsid w:val="00230F81"/>
    <w:rsid w:val="00231898"/>
    <w:rsid w:val="002450D6"/>
    <w:rsid w:val="0024739A"/>
    <w:rsid w:val="002538F8"/>
    <w:rsid w:val="00254C6F"/>
    <w:rsid w:val="002665B5"/>
    <w:rsid w:val="0027266B"/>
    <w:rsid w:val="00273A40"/>
    <w:rsid w:val="00281E80"/>
    <w:rsid w:val="002834B0"/>
    <w:rsid w:val="00283671"/>
    <w:rsid w:val="00284E27"/>
    <w:rsid w:val="002A028B"/>
    <w:rsid w:val="002A1973"/>
    <w:rsid w:val="002C2392"/>
    <w:rsid w:val="002D1C5C"/>
    <w:rsid w:val="002D1E20"/>
    <w:rsid w:val="002E6860"/>
    <w:rsid w:val="002F0411"/>
    <w:rsid w:val="003165FD"/>
    <w:rsid w:val="003179D7"/>
    <w:rsid w:val="00325E2A"/>
    <w:rsid w:val="00332FE5"/>
    <w:rsid w:val="00340A27"/>
    <w:rsid w:val="0034786C"/>
    <w:rsid w:val="003517C9"/>
    <w:rsid w:val="0035325B"/>
    <w:rsid w:val="003577ED"/>
    <w:rsid w:val="00370000"/>
    <w:rsid w:val="00373507"/>
    <w:rsid w:val="00374FA6"/>
    <w:rsid w:val="0038230E"/>
    <w:rsid w:val="00382529"/>
    <w:rsid w:val="00387D3B"/>
    <w:rsid w:val="003A75E8"/>
    <w:rsid w:val="003B4CCF"/>
    <w:rsid w:val="003C6AB4"/>
    <w:rsid w:val="003C6FF4"/>
    <w:rsid w:val="003E099F"/>
    <w:rsid w:val="003F1645"/>
    <w:rsid w:val="003F58D7"/>
    <w:rsid w:val="0040086D"/>
    <w:rsid w:val="004017D8"/>
    <w:rsid w:val="00411E03"/>
    <w:rsid w:val="004123B1"/>
    <w:rsid w:val="004303A1"/>
    <w:rsid w:val="004351E4"/>
    <w:rsid w:val="00435B0F"/>
    <w:rsid w:val="00440DC9"/>
    <w:rsid w:val="004506D2"/>
    <w:rsid w:val="00456F40"/>
    <w:rsid w:val="004609BD"/>
    <w:rsid w:val="0046298E"/>
    <w:rsid w:val="004661EE"/>
    <w:rsid w:val="00466741"/>
    <w:rsid w:val="0047591A"/>
    <w:rsid w:val="004839BD"/>
    <w:rsid w:val="004A2BEA"/>
    <w:rsid w:val="004A3C64"/>
    <w:rsid w:val="004A5AEA"/>
    <w:rsid w:val="004A690A"/>
    <w:rsid w:val="004B09DE"/>
    <w:rsid w:val="004B2FDA"/>
    <w:rsid w:val="004B480A"/>
    <w:rsid w:val="004B7C55"/>
    <w:rsid w:val="004E339B"/>
    <w:rsid w:val="004E4562"/>
    <w:rsid w:val="004F077F"/>
    <w:rsid w:val="005023DD"/>
    <w:rsid w:val="00503D8C"/>
    <w:rsid w:val="00522B84"/>
    <w:rsid w:val="00531A7F"/>
    <w:rsid w:val="00537E0A"/>
    <w:rsid w:val="005428C5"/>
    <w:rsid w:val="00543C55"/>
    <w:rsid w:val="00546707"/>
    <w:rsid w:val="005524A3"/>
    <w:rsid w:val="00554981"/>
    <w:rsid w:val="005554C7"/>
    <w:rsid w:val="00560BFE"/>
    <w:rsid w:val="00574D5E"/>
    <w:rsid w:val="00582B99"/>
    <w:rsid w:val="00584D66"/>
    <w:rsid w:val="00590903"/>
    <w:rsid w:val="005A7691"/>
    <w:rsid w:val="005B0FC9"/>
    <w:rsid w:val="005B66D3"/>
    <w:rsid w:val="005C4556"/>
    <w:rsid w:val="005C5302"/>
    <w:rsid w:val="005E05E0"/>
    <w:rsid w:val="005E35CD"/>
    <w:rsid w:val="005E362E"/>
    <w:rsid w:val="005E4B48"/>
    <w:rsid w:val="005F6E2B"/>
    <w:rsid w:val="0061109D"/>
    <w:rsid w:val="00612AA0"/>
    <w:rsid w:val="006138CB"/>
    <w:rsid w:val="006224C4"/>
    <w:rsid w:val="006225EA"/>
    <w:rsid w:val="006261DF"/>
    <w:rsid w:val="00633A44"/>
    <w:rsid w:val="00633B9C"/>
    <w:rsid w:val="00634577"/>
    <w:rsid w:val="00642074"/>
    <w:rsid w:val="00656B29"/>
    <w:rsid w:val="00670D59"/>
    <w:rsid w:val="00687D00"/>
    <w:rsid w:val="00695E58"/>
    <w:rsid w:val="006A1329"/>
    <w:rsid w:val="006A66F9"/>
    <w:rsid w:val="006D5F37"/>
    <w:rsid w:val="006E4CF0"/>
    <w:rsid w:val="006E5F6E"/>
    <w:rsid w:val="006F6329"/>
    <w:rsid w:val="00710607"/>
    <w:rsid w:val="00712CE1"/>
    <w:rsid w:val="00720DFF"/>
    <w:rsid w:val="007218C0"/>
    <w:rsid w:val="00740FBE"/>
    <w:rsid w:val="00762CC5"/>
    <w:rsid w:val="00781CBD"/>
    <w:rsid w:val="00783517"/>
    <w:rsid w:val="007906B4"/>
    <w:rsid w:val="007A4FCB"/>
    <w:rsid w:val="007A7F58"/>
    <w:rsid w:val="007B3109"/>
    <w:rsid w:val="007C013D"/>
    <w:rsid w:val="007D1C49"/>
    <w:rsid w:val="007E4A2C"/>
    <w:rsid w:val="007E759D"/>
    <w:rsid w:val="007F49FD"/>
    <w:rsid w:val="00802F29"/>
    <w:rsid w:val="00812471"/>
    <w:rsid w:val="008261A5"/>
    <w:rsid w:val="008314AD"/>
    <w:rsid w:val="0083382E"/>
    <w:rsid w:val="00844A10"/>
    <w:rsid w:val="00855325"/>
    <w:rsid w:val="00862E34"/>
    <w:rsid w:val="00865915"/>
    <w:rsid w:val="00871832"/>
    <w:rsid w:val="00886CCE"/>
    <w:rsid w:val="00896B33"/>
    <w:rsid w:val="008A62FB"/>
    <w:rsid w:val="008A77B7"/>
    <w:rsid w:val="008B0F67"/>
    <w:rsid w:val="008C1D82"/>
    <w:rsid w:val="008C608D"/>
    <w:rsid w:val="008E13F7"/>
    <w:rsid w:val="008E461D"/>
    <w:rsid w:val="008F08E5"/>
    <w:rsid w:val="008F0EA4"/>
    <w:rsid w:val="008F5213"/>
    <w:rsid w:val="009066C5"/>
    <w:rsid w:val="0090748B"/>
    <w:rsid w:val="009174B1"/>
    <w:rsid w:val="00920C9C"/>
    <w:rsid w:val="00922754"/>
    <w:rsid w:val="00925781"/>
    <w:rsid w:val="009258D0"/>
    <w:rsid w:val="0093153B"/>
    <w:rsid w:val="009317AE"/>
    <w:rsid w:val="00935AB3"/>
    <w:rsid w:val="0095135D"/>
    <w:rsid w:val="00964F99"/>
    <w:rsid w:val="009733E9"/>
    <w:rsid w:val="009734CE"/>
    <w:rsid w:val="00980909"/>
    <w:rsid w:val="00980EDB"/>
    <w:rsid w:val="009864F4"/>
    <w:rsid w:val="0099478D"/>
    <w:rsid w:val="00996E1A"/>
    <w:rsid w:val="009A4414"/>
    <w:rsid w:val="009C1C54"/>
    <w:rsid w:val="009D24DA"/>
    <w:rsid w:val="009D2D7E"/>
    <w:rsid w:val="009D5738"/>
    <w:rsid w:val="009D5D75"/>
    <w:rsid w:val="009F32A2"/>
    <w:rsid w:val="009F54CE"/>
    <w:rsid w:val="00A01098"/>
    <w:rsid w:val="00A0406F"/>
    <w:rsid w:val="00A06264"/>
    <w:rsid w:val="00A1639A"/>
    <w:rsid w:val="00A202C5"/>
    <w:rsid w:val="00A215C9"/>
    <w:rsid w:val="00A4056C"/>
    <w:rsid w:val="00A46956"/>
    <w:rsid w:val="00A5364B"/>
    <w:rsid w:val="00A546DC"/>
    <w:rsid w:val="00A615E0"/>
    <w:rsid w:val="00A65E2B"/>
    <w:rsid w:val="00A74AA0"/>
    <w:rsid w:val="00A7546D"/>
    <w:rsid w:val="00A76369"/>
    <w:rsid w:val="00A77100"/>
    <w:rsid w:val="00A816C0"/>
    <w:rsid w:val="00A90E7B"/>
    <w:rsid w:val="00AA49AA"/>
    <w:rsid w:val="00AA4D97"/>
    <w:rsid w:val="00AC5F86"/>
    <w:rsid w:val="00AC7EF4"/>
    <w:rsid w:val="00AD17B7"/>
    <w:rsid w:val="00AE5B2B"/>
    <w:rsid w:val="00AF3723"/>
    <w:rsid w:val="00AF618E"/>
    <w:rsid w:val="00B02702"/>
    <w:rsid w:val="00B077D5"/>
    <w:rsid w:val="00B1598B"/>
    <w:rsid w:val="00B160DA"/>
    <w:rsid w:val="00B200E4"/>
    <w:rsid w:val="00B35B6D"/>
    <w:rsid w:val="00B35DC6"/>
    <w:rsid w:val="00B410AA"/>
    <w:rsid w:val="00B51116"/>
    <w:rsid w:val="00B51699"/>
    <w:rsid w:val="00B53FAF"/>
    <w:rsid w:val="00B63153"/>
    <w:rsid w:val="00B6527D"/>
    <w:rsid w:val="00B73B3A"/>
    <w:rsid w:val="00B74507"/>
    <w:rsid w:val="00B747F3"/>
    <w:rsid w:val="00B75718"/>
    <w:rsid w:val="00B75E7E"/>
    <w:rsid w:val="00B92005"/>
    <w:rsid w:val="00B93817"/>
    <w:rsid w:val="00BA0B96"/>
    <w:rsid w:val="00BB15DA"/>
    <w:rsid w:val="00BB340D"/>
    <w:rsid w:val="00BC2A3A"/>
    <w:rsid w:val="00BC2BCB"/>
    <w:rsid w:val="00BC43AB"/>
    <w:rsid w:val="00BC64EC"/>
    <w:rsid w:val="00BD073D"/>
    <w:rsid w:val="00BE16CD"/>
    <w:rsid w:val="00BE36BB"/>
    <w:rsid w:val="00BF02E7"/>
    <w:rsid w:val="00BF0444"/>
    <w:rsid w:val="00BF3AFD"/>
    <w:rsid w:val="00C00C49"/>
    <w:rsid w:val="00C05691"/>
    <w:rsid w:val="00C1606C"/>
    <w:rsid w:val="00C1720E"/>
    <w:rsid w:val="00C20EEA"/>
    <w:rsid w:val="00C23180"/>
    <w:rsid w:val="00C41492"/>
    <w:rsid w:val="00C6469E"/>
    <w:rsid w:val="00C702B5"/>
    <w:rsid w:val="00C70389"/>
    <w:rsid w:val="00C7341F"/>
    <w:rsid w:val="00C904B6"/>
    <w:rsid w:val="00C96DF4"/>
    <w:rsid w:val="00C97C2E"/>
    <w:rsid w:val="00CA43E4"/>
    <w:rsid w:val="00CA4A39"/>
    <w:rsid w:val="00CA7BB6"/>
    <w:rsid w:val="00CB08A0"/>
    <w:rsid w:val="00CC00BA"/>
    <w:rsid w:val="00CC1337"/>
    <w:rsid w:val="00CC48DF"/>
    <w:rsid w:val="00CD70E7"/>
    <w:rsid w:val="00CD7363"/>
    <w:rsid w:val="00CE0C1F"/>
    <w:rsid w:val="00CE455F"/>
    <w:rsid w:val="00CE5010"/>
    <w:rsid w:val="00CE687E"/>
    <w:rsid w:val="00CF0163"/>
    <w:rsid w:val="00CF0BF9"/>
    <w:rsid w:val="00CF5957"/>
    <w:rsid w:val="00D04BA2"/>
    <w:rsid w:val="00D077B0"/>
    <w:rsid w:val="00D21234"/>
    <w:rsid w:val="00D22D42"/>
    <w:rsid w:val="00D36D8D"/>
    <w:rsid w:val="00D36FE4"/>
    <w:rsid w:val="00D41712"/>
    <w:rsid w:val="00D45711"/>
    <w:rsid w:val="00D500FC"/>
    <w:rsid w:val="00D51597"/>
    <w:rsid w:val="00D5326E"/>
    <w:rsid w:val="00D55867"/>
    <w:rsid w:val="00D634A3"/>
    <w:rsid w:val="00D72339"/>
    <w:rsid w:val="00D73E47"/>
    <w:rsid w:val="00D74ABB"/>
    <w:rsid w:val="00D8108D"/>
    <w:rsid w:val="00D83CB7"/>
    <w:rsid w:val="00D85E04"/>
    <w:rsid w:val="00D87286"/>
    <w:rsid w:val="00D97FA8"/>
    <w:rsid w:val="00DA08B0"/>
    <w:rsid w:val="00DC1935"/>
    <w:rsid w:val="00DC4B56"/>
    <w:rsid w:val="00DC584B"/>
    <w:rsid w:val="00DC7B25"/>
    <w:rsid w:val="00DD6B73"/>
    <w:rsid w:val="00DE1050"/>
    <w:rsid w:val="00DE6366"/>
    <w:rsid w:val="00DF0408"/>
    <w:rsid w:val="00E112C9"/>
    <w:rsid w:val="00E118FF"/>
    <w:rsid w:val="00E158F7"/>
    <w:rsid w:val="00E2087E"/>
    <w:rsid w:val="00E347F2"/>
    <w:rsid w:val="00E36818"/>
    <w:rsid w:val="00E47B97"/>
    <w:rsid w:val="00E50D05"/>
    <w:rsid w:val="00E5203C"/>
    <w:rsid w:val="00E61C65"/>
    <w:rsid w:val="00E6326D"/>
    <w:rsid w:val="00E634CC"/>
    <w:rsid w:val="00E71ED6"/>
    <w:rsid w:val="00E82F0E"/>
    <w:rsid w:val="00E96FAC"/>
    <w:rsid w:val="00EA05CA"/>
    <w:rsid w:val="00EA129F"/>
    <w:rsid w:val="00EB076D"/>
    <w:rsid w:val="00EB514B"/>
    <w:rsid w:val="00ED0582"/>
    <w:rsid w:val="00ED39A3"/>
    <w:rsid w:val="00EE31F6"/>
    <w:rsid w:val="00EE36DC"/>
    <w:rsid w:val="00EF2759"/>
    <w:rsid w:val="00F044EE"/>
    <w:rsid w:val="00F10D6A"/>
    <w:rsid w:val="00F3320B"/>
    <w:rsid w:val="00F40E92"/>
    <w:rsid w:val="00F41947"/>
    <w:rsid w:val="00F435AA"/>
    <w:rsid w:val="00F76C6A"/>
    <w:rsid w:val="00F83BF1"/>
    <w:rsid w:val="00F90CB9"/>
    <w:rsid w:val="00F92EAD"/>
    <w:rsid w:val="00F97373"/>
    <w:rsid w:val="00FA6854"/>
    <w:rsid w:val="00FB064F"/>
    <w:rsid w:val="00FB144F"/>
    <w:rsid w:val="00FB159A"/>
    <w:rsid w:val="00FB4D77"/>
    <w:rsid w:val="00FB6E2B"/>
    <w:rsid w:val="00FC497D"/>
    <w:rsid w:val="00FD0461"/>
    <w:rsid w:val="00FD076B"/>
    <w:rsid w:val="00FF2DE4"/>
    <w:rsid w:val="00FF3782"/>
    <w:rsid w:val="00FF4F3D"/>
    <w:rsid w:val="00FF6B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6EE4B44"/>
  <w15:docId w15:val="{D54739D7-DC10-49A5-80E0-2E3163EA7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GB"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17C9"/>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format1">
    <w:name w:val="Absatzformat 1"/>
    <w:basedOn w:val="Standard"/>
    <w:uiPriority w:val="99"/>
    <w:rsid w:val="007906B4"/>
    <w:pPr>
      <w:widowControl w:val="0"/>
      <w:autoSpaceDE w:val="0"/>
      <w:autoSpaceDN w:val="0"/>
      <w:adjustRightInd w:val="0"/>
      <w:spacing w:after="85" w:line="288" w:lineRule="auto"/>
      <w:textAlignment w:val="center"/>
    </w:pPr>
    <w:rPr>
      <w:rFonts w:ascii="Akkurat-Fett" w:hAnsi="Akkurat-Fett" w:cs="Akkurat-Fett"/>
      <w:color w:val="000000"/>
      <w:sz w:val="16"/>
      <w:szCs w:val="16"/>
    </w:rPr>
  </w:style>
  <w:style w:type="paragraph" w:styleId="Sprechblasentext">
    <w:name w:val="Balloon Text"/>
    <w:basedOn w:val="Standard"/>
    <w:link w:val="SprechblasentextZchn"/>
    <w:uiPriority w:val="99"/>
    <w:rsid w:val="00F044E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F044EE"/>
    <w:rPr>
      <w:rFonts w:ascii="Tahoma" w:hAnsi="Tahoma" w:cs="Tahoma"/>
      <w:sz w:val="16"/>
      <w:szCs w:val="16"/>
    </w:rPr>
  </w:style>
  <w:style w:type="paragraph" w:styleId="Listenabsatz">
    <w:name w:val="List Paragraph"/>
    <w:basedOn w:val="Standard"/>
    <w:uiPriority w:val="99"/>
    <w:qFormat/>
    <w:rsid w:val="00F044EE"/>
    <w:pPr>
      <w:ind w:left="720"/>
      <w:contextualSpacing/>
    </w:pPr>
  </w:style>
  <w:style w:type="paragraph" w:styleId="StandardWeb">
    <w:name w:val="Normal (Web)"/>
    <w:basedOn w:val="Standard"/>
    <w:uiPriority w:val="99"/>
    <w:rsid w:val="00D72339"/>
    <w:pPr>
      <w:spacing w:before="100" w:beforeAutospacing="1" w:after="100" w:afterAutospacing="1"/>
    </w:pPr>
    <w:rPr>
      <w:rFonts w:ascii="Times New Roman" w:eastAsia="Times New Roman" w:hAnsi="Times New Roman"/>
      <w:lang w:eastAsia="de-DE"/>
    </w:rPr>
  </w:style>
  <w:style w:type="paragraph" w:styleId="Kopfzeile">
    <w:name w:val="header"/>
    <w:basedOn w:val="Standard"/>
    <w:link w:val="KopfzeileZchn"/>
    <w:uiPriority w:val="99"/>
    <w:rsid w:val="00CF5957"/>
    <w:pPr>
      <w:tabs>
        <w:tab w:val="center" w:pos="4536"/>
        <w:tab w:val="right" w:pos="9072"/>
      </w:tabs>
    </w:pPr>
  </w:style>
  <w:style w:type="character" w:customStyle="1" w:styleId="KopfzeileZchn">
    <w:name w:val="Kopfzeile Zchn"/>
    <w:basedOn w:val="Absatz-Standardschriftart"/>
    <w:link w:val="Kopfzeile"/>
    <w:uiPriority w:val="99"/>
    <w:semiHidden/>
    <w:locked/>
    <w:rsid w:val="00886CCE"/>
    <w:rPr>
      <w:rFonts w:cs="Times New Roman"/>
      <w:sz w:val="24"/>
      <w:szCs w:val="24"/>
      <w:lang w:eastAsia="en-US"/>
    </w:rPr>
  </w:style>
  <w:style w:type="paragraph" w:styleId="Fuzeile">
    <w:name w:val="footer"/>
    <w:basedOn w:val="Standard"/>
    <w:link w:val="FuzeileZchn"/>
    <w:uiPriority w:val="99"/>
    <w:rsid w:val="00CF5957"/>
    <w:pPr>
      <w:tabs>
        <w:tab w:val="center" w:pos="4536"/>
        <w:tab w:val="right" w:pos="9072"/>
      </w:tabs>
    </w:pPr>
  </w:style>
  <w:style w:type="character" w:customStyle="1" w:styleId="FuzeileZchn">
    <w:name w:val="Fußzeile Zchn"/>
    <w:basedOn w:val="Absatz-Standardschriftart"/>
    <w:link w:val="Fuzeile"/>
    <w:uiPriority w:val="99"/>
    <w:semiHidden/>
    <w:locked/>
    <w:rsid w:val="00886CCE"/>
    <w:rPr>
      <w:rFonts w:cs="Times New Roman"/>
      <w:sz w:val="24"/>
      <w:szCs w:val="24"/>
      <w:lang w:eastAsia="en-US"/>
    </w:rPr>
  </w:style>
  <w:style w:type="paragraph" w:styleId="Textkrper">
    <w:name w:val="Body Text"/>
    <w:basedOn w:val="Standard"/>
    <w:link w:val="TextkrperZchn"/>
    <w:uiPriority w:val="99"/>
    <w:rsid w:val="00CF5957"/>
    <w:pPr>
      <w:spacing w:after="0" w:line="240" w:lineRule="atLeast"/>
    </w:pPr>
    <w:rPr>
      <w:rFonts w:ascii="Helv" w:hAnsi="Helv"/>
      <w:color w:val="000000"/>
      <w:sz w:val="20"/>
      <w:szCs w:val="20"/>
      <w:lang w:eastAsia="de-DE"/>
    </w:rPr>
  </w:style>
  <w:style w:type="character" w:customStyle="1" w:styleId="TextkrperZchn">
    <w:name w:val="Textkörper Zchn"/>
    <w:basedOn w:val="Absatz-Standardschriftart"/>
    <w:link w:val="Textkrper"/>
    <w:uiPriority w:val="99"/>
    <w:semiHidden/>
    <w:locked/>
    <w:rsid w:val="00886CCE"/>
    <w:rPr>
      <w:rFonts w:cs="Times New Roman"/>
      <w:sz w:val="24"/>
      <w:szCs w:val="24"/>
      <w:lang w:eastAsia="en-US"/>
    </w:rPr>
  </w:style>
  <w:style w:type="character" w:styleId="Hyperlink">
    <w:name w:val="Hyperlink"/>
    <w:basedOn w:val="Absatz-Standardschriftart"/>
    <w:uiPriority w:val="99"/>
    <w:rsid w:val="00CF5957"/>
    <w:rPr>
      <w:rFonts w:cs="Times New Roman"/>
      <w:color w:val="0000FF"/>
      <w:u w:val="single"/>
    </w:rPr>
  </w:style>
  <w:style w:type="character" w:styleId="Seitenzahl">
    <w:name w:val="page number"/>
    <w:basedOn w:val="Absatz-Standardschriftart"/>
    <w:uiPriority w:val="99"/>
    <w:rsid w:val="00862E34"/>
    <w:rPr>
      <w:rFonts w:cs="Times New Roman"/>
    </w:rPr>
  </w:style>
  <w:style w:type="character" w:styleId="BesuchterLink">
    <w:name w:val="FollowedHyperlink"/>
    <w:basedOn w:val="Absatz-Standardschriftart"/>
    <w:uiPriority w:val="99"/>
    <w:semiHidden/>
    <w:unhideWhenUsed/>
    <w:rsid w:val="004B2FDA"/>
    <w:rPr>
      <w:color w:val="800080" w:themeColor="followedHyperlink"/>
      <w:u w:val="single"/>
    </w:rPr>
  </w:style>
  <w:style w:type="paragraph" w:customStyle="1" w:styleId="Default">
    <w:name w:val="Default"/>
    <w:rsid w:val="00EE36DC"/>
    <w:pPr>
      <w:autoSpaceDE w:val="0"/>
      <w:autoSpaceDN w:val="0"/>
      <w:adjustRightInd w:val="0"/>
    </w:pPr>
    <w:rPr>
      <w:rFonts w:ascii="Arial" w:hAnsi="Arial" w:cs="Arial"/>
      <w:color w:val="000000"/>
      <w:sz w:val="24"/>
      <w:szCs w:val="24"/>
    </w:rPr>
  </w:style>
  <w:style w:type="character" w:styleId="Fett">
    <w:name w:val="Strong"/>
    <w:basedOn w:val="Absatz-Standardschriftart"/>
    <w:qFormat/>
    <w:locked/>
    <w:rsid w:val="00382529"/>
    <w:rPr>
      <w:b/>
      <w:bCs/>
    </w:rPr>
  </w:style>
  <w:style w:type="table" w:customStyle="1" w:styleId="TableGrid2">
    <w:name w:val="Table Grid2"/>
    <w:basedOn w:val="NormaleTabelle"/>
    <w:next w:val="Tabellenraster"/>
    <w:uiPriority w:val="59"/>
    <w:rsid w:val="00C7341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locked/>
    <w:rsid w:val="00C7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aleTabelle"/>
    <w:next w:val="Tabellenraster"/>
    <w:uiPriority w:val="59"/>
    <w:rsid w:val="00C7341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B09DE"/>
    <w:rPr>
      <w:sz w:val="16"/>
      <w:szCs w:val="16"/>
    </w:rPr>
  </w:style>
  <w:style w:type="paragraph" w:styleId="Kommentartext">
    <w:name w:val="annotation text"/>
    <w:basedOn w:val="Standard"/>
    <w:link w:val="KommentartextZchn"/>
    <w:uiPriority w:val="99"/>
    <w:semiHidden/>
    <w:unhideWhenUsed/>
    <w:rsid w:val="004B09DE"/>
    <w:rPr>
      <w:sz w:val="20"/>
      <w:szCs w:val="20"/>
    </w:rPr>
  </w:style>
  <w:style w:type="character" w:customStyle="1" w:styleId="KommentartextZchn">
    <w:name w:val="Kommentartext Zchn"/>
    <w:basedOn w:val="Absatz-Standardschriftart"/>
    <w:link w:val="Kommentartext"/>
    <w:uiPriority w:val="99"/>
    <w:semiHidden/>
    <w:rsid w:val="004B09DE"/>
    <w:rPr>
      <w:sz w:val="20"/>
      <w:szCs w:val="20"/>
      <w:lang w:eastAsia="en-US"/>
    </w:rPr>
  </w:style>
  <w:style w:type="paragraph" w:styleId="Kommentarthema">
    <w:name w:val="annotation subject"/>
    <w:basedOn w:val="Kommentartext"/>
    <w:next w:val="Kommentartext"/>
    <w:link w:val="KommentarthemaZchn"/>
    <w:uiPriority w:val="99"/>
    <w:semiHidden/>
    <w:unhideWhenUsed/>
    <w:rsid w:val="004B09DE"/>
    <w:rPr>
      <w:b/>
      <w:bCs/>
    </w:rPr>
  </w:style>
  <w:style w:type="character" w:customStyle="1" w:styleId="KommentarthemaZchn">
    <w:name w:val="Kommentarthema Zchn"/>
    <w:basedOn w:val="KommentartextZchn"/>
    <w:link w:val="Kommentarthema"/>
    <w:uiPriority w:val="99"/>
    <w:semiHidden/>
    <w:rsid w:val="004B09DE"/>
    <w:rPr>
      <w:b/>
      <w:bCs/>
      <w:sz w:val="20"/>
      <w:szCs w:val="20"/>
      <w:lang w:eastAsia="en-US"/>
    </w:rPr>
  </w:style>
  <w:style w:type="paragraph" w:styleId="berarbeitung">
    <w:name w:val="Revision"/>
    <w:hidden/>
    <w:uiPriority w:val="99"/>
    <w:semiHidden/>
    <w:rsid w:val="00560BF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5092">
      <w:bodyDiv w:val="1"/>
      <w:marLeft w:val="0"/>
      <w:marRight w:val="0"/>
      <w:marTop w:val="0"/>
      <w:marBottom w:val="0"/>
      <w:divBdr>
        <w:top w:val="none" w:sz="0" w:space="0" w:color="auto"/>
        <w:left w:val="none" w:sz="0" w:space="0" w:color="auto"/>
        <w:bottom w:val="none" w:sz="0" w:space="0" w:color="auto"/>
        <w:right w:val="none" w:sz="0" w:space="0" w:color="auto"/>
      </w:divBdr>
    </w:div>
    <w:div w:id="425925692">
      <w:bodyDiv w:val="1"/>
      <w:marLeft w:val="0"/>
      <w:marRight w:val="0"/>
      <w:marTop w:val="0"/>
      <w:marBottom w:val="0"/>
      <w:divBdr>
        <w:top w:val="none" w:sz="0" w:space="0" w:color="auto"/>
        <w:left w:val="none" w:sz="0" w:space="0" w:color="auto"/>
        <w:bottom w:val="none" w:sz="0" w:space="0" w:color="auto"/>
        <w:right w:val="none" w:sz="0" w:space="0" w:color="auto"/>
      </w:divBdr>
      <w:divsChild>
        <w:div w:id="886913749">
          <w:marLeft w:val="0"/>
          <w:marRight w:val="0"/>
          <w:marTop w:val="0"/>
          <w:marBottom w:val="0"/>
          <w:divBdr>
            <w:top w:val="none" w:sz="0" w:space="0" w:color="auto"/>
            <w:left w:val="none" w:sz="0" w:space="0" w:color="auto"/>
            <w:bottom w:val="none" w:sz="0" w:space="0" w:color="auto"/>
            <w:right w:val="none" w:sz="0" w:space="0" w:color="auto"/>
          </w:divBdr>
          <w:divsChild>
            <w:div w:id="2099672467">
              <w:marLeft w:val="0"/>
              <w:marRight w:val="0"/>
              <w:marTop w:val="0"/>
              <w:marBottom w:val="0"/>
              <w:divBdr>
                <w:top w:val="none" w:sz="0" w:space="0" w:color="auto"/>
                <w:left w:val="none" w:sz="0" w:space="0" w:color="auto"/>
                <w:bottom w:val="none" w:sz="0" w:space="0" w:color="auto"/>
                <w:right w:val="none" w:sz="0" w:space="0" w:color="auto"/>
              </w:divBdr>
              <w:divsChild>
                <w:div w:id="97261843">
                  <w:marLeft w:val="0"/>
                  <w:marRight w:val="0"/>
                  <w:marTop w:val="0"/>
                  <w:marBottom w:val="0"/>
                  <w:divBdr>
                    <w:top w:val="none" w:sz="0" w:space="0" w:color="auto"/>
                    <w:left w:val="none" w:sz="0" w:space="0" w:color="auto"/>
                    <w:bottom w:val="none" w:sz="0" w:space="0" w:color="auto"/>
                    <w:right w:val="none" w:sz="0" w:space="0" w:color="auto"/>
                  </w:divBdr>
                  <w:divsChild>
                    <w:div w:id="1225792571">
                      <w:marLeft w:val="0"/>
                      <w:marRight w:val="0"/>
                      <w:marTop w:val="0"/>
                      <w:marBottom w:val="0"/>
                      <w:divBdr>
                        <w:top w:val="none" w:sz="0" w:space="0" w:color="auto"/>
                        <w:left w:val="none" w:sz="0" w:space="0" w:color="auto"/>
                        <w:bottom w:val="none" w:sz="0" w:space="0" w:color="auto"/>
                        <w:right w:val="none" w:sz="0" w:space="0" w:color="auto"/>
                      </w:divBdr>
                      <w:divsChild>
                        <w:div w:id="117572393">
                          <w:marLeft w:val="0"/>
                          <w:marRight w:val="0"/>
                          <w:marTop w:val="45"/>
                          <w:marBottom w:val="0"/>
                          <w:divBdr>
                            <w:top w:val="none" w:sz="0" w:space="0" w:color="auto"/>
                            <w:left w:val="none" w:sz="0" w:space="0" w:color="auto"/>
                            <w:bottom w:val="none" w:sz="0" w:space="0" w:color="auto"/>
                            <w:right w:val="none" w:sz="0" w:space="0" w:color="auto"/>
                          </w:divBdr>
                          <w:divsChild>
                            <w:div w:id="2033844504">
                              <w:marLeft w:val="0"/>
                              <w:marRight w:val="0"/>
                              <w:marTop w:val="0"/>
                              <w:marBottom w:val="0"/>
                              <w:divBdr>
                                <w:top w:val="none" w:sz="0" w:space="0" w:color="auto"/>
                                <w:left w:val="none" w:sz="0" w:space="0" w:color="auto"/>
                                <w:bottom w:val="none" w:sz="0" w:space="0" w:color="auto"/>
                                <w:right w:val="none" w:sz="0" w:space="0" w:color="auto"/>
                              </w:divBdr>
                              <w:divsChild>
                                <w:div w:id="1336225925">
                                  <w:marLeft w:val="10530"/>
                                  <w:marRight w:val="0"/>
                                  <w:marTop w:val="0"/>
                                  <w:marBottom w:val="0"/>
                                  <w:divBdr>
                                    <w:top w:val="none" w:sz="0" w:space="0" w:color="auto"/>
                                    <w:left w:val="none" w:sz="0" w:space="0" w:color="auto"/>
                                    <w:bottom w:val="none" w:sz="0" w:space="0" w:color="auto"/>
                                    <w:right w:val="none" w:sz="0" w:space="0" w:color="auto"/>
                                  </w:divBdr>
                                  <w:divsChild>
                                    <w:div w:id="1318996912">
                                      <w:marLeft w:val="0"/>
                                      <w:marRight w:val="0"/>
                                      <w:marTop w:val="0"/>
                                      <w:marBottom w:val="0"/>
                                      <w:divBdr>
                                        <w:top w:val="none" w:sz="0" w:space="0" w:color="auto"/>
                                        <w:left w:val="none" w:sz="0" w:space="0" w:color="auto"/>
                                        <w:bottom w:val="none" w:sz="0" w:space="0" w:color="auto"/>
                                        <w:right w:val="none" w:sz="0" w:space="0" w:color="auto"/>
                                      </w:divBdr>
                                      <w:divsChild>
                                        <w:div w:id="1324351777">
                                          <w:marLeft w:val="0"/>
                                          <w:marRight w:val="0"/>
                                          <w:marTop w:val="0"/>
                                          <w:marBottom w:val="0"/>
                                          <w:divBdr>
                                            <w:top w:val="none" w:sz="0" w:space="0" w:color="auto"/>
                                            <w:left w:val="none" w:sz="0" w:space="0" w:color="auto"/>
                                            <w:bottom w:val="none" w:sz="0" w:space="0" w:color="auto"/>
                                            <w:right w:val="none" w:sz="0" w:space="0" w:color="auto"/>
                                          </w:divBdr>
                                          <w:divsChild>
                                            <w:div w:id="221989635">
                                              <w:marLeft w:val="0"/>
                                              <w:marRight w:val="0"/>
                                              <w:marTop w:val="0"/>
                                              <w:marBottom w:val="0"/>
                                              <w:divBdr>
                                                <w:top w:val="none" w:sz="0" w:space="0" w:color="auto"/>
                                                <w:left w:val="none" w:sz="0" w:space="0" w:color="auto"/>
                                                <w:bottom w:val="none" w:sz="0" w:space="0" w:color="auto"/>
                                                <w:right w:val="none" w:sz="0" w:space="0" w:color="auto"/>
                                              </w:divBdr>
                                              <w:divsChild>
                                                <w:div w:id="855114812">
                                                  <w:marLeft w:val="0"/>
                                                  <w:marRight w:val="0"/>
                                                  <w:marTop w:val="0"/>
                                                  <w:marBottom w:val="0"/>
                                                  <w:divBdr>
                                                    <w:top w:val="none" w:sz="0" w:space="0" w:color="auto"/>
                                                    <w:left w:val="none" w:sz="0" w:space="0" w:color="auto"/>
                                                    <w:bottom w:val="none" w:sz="0" w:space="0" w:color="auto"/>
                                                    <w:right w:val="none" w:sz="0" w:space="0" w:color="auto"/>
                                                  </w:divBdr>
                                                  <w:divsChild>
                                                    <w:div w:id="987974419">
                                                      <w:marLeft w:val="0"/>
                                                      <w:marRight w:val="0"/>
                                                      <w:marTop w:val="0"/>
                                                      <w:marBottom w:val="0"/>
                                                      <w:divBdr>
                                                        <w:top w:val="none" w:sz="0" w:space="0" w:color="auto"/>
                                                        <w:left w:val="none" w:sz="0" w:space="0" w:color="auto"/>
                                                        <w:bottom w:val="none" w:sz="0" w:space="0" w:color="auto"/>
                                                        <w:right w:val="none" w:sz="0" w:space="0" w:color="auto"/>
                                                      </w:divBdr>
                                                      <w:divsChild>
                                                        <w:div w:id="979649846">
                                                          <w:marLeft w:val="0"/>
                                                          <w:marRight w:val="0"/>
                                                          <w:marTop w:val="0"/>
                                                          <w:marBottom w:val="0"/>
                                                          <w:divBdr>
                                                            <w:top w:val="none" w:sz="0" w:space="0" w:color="auto"/>
                                                            <w:left w:val="none" w:sz="0" w:space="0" w:color="auto"/>
                                                            <w:bottom w:val="none" w:sz="0" w:space="0" w:color="auto"/>
                                                            <w:right w:val="none" w:sz="0" w:space="0" w:color="auto"/>
                                                          </w:divBdr>
                                                          <w:divsChild>
                                                            <w:div w:id="2047217953">
                                                              <w:marLeft w:val="0"/>
                                                              <w:marRight w:val="0"/>
                                                              <w:marTop w:val="0"/>
                                                              <w:marBottom w:val="0"/>
                                                              <w:divBdr>
                                                                <w:top w:val="none" w:sz="0" w:space="0" w:color="auto"/>
                                                                <w:left w:val="none" w:sz="0" w:space="0" w:color="auto"/>
                                                                <w:bottom w:val="none" w:sz="0" w:space="0" w:color="auto"/>
                                                                <w:right w:val="none" w:sz="0" w:space="0" w:color="auto"/>
                                                              </w:divBdr>
                                                              <w:divsChild>
                                                                <w:div w:id="19301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3628865">
      <w:bodyDiv w:val="1"/>
      <w:marLeft w:val="0"/>
      <w:marRight w:val="0"/>
      <w:marTop w:val="0"/>
      <w:marBottom w:val="0"/>
      <w:divBdr>
        <w:top w:val="none" w:sz="0" w:space="0" w:color="auto"/>
        <w:left w:val="none" w:sz="0" w:space="0" w:color="auto"/>
        <w:bottom w:val="none" w:sz="0" w:space="0" w:color="auto"/>
        <w:right w:val="none" w:sz="0" w:space="0" w:color="auto"/>
      </w:divBdr>
      <w:divsChild>
        <w:div w:id="1233275600">
          <w:marLeft w:val="0"/>
          <w:marRight w:val="0"/>
          <w:marTop w:val="825"/>
          <w:marBottom w:val="750"/>
          <w:divBdr>
            <w:top w:val="none" w:sz="0" w:space="0" w:color="auto"/>
            <w:left w:val="none" w:sz="0" w:space="0" w:color="auto"/>
            <w:bottom w:val="none" w:sz="0" w:space="0" w:color="auto"/>
            <w:right w:val="none" w:sz="0" w:space="0" w:color="auto"/>
          </w:divBdr>
          <w:divsChild>
            <w:div w:id="52774215">
              <w:marLeft w:val="0"/>
              <w:marRight w:val="0"/>
              <w:marTop w:val="0"/>
              <w:marBottom w:val="0"/>
              <w:divBdr>
                <w:top w:val="none" w:sz="0" w:space="0" w:color="auto"/>
                <w:left w:val="none" w:sz="0" w:space="0" w:color="auto"/>
                <w:bottom w:val="none" w:sz="0" w:space="0" w:color="auto"/>
                <w:right w:val="none" w:sz="0" w:space="0" w:color="auto"/>
              </w:divBdr>
              <w:divsChild>
                <w:div w:id="1301308883">
                  <w:marLeft w:val="0"/>
                  <w:marRight w:val="14400"/>
                  <w:marTop w:val="0"/>
                  <w:marBottom w:val="0"/>
                  <w:divBdr>
                    <w:top w:val="none" w:sz="0" w:space="0" w:color="auto"/>
                    <w:left w:val="none" w:sz="0" w:space="0" w:color="auto"/>
                    <w:bottom w:val="none" w:sz="0" w:space="0" w:color="auto"/>
                    <w:right w:val="none" w:sz="0" w:space="0" w:color="auto"/>
                  </w:divBdr>
                  <w:divsChild>
                    <w:div w:id="174734405">
                      <w:marLeft w:val="0"/>
                      <w:marRight w:val="0"/>
                      <w:marTop w:val="0"/>
                      <w:marBottom w:val="0"/>
                      <w:divBdr>
                        <w:top w:val="none" w:sz="0" w:space="0" w:color="auto"/>
                        <w:left w:val="none" w:sz="0" w:space="0" w:color="auto"/>
                        <w:bottom w:val="none" w:sz="0" w:space="0" w:color="auto"/>
                        <w:right w:val="none" w:sz="0" w:space="0" w:color="auto"/>
                      </w:divBdr>
                      <w:divsChild>
                        <w:div w:id="9194837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836209">
      <w:bodyDiv w:val="1"/>
      <w:marLeft w:val="0"/>
      <w:marRight w:val="0"/>
      <w:marTop w:val="0"/>
      <w:marBottom w:val="0"/>
      <w:divBdr>
        <w:top w:val="none" w:sz="0" w:space="0" w:color="auto"/>
        <w:left w:val="none" w:sz="0" w:space="0" w:color="auto"/>
        <w:bottom w:val="none" w:sz="0" w:space="0" w:color="auto"/>
        <w:right w:val="none" w:sz="0" w:space="0" w:color="auto"/>
      </w:divBdr>
      <w:divsChild>
        <w:div w:id="821585798">
          <w:marLeft w:val="0"/>
          <w:marRight w:val="0"/>
          <w:marTop w:val="0"/>
          <w:marBottom w:val="0"/>
          <w:divBdr>
            <w:top w:val="none" w:sz="0" w:space="0" w:color="auto"/>
            <w:left w:val="none" w:sz="0" w:space="0" w:color="auto"/>
            <w:bottom w:val="none" w:sz="0" w:space="0" w:color="auto"/>
            <w:right w:val="none" w:sz="0" w:space="0" w:color="auto"/>
          </w:divBdr>
          <w:divsChild>
            <w:div w:id="1215041588">
              <w:marLeft w:val="0"/>
              <w:marRight w:val="0"/>
              <w:marTop w:val="0"/>
              <w:marBottom w:val="0"/>
              <w:divBdr>
                <w:top w:val="none" w:sz="0" w:space="0" w:color="auto"/>
                <w:left w:val="none" w:sz="0" w:space="0" w:color="auto"/>
                <w:bottom w:val="none" w:sz="0" w:space="0" w:color="auto"/>
                <w:right w:val="none" w:sz="0" w:space="0" w:color="auto"/>
              </w:divBdr>
              <w:divsChild>
                <w:div w:id="2009867565">
                  <w:marLeft w:val="0"/>
                  <w:marRight w:val="0"/>
                  <w:marTop w:val="0"/>
                  <w:marBottom w:val="0"/>
                  <w:divBdr>
                    <w:top w:val="none" w:sz="0" w:space="0" w:color="auto"/>
                    <w:left w:val="none" w:sz="0" w:space="0" w:color="auto"/>
                    <w:bottom w:val="none" w:sz="0" w:space="0" w:color="auto"/>
                    <w:right w:val="none" w:sz="0" w:space="0" w:color="auto"/>
                  </w:divBdr>
                  <w:divsChild>
                    <w:div w:id="489103285">
                      <w:marLeft w:val="0"/>
                      <w:marRight w:val="0"/>
                      <w:marTop w:val="0"/>
                      <w:marBottom w:val="0"/>
                      <w:divBdr>
                        <w:top w:val="none" w:sz="0" w:space="0" w:color="auto"/>
                        <w:left w:val="none" w:sz="0" w:space="0" w:color="auto"/>
                        <w:bottom w:val="none" w:sz="0" w:space="0" w:color="auto"/>
                        <w:right w:val="none" w:sz="0" w:space="0" w:color="auto"/>
                      </w:divBdr>
                      <w:divsChild>
                        <w:div w:id="1384913999">
                          <w:marLeft w:val="0"/>
                          <w:marRight w:val="0"/>
                          <w:marTop w:val="45"/>
                          <w:marBottom w:val="0"/>
                          <w:divBdr>
                            <w:top w:val="none" w:sz="0" w:space="0" w:color="auto"/>
                            <w:left w:val="none" w:sz="0" w:space="0" w:color="auto"/>
                            <w:bottom w:val="none" w:sz="0" w:space="0" w:color="auto"/>
                            <w:right w:val="none" w:sz="0" w:space="0" w:color="auto"/>
                          </w:divBdr>
                          <w:divsChild>
                            <w:div w:id="1288976640">
                              <w:marLeft w:val="1800"/>
                              <w:marRight w:val="3810"/>
                              <w:marTop w:val="0"/>
                              <w:marBottom w:val="0"/>
                              <w:divBdr>
                                <w:top w:val="none" w:sz="0" w:space="0" w:color="auto"/>
                                <w:left w:val="none" w:sz="0" w:space="0" w:color="auto"/>
                                <w:bottom w:val="none" w:sz="0" w:space="0" w:color="auto"/>
                                <w:right w:val="none" w:sz="0" w:space="0" w:color="auto"/>
                              </w:divBdr>
                              <w:divsChild>
                                <w:div w:id="998923496">
                                  <w:marLeft w:val="0"/>
                                  <w:marRight w:val="0"/>
                                  <w:marTop w:val="0"/>
                                  <w:marBottom w:val="0"/>
                                  <w:divBdr>
                                    <w:top w:val="none" w:sz="0" w:space="0" w:color="auto"/>
                                    <w:left w:val="none" w:sz="0" w:space="0" w:color="auto"/>
                                    <w:bottom w:val="none" w:sz="0" w:space="0" w:color="auto"/>
                                    <w:right w:val="none" w:sz="0" w:space="0" w:color="auto"/>
                                  </w:divBdr>
                                  <w:divsChild>
                                    <w:div w:id="1894462646">
                                      <w:marLeft w:val="0"/>
                                      <w:marRight w:val="0"/>
                                      <w:marTop w:val="0"/>
                                      <w:marBottom w:val="0"/>
                                      <w:divBdr>
                                        <w:top w:val="none" w:sz="0" w:space="0" w:color="auto"/>
                                        <w:left w:val="none" w:sz="0" w:space="0" w:color="auto"/>
                                        <w:bottom w:val="none" w:sz="0" w:space="0" w:color="auto"/>
                                        <w:right w:val="none" w:sz="0" w:space="0" w:color="auto"/>
                                      </w:divBdr>
                                      <w:divsChild>
                                        <w:div w:id="1058819270">
                                          <w:marLeft w:val="0"/>
                                          <w:marRight w:val="0"/>
                                          <w:marTop w:val="0"/>
                                          <w:marBottom w:val="0"/>
                                          <w:divBdr>
                                            <w:top w:val="none" w:sz="0" w:space="0" w:color="auto"/>
                                            <w:left w:val="none" w:sz="0" w:space="0" w:color="auto"/>
                                            <w:bottom w:val="none" w:sz="0" w:space="0" w:color="auto"/>
                                            <w:right w:val="none" w:sz="0" w:space="0" w:color="auto"/>
                                          </w:divBdr>
                                          <w:divsChild>
                                            <w:div w:id="1834487000">
                                              <w:marLeft w:val="0"/>
                                              <w:marRight w:val="0"/>
                                              <w:marTop w:val="100"/>
                                              <w:marBottom w:val="100"/>
                                              <w:divBdr>
                                                <w:top w:val="none" w:sz="0" w:space="0" w:color="auto"/>
                                                <w:left w:val="none" w:sz="0" w:space="0" w:color="auto"/>
                                                <w:bottom w:val="none" w:sz="0" w:space="0" w:color="auto"/>
                                                <w:right w:val="none" w:sz="0" w:space="0" w:color="auto"/>
                                              </w:divBdr>
                                              <w:divsChild>
                                                <w:div w:id="493490447">
                                                  <w:marLeft w:val="0"/>
                                                  <w:marRight w:val="0"/>
                                                  <w:marTop w:val="0"/>
                                                  <w:marBottom w:val="0"/>
                                                  <w:divBdr>
                                                    <w:top w:val="none" w:sz="0" w:space="0" w:color="auto"/>
                                                    <w:left w:val="none" w:sz="0" w:space="0" w:color="auto"/>
                                                    <w:bottom w:val="none" w:sz="0" w:space="0" w:color="auto"/>
                                                    <w:right w:val="none" w:sz="0" w:space="0" w:color="auto"/>
                                                  </w:divBdr>
                                                  <w:divsChild>
                                                    <w:div w:id="290523207">
                                                      <w:marLeft w:val="0"/>
                                                      <w:marRight w:val="0"/>
                                                      <w:marTop w:val="0"/>
                                                      <w:marBottom w:val="0"/>
                                                      <w:divBdr>
                                                        <w:top w:val="none" w:sz="0" w:space="0" w:color="auto"/>
                                                        <w:left w:val="none" w:sz="0" w:space="0" w:color="auto"/>
                                                        <w:bottom w:val="none" w:sz="0" w:space="0" w:color="auto"/>
                                                        <w:right w:val="none" w:sz="0" w:space="0" w:color="auto"/>
                                                      </w:divBdr>
                                                      <w:divsChild>
                                                        <w:div w:id="1056851096">
                                                          <w:marLeft w:val="0"/>
                                                          <w:marRight w:val="0"/>
                                                          <w:marTop w:val="0"/>
                                                          <w:marBottom w:val="0"/>
                                                          <w:divBdr>
                                                            <w:top w:val="none" w:sz="0" w:space="0" w:color="auto"/>
                                                            <w:left w:val="none" w:sz="0" w:space="0" w:color="auto"/>
                                                            <w:bottom w:val="none" w:sz="0" w:space="0" w:color="auto"/>
                                                            <w:right w:val="none" w:sz="0" w:space="0" w:color="auto"/>
                                                          </w:divBdr>
                                                          <w:divsChild>
                                                            <w:div w:id="17360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208446">
      <w:bodyDiv w:val="1"/>
      <w:marLeft w:val="0"/>
      <w:marRight w:val="0"/>
      <w:marTop w:val="0"/>
      <w:marBottom w:val="0"/>
      <w:divBdr>
        <w:top w:val="none" w:sz="0" w:space="0" w:color="auto"/>
        <w:left w:val="none" w:sz="0" w:space="0" w:color="auto"/>
        <w:bottom w:val="none" w:sz="0" w:space="0" w:color="auto"/>
        <w:right w:val="none" w:sz="0" w:space="0" w:color="auto"/>
      </w:divBdr>
    </w:div>
    <w:div w:id="1843080526">
      <w:marLeft w:val="0"/>
      <w:marRight w:val="0"/>
      <w:marTop w:val="0"/>
      <w:marBottom w:val="0"/>
      <w:divBdr>
        <w:top w:val="none" w:sz="0" w:space="0" w:color="auto"/>
        <w:left w:val="none" w:sz="0" w:space="0" w:color="auto"/>
        <w:bottom w:val="none" w:sz="0" w:space="0" w:color="auto"/>
        <w:right w:val="none" w:sz="0" w:space="0" w:color="auto"/>
      </w:divBdr>
    </w:div>
    <w:div w:id="2140568504">
      <w:bodyDiv w:val="1"/>
      <w:marLeft w:val="0"/>
      <w:marRight w:val="0"/>
      <w:marTop w:val="0"/>
      <w:marBottom w:val="0"/>
      <w:divBdr>
        <w:top w:val="none" w:sz="0" w:space="0" w:color="auto"/>
        <w:left w:val="none" w:sz="0" w:space="0" w:color="auto"/>
        <w:bottom w:val="none" w:sz="0" w:space="0" w:color="auto"/>
        <w:right w:val="none" w:sz="0" w:space="0" w:color="auto"/>
      </w:divBdr>
      <w:divsChild>
        <w:div w:id="84495818">
          <w:marLeft w:val="518"/>
          <w:marRight w:val="0"/>
          <w:marTop w:val="0"/>
          <w:marBottom w:val="0"/>
          <w:divBdr>
            <w:top w:val="none" w:sz="0" w:space="0" w:color="auto"/>
            <w:left w:val="none" w:sz="0" w:space="0" w:color="auto"/>
            <w:bottom w:val="none" w:sz="0" w:space="0" w:color="auto"/>
            <w:right w:val="none" w:sz="0" w:space="0" w:color="auto"/>
          </w:divBdr>
        </w:div>
        <w:div w:id="448554726">
          <w:marLeft w:val="1238"/>
          <w:marRight w:val="0"/>
          <w:marTop w:val="0"/>
          <w:marBottom w:val="0"/>
          <w:divBdr>
            <w:top w:val="none" w:sz="0" w:space="0" w:color="auto"/>
            <w:left w:val="none" w:sz="0" w:space="0" w:color="auto"/>
            <w:bottom w:val="none" w:sz="0" w:space="0" w:color="auto"/>
            <w:right w:val="none" w:sz="0" w:space="0" w:color="auto"/>
          </w:divBdr>
        </w:div>
        <w:div w:id="1683389385">
          <w:marLeft w:val="1238"/>
          <w:marRight w:val="0"/>
          <w:marTop w:val="0"/>
          <w:marBottom w:val="0"/>
          <w:divBdr>
            <w:top w:val="none" w:sz="0" w:space="0" w:color="auto"/>
            <w:left w:val="none" w:sz="0" w:space="0" w:color="auto"/>
            <w:bottom w:val="none" w:sz="0" w:space="0" w:color="auto"/>
            <w:right w:val="none" w:sz="0" w:space="0" w:color="auto"/>
          </w:divBdr>
        </w:div>
        <w:div w:id="298728355">
          <w:marLeft w:val="12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ermanpropertypartners.de/d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eug-immobilien.de/privat-immobilien" TargetMode="External"/><Relationship Id="rId17" Type="http://schemas.openxmlformats.org/officeDocument/2006/relationships/hyperlink" Target="mailto:presse@grossmann-berger.de" TargetMode="External"/><Relationship Id="rId2" Type="http://schemas.openxmlformats.org/officeDocument/2006/relationships/numbering" Target="numbering.xml"/><Relationship Id="rId16" Type="http://schemas.openxmlformats.org/officeDocument/2006/relationships/hyperlink" Target="https://www.grossmann-berger.de/unternehmen/pressemappe/nutzungsbedingungen-press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g-immobilien.de/gewerbe-immobilien" TargetMode="External"/><Relationship Id="rId5" Type="http://schemas.openxmlformats.org/officeDocument/2006/relationships/webSettings" Target="webSettings.xml"/><Relationship Id="rId15" Type="http://schemas.openxmlformats.org/officeDocument/2006/relationships/hyperlink" Target="https://www.grossmann-berger.de/unternehmen/pressemappe/" TargetMode="External"/><Relationship Id="rId23" Type="http://schemas.openxmlformats.org/officeDocument/2006/relationships/theme" Target="theme/theme1.xml"/><Relationship Id="rId10" Type="http://schemas.openxmlformats.org/officeDocument/2006/relationships/hyperlink" Target="https://www.grossmann-berger.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rossmann-berger.de/info/marktberichte-preistrends" TargetMode="External"/><Relationship Id="rId14" Type="http://schemas.openxmlformats.org/officeDocument/2006/relationships/hyperlink" Target="https://www.grossmann-berger.de/datenschutz/"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95998-854D-472C-AC76-01C6AE31E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5577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bi</dc:creator>
  <cp:lastModifiedBy>Corinna Fühner</cp:lastModifiedBy>
  <cp:revision>4</cp:revision>
  <cp:lastPrinted>2022-10-03T16:55:00Z</cp:lastPrinted>
  <dcterms:created xsi:type="dcterms:W3CDTF">2022-10-04T06:17:00Z</dcterms:created>
  <dcterms:modified xsi:type="dcterms:W3CDTF">2022-10-05T08:26:00Z</dcterms:modified>
</cp:coreProperties>
</file>