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8F9034" w14:textId="104CA6B8" w:rsidR="000D48D4" w:rsidRPr="007171BF" w:rsidRDefault="00D157A0" w:rsidP="00365AF8">
      <w:pPr>
        <w:spacing w:after="0" w:line="360" w:lineRule="auto"/>
        <w:rPr>
          <w:rFonts w:ascii="Arial" w:hAnsi="Arial" w:cs="Arial"/>
          <w:b/>
          <w:sz w:val="28"/>
          <w:szCs w:val="28"/>
        </w:rPr>
      </w:pPr>
      <w:r>
        <w:rPr>
          <w:rFonts w:ascii="Arial" w:hAnsi="Arial"/>
          <w:b/>
        </w:rPr>
        <w:t>Hamburg: Investment market, 1st-4th quarters of 2021</w:t>
      </w:r>
      <w:r>
        <w:rPr>
          <w:rFonts w:ascii="Arial" w:hAnsi="Arial"/>
          <w:b/>
        </w:rPr>
        <w:br/>
      </w:r>
      <w:r w:rsidRPr="007171BF">
        <w:rPr>
          <w:rFonts w:ascii="Arial" w:hAnsi="Arial"/>
          <w:b/>
          <w:sz w:val="28"/>
          <w:szCs w:val="28"/>
        </w:rPr>
        <w:t>Supply trailing behind demand</w:t>
      </w:r>
    </w:p>
    <w:p w14:paraId="5DC3EAC5" w14:textId="29DB094C" w:rsidR="00590903" w:rsidRPr="00253412" w:rsidRDefault="00590903" w:rsidP="00365AF8">
      <w:pPr>
        <w:spacing w:after="0" w:line="360" w:lineRule="auto"/>
        <w:jc w:val="both"/>
        <w:rPr>
          <w:rFonts w:ascii="Arial" w:hAnsi="Arial" w:cs="Arial"/>
          <w:b/>
          <w:sz w:val="18"/>
          <w:szCs w:val="20"/>
        </w:rPr>
      </w:pPr>
    </w:p>
    <w:p w14:paraId="52F18CC2" w14:textId="26172114" w:rsidR="00C362A7" w:rsidRPr="00907E6A" w:rsidRDefault="00E90673" w:rsidP="00F91D23">
      <w:pPr>
        <w:spacing w:after="0" w:line="360" w:lineRule="auto"/>
        <w:rPr>
          <w:rFonts w:ascii="Arial" w:hAnsi="Arial" w:cs="Arial"/>
          <w:b/>
          <w:sz w:val="20"/>
          <w:szCs w:val="20"/>
        </w:rPr>
      </w:pPr>
      <w:r>
        <w:rPr>
          <w:rFonts w:ascii="Arial" w:hAnsi="Arial"/>
          <w:b/>
          <w:sz w:val="20"/>
          <w:szCs w:val="20"/>
        </w:rPr>
        <w:t>Hamburg, 3rd January 2022</w:t>
      </w:r>
      <w:r>
        <w:rPr>
          <w:rFonts w:ascii="Arial" w:hAnsi="Arial"/>
          <w:sz w:val="20"/>
          <w:szCs w:val="20"/>
        </w:rPr>
        <w:t xml:space="preserve"> – Whereas commercial properties continued to be traded in 2020 as if there were no COVID pandemic, the market had lost much of its momentum by the end of 2021. The volume of transactions totalled some €3.2bn and was thus 40 % below the prior year’s value (some €5.37bn). Following a weak </w:t>
      </w:r>
      <w:r w:rsidR="007171BF">
        <w:rPr>
          <w:rFonts w:ascii="Arial" w:hAnsi="Arial"/>
          <w:sz w:val="20"/>
          <w:szCs w:val="20"/>
        </w:rPr>
        <w:t>1st</w:t>
      </w:r>
      <w:r>
        <w:rPr>
          <w:rFonts w:ascii="Arial" w:hAnsi="Arial"/>
          <w:sz w:val="20"/>
          <w:szCs w:val="20"/>
        </w:rPr>
        <w:t xml:space="preserve"> half year, the market revived in the 3rd quarter and closed the year with a </w:t>
      </w:r>
      <w:r w:rsidR="006C6C20">
        <w:rPr>
          <w:rFonts w:ascii="Arial" w:hAnsi="Arial"/>
          <w:sz w:val="20"/>
          <w:szCs w:val="20"/>
        </w:rPr>
        <w:t xml:space="preserve">customary </w:t>
      </w:r>
      <w:r>
        <w:rPr>
          <w:rFonts w:ascii="Arial" w:hAnsi="Arial"/>
          <w:sz w:val="20"/>
          <w:szCs w:val="20"/>
        </w:rPr>
        <w:t xml:space="preserve">4th-quarter rally. However, with total property trading of €1.1bn in the final three months, it was the weakest 4th quarter on record since 2015. </w:t>
      </w:r>
      <w:r w:rsidR="006C6C20">
        <w:rPr>
          <w:rFonts w:ascii="Arial" w:hAnsi="Arial"/>
          <w:sz w:val="20"/>
          <w:szCs w:val="20"/>
        </w:rPr>
        <w:t>Moreover, t</w:t>
      </w:r>
      <w:r>
        <w:rPr>
          <w:rFonts w:ascii="Arial" w:hAnsi="Arial"/>
          <w:sz w:val="20"/>
          <w:szCs w:val="20"/>
        </w:rPr>
        <w:t xml:space="preserve">he total transaction volume </w:t>
      </w:r>
      <w:r w:rsidR="006C6C20">
        <w:rPr>
          <w:rFonts w:ascii="Arial" w:hAnsi="Arial"/>
          <w:sz w:val="20"/>
          <w:szCs w:val="20"/>
        </w:rPr>
        <w:t xml:space="preserve">in 2021 </w:t>
      </w:r>
      <w:r>
        <w:rPr>
          <w:rFonts w:ascii="Arial" w:hAnsi="Arial"/>
          <w:sz w:val="20"/>
          <w:szCs w:val="20"/>
        </w:rPr>
        <w:t xml:space="preserve">was below the ten-year average of €3.8bn. </w:t>
      </w:r>
      <w:r>
        <w:rPr>
          <w:rFonts w:ascii="Arial" w:hAnsi="Arial"/>
          <w:i/>
          <w:sz w:val="20"/>
          <w:szCs w:val="20"/>
        </w:rPr>
        <w:t>“The lockdown restrictions and political measures at the start of the year made owners noticeably reluctant to sell. And so there are hardly any properties on the market at the moment,”</w:t>
      </w:r>
      <w:r>
        <w:rPr>
          <w:rFonts w:ascii="Arial" w:hAnsi="Arial"/>
          <w:sz w:val="20"/>
          <w:szCs w:val="20"/>
        </w:rPr>
        <w:t xml:space="preserve"> explains </w:t>
      </w:r>
      <w:r>
        <w:rPr>
          <w:rFonts w:ascii="Arial" w:hAnsi="Arial"/>
          <w:b/>
          <w:sz w:val="20"/>
          <w:szCs w:val="20"/>
        </w:rPr>
        <w:t>Sandra Ludwig</w:t>
      </w:r>
      <w:r w:rsidRPr="007171BF">
        <w:rPr>
          <w:rFonts w:ascii="Arial" w:hAnsi="Arial"/>
          <w:sz w:val="20"/>
          <w:szCs w:val="20"/>
        </w:rPr>
        <w:t>,</w:t>
      </w:r>
      <w:r>
        <w:rPr>
          <w:rFonts w:ascii="Arial" w:hAnsi="Arial"/>
          <w:sz w:val="20"/>
          <w:szCs w:val="20"/>
        </w:rPr>
        <w:t xml:space="preserve"> managing di</w:t>
      </w:r>
      <w:r w:rsidR="007171BF">
        <w:rPr>
          <w:rFonts w:ascii="Arial" w:hAnsi="Arial"/>
          <w:sz w:val="20"/>
          <w:szCs w:val="20"/>
        </w:rPr>
        <w:t xml:space="preserve">rector of Grossmann &amp; Berger, </w:t>
      </w:r>
      <w:r>
        <w:rPr>
          <w:rFonts w:ascii="Arial" w:hAnsi="Arial"/>
          <w:sz w:val="20"/>
          <w:szCs w:val="20"/>
        </w:rPr>
        <w:t xml:space="preserve">member of Germany Property Partners (GPP). </w:t>
      </w:r>
      <w:r>
        <w:rPr>
          <w:rFonts w:ascii="Arial" w:hAnsi="Arial"/>
          <w:i/>
          <w:sz w:val="20"/>
          <w:szCs w:val="20"/>
        </w:rPr>
        <w:t>“Because of the shortage of properties and renewed interest in office space, investors are now supplementing their core holdings with value-add real estate which can be turned into, e.g., space for new work-place concepts,”</w:t>
      </w:r>
      <w:r>
        <w:rPr>
          <w:rFonts w:ascii="Arial" w:hAnsi="Arial"/>
          <w:sz w:val="20"/>
          <w:szCs w:val="20"/>
        </w:rPr>
        <w:t xml:space="preserve"> remarks </w:t>
      </w:r>
      <w:r>
        <w:rPr>
          <w:rFonts w:ascii="Arial" w:hAnsi="Arial"/>
          <w:b/>
          <w:sz w:val="20"/>
          <w:szCs w:val="20"/>
        </w:rPr>
        <w:t>Ludwig.</w:t>
      </w:r>
      <w:r>
        <w:rPr>
          <w:rFonts w:ascii="Arial" w:hAnsi="Arial"/>
          <w:sz w:val="20"/>
          <w:szCs w:val="20"/>
        </w:rPr>
        <w:t xml:space="preserve"> Grossmann &amp; Berger expects the year 2022 to develop satisfactorily overall, although it is likely to begin slowly as practically nothing is left in the pipeline, unlike the early part of 2021.</w:t>
      </w:r>
    </w:p>
    <w:p w14:paraId="6F149F30" w14:textId="715054AA" w:rsidR="001F0102" w:rsidRDefault="001F0102" w:rsidP="00F91D23">
      <w:pPr>
        <w:spacing w:after="0" w:line="360" w:lineRule="auto"/>
        <w:rPr>
          <w:rFonts w:ascii="Arial" w:hAnsi="Arial" w:cs="Arial"/>
          <w:sz w:val="20"/>
          <w:szCs w:val="20"/>
        </w:rPr>
      </w:pPr>
    </w:p>
    <w:p w14:paraId="79CA357A" w14:textId="58F908D1" w:rsidR="000A5ED1" w:rsidRPr="00D35A6D" w:rsidRDefault="00365AF8" w:rsidP="00365AF8">
      <w:pPr>
        <w:spacing w:after="0" w:line="360" w:lineRule="auto"/>
        <w:textAlignment w:val="baseline"/>
        <w:rPr>
          <w:rFonts w:ascii="Arial" w:hAnsi="Arial" w:cs="Arial"/>
          <w:b/>
          <w:sz w:val="20"/>
          <w:szCs w:val="20"/>
        </w:rPr>
      </w:pPr>
      <w:r>
        <w:rPr>
          <w:rFonts w:ascii="Arial" w:hAnsi="Arial"/>
          <w:b/>
          <w:sz w:val="20"/>
          <w:szCs w:val="20"/>
        </w:rPr>
        <w:t xml:space="preserve">Market details: </w:t>
      </w:r>
    </w:p>
    <w:p w14:paraId="141C0D85" w14:textId="4F4E3B11" w:rsidR="008E3F75" w:rsidRDefault="00317DDA" w:rsidP="00C05758">
      <w:pPr>
        <w:pStyle w:val="Listenabsatz"/>
        <w:numPr>
          <w:ilvl w:val="0"/>
          <w:numId w:val="21"/>
        </w:numPr>
        <w:spacing w:after="0" w:line="360" w:lineRule="auto"/>
        <w:ind w:left="284" w:hanging="284"/>
        <w:textAlignment w:val="baseline"/>
        <w:rPr>
          <w:rFonts w:ascii="Arial" w:hAnsi="Arial" w:cs="Arial"/>
          <w:sz w:val="20"/>
          <w:szCs w:val="20"/>
        </w:rPr>
      </w:pPr>
      <w:r>
        <w:rPr>
          <w:rFonts w:ascii="Arial" w:hAnsi="Arial"/>
          <w:sz w:val="20"/>
          <w:szCs w:val="20"/>
        </w:rPr>
        <w:t xml:space="preserve">In the whole of 2021, only seven transactions were noted in the </w:t>
      </w:r>
      <w:r>
        <w:rPr>
          <w:rFonts w:ascii="Arial" w:hAnsi="Arial"/>
          <w:sz w:val="20"/>
          <w:szCs w:val="20"/>
          <w:u w:val="single"/>
        </w:rPr>
        <w:t>price bracket</w:t>
      </w:r>
      <w:r>
        <w:rPr>
          <w:rFonts w:ascii="Arial" w:hAnsi="Arial"/>
          <w:sz w:val="20"/>
          <w:szCs w:val="20"/>
        </w:rPr>
        <w:t xml:space="preserve"> of €100m or more: less than half the figure noted in 2020 (15).</w:t>
      </w:r>
    </w:p>
    <w:p w14:paraId="60C3C488" w14:textId="26A56EC1" w:rsidR="00C05758" w:rsidRDefault="00C05758" w:rsidP="00C05758">
      <w:pPr>
        <w:pStyle w:val="Listenabsatz"/>
        <w:numPr>
          <w:ilvl w:val="0"/>
          <w:numId w:val="21"/>
        </w:numPr>
        <w:spacing w:after="0" w:line="360" w:lineRule="auto"/>
        <w:ind w:left="284" w:hanging="284"/>
        <w:textAlignment w:val="baseline"/>
        <w:rPr>
          <w:rFonts w:ascii="Arial" w:hAnsi="Arial" w:cs="Arial"/>
          <w:sz w:val="20"/>
          <w:szCs w:val="20"/>
        </w:rPr>
      </w:pPr>
      <w:r>
        <w:rPr>
          <w:rFonts w:ascii="Arial" w:hAnsi="Arial"/>
          <w:sz w:val="20"/>
          <w:szCs w:val="20"/>
        </w:rPr>
        <w:t xml:space="preserve">Investors have shown even greater interest in office real estate and accordingly this </w:t>
      </w:r>
      <w:r>
        <w:rPr>
          <w:rFonts w:ascii="Arial" w:hAnsi="Arial"/>
          <w:sz w:val="20"/>
          <w:szCs w:val="20"/>
          <w:u w:val="single"/>
        </w:rPr>
        <w:t>class of asset</w:t>
      </w:r>
      <w:r>
        <w:rPr>
          <w:rFonts w:ascii="Arial" w:hAnsi="Arial"/>
          <w:sz w:val="20"/>
          <w:szCs w:val="20"/>
        </w:rPr>
        <w:t xml:space="preserve"> accounted for 66 % of the market by the end of 2021 (2020: 53 %). Logistics properties were also far more popular in 2021, comprising 14 % of the market vo</w:t>
      </w:r>
      <w:r w:rsidR="007171BF">
        <w:rPr>
          <w:rFonts w:ascii="Arial" w:hAnsi="Arial"/>
          <w:sz w:val="20"/>
          <w:szCs w:val="20"/>
        </w:rPr>
        <w:t>lume (</w:t>
      </w:r>
      <w:r>
        <w:rPr>
          <w:rFonts w:ascii="Arial" w:hAnsi="Arial"/>
          <w:sz w:val="20"/>
          <w:szCs w:val="20"/>
        </w:rPr>
        <w:t>2020</w:t>
      </w:r>
      <w:r w:rsidR="007171BF">
        <w:rPr>
          <w:rFonts w:ascii="Arial" w:hAnsi="Arial"/>
          <w:sz w:val="20"/>
          <w:szCs w:val="20"/>
        </w:rPr>
        <w:t>:</w:t>
      </w:r>
      <w:r>
        <w:rPr>
          <w:rFonts w:ascii="Arial" w:hAnsi="Arial"/>
          <w:sz w:val="20"/>
          <w:szCs w:val="20"/>
        </w:rPr>
        <w:t xml:space="preserve"> 2 %). </w:t>
      </w:r>
    </w:p>
    <w:p w14:paraId="71816EE1" w14:textId="73F465FD" w:rsidR="007E2ECB" w:rsidRDefault="00B9030E" w:rsidP="00C05758">
      <w:pPr>
        <w:pStyle w:val="Listenabsatz"/>
        <w:numPr>
          <w:ilvl w:val="0"/>
          <w:numId w:val="21"/>
        </w:numPr>
        <w:spacing w:after="0" w:line="360" w:lineRule="auto"/>
        <w:ind w:left="284" w:hanging="284"/>
        <w:textAlignment w:val="baseline"/>
        <w:rPr>
          <w:rFonts w:ascii="Arial" w:hAnsi="Arial" w:cs="Arial"/>
          <w:sz w:val="20"/>
          <w:szCs w:val="20"/>
        </w:rPr>
      </w:pPr>
      <w:r>
        <w:rPr>
          <w:rFonts w:ascii="Arial" w:hAnsi="Arial"/>
          <w:sz w:val="20"/>
          <w:szCs w:val="20"/>
        </w:rPr>
        <w:t xml:space="preserve">Hamburg East </w:t>
      </w:r>
      <w:r>
        <w:rPr>
          <w:rFonts w:ascii="Arial" w:hAnsi="Arial"/>
          <w:sz w:val="20"/>
          <w:szCs w:val="20"/>
          <w:u w:val="single"/>
        </w:rPr>
        <w:t>sub-market</w:t>
      </w:r>
      <w:r>
        <w:rPr>
          <w:rFonts w:ascii="Arial" w:hAnsi="Arial"/>
          <w:sz w:val="20"/>
          <w:szCs w:val="20"/>
        </w:rPr>
        <w:t xml:space="preserve"> posted 22 transactions and 24 % of the volume traded, pulling ahead of City (17 %) and St. Georg (12 %).</w:t>
      </w:r>
    </w:p>
    <w:p w14:paraId="01F99D5D" w14:textId="3AB19404" w:rsidR="003264A2" w:rsidRDefault="003264A2" w:rsidP="00C05758">
      <w:pPr>
        <w:pStyle w:val="Listenabsatz"/>
        <w:numPr>
          <w:ilvl w:val="0"/>
          <w:numId w:val="21"/>
        </w:numPr>
        <w:spacing w:after="0" w:line="360" w:lineRule="auto"/>
        <w:ind w:left="284" w:hanging="284"/>
        <w:textAlignment w:val="baseline"/>
        <w:rPr>
          <w:rFonts w:ascii="Arial" w:hAnsi="Arial" w:cs="Arial"/>
          <w:sz w:val="20"/>
          <w:szCs w:val="20"/>
        </w:rPr>
      </w:pPr>
      <w:r>
        <w:rPr>
          <w:rFonts w:ascii="Arial" w:hAnsi="Arial"/>
          <w:sz w:val="20"/>
          <w:szCs w:val="20"/>
          <w:u w:val="single"/>
        </w:rPr>
        <w:t>Portfolio trades</w:t>
      </w:r>
      <w:r>
        <w:rPr>
          <w:rFonts w:ascii="Arial" w:hAnsi="Arial"/>
          <w:sz w:val="20"/>
          <w:szCs w:val="20"/>
        </w:rPr>
        <w:t xml:space="preserve"> made up 13 % of the market, a year on year decline of over 50 %.</w:t>
      </w:r>
    </w:p>
    <w:p w14:paraId="425532EA" w14:textId="6E64F446" w:rsidR="00702624" w:rsidRDefault="00702624" w:rsidP="00C05758">
      <w:pPr>
        <w:pStyle w:val="Listenabsatz"/>
        <w:numPr>
          <w:ilvl w:val="0"/>
          <w:numId w:val="21"/>
        </w:numPr>
        <w:spacing w:after="0" w:line="360" w:lineRule="auto"/>
        <w:ind w:left="284" w:hanging="284"/>
        <w:textAlignment w:val="baseline"/>
        <w:rPr>
          <w:rFonts w:ascii="Arial" w:hAnsi="Arial" w:cs="Arial"/>
          <w:sz w:val="20"/>
          <w:szCs w:val="20"/>
        </w:rPr>
      </w:pPr>
      <w:r>
        <w:rPr>
          <w:rFonts w:ascii="Arial" w:hAnsi="Arial"/>
          <w:sz w:val="20"/>
          <w:szCs w:val="20"/>
        </w:rPr>
        <w:t xml:space="preserve">By the close of 2021 open-ended property mutual funds (27 %) had become the biggest </w:t>
      </w:r>
      <w:r>
        <w:rPr>
          <w:rFonts w:ascii="Arial" w:hAnsi="Arial"/>
          <w:sz w:val="20"/>
          <w:szCs w:val="20"/>
          <w:u w:val="single"/>
        </w:rPr>
        <w:t>group of buyers</w:t>
      </w:r>
      <w:r>
        <w:rPr>
          <w:rFonts w:ascii="Arial" w:hAnsi="Arial"/>
          <w:sz w:val="20"/>
          <w:szCs w:val="20"/>
        </w:rPr>
        <w:t xml:space="preserve">, pushing developers down to third place in the ranking (19 %). Fund managers occupied second position (22 %). Corporates/owner-occupiers comprised the biggest </w:t>
      </w:r>
      <w:r>
        <w:rPr>
          <w:rFonts w:ascii="Arial" w:hAnsi="Arial"/>
          <w:sz w:val="20"/>
          <w:szCs w:val="20"/>
          <w:u w:val="single"/>
        </w:rPr>
        <w:t>group of vendors</w:t>
      </w:r>
      <w:r>
        <w:rPr>
          <w:rFonts w:ascii="Arial" w:hAnsi="Arial"/>
          <w:sz w:val="20"/>
          <w:szCs w:val="20"/>
        </w:rPr>
        <w:t xml:space="preserve"> (21 %) followed by fund managers (20 %)</w:t>
      </w:r>
    </w:p>
    <w:p w14:paraId="0BA22E7E" w14:textId="0D1C31F7" w:rsidR="00C9039E" w:rsidRDefault="00C9039E" w:rsidP="00C05758">
      <w:pPr>
        <w:pStyle w:val="Listenabsatz"/>
        <w:numPr>
          <w:ilvl w:val="0"/>
          <w:numId w:val="21"/>
        </w:numPr>
        <w:spacing w:after="0" w:line="360" w:lineRule="auto"/>
        <w:ind w:left="284" w:hanging="284"/>
        <w:textAlignment w:val="baseline"/>
        <w:rPr>
          <w:rFonts w:ascii="Arial" w:hAnsi="Arial" w:cs="Arial"/>
          <w:sz w:val="20"/>
          <w:szCs w:val="20"/>
        </w:rPr>
      </w:pPr>
      <w:r>
        <w:rPr>
          <w:rFonts w:ascii="Arial" w:hAnsi="Arial"/>
          <w:sz w:val="20"/>
          <w:szCs w:val="20"/>
        </w:rPr>
        <w:t xml:space="preserve">By the end of the 4th quarter of 2021 </w:t>
      </w:r>
      <w:r>
        <w:rPr>
          <w:rFonts w:ascii="Arial" w:hAnsi="Arial"/>
          <w:sz w:val="20"/>
          <w:szCs w:val="20"/>
          <w:u w:val="single"/>
        </w:rPr>
        <w:t>international buyers</w:t>
      </w:r>
      <w:r>
        <w:rPr>
          <w:rFonts w:ascii="Arial" w:hAnsi="Arial"/>
          <w:sz w:val="20"/>
          <w:szCs w:val="20"/>
        </w:rPr>
        <w:t xml:space="preserve"> comprised 24 % of the total market, thus remaining below their 38 % share a year before; however</w:t>
      </w:r>
      <w:r w:rsidR="009E5930">
        <w:rPr>
          <w:rFonts w:ascii="Arial" w:hAnsi="Arial"/>
          <w:sz w:val="20"/>
          <w:szCs w:val="20"/>
        </w:rPr>
        <w:t>,</w:t>
      </w:r>
      <w:r>
        <w:rPr>
          <w:rFonts w:ascii="Arial" w:hAnsi="Arial"/>
          <w:sz w:val="20"/>
          <w:szCs w:val="20"/>
        </w:rPr>
        <w:t xml:space="preserve"> </w:t>
      </w:r>
      <w:r>
        <w:rPr>
          <w:rFonts w:ascii="Arial" w:hAnsi="Arial"/>
          <w:sz w:val="20"/>
          <w:szCs w:val="20"/>
          <w:u w:val="single"/>
        </w:rPr>
        <w:t>international vendors</w:t>
      </w:r>
      <w:r>
        <w:rPr>
          <w:rFonts w:ascii="Arial" w:hAnsi="Arial"/>
          <w:sz w:val="20"/>
          <w:szCs w:val="20"/>
        </w:rPr>
        <w:t xml:space="preserve"> featured in 24 % of total sales volume in both years.</w:t>
      </w:r>
    </w:p>
    <w:p w14:paraId="63A4FA4A" w14:textId="7F2F7C56" w:rsidR="00BF0008" w:rsidRDefault="00C9039E" w:rsidP="00C05758">
      <w:pPr>
        <w:pStyle w:val="Listenabsatz"/>
        <w:numPr>
          <w:ilvl w:val="0"/>
          <w:numId w:val="21"/>
        </w:numPr>
        <w:spacing w:after="0" w:line="360" w:lineRule="auto"/>
        <w:ind w:left="284" w:hanging="284"/>
        <w:textAlignment w:val="baseline"/>
        <w:rPr>
          <w:rFonts w:ascii="Arial" w:hAnsi="Arial" w:cs="Arial"/>
          <w:sz w:val="20"/>
          <w:szCs w:val="20"/>
        </w:rPr>
      </w:pPr>
      <w:r>
        <w:rPr>
          <w:rFonts w:ascii="Arial" w:hAnsi="Arial"/>
          <w:sz w:val="20"/>
          <w:szCs w:val="20"/>
          <w:u w:val="single"/>
        </w:rPr>
        <w:t>Prime yields</w:t>
      </w:r>
      <w:r>
        <w:rPr>
          <w:rFonts w:ascii="Arial" w:hAnsi="Arial"/>
          <w:sz w:val="20"/>
          <w:szCs w:val="20"/>
        </w:rPr>
        <w:t xml:space="preserve"> are currently settling at low levels, having, for the most part, fallen year on year. The prime yield on office properties has contracted by 0.20 percentage points to 2.60 % and on industrial and logistics properties by 0.50 percentage points to 3.50 %. On commercial buildings the prime yield remained unchanged at 2.70 %.</w:t>
      </w:r>
    </w:p>
    <w:p w14:paraId="69C8E438" w14:textId="44C064CE" w:rsidR="00AE6AAA" w:rsidRDefault="00BF1BAA" w:rsidP="008E3F75">
      <w:pPr>
        <w:pStyle w:val="Listenabsatz"/>
        <w:spacing w:after="0" w:line="360" w:lineRule="auto"/>
        <w:ind w:left="284"/>
        <w:textAlignment w:val="baseline"/>
        <w:rPr>
          <w:rFonts w:ascii="Arial" w:hAnsi="Arial" w:cs="Arial"/>
          <w:sz w:val="20"/>
          <w:szCs w:val="20"/>
        </w:rPr>
      </w:pPr>
      <w:r>
        <w:rPr>
          <w:rFonts w:ascii="Arial" w:hAnsi="Arial" w:cs="Arial"/>
          <w:noProof/>
          <w:sz w:val="20"/>
          <w:szCs w:val="20"/>
          <w:lang w:val="de-DE" w:eastAsia="de-DE"/>
        </w:rPr>
        <w:lastRenderedPageBreak/>
        <w:drawing>
          <wp:anchor distT="0" distB="0" distL="114300" distR="114300" simplePos="0" relativeHeight="251658240" behindDoc="0" locked="0" layoutInCell="1" allowOverlap="1" wp14:anchorId="750BCBBB" wp14:editId="36EF212E">
            <wp:simplePos x="0" y="0"/>
            <wp:positionH relativeFrom="margin">
              <wp:posOffset>3242310</wp:posOffset>
            </wp:positionH>
            <wp:positionV relativeFrom="paragraph">
              <wp:posOffset>251299</wp:posOffset>
            </wp:positionV>
            <wp:extent cx="2851785" cy="2047240"/>
            <wp:effectExtent l="19050" t="19050" r="24765" b="1016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vestment-market-hamburg-tav-4Q2021_en.jpg"/>
                    <pic:cNvPicPr/>
                  </pic:nvPicPr>
                  <pic:blipFill>
                    <a:blip r:embed="rId8">
                      <a:extLst>
                        <a:ext uri="{28A0092B-C50C-407E-A947-70E740481C1C}">
                          <a14:useLocalDpi xmlns:a14="http://schemas.microsoft.com/office/drawing/2010/main" val="0"/>
                        </a:ext>
                      </a:extLst>
                    </a:blip>
                    <a:stretch>
                      <a:fillRect/>
                    </a:stretch>
                  </pic:blipFill>
                  <pic:spPr>
                    <a:xfrm>
                      <a:off x="0" y="0"/>
                      <a:ext cx="2851785" cy="2047240"/>
                    </a:xfrm>
                    <a:prstGeom prst="rect">
                      <a:avLst/>
                    </a:prstGeom>
                    <a:ln w="3175">
                      <a:solidFill>
                        <a:schemeClr val="tx1"/>
                      </a:solidFill>
                    </a:ln>
                  </pic:spPr>
                </pic:pic>
              </a:graphicData>
            </a:graphic>
            <wp14:sizeRelH relativeFrom="margin">
              <wp14:pctWidth>0</wp14:pctWidth>
            </wp14:sizeRelH>
            <wp14:sizeRelV relativeFrom="margin">
              <wp14:pctHeight>0</wp14:pctHeight>
            </wp14:sizeRelV>
          </wp:anchor>
        </w:drawing>
      </w:r>
    </w:p>
    <w:tbl>
      <w:tblPr>
        <w:tblStyle w:val="TableGrid2"/>
        <w:tblpPr w:leftFromText="141" w:rightFromText="141" w:vertAnchor="text" w:horzAnchor="margin" w:tblpY="45"/>
        <w:tblW w:w="0" w:type="auto"/>
        <w:tblLook w:val="04A0" w:firstRow="1" w:lastRow="0" w:firstColumn="1" w:lastColumn="0" w:noHBand="0" w:noVBand="1"/>
      </w:tblPr>
      <w:tblGrid>
        <w:gridCol w:w="3964"/>
        <w:gridCol w:w="993"/>
      </w:tblGrid>
      <w:tr w:rsidR="002817CB" w:rsidRPr="006F49D0" w14:paraId="09A613FC" w14:textId="77777777" w:rsidTr="00BF1BAA">
        <w:trPr>
          <w:trHeight w:val="283"/>
        </w:trPr>
        <w:tc>
          <w:tcPr>
            <w:tcW w:w="3964" w:type="dxa"/>
            <w:shd w:val="clear" w:color="auto" w:fill="1F242B" w:themeFill="accent2"/>
          </w:tcPr>
          <w:p w14:paraId="00FE614F" w14:textId="77777777" w:rsidR="002817CB" w:rsidRPr="004712BA" w:rsidRDefault="002817CB" w:rsidP="002817CB">
            <w:pPr>
              <w:widowControl w:val="0"/>
              <w:spacing w:before="60" w:after="60"/>
              <w:jc w:val="both"/>
              <w:rPr>
                <w:rFonts w:ascii="Arial" w:hAnsi="Arial" w:cs="Arial"/>
                <w:b/>
                <w:sz w:val="18"/>
                <w:szCs w:val="16"/>
              </w:rPr>
            </w:pPr>
            <w:r>
              <w:rPr>
                <w:rFonts w:ascii="Arial" w:hAnsi="Arial"/>
                <w:b/>
                <w:sz w:val="20"/>
                <w:szCs w:val="20"/>
              </w:rPr>
              <w:t>Investment market | Hamburg</w:t>
            </w:r>
            <w:r>
              <w:t xml:space="preserve"> </w:t>
            </w:r>
            <w:r>
              <w:rPr>
                <w:rFonts w:ascii="Arial" w:hAnsi="Arial"/>
                <w:b/>
                <w:sz w:val="20"/>
                <w:szCs w:val="20"/>
              </w:rPr>
              <w:t>| 2021</w:t>
            </w:r>
          </w:p>
        </w:tc>
        <w:tc>
          <w:tcPr>
            <w:tcW w:w="993" w:type="dxa"/>
            <w:shd w:val="clear" w:color="auto" w:fill="1F242B" w:themeFill="accent2"/>
          </w:tcPr>
          <w:p w14:paraId="39E7B8B7" w14:textId="77777777" w:rsidR="002817CB" w:rsidRPr="004712BA" w:rsidRDefault="002817CB" w:rsidP="002817CB">
            <w:pPr>
              <w:widowControl w:val="0"/>
              <w:spacing w:before="60" w:after="60"/>
              <w:jc w:val="center"/>
              <w:rPr>
                <w:rFonts w:ascii="Arial" w:hAnsi="Arial" w:cs="Arial"/>
                <w:b/>
                <w:sz w:val="18"/>
                <w:szCs w:val="16"/>
              </w:rPr>
            </w:pPr>
            <w:r>
              <w:rPr>
                <w:rFonts w:ascii="Arial" w:hAnsi="Arial"/>
                <w:b/>
                <w:sz w:val="18"/>
                <w:szCs w:val="16"/>
              </w:rPr>
              <w:t>Q1 -4</w:t>
            </w:r>
          </w:p>
        </w:tc>
      </w:tr>
      <w:tr w:rsidR="002817CB" w:rsidRPr="006F49D0" w14:paraId="44A3F07E" w14:textId="77777777" w:rsidTr="00BF1BAA">
        <w:trPr>
          <w:trHeight w:val="193"/>
        </w:trPr>
        <w:tc>
          <w:tcPr>
            <w:tcW w:w="3964" w:type="dxa"/>
          </w:tcPr>
          <w:p w14:paraId="43595EC6" w14:textId="77777777" w:rsidR="002817CB" w:rsidRPr="004712BA" w:rsidRDefault="002817CB" w:rsidP="002817CB">
            <w:pPr>
              <w:widowControl w:val="0"/>
              <w:spacing w:before="40" w:after="40"/>
              <w:jc w:val="both"/>
              <w:rPr>
                <w:rFonts w:ascii="Arial" w:hAnsi="Arial" w:cs="Arial"/>
                <w:b/>
                <w:sz w:val="18"/>
                <w:szCs w:val="16"/>
              </w:rPr>
            </w:pPr>
            <w:r>
              <w:rPr>
                <w:rFonts w:ascii="Arial" w:hAnsi="Arial"/>
                <w:b/>
                <w:sz w:val="18"/>
                <w:szCs w:val="16"/>
              </w:rPr>
              <w:t xml:space="preserve">Transaction volume </w:t>
            </w:r>
            <w:r>
              <w:rPr>
                <w:rFonts w:ascii="Arial" w:hAnsi="Arial"/>
                <w:sz w:val="18"/>
                <w:szCs w:val="16"/>
              </w:rPr>
              <w:t>[€ millions]</w:t>
            </w:r>
          </w:p>
        </w:tc>
        <w:tc>
          <w:tcPr>
            <w:tcW w:w="993" w:type="dxa"/>
            <w:vAlign w:val="center"/>
          </w:tcPr>
          <w:p w14:paraId="56959C8F" w14:textId="77777777" w:rsidR="002817CB" w:rsidRPr="00E771E0" w:rsidRDefault="002817CB" w:rsidP="002817CB">
            <w:pPr>
              <w:widowControl w:val="0"/>
              <w:spacing w:before="40" w:after="40"/>
              <w:jc w:val="right"/>
              <w:rPr>
                <w:rFonts w:ascii="Arial" w:hAnsi="Arial" w:cs="Arial"/>
                <w:sz w:val="18"/>
                <w:szCs w:val="16"/>
              </w:rPr>
            </w:pPr>
            <w:r>
              <w:rPr>
                <w:rFonts w:ascii="Arial" w:hAnsi="Arial"/>
                <w:sz w:val="18"/>
                <w:szCs w:val="16"/>
              </w:rPr>
              <w:t>3,200</w:t>
            </w:r>
          </w:p>
        </w:tc>
      </w:tr>
      <w:tr w:rsidR="002817CB" w:rsidRPr="006F49D0" w14:paraId="1A3705A0" w14:textId="77777777" w:rsidTr="00BF1BAA">
        <w:trPr>
          <w:trHeight w:val="283"/>
        </w:trPr>
        <w:tc>
          <w:tcPr>
            <w:tcW w:w="3964" w:type="dxa"/>
          </w:tcPr>
          <w:p w14:paraId="604DE3BE" w14:textId="77777777" w:rsidR="002817CB" w:rsidRPr="00A7575D" w:rsidRDefault="002817CB" w:rsidP="002817CB">
            <w:pPr>
              <w:widowControl w:val="0"/>
              <w:spacing w:before="40" w:after="40"/>
              <w:jc w:val="both"/>
              <w:rPr>
                <w:rFonts w:ascii="Arial" w:hAnsi="Arial" w:cs="Arial"/>
                <w:sz w:val="18"/>
                <w:szCs w:val="16"/>
              </w:rPr>
            </w:pPr>
            <w:r>
              <w:rPr>
                <w:rFonts w:ascii="Arial" w:hAnsi="Arial"/>
                <w:sz w:val="18"/>
                <w:szCs w:val="16"/>
              </w:rPr>
              <w:t xml:space="preserve">against prior </w:t>
            </w:r>
            <w:proofErr w:type="spellStart"/>
            <w:r>
              <w:rPr>
                <w:rFonts w:ascii="Arial" w:hAnsi="Arial"/>
                <w:sz w:val="18"/>
                <w:szCs w:val="16"/>
              </w:rPr>
              <w:t>yr</w:t>
            </w:r>
            <w:proofErr w:type="spellEnd"/>
            <w:r>
              <w:rPr>
                <w:rFonts w:ascii="Arial" w:hAnsi="Arial"/>
                <w:sz w:val="18"/>
                <w:szCs w:val="16"/>
              </w:rPr>
              <w:t xml:space="preserve"> [%]</w:t>
            </w:r>
          </w:p>
        </w:tc>
        <w:tc>
          <w:tcPr>
            <w:tcW w:w="993" w:type="dxa"/>
            <w:vAlign w:val="center"/>
          </w:tcPr>
          <w:p w14:paraId="2726E54A" w14:textId="77777777" w:rsidR="002817CB" w:rsidRPr="00E771E0" w:rsidRDefault="002817CB" w:rsidP="002817CB">
            <w:pPr>
              <w:widowControl w:val="0"/>
              <w:spacing w:before="40" w:after="40"/>
              <w:jc w:val="right"/>
              <w:rPr>
                <w:rFonts w:ascii="Arial" w:hAnsi="Arial" w:cs="Arial"/>
                <w:sz w:val="18"/>
                <w:szCs w:val="16"/>
              </w:rPr>
            </w:pPr>
            <w:r>
              <w:rPr>
                <w:rFonts w:ascii="Arial" w:hAnsi="Arial"/>
                <w:sz w:val="18"/>
                <w:szCs w:val="16"/>
              </w:rPr>
              <w:t>-40</w:t>
            </w:r>
          </w:p>
        </w:tc>
      </w:tr>
      <w:tr w:rsidR="002817CB" w:rsidRPr="006F49D0" w14:paraId="0E4AF02E" w14:textId="77777777" w:rsidTr="00BF1BAA">
        <w:trPr>
          <w:trHeight w:val="283"/>
        </w:trPr>
        <w:tc>
          <w:tcPr>
            <w:tcW w:w="3964" w:type="dxa"/>
          </w:tcPr>
          <w:p w14:paraId="4BDF9860" w14:textId="77777777" w:rsidR="002817CB" w:rsidRPr="00A7575D" w:rsidRDefault="002817CB" w:rsidP="002817CB">
            <w:pPr>
              <w:widowControl w:val="0"/>
              <w:spacing w:before="40" w:after="40"/>
              <w:jc w:val="both"/>
              <w:rPr>
                <w:rFonts w:ascii="Arial" w:hAnsi="Arial" w:cs="Arial"/>
                <w:sz w:val="18"/>
                <w:szCs w:val="16"/>
              </w:rPr>
            </w:pPr>
            <w:r>
              <w:rPr>
                <w:rFonts w:ascii="Arial" w:hAnsi="Arial"/>
                <w:b/>
                <w:sz w:val="18"/>
                <w:szCs w:val="16"/>
              </w:rPr>
              <w:t>Share of trading in CBD</w:t>
            </w:r>
            <w:r>
              <w:rPr>
                <w:rFonts w:ascii="Arial" w:hAnsi="Arial"/>
                <w:sz w:val="18"/>
                <w:szCs w:val="16"/>
              </w:rPr>
              <w:t xml:space="preserve"> [%]</w:t>
            </w:r>
          </w:p>
        </w:tc>
        <w:tc>
          <w:tcPr>
            <w:tcW w:w="993" w:type="dxa"/>
            <w:vAlign w:val="center"/>
          </w:tcPr>
          <w:p w14:paraId="5BE57F21" w14:textId="77777777" w:rsidR="002817CB" w:rsidRPr="00E771E0" w:rsidRDefault="002817CB" w:rsidP="002817CB">
            <w:pPr>
              <w:widowControl w:val="0"/>
              <w:spacing w:before="40" w:after="40"/>
              <w:jc w:val="right"/>
              <w:rPr>
                <w:rFonts w:ascii="Arial" w:hAnsi="Arial" w:cs="Arial"/>
                <w:sz w:val="18"/>
                <w:szCs w:val="16"/>
              </w:rPr>
            </w:pPr>
            <w:r>
              <w:rPr>
                <w:rFonts w:ascii="Arial" w:hAnsi="Arial"/>
                <w:sz w:val="18"/>
                <w:szCs w:val="16"/>
              </w:rPr>
              <w:t>17</w:t>
            </w:r>
          </w:p>
        </w:tc>
      </w:tr>
      <w:tr w:rsidR="002817CB" w:rsidRPr="006F49D0" w14:paraId="2C532978" w14:textId="77777777" w:rsidTr="00BF1BAA">
        <w:trPr>
          <w:trHeight w:val="283"/>
        </w:trPr>
        <w:tc>
          <w:tcPr>
            <w:tcW w:w="3964" w:type="dxa"/>
          </w:tcPr>
          <w:p w14:paraId="6BECCA5B" w14:textId="77777777" w:rsidR="002817CB" w:rsidRPr="00CF57DD" w:rsidRDefault="002817CB" w:rsidP="002817CB">
            <w:pPr>
              <w:widowControl w:val="0"/>
              <w:spacing w:before="40" w:after="40"/>
              <w:jc w:val="both"/>
              <w:rPr>
                <w:rFonts w:ascii="Arial" w:hAnsi="Arial" w:cs="Arial"/>
                <w:b/>
                <w:sz w:val="18"/>
                <w:szCs w:val="16"/>
              </w:rPr>
            </w:pPr>
            <w:r>
              <w:rPr>
                <w:rFonts w:ascii="Arial" w:hAnsi="Arial"/>
                <w:b/>
                <w:sz w:val="18"/>
                <w:szCs w:val="16"/>
              </w:rPr>
              <w:t>Proportion of international investors</w:t>
            </w:r>
            <w:r>
              <w:rPr>
                <w:rFonts w:ascii="Arial" w:hAnsi="Arial"/>
                <w:sz w:val="18"/>
                <w:szCs w:val="16"/>
              </w:rPr>
              <w:t xml:space="preserve"> [%]</w:t>
            </w:r>
          </w:p>
        </w:tc>
        <w:tc>
          <w:tcPr>
            <w:tcW w:w="993" w:type="dxa"/>
            <w:vAlign w:val="center"/>
          </w:tcPr>
          <w:p w14:paraId="761C075B" w14:textId="77777777" w:rsidR="002817CB" w:rsidRPr="00E771E0" w:rsidRDefault="002817CB" w:rsidP="002817CB">
            <w:pPr>
              <w:widowControl w:val="0"/>
              <w:spacing w:before="40" w:after="40"/>
              <w:jc w:val="right"/>
              <w:rPr>
                <w:rFonts w:ascii="Arial" w:hAnsi="Arial" w:cs="Arial"/>
                <w:sz w:val="18"/>
                <w:szCs w:val="16"/>
              </w:rPr>
            </w:pPr>
            <w:r>
              <w:rPr>
                <w:rFonts w:ascii="Arial" w:hAnsi="Arial"/>
                <w:sz w:val="18"/>
                <w:szCs w:val="16"/>
              </w:rPr>
              <w:t>24</w:t>
            </w:r>
          </w:p>
        </w:tc>
      </w:tr>
      <w:tr w:rsidR="002817CB" w:rsidRPr="006F49D0" w14:paraId="105CD7D3" w14:textId="77777777" w:rsidTr="00BF1BAA">
        <w:trPr>
          <w:trHeight w:val="283"/>
        </w:trPr>
        <w:tc>
          <w:tcPr>
            <w:tcW w:w="3964" w:type="dxa"/>
          </w:tcPr>
          <w:p w14:paraId="0D6A9A5E" w14:textId="77777777" w:rsidR="002817CB" w:rsidRPr="004712BA" w:rsidRDefault="002817CB" w:rsidP="002817CB">
            <w:pPr>
              <w:widowControl w:val="0"/>
              <w:spacing w:before="40" w:after="40"/>
              <w:jc w:val="both"/>
              <w:rPr>
                <w:rFonts w:ascii="Arial" w:hAnsi="Arial" w:cs="Arial"/>
                <w:b/>
                <w:sz w:val="18"/>
                <w:szCs w:val="16"/>
              </w:rPr>
            </w:pPr>
            <w:r>
              <w:rPr>
                <w:rFonts w:ascii="Arial" w:hAnsi="Arial"/>
                <w:b/>
                <w:sz w:val="18"/>
                <w:szCs w:val="16"/>
              </w:rPr>
              <w:t>Prime net yield, office</w:t>
            </w:r>
            <w:r>
              <w:rPr>
                <w:rFonts w:ascii="Arial" w:hAnsi="Arial"/>
                <w:sz w:val="18"/>
                <w:szCs w:val="16"/>
              </w:rPr>
              <w:t xml:space="preserve"> [%]</w:t>
            </w:r>
          </w:p>
        </w:tc>
        <w:tc>
          <w:tcPr>
            <w:tcW w:w="993" w:type="dxa"/>
            <w:vAlign w:val="center"/>
          </w:tcPr>
          <w:p w14:paraId="4DB0BD59" w14:textId="77777777" w:rsidR="002817CB" w:rsidRPr="00E771E0" w:rsidRDefault="002817CB" w:rsidP="002817CB">
            <w:pPr>
              <w:widowControl w:val="0"/>
              <w:spacing w:before="40" w:after="40"/>
              <w:jc w:val="right"/>
              <w:rPr>
                <w:rFonts w:ascii="Arial" w:hAnsi="Arial" w:cs="Arial"/>
                <w:sz w:val="18"/>
                <w:szCs w:val="16"/>
              </w:rPr>
            </w:pPr>
            <w:r>
              <w:rPr>
                <w:rFonts w:ascii="Arial" w:hAnsi="Arial"/>
                <w:sz w:val="18"/>
                <w:szCs w:val="16"/>
              </w:rPr>
              <w:t>2.60</w:t>
            </w:r>
          </w:p>
        </w:tc>
      </w:tr>
      <w:tr w:rsidR="002817CB" w14:paraId="058E35D0" w14:textId="77777777" w:rsidTr="00BF1BAA">
        <w:trPr>
          <w:trHeight w:val="283"/>
        </w:trPr>
        <w:tc>
          <w:tcPr>
            <w:tcW w:w="3964" w:type="dxa"/>
          </w:tcPr>
          <w:p w14:paraId="54D080FC" w14:textId="77777777" w:rsidR="002817CB" w:rsidRPr="00A7575D" w:rsidRDefault="002817CB" w:rsidP="002817CB">
            <w:pPr>
              <w:widowControl w:val="0"/>
              <w:spacing w:before="40" w:after="40"/>
              <w:jc w:val="both"/>
              <w:rPr>
                <w:rFonts w:ascii="Arial" w:hAnsi="Arial" w:cs="Arial"/>
                <w:sz w:val="18"/>
                <w:szCs w:val="16"/>
              </w:rPr>
            </w:pPr>
            <w:r>
              <w:rPr>
                <w:rFonts w:ascii="Arial" w:hAnsi="Arial"/>
                <w:sz w:val="18"/>
                <w:szCs w:val="16"/>
              </w:rPr>
              <w:t xml:space="preserve">against prior </w:t>
            </w:r>
            <w:proofErr w:type="spellStart"/>
            <w:r>
              <w:rPr>
                <w:rFonts w:ascii="Arial" w:hAnsi="Arial"/>
                <w:sz w:val="18"/>
                <w:szCs w:val="16"/>
              </w:rPr>
              <w:t>yr</w:t>
            </w:r>
            <w:proofErr w:type="spellEnd"/>
            <w:r>
              <w:rPr>
                <w:rFonts w:ascii="Arial" w:hAnsi="Arial"/>
                <w:sz w:val="18"/>
                <w:szCs w:val="16"/>
              </w:rPr>
              <w:t xml:space="preserve"> [percentage points]</w:t>
            </w:r>
          </w:p>
        </w:tc>
        <w:tc>
          <w:tcPr>
            <w:tcW w:w="993" w:type="dxa"/>
            <w:vAlign w:val="center"/>
          </w:tcPr>
          <w:p w14:paraId="5DF11A63" w14:textId="77777777" w:rsidR="002817CB" w:rsidRPr="00E771E0" w:rsidRDefault="002817CB" w:rsidP="002817CB">
            <w:pPr>
              <w:widowControl w:val="0"/>
              <w:spacing w:before="40" w:after="40"/>
              <w:jc w:val="right"/>
              <w:rPr>
                <w:rFonts w:ascii="Arial" w:hAnsi="Arial" w:cs="Arial"/>
                <w:sz w:val="18"/>
                <w:szCs w:val="16"/>
              </w:rPr>
            </w:pPr>
            <w:r>
              <w:rPr>
                <w:rFonts w:ascii="Arial" w:hAnsi="Arial"/>
                <w:sz w:val="18"/>
                <w:szCs w:val="16"/>
              </w:rPr>
              <w:t>-0.20</w:t>
            </w:r>
          </w:p>
        </w:tc>
      </w:tr>
      <w:tr w:rsidR="002817CB" w:rsidRPr="006F49D0" w14:paraId="71BE7AC2" w14:textId="77777777" w:rsidTr="00BF1BAA">
        <w:trPr>
          <w:trHeight w:val="283"/>
        </w:trPr>
        <w:tc>
          <w:tcPr>
            <w:tcW w:w="3964" w:type="dxa"/>
          </w:tcPr>
          <w:p w14:paraId="3BB32AFA" w14:textId="77777777" w:rsidR="002817CB" w:rsidRPr="004712BA" w:rsidRDefault="002817CB" w:rsidP="002817CB">
            <w:pPr>
              <w:widowControl w:val="0"/>
              <w:spacing w:before="40" w:after="40"/>
              <w:jc w:val="both"/>
              <w:rPr>
                <w:rFonts w:ascii="Arial" w:hAnsi="Arial" w:cs="Arial"/>
                <w:b/>
                <w:sz w:val="18"/>
                <w:szCs w:val="16"/>
              </w:rPr>
            </w:pPr>
            <w:r>
              <w:rPr>
                <w:rFonts w:ascii="Arial" w:hAnsi="Arial"/>
                <w:b/>
                <w:sz w:val="18"/>
                <w:szCs w:val="16"/>
              </w:rPr>
              <w:t>Prime net yield, commercial buildings</w:t>
            </w:r>
            <w:r>
              <w:rPr>
                <w:rFonts w:ascii="Arial" w:hAnsi="Arial"/>
                <w:sz w:val="18"/>
                <w:szCs w:val="16"/>
              </w:rPr>
              <w:t xml:space="preserve"> [%]</w:t>
            </w:r>
          </w:p>
        </w:tc>
        <w:tc>
          <w:tcPr>
            <w:tcW w:w="993" w:type="dxa"/>
            <w:vAlign w:val="center"/>
          </w:tcPr>
          <w:p w14:paraId="63849E6C" w14:textId="77777777" w:rsidR="002817CB" w:rsidRPr="00F67E03" w:rsidRDefault="002817CB" w:rsidP="002817CB">
            <w:pPr>
              <w:widowControl w:val="0"/>
              <w:spacing w:before="40" w:after="40"/>
              <w:jc w:val="right"/>
              <w:rPr>
                <w:rFonts w:ascii="Arial" w:hAnsi="Arial" w:cs="Arial"/>
                <w:sz w:val="18"/>
                <w:szCs w:val="16"/>
              </w:rPr>
            </w:pPr>
            <w:r>
              <w:rPr>
                <w:rFonts w:ascii="Arial" w:hAnsi="Arial"/>
                <w:sz w:val="18"/>
                <w:szCs w:val="16"/>
              </w:rPr>
              <w:t>2.70</w:t>
            </w:r>
          </w:p>
        </w:tc>
      </w:tr>
      <w:tr w:rsidR="002817CB" w14:paraId="48DBDE58" w14:textId="77777777" w:rsidTr="00BF1BAA">
        <w:trPr>
          <w:trHeight w:val="283"/>
        </w:trPr>
        <w:tc>
          <w:tcPr>
            <w:tcW w:w="3964" w:type="dxa"/>
          </w:tcPr>
          <w:p w14:paraId="33786967" w14:textId="77777777" w:rsidR="002817CB" w:rsidRPr="00A7575D" w:rsidRDefault="002817CB" w:rsidP="002817CB">
            <w:pPr>
              <w:widowControl w:val="0"/>
              <w:spacing w:before="40" w:after="40"/>
              <w:jc w:val="both"/>
              <w:rPr>
                <w:rFonts w:ascii="Arial" w:hAnsi="Arial" w:cs="Arial"/>
                <w:sz w:val="18"/>
                <w:szCs w:val="16"/>
              </w:rPr>
            </w:pPr>
            <w:r>
              <w:rPr>
                <w:rFonts w:ascii="Arial" w:hAnsi="Arial"/>
                <w:sz w:val="18"/>
                <w:szCs w:val="16"/>
              </w:rPr>
              <w:t xml:space="preserve">against prior </w:t>
            </w:r>
            <w:proofErr w:type="spellStart"/>
            <w:r>
              <w:rPr>
                <w:rFonts w:ascii="Arial" w:hAnsi="Arial"/>
                <w:sz w:val="18"/>
                <w:szCs w:val="16"/>
              </w:rPr>
              <w:t>yr</w:t>
            </w:r>
            <w:proofErr w:type="spellEnd"/>
            <w:r>
              <w:rPr>
                <w:rFonts w:ascii="Arial" w:hAnsi="Arial"/>
                <w:sz w:val="18"/>
                <w:szCs w:val="16"/>
              </w:rPr>
              <w:t xml:space="preserve"> [percentage points]</w:t>
            </w:r>
          </w:p>
        </w:tc>
        <w:tc>
          <w:tcPr>
            <w:tcW w:w="993" w:type="dxa"/>
            <w:vAlign w:val="center"/>
          </w:tcPr>
          <w:p w14:paraId="2D7050E3" w14:textId="77777777" w:rsidR="002817CB" w:rsidRPr="00F67E03" w:rsidRDefault="002817CB" w:rsidP="002817CB">
            <w:pPr>
              <w:widowControl w:val="0"/>
              <w:spacing w:before="40" w:after="40"/>
              <w:jc w:val="right"/>
              <w:rPr>
                <w:rFonts w:ascii="Arial" w:hAnsi="Arial" w:cs="Arial"/>
                <w:sz w:val="18"/>
                <w:szCs w:val="16"/>
              </w:rPr>
            </w:pPr>
            <w:r>
              <w:rPr>
                <w:rFonts w:ascii="Arial" w:hAnsi="Arial"/>
                <w:sz w:val="18"/>
                <w:szCs w:val="16"/>
              </w:rPr>
              <w:t>±0.00</w:t>
            </w:r>
          </w:p>
        </w:tc>
      </w:tr>
      <w:tr w:rsidR="002817CB" w:rsidRPr="006F49D0" w14:paraId="687117EF" w14:textId="77777777" w:rsidTr="00BF1BAA">
        <w:trPr>
          <w:trHeight w:val="283"/>
        </w:trPr>
        <w:tc>
          <w:tcPr>
            <w:tcW w:w="3964" w:type="dxa"/>
          </w:tcPr>
          <w:p w14:paraId="35EDB38E" w14:textId="77777777" w:rsidR="002817CB" w:rsidRPr="004712BA" w:rsidRDefault="002817CB" w:rsidP="002817CB">
            <w:pPr>
              <w:widowControl w:val="0"/>
              <w:spacing w:before="40" w:after="40"/>
              <w:jc w:val="both"/>
              <w:rPr>
                <w:rFonts w:ascii="Arial" w:hAnsi="Arial" w:cs="Arial"/>
                <w:b/>
                <w:sz w:val="18"/>
                <w:szCs w:val="16"/>
              </w:rPr>
            </w:pPr>
            <w:r>
              <w:rPr>
                <w:rFonts w:ascii="Arial" w:hAnsi="Arial"/>
                <w:b/>
                <w:sz w:val="18"/>
                <w:szCs w:val="16"/>
              </w:rPr>
              <w:t>Prime net yield, logistics properties</w:t>
            </w:r>
            <w:r>
              <w:rPr>
                <w:rFonts w:ascii="Arial" w:hAnsi="Arial"/>
                <w:sz w:val="18"/>
                <w:szCs w:val="16"/>
              </w:rPr>
              <w:t xml:space="preserve"> [%]</w:t>
            </w:r>
          </w:p>
        </w:tc>
        <w:tc>
          <w:tcPr>
            <w:tcW w:w="993" w:type="dxa"/>
            <w:vAlign w:val="center"/>
          </w:tcPr>
          <w:p w14:paraId="7B0E2367" w14:textId="77777777" w:rsidR="002817CB" w:rsidRPr="00F67E03" w:rsidRDefault="002817CB" w:rsidP="002817CB">
            <w:pPr>
              <w:widowControl w:val="0"/>
              <w:spacing w:before="40" w:after="40"/>
              <w:jc w:val="right"/>
              <w:rPr>
                <w:rFonts w:ascii="Arial" w:hAnsi="Arial" w:cs="Arial"/>
                <w:sz w:val="18"/>
                <w:szCs w:val="16"/>
              </w:rPr>
            </w:pPr>
            <w:r>
              <w:rPr>
                <w:rFonts w:ascii="Arial" w:hAnsi="Arial"/>
                <w:sz w:val="18"/>
                <w:szCs w:val="16"/>
              </w:rPr>
              <w:t>3.50</w:t>
            </w:r>
          </w:p>
        </w:tc>
      </w:tr>
      <w:tr w:rsidR="002817CB" w14:paraId="777536DA" w14:textId="77777777" w:rsidTr="00BF1BAA">
        <w:trPr>
          <w:trHeight w:val="283"/>
        </w:trPr>
        <w:tc>
          <w:tcPr>
            <w:tcW w:w="3964" w:type="dxa"/>
          </w:tcPr>
          <w:p w14:paraId="55B00CDB" w14:textId="77777777" w:rsidR="002817CB" w:rsidRPr="00A7575D" w:rsidRDefault="002817CB" w:rsidP="002817CB">
            <w:pPr>
              <w:widowControl w:val="0"/>
              <w:spacing w:before="40" w:after="40"/>
              <w:jc w:val="both"/>
              <w:rPr>
                <w:rFonts w:ascii="Arial" w:hAnsi="Arial" w:cs="Arial"/>
                <w:sz w:val="18"/>
                <w:szCs w:val="16"/>
              </w:rPr>
            </w:pPr>
            <w:r>
              <w:rPr>
                <w:rFonts w:ascii="Arial" w:hAnsi="Arial"/>
                <w:sz w:val="18"/>
                <w:szCs w:val="16"/>
              </w:rPr>
              <w:t xml:space="preserve">against prior </w:t>
            </w:r>
            <w:proofErr w:type="spellStart"/>
            <w:r>
              <w:rPr>
                <w:rFonts w:ascii="Arial" w:hAnsi="Arial"/>
                <w:sz w:val="18"/>
                <w:szCs w:val="16"/>
              </w:rPr>
              <w:t>yr</w:t>
            </w:r>
            <w:proofErr w:type="spellEnd"/>
            <w:r>
              <w:rPr>
                <w:rFonts w:ascii="Arial" w:hAnsi="Arial"/>
                <w:sz w:val="18"/>
                <w:szCs w:val="16"/>
              </w:rPr>
              <w:t xml:space="preserve"> [percentage points]</w:t>
            </w:r>
          </w:p>
        </w:tc>
        <w:tc>
          <w:tcPr>
            <w:tcW w:w="993" w:type="dxa"/>
            <w:vAlign w:val="center"/>
          </w:tcPr>
          <w:p w14:paraId="5DEA1003" w14:textId="77777777" w:rsidR="002817CB" w:rsidRPr="00F67E03" w:rsidRDefault="002817CB" w:rsidP="002817CB">
            <w:pPr>
              <w:widowControl w:val="0"/>
              <w:spacing w:before="40" w:after="40"/>
              <w:jc w:val="right"/>
              <w:rPr>
                <w:rFonts w:ascii="Arial" w:hAnsi="Arial" w:cs="Arial"/>
                <w:sz w:val="18"/>
                <w:szCs w:val="16"/>
              </w:rPr>
            </w:pPr>
            <w:r>
              <w:rPr>
                <w:rFonts w:ascii="Arial" w:hAnsi="Arial"/>
                <w:sz w:val="18"/>
                <w:szCs w:val="16"/>
              </w:rPr>
              <w:t>-0.50</w:t>
            </w:r>
          </w:p>
        </w:tc>
      </w:tr>
      <w:tr w:rsidR="002817CB" w:rsidRPr="006F49D0" w14:paraId="1F5F2268" w14:textId="77777777" w:rsidTr="00BF1BAA">
        <w:trPr>
          <w:trHeight w:val="283"/>
        </w:trPr>
        <w:tc>
          <w:tcPr>
            <w:tcW w:w="3964" w:type="dxa"/>
            <w:tcBorders>
              <w:bottom w:val="single" w:sz="4" w:space="0" w:color="auto"/>
            </w:tcBorders>
          </w:tcPr>
          <w:p w14:paraId="66C63B62" w14:textId="77777777" w:rsidR="002817CB" w:rsidRPr="004712BA" w:rsidRDefault="002817CB" w:rsidP="002817CB">
            <w:pPr>
              <w:widowControl w:val="0"/>
              <w:spacing w:before="40" w:after="40"/>
              <w:jc w:val="both"/>
              <w:rPr>
                <w:rFonts w:ascii="Arial" w:hAnsi="Arial" w:cs="Arial"/>
                <w:b/>
                <w:sz w:val="18"/>
                <w:szCs w:val="16"/>
              </w:rPr>
            </w:pPr>
            <w:r>
              <w:rPr>
                <w:rFonts w:ascii="Arial" w:hAnsi="Arial"/>
                <w:b/>
                <w:sz w:val="18"/>
                <w:szCs w:val="16"/>
              </w:rPr>
              <w:t>Strongest asset class</w:t>
            </w:r>
          </w:p>
        </w:tc>
        <w:tc>
          <w:tcPr>
            <w:tcW w:w="993" w:type="dxa"/>
            <w:tcBorders>
              <w:bottom w:val="single" w:sz="4" w:space="0" w:color="auto"/>
            </w:tcBorders>
            <w:vAlign w:val="center"/>
          </w:tcPr>
          <w:p w14:paraId="5DE117E9" w14:textId="77777777" w:rsidR="002817CB" w:rsidRPr="00F67E03" w:rsidRDefault="002817CB" w:rsidP="002817CB">
            <w:pPr>
              <w:widowControl w:val="0"/>
              <w:spacing w:before="40" w:after="40"/>
              <w:jc w:val="right"/>
              <w:rPr>
                <w:rFonts w:ascii="Arial" w:hAnsi="Arial" w:cs="Arial"/>
                <w:sz w:val="18"/>
                <w:szCs w:val="16"/>
              </w:rPr>
            </w:pPr>
            <w:r>
              <w:rPr>
                <w:rFonts w:ascii="Arial" w:hAnsi="Arial"/>
                <w:sz w:val="18"/>
                <w:szCs w:val="16"/>
              </w:rPr>
              <w:t>Offices</w:t>
            </w:r>
          </w:p>
        </w:tc>
      </w:tr>
      <w:tr w:rsidR="002817CB" w:rsidRPr="006F49D0" w14:paraId="0775F0EF" w14:textId="77777777" w:rsidTr="00BF1BAA">
        <w:trPr>
          <w:trHeight w:val="283"/>
        </w:trPr>
        <w:tc>
          <w:tcPr>
            <w:tcW w:w="3964" w:type="dxa"/>
            <w:tcBorders>
              <w:bottom w:val="single" w:sz="4" w:space="0" w:color="auto"/>
            </w:tcBorders>
          </w:tcPr>
          <w:p w14:paraId="1FB7C4AD" w14:textId="77777777" w:rsidR="002817CB" w:rsidRPr="004712BA" w:rsidRDefault="002817CB" w:rsidP="002817CB">
            <w:pPr>
              <w:widowControl w:val="0"/>
              <w:spacing w:before="40" w:after="40"/>
              <w:jc w:val="both"/>
              <w:rPr>
                <w:rFonts w:ascii="Arial" w:hAnsi="Arial" w:cs="Arial"/>
                <w:b/>
                <w:sz w:val="18"/>
                <w:szCs w:val="16"/>
              </w:rPr>
            </w:pPr>
            <w:r>
              <w:rPr>
                <w:rFonts w:ascii="Arial" w:hAnsi="Arial"/>
                <w:b/>
                <w:sz w:val="18"/>
                <w:szCs w:val="16"/>
              </w:rPr>
              <w:t>Strongest asset class</w:t>
            </w:r>
            <w:r>
              <w:rPr>
                <w:rFonts w:ascii="Arial" w:hAnsi="Arial"/>
                <w:sz w:val="18"/>
                <w:szCs w:val="16"/>
              </w:rPr>
              <w:t xml:space="preserve"> [%]</w:t>
            </w:r>
          </w:p>
        </w:tc>
        <w:tc>
          <w:tcPr>
            <w:tcW w:w="993" w:type="dxa"/>
            <w:tcBorders>
              <w:bottom w:val="single" w:sz="4" w:space="0" w:color="auto"/>
            </w:tcBorders>
            <w:vAlign w:val="center"/>
          </w:tcPr>
          <w:p w14:paraId="6800F2F8" w14:textId="77777777" w:rsidR="002817CB" w:rsidRPr="00F67E03" w:rsidRDefault="002817CB" w:rsidP="002817CB">
            <w:pPr>
              <w:widowControl w:val="0"/>
              <w:spacing w:before="40" w:after="40"/>
              <w:jc w:val="right"/>
              <w:rPr>
                <w:rFonts w:ascii="Arial" w:hAnsi="Arial" w:cs="Arial"/>
                <w:sz w:val="18"/>
                <w:szCs w:val="16"/>
              </w:rPr>
            </w:pPr>
            <w:r>
              <w:rPr>
                <w:rFonts w:ascii="Arial" w:hAnsi="Arial"/>
                <w:sz w:val="18"/>
                <w:szCs w:val="16"/>
              </w:rPr>
              <w:t>66</w:t>
            </w:r>
          </w:p>
        </w:tc>
      </w:tr>
    </w:tbl>
    <w:p w14:paraId="53A5DCD3" w14:textId="66076527" w:rsidR="00C80ABA" w:rsidRDefault="00C80ABA" w:rsidP="008E3F75">
      <w:pPr>
        <w:pStyle w:val="Listenabsatz"/>
        <w:spacing w:after="0" w:line="360" w:lineRule="auto"/>
        <w:ind w:left="284"/>
        <w:textAlignment w:val="baseline"/>
        <w:rPr>
          <w:rFonts w:ascii="Arial" w:hAnsi="Arial" w:cs="Arial"/>
          <w:sz w:val="20"/>
          <w:szCs w:val="20"/>
        </w:rPr>
      </w:pPr>
      <w:bookmarkStart w:id="0" w:name="_GoBack"/>
      <w:bookmarkEnd w:id="0"/>
    </w:p>
    <w:p w14:paraId="47F53CCE" w14:textId="7DB9A4B6" w:rsidR="000A5ED1" w:rsidRDefault="000A5ED1" w:rsidP="000A5ED1">
      <w:pPr>
        <w:spacing w:after="0" w:line="360" w:lineRule="auto"/>
        <w:rPr>
          <w:rFonts w:ascii="Arial" w:eastAsia="Arial" w:hAnsi="Arial" w:cs="Arial"/>
          <w:b/>
          <w:color w:val="000000" w:themeColor="text1"/>
          <w:sz w:val="20"/>
          <w:szCs w:val="20"/>
        </w:rPr>
      </w:pPr>
    </w:p>
    <w:p w14:paraId="55F0E81B" w14:textId="77777777" w:rsidR="00130D77" w:rsidRDefault="00130D77" w:rsidP="000A5ED1">
      <w:pPr>
        <w:spacing w:after="0" w:line="360" w:lineRule="auto"/>
        <w:rPr>
          <w:rFonts w:ascii="Arial" w:eastAsia="Arial" w:hAnsi="Arial" w:cs="Arial"/>
          <w:b/>
          <w:color w:val="000000" w:themeColor="text1"/>
          <w:sz w:val="20"/>
          <w:szCs w:val="20"/>
        </w:rPr>
      </w:pPr>
    </w:p>
    <w:p w14:paraId="72B0C222" w14:textId="77777777" w:rsidR="008F1FE9" w:rsidRDefault="008F1FE9" w:rsidP="000A5ED1">
      <w:pPr>
        <w:spacing w:after="0" w:line="360" w:lineRule="auto"/>
        <w:rPr>
          <w:rFonts w:ascii="Arial" w:eastAsia="Arial" w:hAnsi="Arial" w:cs="Arial"/>
          <w:b/>
          <w:color w:val="000000" w:themeColor="text1"/>
          <w:sz w:val="20"/>
          <w:szCs w:val="20"/>
        </w:rPr>
      </w:pPr>
    </w:p>
    <w:p w14:paraId="328EF12E" w14:textId="2EC5AA2E" w:rsidR="004E7F0F" w:rsidRPr="00A0600B" w:rsidRDefault="004E7F0F" w:rsidP="004E7F0F">
      <w:pPr>
        <w:rPr>
          <w:rFonts w:ascii="Arial" w:hAnsi="Arial" w:cs="Arial"/>
          <w:b/>
          <w:sz w:val="20"/>
          <w:szCs w:val="20"/>
        </w:rPr>
      </w:pPr>
      <w:r>
        <w:rPr>
          <w:rFonts w:ascii="Arial" w:hAnsi="Arial"/>
          <w:b/>
          <w:sz w:val="20"/>
          <w:szCs w:val="20"/>
        </w:rPr>
        <w:t>Selected top transactions | investments in Hamburg | 1st-4th quarters of 2021</w:t>
      </w:r>
    </w:p>
    <w:tbl>
      <w:tblPr>
        <w:tblStyle w:val="TableGrid1"/>
        <w:tblpPr w:leftFromText="141" w:rightFromText="141" w:vertAnchor="text" w:horzAnchor="margin" w:tblpY="61"/>
        <w:tblW w:w="9636" w:type="dxa"/>
        <w:tblLayout w:type="fixed"/>
        <w:tblLook w:val="04A0" w:firstRow="1" w:lastRow="0" w:firstColumn="1" w:lastColumn="0" w:noHBand="0" w:noVBand="1"/>
      </w:tblPr>
      <w:tblGrid>
        <w:gridCol w:w="2547"/>
        <w:gridCol w:w="1134"/>
        <w:gridCol w:w="1134"/>
        <w:gridCol w:w="1559"/>
        <w:gridCol w:w="2126"/>
        <w:gridCol w:w="1136"/>
      </w:tblGrid>
      <w:tr w:rsidR="004E7F0F" w:rsidRPr="006F49D0" w14:paraId="3216EE8E" w14:textId="77777777" w:rsidTr="00BF1BAA">
        <w:trPr>
          <w:trHeight w:val="540"/>
        </w:trPr>
        <w:tc>
          <w:tcPr>
            <w:tcW w:w="2547" w:type="dxa"/>
            <w:shd w:val="clear" w:color="auto" w:fill="1F242B" w:themeFill="accent2"/>
            <w:vAlign w:val="center"/>
          </w:tcPr>
          <w:p w14:paraId="30C73659" w14:textId="0F10D02E" w:rsidR="004E7F0F" w:rsidRDefault="004E7F0F" w:rsidP="00BF1BAA">
            <w:pPr>
              <w:spacing w:after="0"/>
              <w:jc w:val="center"/>
              <w:rPr>
                <w:rFonts w:ascii="Arial" w:hAnsi="Arial" w:cs="Arial"/>
                <w:b/>
                <w:sz w:val="18"/>
                <w:szCs w:val="16"/>
              </w:rPr>
            </w:pPr>
            <w:r>
              <w:rPr>
                <w:rFonts w:ascii="Arial" w:hAnsi="Arial"/>
                <w:b/>
                <w:sz w:val="18"/>
                <w:szCs w:val="16"/>
              </w:rPr>
              <w:t>Project</w:t>
            </w:r>
            <w:r w:rsidR="00BF1BAA">
              <w:rPr>
                <w:rFonts w:ascii="Arial" w:hAnsi="Arial"/>
                <w:b/>
                <w:sz w:val="18"/>
                <w:szCs w:val="16"/>
              </w:rPr>
              <w:t xml:space="preserve"> </w:t>
            </w:r>
            <w:r>
              <w:rPr>
                <w:rFonts w:ascii="Arial" w:hAnsi="Arial"/>
                <w:b/>
                <w:sz w:val="18"/>
                <w:szCs w:val="16"/>
              </w:rPr>
              <w:t>/</w:t>
            </w:r>
            <w:r w:rsidR="00BF1BAA">
              <w:rPr>
                <w:rFonts w:ascii="Arial" w:hAnsi="Arial"/>
                <w:b/>
                <w:sz w:val="18"/>
                <w:szCs w:val="16"/>
              </w:rPr>
              <w:t xml:space="preserve"> </w:t>
            </w:r>
            <w:r>
              <w:rPr>
                <w:rFonts w:ascii="Arial" w:hAnsi="Arial"/>
                <w:b/>
                <w:sz w:val="18"/>
                <w:szCs w:val="16"/>
              </w:rPr>
              <w:t>property</w:t>
            </w:r>
          </w:p>
          <w:p w14:paraId="657CB67E" w14:textId="47843775" w:rsidR="004E7F0F" w:rsidRPr="00C626E7" w:rsidRDefault="004E7F0F" w:rsidP="00BF1BAA">
            <w:pPr>
              <w:spacing w:after="0"/>
              <w:jc w:val="center"/>
              <w:rPr>
                <w:rFonts w:ascii="Arial" w:hAnsi="Arial" w:cs="Arial"/>
                <w:b/>
                <w:sz w:val="18"/>
                <w:szCs w:val="16"/>
              </w:rPr>
            </w:pPr>
            <w:r>
              <w:rPr>
                <w:rFonts w:ascii="Arial" w:hAnsi="Arial"/>
                <w:b/>
                <w:sz w:val="18"/>
                <w:szCs w:val="16"/>
              </w:rPr>
              <w:t>Street no.</w:t>
            </w:r>
          </w:p>
        </w:tc>
        <w:tc>
          <w:tcPr>
            <w:tcW w:w="1134" w:type="dxa"/>
            <w:shd w:val="clear" w:color="auto" w:fill="1F242B" w:themeFill="accent2"/>
          </w:tcPr>
          <w:p w14:paraId="7C71E885" w14:textId="25107266" w:rsidR="004E7F0F" w:rsidRPr="009F10F1" w:rsidRDefault="00BF1BAA" w:rsidP="00BF1BAA">
            <w:pPr>
              <w:widowControl w:val="0"/>
              <w:spacing w:before="60" w:afterLines="60" w:after="144"/>
              <w:jc w:val="center"/>
              <w:rPr>
                <w:rFonts w:ascii="Arial" w:hAnsi="Arial" w:cs="Arial"/>
                <w:b/>
                <w:sz w:val="18"/>
                <w:szCs w:val="16"/>
              </w:rPr>
            </w:pPr>
            <w:r>
              <w:rPr>
                <w:rFonts w:ascii="Arial" w:hAnsi="Arial"/>
                <w:b/>
                <w:sz w:val="18"/>
                <w:szCs w:val="16"/>
              </w:rPr>
              <w:br/>
              <w:t>S</w:t>
            </w:r>
            <w:r w:rsidR="004E7F0F">
              <w:rPr>
                <w:rFonts w:ascii="Arial" w:hAnsi="Arial"/>
                <w:b/>
                <w:sz w:val="18"/>
                <w:szCs w:val="16"/>
              </w:rPr>
              <w:t>ub-</w:t>
            </w:r>
            <w:r>
              <w:rPr>
                <w:rFonts w:ascii="Arial" w:hAnsi="Arial"/>
                <w:b/>
                <w:sz w:val="18"/>
                <w:szCs w:val="16"/>
              </w:rPr>
              <w:br/>
            </w:r>
            <w:r w:rsidR="004E7F0F">
              <w:rPr>
                <w:rFonts w:ascii="Arial" w:hAnsi="Arial"/>
                <w:b/>
                <w:sz w:val="18"/>
                <w:szCs w:val="16"/>
              </w:rPr>
              <w:t>market</w:t>
            </w:r>
          </w:p>
        </w:tc>
        <w:tc>
          <w:tcPr>
            <w:tcW w:w="1134" w:type="dxa"/>
            <w:shd w:val="clear" w:color="auto" w:fill="1F242B" w:themeFill="accent2"/>
          </w:tcPr>
          <w:p w14:paraId="38F233F9" w14:textId="4CD9522E" w:rsidR="004E7F0F" w:rsidRPr="009F10F1" w:rsidRDefault="00BF1BAA" w:rsidP="005A6282">
            <w:pPr>
              <w:widowControl w:val="0"/>
              <w:spacing w:before="60" w:afterLines="60" w:after="144"/>
              <w:jc w:val="center"/>
              <w:rPr>
                <w:rFonts w:ascii="Arial" w:hAnsi="Arial" w:cs="Arial"/>
                <w:b/>
                <w:sz w:val="18"/>
                <w:szCs w:val="16"/>
              </w:rPr>
            </w:pPr>
            <w:r>
              <w:rPr>
                <w:rFonts w:ascii="Arial" w:hAnsi="Arial"/>
                <w:b/>
                <w:sz w:val="18"/>
                <w:szCs w:val="16"/>
              </w:rPr>
              <w:br/>
            </w:r>
            <w:r w:rsidR="004E7F0F">
              <w:rPr>
                <w:rFonts w:ascii="Arial" w:hAnsi="Arial"/>
                <w:b/>
                <w:sz w:val="18"/>
                <w:szCs w:val="16"/>
              </w:rPr>
              <w:t>Asset class</w:t>
            </w:r>
          </w:p>
        </w:tc>
        <w:tc>
          <w:tcPr>
            <w:tcW w:w="1559" w:type="dxa"/>
            <w:shd w:val="clear" w:color="auto" w:fill="1F242B" w:themeFill="accent2"/>
            <w:vAlign w:val="center"/>
          </w:tcPr>
          <w:p w14:paraId="3EC0A276" w14:textId="5F1FDFE1" w:rsidR="004E7F0F" w:rsidRPr="009F10F1" w:rsidRDefault="004E7F0F" w:rsidP="005A6282">
            <w:pPr>
              <w:widowControl w:val="0"/>
              <w:spacing w:before="60" w:afterLines="60" w:after="144"/>
              <w:jc w:val="center"/>
              <w:rPr>
                <w:rFonts w:ascii="Arial" w:hAnsi="Arial" w:cs="Arial"/>
                <w:b/>
                <w:sz w:val="18"/>
                <w:szCs w:val="16"/>
              </w:rPr>
            </w:pPr>
            <w:r>
              <w:rPr>
                <w:rFonts w:ascii="Arial" w:hAnsi="Arial"/>
                <w:b/>
                <w:sz w:val="18"/>
                <w:szCs w:val="16"/>
              </w:rPr>
              <w:t>Buyer</w:t>
            </w:r>
            <w:r w:rsidR="00BF1BAA">
              <w:rPr>
                <w:rFonts w:ascii="Arial" w:hAnsi="Arial"/>
                <w:b/>
                <w:sz w:val="18"/>
                <w:szCs w:val="16"/>
              </w:rPr>
              <w:t xml:space="preserve"> </w:t>
            </w:r>
            <w:r>
              <w:rPr>
                <w:rFonts w:ascii="Arial" w:hAnsi="Arial"/>
                <w:b/>
                <w:sz w:val="18"/>
                <w:szCs w:val="16"/>
              </w:rPr>
              <w:t>/</w:t>
            </w:r>
            <w:r w:rsidR="00BF1BAA">
              <w:rPr>
                <w:rFonts w:ascii="Arial" w:hAnsi="Arial"/>
                <w:b/>
                <w:sz w:val="18"/>
                <w:szCs w:val="16"/>
              </w:rPr>
              <w:t xml:space="preserve"> </w:t>
            </w:r>
            <w:r>
              <w:rPr>
                <w:rFonts w:ascii="Arial" w:hAnsi="Arial"/>
                <w:b/>
                <w:sz w:val="18"/>
                <w:szCs w:val="16"/>
              </w:rPr>
              <w:t>investor</w:t>
            </w:r>
          </w:p>
        </w:tc>
        <w:tc>
          <w:tcPr>
            <w:tcW w:w="2126" w:type="dxa"/>
            <w:shd w:val="clear" w:color="auto" w:fill="1F242B" w:themeFill="accent2"/>
            <w:vAlign w:val="center"/>
          </w:tcPr>
          <w:p w14:paraId="7F255BE2" w14:textId="06597911" w:rsidR="004E7F0F" w:rsidRPr="009F10F1" w:rsidRDefault="00BF1BAA" w:rsidP="005A6282">
            <w:pPr>
              <w:widowControl w:val="0"/>
              <w:spacing w:before="60" w:afterLines="60" w:after="144"/>
              <w:jc w:val="center"/>
              <w:rPr>
                <w:rFonts w:ascii="Arial" w:hAnsi="Arial" w:cs="Arial"/>
                <w:b/>
                <w:sz w:val="18"/>
                <w:szCs w:val="16"/>
              </w:rPr>
            </w:pPr>
            <w:r>
              <w:rPr>
                <w:rFonts w:ascii="Arial" w:hAnsi="Arial"/>
                <w:b/>
                <w:sz w:val="18"/>
                <w:szCs w:val="16"/>
              </w:rPr>
              <w:t>Vendor</w:t>
            </w:r>
          </w:p>
        </w:tc>
        <w:tc>
          <w:tcPr>
            <w:tcW w:w="1136" w:type="dxa"/>
            <w:shd w:val="clear" w:color="auto" w:fill="1F242B" w:themeFill="accent2"/>
            <w:vAlign w:val="center"/>
          </w:tcPr>
          <w:p w14:paraId="5742F731" w14:textId="77777777" w:rsidR="004E7F0F" w:rsidRPr="009F10F1" w:rsidRDefault="004E7F0F" w:rsidP="005A6282">
            <w:pPr>
              <w:widowControl w:val="0"/>
              <w:spacing w:before="60" w:after="0"/>
              <w:jc w:val="center"/>
              <w:rPr>
                <w:rFonts w:ascii="Arial" w:hAnsi="Arial" w:cs="Arial"/>
                <w:b/>
                <w:sz w:val="18"/>
                <w:szCs w:val="16"/>
              </w:rPr>
            </w:pPr>
            <w:r>
              <w:rPr>
                <w:rFonts w:ascii="Arial" w:hAnsi="Arial"/>
                <w:b/>
                <w:sz w:val="18"/>
                <w:szCs w:val="16"/>
              </w:rPr>
              <w:t>Purchase price*</w:t>
            </w:r>
          </w:p>
          <w:p w14:paraId="3F120A03" w14:textId="77777777" w:rsidR="004E7F0F" w:rsidRPr="009F10F1" w:rsidRDefault="004E7F0F" w:rsidP="005A6282">
            <w:pPr>
              <w:widowControl w:val="0"/>
              <w:spacing w:before="60" w:after="0"/>
              <w:jc w:val="center"/>
              <w:rPr>
                <w:rFonts w:ascii="Arial" w:hAnsi="Arial" w:cs="Arial"/>
                <w:b/>
                <w:sz w:val="18"/>
                <w:szCs w:val="16"/>
              </w:rPr>
            </w:pPr>
            <w:r>
              <w:rPr>
                <w:rFonts w:ascii="Arial" w:hAnsi="Arial"/>
                <w:sz w:val="18"/>
                <w:szCs w:val="16"/>
              </w:rPr>
              <w:t>[approx. €m]</w:t>
            </w:r>
          </w:p>
        </w:tc>
      </w:tr>
      <w:tr w:rsidR="004E7F0F" w:rsidRPr="00F2414C" w14:paraId="30FD5B1E" w14:textId="77777777" w:rsidTr="00BF1BAA">
        <w:trPr>
          <w:trHeight w:val="540"/>
        </w:trPr>
        <w:tc>
          <w:tcPr>
            <w:tcW w:w="2547" w:type="dxa"/>
            <w:shd w:val="clear" w:color="auto" w:fill="FFFFFF" w:themeFill="background1"/>
            <w:vAlign w:val="center"/>
          </w:tcPr>
          <w:p w14:paraId="34A6CB0C" w14:textId="1A6A6E14" w:rsidR="004E7F0F" w:rsidRPr="00CA462D" w:rsidRDefault="00CA462D" w:rsidP="00327D2E">
            <w:pPr>
              <w:widowControl w:val="0"/>
              <w:spacing w:after="0"/>
              <w:rPr>
                <w:rFonts w:ascii="Arial" w:hAnsi="Arial" w:cs="Arial"/>
                <w:color w:val="000000" w:themeColor="text1"/>
                <w:sz w:val="18"/>
                <w:szCs w:val="18"/>
              </w:rPr>
            </w:pPr>
            <w:r>
              <w:rPr>
                <w:rFonts w:ascii="Arial" w:hAnsi="Arial"/>
                <w:color w:val="000000" w:themeColor="text1"/>
                <w:sz w:val="18"/>
                <w:szCs w:val="18"/>
              </w:rPr>
              <w:t>“Spectrum”</w:t>
            </w:r>
          </w:p>
          <w:p w14:paraId="5A6DCA49" w14:textId="49BDF41E" w:rsidR="00CA462D" w:rsidRPr="00CA462D" w:rsidRDefault="00CA462D" w:rsidP="00327D2E">
            <w:pPr>
              <w:widowControl w:val="0"/>
              <w:spacing w:after="0"/>
              <w:rPr>
                <w:rFonts w:ascii="Arial" w:hAnsi="Arial" w:cs="Arial"/>
                <w:color w:val="000000" w:themeColor="text1"/>
                <w:sz w:val="18"/>
                <w:szCs w:val="18"/>
              </w:rPr>
            </w:pPr>
            <w:proofErr w:type="spellStart"/>
            <w:r>
              <w:rPr>
                <w:rFonts w:ascii="Arial" w:hAnsi="Arial"/>
                <w:color w:val="000000" w:themeColor="text1"/>
                <w:sz w:val="18"/>
                <w:szCs w:val="18"/>
              </w:rPr>
              <w:t>Amandus-Stubbe-Strasse</w:t>
            </w:r>
            <w:proofErr w:type="spellEnd"/>
            <w:r>
              <w:rPr>
                <w:rFonts w:ascii="Arial" w:hAnsi="Arial"/>
                <w:color w:val="000000" w:themeColor="text1"/>
                <w:sz w:val="18"/>
                <w:szCs w:val="18"/>
              </w:rPr>
              <w:t xml:space="preserve"> 10</w:t>
            </w:r>
          </w:p>
        </w:tc>
        <w:tc>
          <w:tcPr>
            <w:tcW w:w="1134" w:type="dxa"/>
            <w:shd w:val="clear" w:color="auto" w:fill="FFFFFF" w:themeFill="background1"/>
            <w:vAlign w:val="center"/>
          </w:tcPr>
          <w:p w14:paraId="40F6453C" w14:textId="7810608D" w:rsidR="004E7F0F" w:rsidRPr="00CA462D" w:rsidRDefault="00CA462D" w:rsidP="00327D2E">
            <w:pPr>
              <w:widowControl w:val="0"/>
              <w:spacing w:after="0"/>
              <w:rPr>
                <w:rFonts w:ascii="Arial" w:hAnsi="Arial" w:cs="Arial"/>
                <w:color w:val="000000" w:themeColor="text1"/>
                <w:sz w:val="18"/>
                <w:szCs w:val="18"/>
              </w:rPr>
            </w:pPr>
            <w:r>
              <w:rPr>
                <w:rFonts w:ascii="Arial" w:hAnsi="Arial"/>
                <w:color w:val="000000" w:themeColor="text1"/>
                <w:sz w:val="18"/>
                <w:szCs w:val="18"/>
              </w:rPr>
              <w:t>Hamburg East</w:t>
            </w:r>
          </w:p>
        </w:tc>
        <w:tc>
          <w:tcPr>
            <w:tcW w:w="1134" w:type="dxa"/>
            <w:shd w:val="clear" w:color="auto" w:fill="FFFFFF" w:themeFill="background1"/>
            <w:vAlign w:val="center"/>
          </w:tcPr>
          <w:p w14:paraId="11C43E4C" w14:textId="4DDD9FD4" w:rsidR="00CA462D" w:rsidRPr="00CA462D" w:rsidRDefault="00CA462D" w:rsidP="00327D2E">
            <w:pPr>
              <w:widowControl w:val="0"/>
              <w:spacing w:after="0"/>
              <w:rPr>
                <w:rFonts w:ascii="Arial" w:hAnsi="Arial" w:cs="Arial"/>
                <w:color w:val="000000" w:themeColor="text1"/>
                <w:sz w:val="18"/>
                <w:szCs w:val="18"/>
              </w:rPr>
            </w:pPr>
            <w:r>
              <w:rPr>
                <w:rFonts w:ascii="Arial" w:hAnsi="Arial"/>
                <w:color w:val="000000" w:themeColor="text1"/>
                <w:sz w:val="18"/>
                <w:szCs w:val="18"/>
              </w:rPr>
              <w:t>Ware</w:t>
            </w:r>
            <w:r w:rsidR="006C6C20">
              <w:rPr>
                <w:rFonts w:ascii="Arial" w:hAnsi="Arial"/>
                <w:color w:val="000000" w:themeColor="text1"/>
                <w:sz w:val="18"/>
                <w:szCs w:val="18"/>
              </w:rPr>
              <w:t>-</w:t>
            </w:r>
            <w:r>
              <w:rPr>
                <w:rFonts w:ascii="Arial" w:hAnsi="Arial"/>
                <w:color w:val="000000" w:themeColor="text1"/>
                <w:sz w:val="18"/>
                <w:szCs w:val="18"/>
              </w:rPr>
              <w:t>house/</w:t>
            </w:r>
          </w:p>
          <w:p w14:paraId="42CAEC28" w14:textId="1DC5F1E5" w:rsidR="004E7F0F" w:rsidRPr="00CA462D" w:rsidRDefault="00CA462D" w:rsidP="00327D2E">
            <w:pPr>
              <w:widowControl w:val="0"/>
              <w:spacing w:after="0"/>
              <w:rPr>
                <w:rFonts w:ascii="Arial" w:hAnsi="Arial" w:cs="Arial"/>
                <w:color w:val="000000" w:themeColor="text1"/>
                <w:sz w:val="18"/>
                <w:szCs w:val="18"/>
              </w:rPr>
            </w:pPr>
            <w:r>
              <w:rPr>
                <w:rFonts w:ascii="Arial" w:hAnsi="Arial"/>
                <w:color w:val="000000" w:themeColor="text1"/>
                <w:sz w:val="18"/>
                <w:szCs w:val="18"/>
              </w:rPr>
              <w:t>logistics</w:t>
            </w:r>
          </w:p>
        </w:tc>
        <w:tc>
          <w:tcPr>
            <w:tcW w:w="1559" w:type="dxa"/>
            <w:shd w:val="clear" w:color="auto" w:fill="FFFFFF" w:themeFill="background1"/>
            <w:vAlign w:val="center"/>
          </w:tcPr>
          <w:p w14:paraId="7DD2A0CE" w14:textId="1EA3E1FE" w:rsidR="004E7F0F" w:rsidRPr="00CA462D" w:rsidRDefault="00CA462D" w:rsidP="00674339">
            <w:pPr>
              <w:widowControl w:val="0"/>
              <w:spacing w:after="0"/>
              <w:rPr>
                <w:rFonts w:ascii="Arial" w:hAnsi="Arial" w:cs="Arial"/>
                <w:color w:val="000000" w:themeColor="text1"/>
                <w:sz w:val="18"/>
                <w:szCs w:val="18"/>
              </w:rPr>
            </w:pPr>
            <w:r>
              <w:rPr>
                <w:rFonts w:ascii="Arial" w:hAnsi="Arial"/>
                <w:color w:val="000000" w:themeColor="text1"/>
                <w:sz w:val="18"/>
                <w:szCs w:val="18"/>
              </w:rPr>
              <w:t>DWS Group</w:t>
            </w:r>
          </w:p>
        </w:tc>
        <w:tc>
          <w:tcPr>
            <w:tcW w:w="2126" w:type="dxa"/>
            <w:shd w:val="clear" w:color="auto" w:fill="FFFFFF" w:themeFill="background1"/>
            <w:vAlign w:val="center"/>
          </w:tcPr>
          <w:p w14:paraId="146FFCB8" w14:textId="07282CD9" w:rsidR="004E7F0F" w:rsidRPr="00CA462D" w:rsidRDefault="00CA462D" w:rsidP="00327D2E">
            <w:pPr>
              <w:widowControl w:val="0"/>
              <w:spacing w:after="0"/>
              <w:rPr>
                <w:rFonts w:ascii="Arial" w:hAnsi="Arial" w:cs="Arial"/>
                <w:color w:val="000000" w:themeColor="text1"/>
                <w:sz w:val="18"/>
                <w:szCs w:val="18"/>
              </w:rPr>
            </w:pPr>
            <w:proofErr w:type="spellStart"/>
            <w:r>
              <w:rPr>
                <w:rFonts w:ascii="Arial" w:hAnsi="Arial"/>
                <w:color w:val="000000" w:themeColor="text1"/>
                <w:sz w:val="18"/>
                <w:szCs w:val="18"/>
              </w:rPr>
              <w:t>Fiege</w:t>
            </w:r>
            <w:proofErr w:type="spellEnd"/>
            <w:r>
              <w:rPr>
                <w:rFonts w:ascii="Arial" w:hAnsi="Arial"/>
                <w:color w:val="000000" w:themeColor="text1"/>
                <w:sz w:val="18"/>
                <w:szCs w:val="18"/>
              </w:rPr>
              <w:t xml:space="preserve"> Deutschland</w:t>
            </w:r>
          </w:p>
        </w:tc>
        <w:tc>
          <w:tcPr>
            <w:tcW w:w="1136" w:type="dxa"/>
            <w:shd w:val="clear" w:color="auto" w:fill="FFFFFF" w:themeFill="background1"/>
            <w:vAlign w:val="center"/>
          </w:tcPr>
          <w:p w14:paraId="273ED851" w14:textId="5A62C8F6" w:rsidR="004E7F0F" w:rsidRPr="00CA462D" w:rsidRDefault="00CA462D" w:rsidP="00327D2E">
            <w:pPr>
              <w:widowControl w:val="0"/>
              <w:spacing w:after="0"/>
              <w:jc w:val="right"/>
              <w:rPr>
                <w:rFonts w:ascii="Arial" w:hAnsi="Arial" w:cs="Arial"/>
                <w:color w:val="000000" w:themeColor="text1"/>
                <w:sz w:val="18"/>
                <w:szCs w:val="18"/>
              </w:rPr>
            </w:pPr>
            <w:r>
              <w:rPr>
                <w:rFonts w:ascii="Arial" w:hAnsi="Arial"/>
                <w:color w:val="000000" w:themeColor="text1"/>
                <w:sz w:val="18"/>
                <w:szCs w:val="18"/>
              </w:rPr>
              <w:t>189</w:t>
            </w:r>
          </w:p>
        </w:tc>
      </w:tr>
      <w:tr w:rsidR="00F67E03" w:rsidRPr="00F2414C" w14:paraId="74A28DC9" w14:textId="77777777" w:rsidTr="00BF1BAA">
        <w:trPr>
          <w:trHeight w:val="540"/>
        </w:trPr>
        <w:tc>
          <w:tcPr>
            <w:tcW w:w="2547" w:type="dxa"/>
            <w:shd w:val="clear" w:color="auto" w:fill="auto"/>
            <w:vAlign w:val="center"/>
          </w:tcPr>
          <w:p w14:paraId="73FB5DB2" w14:textId="05173C06" w:rsidR="00F67E03" w:rsidRPr="00CA462D" w:rsidRDefault="00400B1D" w:rsidP="00327D2E">
            <w:pPr>
              <w:widowControl w:val="0"/>
              <w:spacing w:after="0"/>
              <w:rPr>
                <w:rFonts w:ascii="Arial" w:hAnsi="Arial" w:cs="Arial"/>
                <w:color w:val="000000" w:themeColor="text1"/>
                <w:sz w:val="18"/>
                <w:szCs w:val="18"/>
              </w:rPr>
            </w:pPr>
            <w:r>
              <w:rPr>
                <w:rFonts w:ascii="Arial" w:hAnsi="Arial"/>
                <w:color w:val="000000" w:themeColor="text1"/>
                <w:sz w:val="18"/>
                <w:szCs w:val="18"/>
              </w:rPr>
              <w:t xml:space="preserve">“Multimedia Centre </w:t>
            </w:r>
            <w:proofErr w:type="spellStart"/>
            <w:r>
              <w:rPr>
                <w:rFonts w:ascii="Arial" w:hAnsi="Arial"/>
                <w:color w:val="000000" w:themeColor="text1"/>
                <w:sz w:val="18"/>
                <w:szCs w:val="18"/>
              </w:rPr>
              <w:t>Rotherbaum</w:t>
            </w:r>
            <w:proofErr w:type="spellEnd"/>
            <w:r>
              <w:rPr>
                <w:rFonts w:ascii="Arial" w:hAnsi="Arial"/>
                <w:color w:val="000000" w:themeColor="text1"/>
                <w:sz w:val="18"/>
                <w:szCs w:val="18"/>
              </w:rPr>
              <w:t xml:space="preserve">”, </w:t>
            </w:r>
            <w:proofErr w:type="spellStart"/>
            <w:r>
              <w:rPr>
                <w:rFonts w:ascii="Arial" w:hAnsi="Arial"/>
                <w:color w:val="000000" w:themeColor="text1"/>
                <w:sz w:val="18"/>
                <w:szCs w:val="18"/>
              </w:rPr>
              <w:t>Rothenbaumchaussee</w:t>
            </w:r>
            <w:proofErr w:type="spellEnd"/>
            <w:r>
              <w:rPr>
                <w:rFonts w:ascii="Arial" w:hAnsi="Arial"/>
                <w:color w:val="000000" w:themeColor="text1"/>
                <w:sz w:val="18"/>
                <w:szCs w:val="18"/>
              </w:rPr>
              <w:t xml:space="preserve"> 76-80</w:t>
            </w:r>
          </w:p>
        </w:tc>
        <w:tc>
          <w:tcPr>
            <w:tcW w:w="1134" w:type="dxa"/>
            <w:shd w:val="clear" w:color="auto" w:fill="auto"/>
            <w:vAlign w:val="center"/>
          </w:tcPr>
          <w:p w14:paraId="0D46604A" w14:textId="4B3C9680" w:rsidR="00F67E03" w:rsidRPr="00CA462D" w:rsidRDefault="00A42F0D" w:rsidP="00327D2E">
            <w:pPr>
              <w:widowControl w:val="0"/>
              <w:spacing w:after="0"/>
              <w:rPr>
                <w:rFonts w:ascii="Arial" w:hAnsi="Arial" w:cs="Arial"/>
                <w:color w:val="000000" w:themeColor="text1"/>
                <w:sz w:val="18"/>
                <w:szCs w:val="18"/>
              </w:rPr>
            </w:pPr>
            <w:proofErr w:type="spellStart"/>
            <w:r>
              <w:rPr>
                <w:rFonts w:ascii="Arial" w:hAnsi="Arial"/>
                <w:color w:val="000000" w:themeColor="text1"/>
                <w:sz w:val="18"/>
                <w:szCs w:val="18"/>
              </w:rPr>
              <w:t>Alster</w:t>
            </w:r>
            <w:proofErr w:type="spellEnd"/>
            <w:r>
              <w:rPr>
                <w:rFonts w:ascii="Arial" w:hAnsi="Arial"/>
                <w:color w:val="000000" w:themeColor="text1"/>
                <w:sz w:val="18"/>
                <w:szCs w:val="18"/>
              </w:rPr>
              <w:t xml:space="preserve"> West</w:t>
            </w:r>
          </w:p>
        </w:tc>
        <w:tc>
          <w:tcPr>
            <w:tcW w:w="1134" w:type="dxa"/>
            <w:shd w:val="clear" w:color="auto" w:fill="auto"/>
            <w:vAlign w:val="center"/>
          </w:tcPr>
          <w:p w14:paraId="5FE8BCA4" w14:textId="1F3068BB" w:rsidR="00F67E03" w:rsidRPr="00CA462D" w:rsidRDefault="00400B1D" w:rsidP="00327D2E">
            <w:pPr>
              <w:widowControl w:val="0"/>
              <w:spacing w:after="0"/>
              <w:rPr>
                <w:rFonts w:ascii="Arial" w:hAnsi="Arial" w:cs="Arial"/>
                <w:color w:val="000000" w:themeColor="text1"/>
                <w:sz w:val="18"/>
                <w:szCs w:val="18"/>
              </w:rPr>
            </w:pPr>
            <w:r>
              <w:rPr>
                <w:rFonts w:ascii="Arial" w:hAnsi="Arial"/>
                <w:color w:val="000000" w:themeColor="text1"/>
                <w:sz w:val="18"/>
                <w:szCs w:val="18"/>
              </w:rPr>
              <w:t>Offices</w:t>
            </w:r>
          </w:p>
        </w:tc>
        <w:tc>
          <w:tcPr>
            <w:tcW w:w="1559" w:type="dxa"/>
            <w:shd w:val="clear" w:color="auto" w:fill="auto"/>
            <w:vAlign w:val="center"/>
          </w:tcPr>
          <w:p w14:paraId="7E99BD89" w14:textId="20FB0239" w:rsidR="00F67E03" w:rsidRPr="00CA462D" w:rsidRDefault="00400B1D" w:rsidP="00674339">
            <w:pPr>
              <w:widowControl w:val="0"/>
              <w:spacing w:after="0"/>
              <w:rPr>
                <w:rFonts w:ascii="Arial" w:hAnsi="Arial" w:cs="Arial"/>
                <w:color w:val="000000" w:themeColor="text1"/>
                <w:sz w:val="18"/>
                <w:szCs w:val="18"/>
              </w:rPr>
            </w:pPr>
            <w:r>
              <w:rPr>
                <w:rFonts w:ascii="Arial" w:hAnsi="Arial"/>
                <w:color w:val="000000" w:themeColor="text1"/>
                <w:sz w:val="18"/>
                <w:szCs w:val="18"/>
              </w:rPr>
              <w:t>Values Real Estate</w:t>
            </w:r>
          </w:p>
        </w:tc>
        <w:tc>
          <w:tcPr>
            <w:tcW w:w="2126" w:type="dxa"/>
            <w:shd w:val="clear" w:color="auto" w:fill="auto"/>
            <w:vAlign w:val="center"/>
          </w:tcPr>
          <w:p w14:paraId="6B09286D" w14:textId="70CDF36E" w:rsidR="00F67E03" w:rsidRPr="00CA462D" w:rsidRDefault="00400B1D" w:rsidP="00327D2E">
            <w:pPr>
              <w:widowControl w:val="0"/>
              <w:spacing w:after="0"/>
              <w:rPr>
                <w:rFonts w:ascii="Arial" w:hAnsi="Arial" w:cs="Arial"/>
                <w:color w:val="000000" w:themeColor="text1"/>
                <w:sz w:val="18"/>
                <w:szCs w:val="18"/>
              </w:rPr>
            </w:pPr>
            <w:proofErr w:type="spellStart"/>
            <w:r>
              <w:rPr>
                <w:rFonts w:ascii="Arial" w:hAnsi="Arial"/>
                <w:color w:val="000000" w:themeColor="text1"/>
                <w:sz w:val="18"/>
                <w:szCs w:val="18"/>
              </w:rPr>
              <w:t>Vermögensverwaltung</w:t>
            </w:r>
            <w:proofErr w:type="spellEnd"/>
            <w:r>
              <w:rPr>
                <w:rFonts w:ascii="Arial" w:hAnsi="Arial"/>
                <w:color w:val="000000" w:themeColor="text1"/>
                <w:sz w:val="18"/>
                <w:szCs w:val="18"/>
              </w:rPr>
              <w:t xml:space="preserve"> </w:t>
            </w:r>
            <w:proofErr w:type="spellStart"/>
            <w:r>
              <w:rPr>
                <w:rFonts w:ascii="Arial" w:hAnsi="Arial"/>
                <w:color w:val="000000" w:themeColor="text1"/>
                <w:sz w:val="18"/>
                <w:szCs w:val="18"/>
              </w:rPr>
              <w:t>Jahr</w:t>
            </w:r>
            <w:proofErr w:type="spellEnd"/>
          </w:p>
        </w:tc>
        <w:tc>
          <w:tcPr>
            <w:tcW w:w="1136" w:type="dxa"/>
            <w:shd w:val="clear" w:color="auto" w:fill="auto"/>
            <w:vAlign w:val="center"/>
          </w:tcPr>
          <w:p w14:paraId="5960E0F2" w14:textId="688289A1" w:rsidR="00F67E03" w:rsidRPr="00CA462D" w:rsidRDefault="00400B1D" w:rsidP="00327D2E">
            <w:pPr>
              <w:widowControl w:val="0"/>
              <w:spacing w:after="0"/>
              <w:jc w:val="right"/>
              <w:rPr>
                <w:rFonts w:ascii="Arial" w:hAnsi="Arial" w:cs="Arial"/>
                <w:color w:val="000000" w:themeColor="text1"/>
                <w:sz w:val="18"/>
                <w:szCs w:val="18"/>
              </w:rPr>
            </w:pPr>
            <w:r>
              <w:rPr>
                <w:rFonts w:ascii="Arial" w:hAnsi="Arial"/>
                <w:color w:val="000000" w:themeColor="text1"/>
                <w:sz w:val="18"/>
                <w:szCs w:val="18"/>
              </w:rPr>
              <w:t>170</w:t>
            </w:r>
          </w:p>
        </w:tc>
      </w:tr>
      <w:tr w:rsidR="00CA462D" w:rsidRPr="00F2414C" w14:paraId="078EA026" w14:textId="77777777" w:rsidTr="00BF1BAA">
        <w:trPr>
          <w:trHeight w:val="540"/>
        </w:trPr>
        <w:tc>
          <w:tcPr>
            <w:tcW w:w="2547" w:type="dxa"/>
            <w:shd w:val="clear" w:color="auto" w:fill="auto"/>
            <w:vAlign w:val="center"/>
          </w:tcPr>
          <w:p w14:paraId="40BD68E4" w14:textId="77777777" w:rsidR="00CA462D" w:rsidRPr="00CA462D" w:rsidRDefault="00CA462D" w:rsidP="00CA462D">
            <w:pPr>
              <w:widowControl w:val="0"/>
              <w:spacing w:after="0"/>
              <w:rPr>
                <w:rFonts w:ascii="Arial" w:hAnsi="Arial" w:cs="Arial"/>
                <w:color w:val="000000" w:themeColor="text1"/>
                <w:sz w:val="18"/>
                <w:szCs w:val="18"/>
              </w:rPr>
            </w:pPr>
            <w:r>
              <w:rPr>
                <w:rFonts w:ascii="Arial" w:hAnsi="Arial"/>
                <w:color w:val="000000" w:themeColor="text1"/>
                <w:sz w:val="18"/>
                <w:szCs w:val="18"/>
              </w:rPr>
              <w:t xml:space="preserve">“Hamburg </w:t>
            </w:r>
            <w:proofErr w:type="spellStart"/>
            <w:r>
              <w:rPr>
                <w:rFonts w:ascii="Arial" w:hAnsi="Arial"/>
                <w:color w:val="000000" w:themeColor="text1"/>
                <w:sz w:val="18"/>
                <w:szCs w:val="18"/>
              </w:rPr>
              <w:t>Süd</w:t>
            </w:r>
            <w:proofErr w:type="spellEnd"/>
            <w:r>
              <w:rPr>
                <w:rFonts w:ascii="Arial" w:hAnsi="Arial"/>
                <w:color w:val="000000" w:themeColor="text1"/>
                <w:sz w:val="18"/>
                <w:szCs w:val="18"/>
              </w:rPr>
              <w:t xml:space="preserve"> House”, </w:t>
            </w:r>
          </w:p>
          <w:p w14:paraId="43C7A864" w14:textId="3D6DBB95" w:rsidR="00CA462D" w:rsidRPr="00CA462D" w:rsidRDefault="00CA462D" w:rsidP="00CA462D">
            <w:pPr>
              <w:widowControl w:val="0"/>
              <w:spacing w:after="0"/>
              <w:rPr>
                <w:rFonts w:ascii="Arial" w:hAnsi="Arial" w:cs="Arial"/>
                <w:color w:val="000000" w:themeColor="text1"/>
                <w:sz w:val="18"/>
                <w:szCs w:val="18"/>
              </w:rPr>
            </w:pPr>
            <w:r>
              <w:rPr>
                <w:rFonts w:ascii="Arial" w:hAnsi="Arial"/>
                <w:color w:val="000000" w:themeColor="text1"/>
                <w:sz w:val="18"/>
                <w:szCs w:val="18"/>
              </w:rPr>
              <w:t>Willy-Brandt-</w:t>
            </w:r>
            <w:proofErr w:type="spellStart"/>
            <w:r>
              <w:rPr>
                <w:rFonts w:ascii="Arial" w:hAnsi="Arial"/>
                <w:color w:val="000000" w:themeColor="text1"/>
                <w:sz w:val="18"/>
                <w:szCs w:val="18"/>
              </w:rPr>
              <w:t>Strasse</w:t>
            </w:r>
            <w:proofErr w:type="spellEnd"/>
            <w:r>
              <w:rPr>
                <w:rFonts w:ascii="Arial" w:hAnsi="Arial"/>
                <w:color w:val="000000" w:themeColor="text1"/>
                <w:sz w:val="18"/>
                <w:szCs w:val="18"/>
              </w:rPr>
              <w:t xml:space="preserve"> 59-63 </w:t>
            </w:r>
          </w:p>
        </w:tc>
        <w:tc>
          <w:tcPr>
            <w:tcW w:w="1134" w:type="dxa"/>
            <w:shd w:val="clear" w:color="auto" w:fill="auto"/>
            <w:vAlign w:val="center"/>
          </w:tcPr>
          <w:p w14:paraId="5D93CD15" w14:textId="35C22B48" w:rsidR="00CA462D" w:rsidRPr="00CA462D" w:rsidRDefault="00CA462D" w:rsidP="00CA462D">
            <w:pPr>
              <w:widowControl w:val="0"/>
              <w:spacing w:after="0"/>
              <w:rPr>
                <w:rFonts w:ascii="Arial" w:hAnsi="Arial" w:cs="Arial"/>
                <w:color w:val="000000" w:themeColor="text1"/>
                <w:sz w:val="18"/>
                <w:szCs w:val="18"/>
              </w:rPr>
            </w:pPr>
            <w:r>
              <w:rPr>
                <w:rFonts w:ascii="Arial" w:hAnsi="Arial"/>
                <w:color w:val="000000" w:themeColor="text1"/>
                <w:sz w:val="18"/>
                <w:szCs w:val="18"/>
              </w:rPr>
              <w:t>City</w:t>
            </w:r>
          </w:p>
        </w:tc>
        <w:tc>
          <w:tcPr>
            <w:tcW w:w="1134" w:type="dxa"/>
            <w:shd w:val="clear" w:color="auto" w:fill="auto"/>
            <w:vAlign w:val="center"/>
          </w:tcPr>
          <w:p w14:paraId="0A2F86C8" w14:textId="75032F10" w:rsidR="00CA462D" w:rsidRPr="00CA462D" w:rsidRDefault="00CA462D" w:rsidP="00CA462D">
            <w:pPr>
              <w:widowControl w:val="0"/>
              <w:spacing w:after="0"/>
              <w:rPr>
                <w:rFonts w:ascii="Arial" w:hAnsi="Arial" w:cs="Arial"/>
                <w:color w:val="000000" w:themeColor="text1"/>
                <w:sz w:val="18"/>
                <w:szCs w:val="18"/>
              </w:rPr>
            </w:pPr>
            <w:r>
              <w:rPr>
                <w:rFonts w:ascii="Arial" w:hAnsi="Arial"/>
                <w:color w:val="000000" w:themeColor="text1"/>
                <w:sz w:val="18"/>
                <w:szCs w:val="18"/>
              </w:rPr>
              <w:t>Offices</w:t>
            </w:r>
          </w:p>
        </w:tc>
        <w:tc>
          <w:tcPr>
            <w:tcW w:w="1559" w:type="dxa"/>
            <w:shd w:val="clear" w:color="auto" w:fill="auto"/>
            <w:vAlign w:val="center"/>
          </w:tcPr>
          <w:p w14:paraId="5C526C90" w14:textId="163164B6" w:rsidR="00CA462D" w:rsidRPr="00CA462D" w:rsidRDefault="00CA462D" w:rsidP="00CA462D">
            <w:pPr>
              <w:widowControl w:val="0"/>
              <w:spacing w:after="0"/>
              <w:rPr>
                <w:rFonts w:ascii="Arial" w:hAnsi="Arial" w:cs="Arial"/>
                <w:sz w:val="18"/>
                <w:szCs w:val="18"/>
              </w:rPr>
            </w:pPr>
            <w:r>
              <w:rPr>
                <w:rFonts w:ascii="Arial" w:hAnsi="Arial"/>
                <w:sz w:val="18"/>
                <w:szCs w:val="18"/>
              </w:rPr>
              <w:t>Union Investment.</w:t>
            </w:r>
          </w:p>
        </w:tc>
        <w:tc>
          <w:tcPr>
            <w:tcW w:w="2126" w:type="dxa"/>
            <w:shd w:val="clear" w:color="auto" w:fill="auto"/>
            <w:vAlign w:val="center"/>
          </w:tcPr>
          <w:p w14:paraId="611BBC35" w14:textId="7FF1632B" w:rsidR="00CA462D" w:rsidRPr="00CA462D" w:rsidRDefault="00CA462D" w:rsidP="00CA462D">
            <w:pPr>
              <w:widowControl w:val="0"/>
              <w:spacing w:after="0"/>
              <w:rPr>
                <w:rFonts w:ascii="Arial" w:hAnsi="Arial" w:cs="Arial"/>
                <w:color w:val="000000" w:themeColor="text1"/>
                <w:sz w:val="18"/>
                <w:szCs w:val="18"/>
              </w:rPr>
            </w:pPr>
            <w:proofErr w:type="spellStart"/>
            <w:r>
              <w:rPr>
                <w:rFonts w:ascii="Arial" w:hAnsi="Arial"/>
                <w:color w:val="000000" w:themeColor="text1"/>
                <w:sz w:val="18"/>
                <w:szCs w:val="18"/>
              </w:rPr>
              <w:t>Dr.</w:t>
            </w:r>
            <w:proofErr w:type="spellEnd"/>
            <w:r>
              <w:rPr>
                <w:rFonts w:ascii="Arial" w:hAnsi="Arial"/>
                <w:color w:val="000000" w:themeColor="text1"/>
                <w:sz w:val="18"/>
                <w:szCs w:val="18"/>
              </w:rPr>
              <w:t xml:space="preserve"> August </w:t>
            </w:r>
            <w:proofErr w:type="spellStart"/>
            <w:r>
              <w:rPr>
                <w:rFonts w:ascii="Arial" w:hAnsi="Arial"/>
                <w:color w:val="000000" w:themeColor="text1"/>
                <w:sz w:val="18"/>
                <w:szCs w:val="18"/>
              </w:rPr>
              <w:t>Oetker</w:t>
            </w:r>
            <w:proofErr w:type="spellEnd"/>
            <w:r>
              <w:rPr>
                <w:rFonts w:ascii="Arial" w:hAnsi="Arial"/>
                <w:color w:val="000000" w:themeColor="text1"/>
                <w:sz w:val="18"/>
                <w:szCs w:val="18"/>
              </w:rPr>
              <w:t xml:space="preserve"> </w:t>
            </w:r>
            <w:proofErr w:type="spellStart"/>
            <w:r>
              <w:rPr>
                <w:rFonts w:ascii="Arial" w:hAnsi="Arial"/>
                <w:color w:val="000000" w:themeColor="text1"/>
                <w:sz w:val="18"/>
                <w:szCs w:val="18"/>
              </w:rPr>
              <w:t>Nahrungsmittel</w:t>
            </w:r>
            <w:proofErr w:type="spellEnd"/>
            <w:r>
              <w:rPr>
                <w:rFonts w:ascii="Arial" w:hAnsi="Arial"/>
                <w:color w:val="000000" w:themeColor="text1"/>
                <w:sz w:val="18"/>
                <w:szCs w:val="18"/>
              </w:rPr>
              <w:t xml:space="preserve"> </w:t>
            </w:r>
          </w:p>
        </w:tc>
        <w:tc>
          <w:tcPr>
            <w:tcW w:w="1136" w:type="dxa"/>
            <w:shd w:val="clear" w:color="auto" w:fill="auto"/>
            <w:vAlign w:val="center"/>
          </w:tcPr>
          <w:p w14:paraId="00102CAD" w14:textId="6A766CA4" w:rsidR="00CA462D" w:rsidRPr="00CA462D" w:rsidRDefault="00CA462D" w:rsidP="00CA462D">
            <w:pPr>
              <w:widowControl w:val="0"/>
              <w:spacing w:after="0"/>
              <w:jc w:val="right"/>
              <w:rPr>
                <w:rFonts w:ascii="Arial" w:hAnsi="Arial" w:cs="Arial"/>
                <w:color w:val="000000" w:themeColor="text1"/>
                <w:sz w:val="18"/>
                <w:szCs w:val="18"/>
              </w:rPr>
            </w:pPr>
            <w:r>
              <w:rPr>
                <w:rFonts w:ascii="Arial" w:hAnsi="Arial"/>
                <w:color w:val="000000" w:themeColor="text1"/>
                <w:sz w:val="18"/>
                <w:szCs w:val="18"/>
              </w:rPr>
              <w:t>&gt; 150</w:t>
            </w:r>
          </w:p>
        </w:tc>
      </w:tr>
      <w:tr w:rsidR="004E7F0F" w:rsidRPr="006F49D0" w14:paraId="3C103812" w14:textId="77777777" w:rsidTr="00BF1BAA">
        <w:trPr>
          <w:trHeight w:val="540"/>
        </w:trPr>
        <w:tc>
          <w:tcPr>
            <w:tcW w:w="2547" w:type="dxa"/>
            <w:shd w:val="clear" w:color="auto" w:fill="auto"/>
            <w:vAlign w:val="center"/>
          </w:tcPr>
          <w:p w14:paraId="029D5084" w14:textId="3DE0C3A1" w:rsidR="004E7F0F" w:rsidRPr="00CA462D" w:rsidRDefault="005F0034" w:rsidP="00327D2E">
            <w:pPr>
              <w:widowControl w:val="0"/>
              <w:spacing w:after="0"/>
              <w:rPr>
                <w:rFonts w:ascii="Arial" w:hAnsi="Arial" w:cs="Arial"/>
                <w:sz w:val="18"/>
                <w:szCs w:val="18"/>
              </w:rPr>
            </w:pPr>
            <w:proofErr w:type="spellStart"/>
            <w:r>
              <w:rPr>
                <w:rFonts w:ascii="Arial" w:hAnsi="Arial"/>
                <w:sz w:val="18"/>
                <w:szCs w:val="18"/>
              </w:rPr>
              <w:t>Norderstrasse</w:t>
            </w:r>
            <w:proofErr w:type="spellEnd"/>
            <w:r>
              <w:rPr>
                <w:rFonts w:ascii="Arial" w:hAnsi="Arial"/>
                <w:sz w:val="18"/>
                <w:szCs w:val="18"/>
              </w:rPr>
              <w:t xml:space="preserve"> 101</w:t>
            </w:r>
          </w:p>
        </w:tc>
        <w:tc>
          <w:tcPr>
            <w:tcW w:w="1134" w:type="dxa"/>
            <w:shd w:val="clear" w:color="auto" w:fill="auto"/>
            <w:vAlign w:val="center"/>
          </w:tcPr>
          <w:p w14:paraId="6826776C" w14:textId="545BDE48" w:rsidR="004E7F0F" w:rsidRPr="00CA462D" w:rsidRDefault="005F0034" w:rsidP="00327D2E">
            <w:pPr>
              <w:widowControl w:val="0"/>
              <w:spacing w:after="0"/>
              <w:rPr>
                <w:rFonts w:ascii="Arial" w:hAnsi="Arial" w:cs="Arial"/>
                <w:sz w:val="18"/>
                <w:szCs w:val="18"/>
              </w:rPr>
            </w:pPr>
            <w:r>
              <w:rPr>
                <w:rFonts w:ascii="Arial" w:hAnsi="Arial"/>
                <w:sz w:val="18"/>
                <w:szCs w:val="18"/>
              </w:rPr>
              <w:t>St. Georg</w:t>
            </w:r>
          </w:p>
        </w:tc>
        <w:tc>
          <w:tcPr>
            <w:tcW w:w="1134" w:type="dxa"/>
            <w:shd w:val="clear" w:color="auto" w:fill="auto"/>
            <w:vAlign w:val="center"/>
          </w:tcPr>
          <w:p w14:paraId="26C04F2B" w14:textId="615543AD" w:rsidR="004E7F0F" w:rsidRPr="00CA462D" w:rsidRDefault="005F0034" w:rsidP="00327D2E">
            <w:pPr>
              <w:widowControl w:val="0"/>
              <w:spacing w:after="0"/>
              <w:rPr>
                <w:rFonts w:ascii="Arial" w:hAnsi="Arial" w:cs="Arial"/>
                <w:sz w:val="18"/>
                <w:szCs w:val="18"/>
              </w:rPr>
            </w:pPr>
            <w:r>
              <w:rPr>
                <w:rFonts w:ascii="Arial" w:hAnsi="Arial"/>
                <w:sz w:val="18"/>
                <w:szCs w:val="18"/>
              </w:rPr>
              <w:t>Offices</w:t>
            </w:r>
          </w:p>
        </w:tc>
        <w:tc>
          <w:tcPr>
            <w:tcW w:w="1559" w:type="dxa"/>
            <w:shd w:val="clear" w:color="auto" w:fill="auto"/>
            <w:vAlign w:val="center"/>
          </w:tcPr>
          <w:p w14:paraId="3AA9E270" w14:textId="3E346E30" w:rsidR="004E7F0F" w:rsidRPr="00CA462D" w:rsidRDefault="005F0034" w:rsidP="00327D2E">
            <w:pPr>
              <w:widowControl w:val="0"/>
              <w:spacing w:after="0"/>
              <w:rPr>
                <w:rFonts w:ascii="Arial" w:hAnsi="Arial" w:cs="Arial"/>
                <w:sz w:val="18"/>
                <w:szCs w:val="18"/>
              </w:rPr>
            </w:pPr>
            <w:r>
              <w:rPr>
                <w:rFonts w:ascii="Arial" w:hAnsi="Arial"/>
                <w:sz w:val="18"/>
                <w:szCs w:val="18"/>
              </w:rPr>
              <w:t xml:space="preserve">B &amp; L </w:t>
            </w:r>
            <w:proofErr w:type="spellStart"/>
            <w:r>
              <w:rPr>
                <w:rFonts w:ascii="Arial" w:hAnsi="Arial"/>
                <w:sz w:val="18"/>
                <w:szCs w:val="18"/>
              </w:rPr>
              <w:t>Gruppe</w:t>
            </w:r>
            <w:proofErr w:type="spellEnd"/>
          </w:p>
        </w:tc>
        <w:tc>
          <w:tcPr>
            <w:tcW w:w="2126" w:type="dxa"/>
            <w:shd w:val="clear" w:color="auto" w:fill="auto"/>
            <w:vAlign w:val="center"/>
          </w:tcPr>
          <w:p w14:paraId="2260B6E9" w14:textId="7D862071" w:rsidR="004E7F0F" w:rsidRPr="00CA462D" w:rsidRDefault="00FE0368" w:rsidP="00FE0368">
            <w:pPr>
              <w:widowControl w:val="0"/>
              <w:spacing w:after="0"/>
              <w:rPr>
                <w:rFonts w:ascii="Arial" w:hAnsi="Arial" w:cs="Arial"/>
                <w:sz w:val="18"/>
                <w:szCs w:val="18"/>
              </w:rPr>
            </w:pPr>
            <w:proofErr w:type="spellStart"/>
            <w:r>
              <w:rPr>
                <w:rFonts w:ascii="Arial" w:hAnsi="Arial"/>
                <w:sz w:val="18"/>
                <w:szCs w:val="18"/>
              </w:rPr>
              <w:t>Commerz</w:t>
            </w:r>
            <w:proofErr w:type="spellEnd"/>
            <w:r>
              <w:rPr>
                <w:rFonts w:ascii="Arial" w:hAnsi="Arial"/>
                <w:sz w:val="18"/>
                <w:szCs w:val="18"/>
              </w:rPr>
              <w:t xml:space="preserve"> Real</w:t>
            </w:r>
          </w:p>
        </w:tc>
        <w:tc>
          <w:tcPr>
            <w:tcW w:w="1136" w:type="dxa"/>
            <w:shd w:val="clear" w:color="auto" w:fill="auto"/>
            <w:vAlign w:val="center"/>
          </w:tcPr>
          <w:p w14:paraId="7355C269" w14:textId="4CC09CB9" w:rsidR="004E7F0F" w:rsidRPr="00CA462D" w:rsidRDefault="005F0034" w:rsidP="00327D2E">
            <w:pPr>
              <w:widowControl w:val="0"/>
              <w:spacing w:after="0"/>
              <w:jc w:val="right"/>
              <w:rPr>
                <w:rFonts w:ascii="Arial" w:hAnsi="Arial" w:cs="Arial"/>
                <w:sz w:val="18"/>
                <w:szCs w:val="18"/>
              </w:rPr>
            </w:pPr>
            <w:r>
              <w:rPr>
                <w:rFonts w:ascii="Arial" w:hAnsi="Arial"/>
                <w:sz w:val="18"/>
                <w:szCs w:val="18"/>
              </w:rPr>
              <w:t>150</w:t>
            </w:r>
          </w:p>
        </w:tc>
      </w:tr>
      <w:tr w:rsidR="00AB74D4" w:rsidRPr="006F49D0" w14:paraId="01DE5E9D" w14:textId="77777777" w:rsidTr="00BF1BAA">
        <w:trPr>
          <w:trHeight w:val="53"/>
        </w:trPr>
        <w:tc>
          <w:tcPr>
            <w:tcW w:w="2547" w:type="dxa"/>
            <w:shd w:val="clear" w:color="auto" w:fill="7F7F7F" w:themeFill="text1" w:themeFillTint="80"/>
            <w:vAlign w:val="center"/>
          </w:tcPr>
          <w:p w14:paraId="14EFA2AF" w14:textId="77777777" w:rsidR="00AB74D4" w:rsidRDefault="00AB74D4" w:rsidP="00327D2E">
            <w:pPr>
              <w:widowControl w:val="0"/>
              <w:spacing w:after="0"/>
              <w:rPr>
                <w:rFonts w:ascii="Arial" w:hAnsi="Arial" w:cs="Arial"/>
                <w:sz w:val="18"/>
                <w:szCs w:val="18"/>
              </w:rPr>
            </w:pPr>
          </w:p>
        </w:tc>
        <w:tc>
          <w:tcPr>
            <w:tcW w:w="1134" w:type="dxa"/>
            <w:shd w:val="clear" w:color="auto" w:fill="7F7F7F" w:themeFill="text1" w:themeFillTint="80"/>
            <w:vAlign w:val="center"/>
          </w:tcPr>
          <w:p w14:paraId="4840CA6C" w14:textId="77777777" w:rsidR="00AB74D4" w:rsidRDefault="00AB74D4" w:rsidP="00327D2E">
            <w:pPr>
              <w:widowControl w:val="0"/>
              <w:spacing w:after="0"/>
              <w:rPr>
                <w:rFonts w:ascii="Arial" w:hAnsi="Arial" w:cs="Arial"/>
                <w:sz w:val="18"/>
                <w:szCs w:val="18"/>
              </w:rPr>
            </w:pPr>
          </w:p>
        </w:tc>
        <w:tc>
          <w:tcPr>
            <w:tcW w:w="1134" w:type="dxa"/>
            <w:shd w:val="clear" w:color="auto" w:fill="7F7F7F" w:themeFill="text1" w:themeFillTint="80"/>
            <w:vAlign w:val="center"/>
          </w:tcPr>
          <w:p w14:paraId="78A26992" w14:textId="77777777" w:rsidR="00AB74D4" w:rsidRDefault="00AB74D4" w:rsidP="00327D2E">
            <w:pPr>
              <w:widowControl w:val="0"/>
              <w:spacing w:after="0"/>
              <w:rPr>
                <w:rFonts w:ascii="Arial" w:hAnsi="Arial" w:cs="Arial"/>
                <w:sz w:val="18"/>
                <w:szCs w:val="18"/>
              </w:rPr>
            </w:pPr>
          </w:p>
        </w:tc>
        <w:tc>
          <w:tcPr>
            <w:tcW w:w="1559" w:type="dxa"/>
            <w:shd w:val="clear" w:color="auto" w:fill="7F7F7F" w:themeFill="text1" w:themeFillTint="80"/>
            <w:vAlign w:val="center"/>
          </w:tcPr>
          <w:p w14:paraId="09B90C2A" w14:textId="77777777" w:rsidR="00AB74D4" w:rsidRDefault="00AB74D4" w:rsidP="00327D2E">
            <w:pPr>
              <w:widowControl w:val="0"/>
              <w:spacing w:after="0"/>
              <w:rPr>
                <w:rFonts w:ascii="Arial" w:hAnsi="Arial" w:cs="Arial"/>
                <w:sz w:val="18"/>
                <w:szCs w:val="18"/>
              </w:rPr>
            </w:pPr>
          </w:p>
        </w:tc>
        <w:tc>
          <w:tcPr>
            <w:tcW w:w="2126" w:type="dxa"/>
            <w:shd w:val="clear" w:color="auto" w:fill="7F7F7F" w:themeFill="text1" w:themeFillTint="80"/>
            <w:vAlign w:val="center"/>
          </w:tcPr>
          <w:p w14:paraId="1B146022" w14:textId="77777777" w:rsidR="00AB74D4" w:rsidRDefault="00AB74D4" w:rsidP="00FE0368">
            <w:pPr>
              <w:widowControl w:val="0"/>
              <w:spacing w:after="0"/>
              <w:rPr>
                <w:rFonts w:ascii="Arial" w:hAnsi="Arial" w:cs="Arial"/>
                <w:sz w:val="18"/>
                <w:szCs w:val="18"/>
              </w:rPr>
            </w:pPr>
          </w:p>
        </w:tc>
        <w:tc>
          <w:tcPr>
            <w:tcW w:w="1136" w:type="dxa"/>
            <w:shd w:val="clear" w:color="auto" w:fill="7F7F7F" w:themeFill="text1" w:themeFillTint="80"/>
            <w:vAlign w:val="center"/>
          </w:tcPr>
          <w:p w14:paraId="77B8A6A7" w14:textId="77777777" w:rsidR="00AB74D4" w:rsidRDefault="00AB74D4" w:rsidP="00327D2E">
            <w:pPr>
              <w:widowControl w:val="0"/>
              <w:spacing w:after="0"/>
              <w:jc w:val="right"/>
              <w:rPr>
                <w:rFonts w:ascii="Arial" w:hAnsi="Arial" w:cs="Arial"/>
                <w:sz w:val="18"/>
                <w:szCs w:val="18"/>
              </w:rPr>
            </w:pPr>
          </w:p>
        </w:tc>
      </w:tr>
      <w:tr w:rsidR="005A40F1" w:rsidRPr="006F49D0" w14:paraId="1319D838" w14:textId="77777777" w:rsidTr="00BF1BAA">
        <w:trPr>
          <w:trHeight w:val="540"/>
        </w:trPr>
        <w:tc>
          <w:tcPr>
            <w:tcW w:w="2547" w:type="dxa"/>
            <w:shd w:val="clear" w:color="auto" w:fill="D9D9D9" w:themeFill="background1" w:themeFillShade="D9"/>
            <w:vAlign w:val="center"/>
          </w:tcPr>
          <w:p w14:paraId="1E13EC81" w14:textId="1E019044" w:rsidR="005A40F1" w:rsidRDefault="005A40F1" w:rsidP="00BF1BAA">
            <w:pPr>
              <w:widowControl w:val="0"/>
              <w:spacing w:after="0"/>
              <w:rPr>
                <w:rFonts w:ascii="Arial" w:hAnsi="Arial" w:cs="Arial"/>
                <w:sz w:val="18"/>
                <w:szCs w:val="18"/>
              </w:rPr>
            </w:pPr>
            <w:r>
              <w:rPr>
                <w:rFonts w:ascii="Arial" w:hAnsi="Arial"/>
                <w:sz w:val="18"/>
                <w:szCs w:val="18"/>
              </w:rPr>
              <w:t>Headquarters “</w:t>
            </w:r>
            <w:proofErr w:type="spellStart"/>
            <w:r>
              <w:rPr>
                <w:rFonts w:ascii="Arial" w:hAnsi="Arial"/>
                <w:sz w:val="18"/>
                <w:szCs w:val="18"/>
              </w:rPr>
              <w:t>Marquard</w:t>
            </w:r>
            <w:proofErr w:type="spellEnd"/>
            <w:r>
              <w:rPr>
                <w:rFonts w:ascii="Arial" w:hAnsi="Arial"/>
                <w:sz w:val="18"/>
                <w:szCs w:val="18"/>
              </w:rPr>
              <w:t xml:space="preserve"> &amp; </w:t>
            </w:r>
            <w:proofErr w:type="spellStart"/>
            <w:r>
              <w:rPr>
                <w:rFonts w:ascii="Arial" w:hAnsi="Arial"/>
                <w:sz w:val="18"/>
                <w:szCs w:val="18"/>
              </w:rPr>
              <w:t>Bahls</w:t>
            </w:r>
            <w:proofErr w:type="spellEnd"/>
            <w:r>
              <w:rPr>
                <w:rFonts w:ascii="Arial" w:hAnsi="Arial"/>
                <w:sz w:val="18"/>
                <w:szCs w:val="18"/>
              </w:rPr>
              <w:t>”,</w:t>
            </w:r>
            <w:r w:rsidR="00BF1BAA">
              <w:rPr>
                <w:rFonts w:ascii="Arial" w:hAnsi="Arial"/>
                <w:sz w:val="18"/>
                <w:szCs w:val="18"/>
              </w:rPr>
              <w:t xml:space="preserve"> </w:t>
            </w:r>
            <w:proofErr w:type="spellStart"/>
            <w:r>
              <w:rPr>
                <w:rFonts w:ascii="Arial" w:hAnsi="Arial"/>
                <w:sz w:val="18"/>
                <w:szCs w:val="18"/>
              </w:rPr>
              <w:t>Koreastrasse</w:t>
            </w:r>
            <w:proofErr w:type="spellEnd"/>
            <w:r>
              <w:rPr>
                <w:rFonts w:ascii="Arial" w:hAnsi="Arial"/>
                <w:sz w:val="18"/>
                <w:szCs w:val="18"/>
              </w:rPr>
              <w:t xml:space="preserve"> 7</w:t>
            </w:r>
          </w:p>
        </w:tc>
        <w:tc>
          <w:tcPr>
            <w:tcW w:w="1134" w:type="dxa"/>
            <w:shd w:val="clear" w:color="auto" w:fill="D9D9D9" w:themeFill="background1" w:themeFillShade="D9"/>
            <w:vAlign w:val="center"/>
          </w:tcPr>
          <w:p w14:paraId="7D64DE30" w14:textId="53278DB8" w:rsidR="005A40F1" w:rsidRDefault="005A40F1" w:rsidP="00327D2E">
            <w:pPr>
              <w:widowControl w:val="0"/>
              <w:spacing w:after="0"/>
              <w:rPr>
                <w:rFonts w:ascii="Arial" w:hAnsi="Arial" w:cs="Arial"/>
                <w:sz w:val="18"/>
                <w:szCs w:val="18"/>
              </w:rPr>
            </w:pPr>
            <w:r>
              <w:rPr>
                <w:rFonts w:ascii="Arial" w:hAnsi="Arial"/>
                <w:sz w:val="18"/>
                <w:szCs w:val="18"/>
              </w:rPr>
              <w:t>HafenCity</w:t>
            </w:r>
          </w:p>
        </w:tc>
        <w:tc>
          <w:tcPr>
            <w:tcW w:w="1134" w:type="dxa"/>
            <w:shd w:val="clear" w:color="auto" w:fill="D9D9D9" w:themeFill="background1" w:themeFillShade="D9"/>
            <w:vAlign w:val="center"/>
          </w:tcPr>
          <w:p w14:paraId="21ACC2A9" w14:textId="744F0218" w:rsidR="005A40F1" w:rsidRDefault="00AB74D4" w:rsidP="00327D2E">
            <w:pPr>
              <w:widowControl w:val="0"/>
              <w:spacing w:after="0"/>
              <w:rPr>
                <w:rFonts w:ascii="Arial" w:hAnsi="Arial" w:cs="Arial"/>
                <w:sz w:val="18"/>
                <w:szCs w:val="18"/>
              </w:rPr>
            </w:pPr>
            <w:r>
              <w:rPr>
                <w:rFonts w:ascii="Arial" w:hAnsi="Arial"/>
                <w:sz w:val="18"/>
                <w:szCs w:val="18"/>
              </w:rPr>
              <w:t>Offices</w:t>
            </w:r>
          </w:p>
        </w:tc>
        <w:tc>
          <w:tcPr>
            <w:tcW w:w="1559" w:type="dxa"/>
            <w:shd w:val="clear" w:color="auto" w:fill="D9D9D9" w:themeFill="background1" w:themeFillShade="D9"/>
            <w:vAlign w:val="center"/>
          </w:tcPr>
          <w:p w14:paraId="7BB4A488" w14:textId="6DB247CE" w:rsidR="005A40F1" w:rsidRDefault="005A40F1" w:rsidP="00327D2E">
            <w:pPr>
              <w:widowControl w:val="0"/>
              <w:spacing w:after="0"/>
              <w:rPr>
                <w:rFonts w:ascii="Arial" w:hAnsi="Arial" w:cs="Arial"/>
                <w:sz w:val="18"/>
                <w:szCs w:val="18"/>
              </w:rPr>
            </w:pPr>
            <w:r>
              <w:rPr>
                <w:rFonts w:ascii="Arial" w:hAnsi="Arial"/>
                <w:sz w:val="18"/>
                <w:szCs w:val="18"/>
              </w:rPr>
              <w:t>JP Morgan Asset Management</w:t>
            </w:r>
          </w:p>
        </w:tc>
        <w:tc>
          <w:tcPr>
            <w:tcW w:w="2126" w:type="dxa"/>
            <w:shd w:val="clear" w:color="auto" w:fill="D9D9D9" w:themeFill="background1" w:themeFillShade="D9"/>
            <w:vAlign w:val="center"/>
          </w:tcPr>
          <w:p w14:paraId="5C18FF20" w14:textId="32C16085" w:rsidR="005A40F1" w:rsidRDefault="005A40F1" w:rsidP="00FE0368">
            <w:pPr>
              <w:widowControl w:val="0"/>
              <w:spacing w:after="0"/>
              <w:rPr>
                <w:rFonts w:ascii="Arial" w:hAnsi="Arial" w:cs="Arial"/>
                <w:sz w:val="18"/>
                <w:szCs w:val="18"/>
              </w:rPr>
            </w:pPr>
            <w:proofErr w:type="spellStart"/>
            <w:r>
              <w:rPr>
                <w:rFonts w:ascii="Arial" w:hAnsi="Arial"/>
                <w:sz w:val="18"/>
                <w:szCs w:val="18"/>
              </w:rPr>
              <w:t>Marquard</w:t>
            </w:r>
            <w:proofErr w:type="spellEnd"/>
            <w:r>
              <w:rPr>
                <w:rFonts w:ascii="Arial" w:hAnsi="Arial"/>
                <w:sz w:val="18"/>
                <w:szCs w:val="18"/>
              </w:rPr>
              <w:t xml:space="preserve"> &amp; </w:t>
            </w:r>
            <w:proofErr w:type="spellStart"/>
            <w:r>
              <w:rPr>
                <w:rFonts w:ascii="Arial" w:hAnsi="Arial"/>
                <w:sz w:val="18"/>
                <w:szCs w:val="18"/>
              </w:rPr>
              <w:t>Bahls</w:t>
            </w:r>
            <w:proofErr w:type="spellEnd"/>
          </w:p>
        </w:tc>
        <w:tc>
          <w:tcPr>
            <w:tcW w:w="1136" w:type="dxa"/>
            <w:shd w:val="clear" w:color="auto" w:fill="D9D9D9" w:themeFill="background1" w:themeFillShade="D9"/>
            <w:vAlign w:val="center"/>
          </w:tcPr>
          <w:p w14:paraId="46004312" w14:textId="174A2F68" w:rsidR="005A40F1" w:rsidRDefault="005A40F1" w:rsidP="00327D2E">
            <w:pPr>
              <w:widowControl w:val="0"/>
              <w:spacing w:after="0"/>
              <w:jc w:val="right"/>
              <w:rPr>
                <w:rFonts w:ascii="Arial" w:hAnsi="Arial" w:cs="Arial"/>
                <w:sz w:val="18"/>
                <w:szCs w:val="18"/>
              </w:rPr>
            </w:pPr>
            <w:r>
              <w:rPr>
                <w:rFonts w:ascii="Arial" w:hAnsi="Arial"/>
                <w:sz w:val="18"/>
                <w:szCs w:val="18"/>
              </w:rPr>
              <w:t>confidential</w:t>
            </w:r>
          </w:p>
        </w:tc>
      </w:tr>
    </w:tbl>
    <w:p w14:paraId="76290F15" w14:textId="5B724C1D" w:rsidR="00CA462D" w:rsidRDefault="004E7F0F" w:rsidP="00CA462D">
      <w:pPr>
        <w:widowControl w:val="0"/>
        <w:spacing w:after="0"/>
        <w:rPr>
          <w:rFonts w:ascii="Arial" w:hAnsi="Arial" w:cs="Arial"/>
          <w:sz w:val="16"/>
          <w:szCs w:val="16"/>
        </w:rPr>
      </w:pPr>
      <w:r>
        <w:rPr>
          <w:rFonts w:ascii="Arial" w:hAnsi="Arial"/>
          <w:sz w:val="16"/>
          <w:szCs w:val="16"/>
        </w:rPr>
        <w:t>*The purchase prices stated are based on publicly available data, where none is available an estimate is made; transactions occurring in the quarter dealt with in this report are highlighted.</w:t>
      </w:r>
    </w:p>
    <w:p w14:paraId="373A4382" w14:textId="3E06F6AA" w:rsidR="004E7F0F" w:rsidRDefault="004E7F0F" w:rsidP="004E7F0F">
      <w:pPr>
        <w:spacing w:after="0"/>
        <w:rPr>
          <w:rFonts w:ascii="Arial" w:eastAsia="Arial" w:hAnsi="Arial" w:cs="Arial"/>
          <w:color w:val="000000" w:themeColor="text1"/>
          <w:sz w:val="20"/>
          <w:szCs w:val="20"/>
        </w:rPr>
      </w:pPr>
    </w:p>
    <w:p w14:paraId="513CABD7" w14:textId="77777777" w:rsidR="004E7F0F" w:rsidRDefault="004E7F0F" w:rsidP="004E7F0F">
      <w:pPr>
        <w:spacing w:after="0"/>
        <w:rPr>
          <w:rFonts w:ascii="Arial" w:eastAsia="Arial" w:hAnsi="Arial" w:cs="Arial"/>
          <w:color w:val="000000" w:themeColor="text1"/>
          <w:sz w:val="20"/>
          <w:szCs w:val="20"/>
        </w:rPr>
      </w:pPr>
    </w:p>
    <w:p w14:paraId="1F993A3D" w14:textId="77777777" w:rsidR="004E7F0F" w:rsidRPr="006C6C20" w:rsidRDefault="004E7F0F" w:rsidP="004E7F0F">
      <w:pPr>
        <w:spacing w:after="0" w:line="360" w:lineRule="auto"/>
        <w:rPr>
          <w:rFonts w:ascii="Arial" w:hAnsi="Arial" w:cs="Arial"/>
          <w:sz w:val="18"/>
          <w:szCs w:val="18"/>
        </w:rPr>
      </w:pPr>
      <w:r w:rsidRPr="006C6C20">
        <w:rPr>
          <w:rFonts w:ascii="Arial" w:hAnsi="Arial" w:cs="Arial"/>
          <w:color w:val="000000" w:themeColor="text1"/>
          <w:sz w:val="18"/>
          <w:szCs w:val="18"/>
        </w:rPr>
        <w:t xml:space="preserve">The complete </w:t>
      </w:r>
      <w:hyperlink r:id="rId9" w:history="1">
        <w:r w:rsidRPr="006C6C20">
          <w:rPr>
            <w:rStyle w:val="Hyperlink"/>
            <w:rFonts w:ascii="Arial" w:hAnsi="Arial" w:cs="Arial"/>
            <w:sz w:val="18"/>
            <w:szCs w:val="18"/>
          </w:rPr>
          <w:t>investment market survey</w:t>
        </w:r>
      </w:hyperlink>
      <w:r w:rsidRPr="006C6C20">
        <w:rPr>
          <w:rFonts w:ascii="Arial" w:hAnsi="Arial" w:cs="Arial"/>
          <w:color w:val="000000" w:themeColor="text1"/>
          <w:sz w:val="18"/>
          <w:szCs w:val="18"/>
        </w:rPr>
        <w:t xml:space="preserve"> will soon be available and can be downloaded from our website.</w:t>
      </w:r>
    </w:p>
    <w:p w14:paraId="545BF58C" w14:textId="77777777" w:rsidR="004E7F0F" w:rsidRDefault="004E7F0F" w:rsidP="004E7F0F">
      <w:pPr>
        <w:spacing w:after="0" w:line="360" w:lineRule="auto"/>
        <w:rPr>
          <w:rFonts w:ascii="Arial" w:hAnsi="Arial" w:cs="Arial"/>
          <w:b/>
          <w:sz w:val="16"/>
          <w:szCs w:val="16"/>
        </w:rPr>
      </w:pPr>
    </w:p>
    <w:p w14:paraId="66E7EF52" w14:textId="77777777" w:rsidR="004E7F0F" w:rsidRPr="0090748B" w:rsidRDefault="004E7F0F" w:rsidP="004E7F0F">
      <w:pPr>
        <w:spacing w:after="0" w:line="360" w:lineRule="auto"/>
        <w:rPr>
          <w:rFonts w:ascii="Arial" w:hAnsi="Arial" w:cs="Arial"/>
          <w:b/>
          <w:sz w:val="16"/>
          <w:szCs w:val="16"/>
        </w:rPr>
      </w:pPr>
      <w:r>
        <w:rPr>
          <w:rFonts w:ascii="Arial" w:hAnsi="Arial"/>
          <w:b/>
          <w:sz w:val="16"/>
          <w:szCs w:val="16"/>
        </w:rPr>
        <w:t>About Grossmann &amp; Berger</w:t>
      </w:r>
    </w:p>
    <w:p w14:paraId="774D9BE5" w14:textId="6F6F633B" w:rsidR="000B39AB" w:rsidRPr="000B39AB" w:rsidRDefault="00BF1BAA" w:rsidP="000B39AB">
      <w:pPr>
        <w:spacing w:after="0" w:line="360" w:lineRule="auto"/>
        <w:rPr>
          <w:rFonts w:ascii="Arial" w:hAnsi="Arial" w:cs="Arial"/>
          <w:sz w:val="16"/>
          <w:szCs w:val="16"/>
        </w:rPr>
      </w:pPr>
      <w:hyperlink r:id="rId10" w:history="1">
        <w:r w:rsidR="000B39AB">
          <w:rPr>
            <w:rStyle w:val="Hyperlink"/>
            <w:rFonts w:ascii="Arial" w:hAnsi="Arial"/>
            <w:snapToGrid w:val="0"/>
            <w:sz w:val="16"/>
            <w:szCs w:val="16"/>
          </w:rPr>
          <w:t>Grossmann &amp; Berger GmbH</w:t>
        </w:r>
      </w:hyperlink>
      <w:r w:rsidR="000B39AB">
        <w:rPr>
          <w:rFonts w:ascii="Arial" w:hAnsi="Arial"/>
          <w:snapToGrid w:val="0"/>
          <w:sz w:val="16"/>
          <w:szCs w:val="16"/>
        </w:rPr>
        <w:t xml:space="preserve"> is one of the leading service providers in the business of selling and letting commercial and residential properties in North Germany. In addition to its main office in Hamburg, the company has 20 local offices. This allows Grossmann &amp; Berger to cover the entire North German market. In May 2021 the company was augmented by </w:t>
      </w:r>
      <w:hyperlink r:id="rId11" w:history="1">
        <w:r w:rsidR="000B39AB">
          <w:rPr>
            <w:rStyle w:val="Hyperlink"/>
            <w:rFonts w:ascii="Arial" w:hAnsi="Arial"/>
            <w:snapToGrid w:val="0"/>
            <w:sz w:val="16"/>
            <w:szCs w:val="16"/>
          </w:rPr>
          <w:t>E &amp; G Real Estate</w:t>
        </w:r>
      </w:hyperlink>
      <w:r w:rsidR="000B39AB">
        <w:rPr>
          <w:rFonts w:ascii="Arial" w:hAnsi="Arial"/>
          <w:snapToGrid w:val="0"/>
          <w:sz w:val="16"/>
          <w:szCs w:val="16"/>
        </w:rPr>
        <w:t xml:space="preserve"> and</w:t>
      </w:r>
      <w:r w:rsidR="000B39AB">
        <w:rPr>
          <w:rFonts w:ascii="Arial" w:hAnsi="Arial"/>
          <w:snapToGrid w:val="0"/>
          <w:sz w:val="16"/>
          <w:szCs w:val="16"/>
        </w:rPr>
        <w:br/>
      </w:r>
      <w:hyperlink r:id="rId12" w:history="1">
        <w:r w:rsidR="000B39AB">
          <w:rPr>
            <w:rStyle w:val="Hyperlink"/>
            <w:rFonts w:ascii="Arial" w:hAnsi="Arial"/>
            <w:snapToGrid w:val="0"/>
            <w:sz w:val="16"/>
            <w:szCs w:val="16"/>
          </w:rPr>
          <w:t xml:space="preserve">E &amp; G Private </w:t>
        </w:r>
        <w:proofErr w:type="spellStart"/>
        <w:r w:rsidR="000B39AB">
          <w:rPr>
            <w:rStyle w:val="Hyperlink"/>
            <w:rFonts w:ascii="Arial" w:hAnsi="Arial"/>
            <w:snapToGrid w:val="0"/>
            <w:sz w:val="16"/>
            <w:szCs w:val="16"/>
          </w:rPr>
          <w:t>Immobilien</w:t>
        </w:r>
        <w:proofErr w:type="spellEnd"/>
      </w:hyperlink>
      <w:r w:rsidR="000B39AB">
        <w:rPr>
          <w:rFonts w:ascii="Arial" w:hAnsi="Arial"/>
          <w:snapToGrid w:val="0"/>
          <w:sz w:val="16"/>
          <w:szCs w:val="16"/>
        </w:rPr>
        <w:t xml:space="preserve">, so that Grossmann &amp; Berger also operates in the two South German metropolitan areas of Stuttgart and Munich. Drawing on their comprehensive expertise in the real estate business, some 250 employees provide the full range of relevant </w:t>
      </w:r>
      <w:r w:rsidR="000B39AB">
        <w:rPr>
          <w:rFonts w:ascii="Arial" w:hAnsi="Arial"/>
          <w:snapToGrid w:val="0"/>
          <w:sz w:val="16"/>
          <w:szCs w:val="16"/>
        </w:rPr>
        <w:lastRenderedPageBreak/>
        <w:t xml:space="preserve">services. They also benefit from the company’s more than 85 years standing in the industry. </w:t>
      </w:r>
      <w:r w:rsidR="000B39AB">
        <w:rPr>
          <w:rFonts w:ascii="Arial" w:hAnsi="Arial"/>
          <w:sz w:val="16"/>
          <w:szCs w:val="16"/>
        </w:rPr>
        <w:t xml:space="preserve">Grossmann &amp; Berger belongs to the HASPA Group and is a founding member of the national commercial real estate network </w:t>
      </w:r>
      <w:hyperlink r:id="rId13" w:history="1">
        <w:r w:rsidR="000B39AB">
          <w:rPr>
            <w:rStyle w:val="Hyperlink"/>
            <w:rFonts w:ascii="Arial" w:hAnsi="Arial"/>
            <w:sz w:val="16"/>
            <w:szCs w:val="16"/>
          </w:rPr>
          <w:t>German Property Partners</w:t>
        </w:r>
      </w:hyperlink>
      <w:r w:rsidR="000B39AB">
        <w:rPr>
          <w:rFonts w:ascii="Arial" w:hAnsi="Arial"/>
          <w:sz w:val="16"/>
          <w:szCs w:val="16"/>
        </w:rPr>
        <w:t xml:space="preserve"> (GPP).</w:t>
      </w:r>
    </w:p>
    <w:p w14:paraId="0C3EF407" w14:textId="77777777" w:rsidR="004E7F0F" w:rsidRDefault="004E7F0F" w:rsidP="004E7F0F">
      <w:pPr>
        <w:spacing w:after="0" w:line="360" w:lineRule="auto"/>
        <w:rPr>
          <w:rFonts w:ascii="Arial" w:hAnsi="Arial" w:cs="Arial"/>
          <w:sz w:val="20"/>
          <w:szCs w:val="20"/>
        </w:rPr>
      </w:pPr>
    </w:p>
    <w:p w14:paraId="51C1AA4D" w14:textId="39EBF117" w:rsidR="00046FEC" w:rsidRPr="00FD140F" w:rsidRDefault="004E7F0F" w:rsidP="005E3A2A">
      <w:pPr>
        <w:spacing w:after="0" w:line="360" w:lineRule="auto"/>
        <w:rPr>
          <w:rFonts w:ascii="Arial" w:hAnsi="Arial" w:cs="Arial"/>
          <w:bCs/>
          <w:color w:val="000000" w:themeColor="text1"/>
          <w:sz w:val="20"/>
          <w:szCs w:val="20"/>
        </w:rPr>
      </w:pPr>
      <w:r>
        <w:rPr>
          <w:rFonts w:ascii="Arial" w:hAnsi="Arial"/>
          <w:sz w:val="16"/>
          <w:szCs w:val="16"/>
        </w:rPr>
        <w:t>Please consult our website for Grossmann &amp; Berger’s</w:t>
      </w:r>
      <w:hyperlink r:id="rId14" w:history="1">
        <w:r>
          <w:rPr>
            <w:rStyle w:val="Hyperlink"/>
            <w:rFonts w:ascii="Arial" w:hAnsi="Arial"/>
            <w:sz w:val="16"/>
            <w:szCs w:val="16"/>
          </w:rPr>
          <w:t xml:space="preserve"> data privacy policy.</w:t>
        </w:r>
      </w:hyperlink>
      <w:r>
        <w:rPr>
          <w:rFonts w:ascii="Arial" w:hAnsi="Arial"/>
          <w:sz w:val="16"/>
          <w:szCs w:val="16"/>
        </w:rPr>
        <w:t xml:space="preserve">  Here you will also be able to access our </w:t>
      </w:r>
      <w:hyperlink r:id="rId15" w:history="1">
        <w:r>
          <w:rPr>
            <w:rStyle w:val="Hyperlink"/>
            <w:rFonts w:ascii="Arial" w:hAnsi="Arial"/>
            <w:sz w:val="16"/>
            <w:szCs w:val="16"/>
          </w:rPr>
          <w:t>press kit</w:t>
        </w:r>
      </w:hyperlink>
      <w:r>
        <w:rPr>
          <w:rFonts w:ascii="Arial" w:hAnsi="Arial"/>
          <w:sz w:val="16"/>
          <w:szCs w:val="16"/>
        </w:rPr>
        <w:t xml:space="preserve"> and the associated </w:t>
      </w:r>
      <w:hyperlink r:id="rId16" w:history="1">
        <w:r>
          <w:rPr>
            <w:rStyle w:val="Hyperlink"/>
            <w:rFonts w:ascii="Arial" w:hAnsi="Arial"/>
            <w:sz w:val="16"/>
            <w:szCs w:val="16"/>
          </w:rPr>
          <w:t>Terms of Use</w:t>
        </w:r>
      </w:hyperlink>
      <w:r>
        <w:rPr>
          <w:rFonts w:ascii="Arial" w:hAnsi="Arial"/>
          <w:sz w:val="16"/>
          <w:szCs w:val="16"/>
        </w:rPr>
        <w:t xml:space="preserve">. If in future you would prefer not to receive any more information from our press office please e-mail us at </w:t>
      </w:r>
      <w:hyperlink r:id="rId17" w:history="1">
        <w:r>
          <w:rPr>
            <w:rStyle w:val="Hyperlink"/>
            <w:rFonts w:ascii="Arial" w:hAnsi="Arial"/>
            <w:sz w:val="16"/>
            <w:szCs w:val="16"/>
          </w:rPr>
          <w:t>presse@grossmann-berger.de</w:t>
        </w:r>
      </w:hyperlink>
      <w:r>
        <w:rPr>
          <w:rFonts w:ascii="Arial" w:hAnsi="Arial"/>
          <w:sz w:val="16"/>
          <w:szCs w:val="16"/>
        </w:rPr>
        <w:t xml:space="preserve"> quoting as reference "</w:t>
      </w:r>
      <w:proofErr w:type="spellStart"/>
      <w:r>
        <w:rPr>
          <w:rFonts w:ascii="Arial" w:hAnsi="Arial"/>
          <w:sz w:val="16"/>
          <w:szCs w:val="16"/>
        </w:rPr>
        <w:t>Abmeldung</w:t>
      </w:r>
      <w:proofErr w:type="spellEnd"/>
      <w:r>
        <w:rPr>
          <w:rFonts w:ascii="Arial" w:hAnsi="Arial"/>
          <w:sz w:val="16"/>
          <w:szCs w:val="16"/>
        </w:rPr>
        <w:t xml:space="preserve"> </w:t>
      </w:r>
      <w:proofErr w:type="spellStart"/>
      <w:r>
        <w:rPr>
          <w:rFonts w:ascii="Arial" w:hAnsi="Arial"/>
          <w:sz w:val="16"/>
          <w:szCs w:val="16"/>
        </w:rPr>
        <w:t>aus</w:t>
      </w:r>
      <w:proofErr w:type="spellEnd"/>
      <w:r>
        <w:rPr>
          <w:rFonts w:ascii="Arial" w:hAnsi="Arial"/>
          <w:sz w:val="16"/>
          <w:szCs w:val="16"/>
        </w:rPr>
        <w:t xml:space="preserve"> </w:t>
      </w:r>
      <w:proofErr w:type="spellStart"/>
      <w:r>
        <w:rPr>
          <w:rFonts w:ascii="Arial" w:hAnsi="Arial"/>
          <w:sz w:val="16"/>
          <w:szCs w:val="16"/>
        </w:rPr>
        <w:t>Presseverteiler</w:t>
      </w:r>
      <w:proofErr w:type="spellEnd"/>
      <w:r>
        <w:rPr>
          <w:rFonts w:ascii="Arial" w:hAnsi="Arial"/>
          <w:sz w:val="16"/>
          <w:szCs w:val="16"/>
        </w:rPr>
        <w:t>” / “Unsubscribe from press mailing list”.</w:t>
      </w:r>
    </w:p>
    <w:sectPr w:rsidR="00046FEC" w:rsidRPr="00FD140F" w:rsidSect="00D83CB7">
      <w:headerReference w:type="default" r:id="rId18"/>
      <w:footerReference w:type="default" r:id="rId19"/>
      <w:headerReference w:type="first" r:id="rId20"/>
      <w:footerReference w:type="first" r:id="rId21"/>
      <w:pgSz w:w="11904" w:h="16840"/>
      <w:pgMar w:top="284" w:right="1134" w:bottom="1440" w:left="1134" w:header="567" w:footer="17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FE0EF6" w14:textId="77777777" w:rsidR="00016491" w:rsidRDefault="00016491">
      <w:r>
        <w:separator/>
      </w:r>
    </w:p>
  </w:endnote>
  <w:endnote w:type="continuationSeparator" w:id="0">
    <w:p w14:paraId="50AD20F8" w14:textId="77777777" w:rsidR="00016491" w:rsidRDefault="00016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kkurat-Fett">
    <w:altName w:val="Akkurat Norm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Mark OT Light">
    <w:panose1 w:val="020B0504020201010104"/>
    <w:charset w:val="00"/>
    <w:family w:val="swiss"/>
    <w:notTrueType/>
    <w:pitch w:val="variable"/>
    <w:sig w:usb0="A00000EF" w:usb1="5000FCFB" w:usb2="00000000" w:usb3="00000000" w:csb0="00000001" w:csb1="00000000"/>
  </w:font>
  <w:font w:name="Mark OT">
    <w:panose1 w:val="020B0504020201010104"/>
    <w:charset w:val="00"/>
    <w:family w:val="swiss"/>
    <w:notTrueType/>
    <w:pitch w:val="variable"/>
    <w:sig w:usb0="A00000EF" w:usb1="5000FCF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8E402D" w14:textId="7A14304B" w:rsidR="00D83CB7" w:rsidRPr="00D83CB7" w:rsidRDefault="00D83CB7" w:rsidP="00D83CB7">
    <w:pPr>
      <w:pStyle w:val="Fuzeile"/>
      <w:tabs>
        <w:tab w:val="left" w:pos="4145"/>
        <w:tab w:val="right" w:pos="9636"/>
      </w:tabs>
      <w:ind w:left="-426"/>
      <w:jc w:val="center"/>
      <w:rPr>
        <w:rFonts w:ascii="Arial" w:hAnsi="Arial" w:cs="Arial"/>
        <w:color w:val="918F90"/>
        <w:sz w:val="18"/>
        <w:szCs w:val="18"/>
      </w:rPr>
    </w:pPr>
    <w:r>
      <w:rPr>
        <w:rFonts w:ascii="Arial" w:hAnsi="Arial"/>
        <w:b/>
        <w:bCs/>
        <w:color w:val="918F90"/>
        <w:sz w:val="18"/>
        <w:szCs w:val="18"/>
      </w:rPr>
      <w:t xml:space="preserve">Grossmann &amp; Berger GmbH </w:t>
    </w:r>
    <w:r>
      <w:rPr>
        <w:rFonts w:ascii="Arial" w:hAnsi="Arial"/>
        <w:color w:val="918F90"/>
        <w:sz w:val="18"/>
        <w:szCs w:val="18"/>
      </w:rPr>
      <w:t xml:space="preserve">| </w:t>
    </w:r>
    <w:proofErr w:type="spellStart"/>
    <w:r>
      <w:rPr>
        <w:rFonts w:ascii="Arial" w:hAnsi="Arial"/>
        <w:color w:val="918F90"/>
        <w:sz w:val="18"/>
        <w:szCs w:val="18"/>
      </w:rPr>
      <w:t>Bleichenbrücke</w:t>
    </w:r>
    <w:proofErr w:type="spellEnd"/>
    <w:r>
      <w:rPr>
        <w:rFonts w:ascii="Arial" w:hAnsi="Arial"/>
        <w:color w:val="918F90"/>
        <w:sz w:val="18"/>
        <w:szCs w:val="18"/>
      </w:rPr>
      <w:t xml:space="preserve"> 9 | 20354 Hamburg | Tel. +49 (0)40/350 80 2-0 | www.grossmann-berger.de</w:t>
    </w:r>
  </w:p>
  <w:p w14:paraId="5440A7EF" w14:textId="754B964C" w:rsidR="00CE455F" w:rsidRPr="00BB15DA" w:rsidRDefault="00BB15DA" w:rsidP="00D83CB7">
    <w:pPr>
      <w:pStyle w:val="Fuzeile"/>
      <w:tabs>
        <w:tab w:val="left" w:pos="4145"/>
        <w:tab w:val="right" w:pos="9636"/>
      </w:tabs>
      <w:jc w:val="right"/>
      <w:rPr>
        <w:rFonts w:ascii="Arial" w:hAnsi="Arial" w:cs="Arial"/>
        <w:color w:val="918F90"/>
        <w:sz w:val="18"/>
        <w:szCs w:val="18"/>
      </w:rPr>
    </w:pPr>
    <w:r>
      <w:rPr>
        <w:rStyle w:val="Seitenzahl"/>
        <w:rFonts w:ascii="Arial" w:hAnsi="Arial"/>
        <w:color w:val="918F90"/>
        <w:sz w:val="18"/>
        <w:szCs w:val="18"/>
      </w:rPr>
      <w:tab/>
    </w:r>
    <w:r>
      <w:rPr>
        <w:rStyle w:val="Seitenzahl"/>
        <w:rFonts w:ascii="Arial" w:hAnsi="Arial"/>
        <w:color w:val="918F90"/>
        <w:sz w:val="18"/>
        <w:szCs w:val="18"/>
      </w:rPr>
      <w:tab/>
    </w:r>
    <w:r w:rsidR="00CE455F" w:rsidRPr="00D83CB7">
      <w:rPr>
        <w:rStyle w:val="Seitenzahl"/>
        <w:rFonts w:ascii="Arial" w:hAnsi="Arial" w:cs="Arial"/>
        <w:color w:val="000000" w:themeColor="text1"/>
        <w:sz w:val="18"/>
        <w:szCs w:val="18"/>
      </w:rPr>
      <w:fldChar w:fldCharType="begin"/>
    </w:r>
    <w:r w:rsidR="00CE455F" w:rsidRPr="00D83CB7">
      <w:rPr>
        <w:rStyle w:val="Seitenzahl"/>
        <w:rFonts w:ascii="Arial" w:hAnsi="Arial" w:cs="Arial"/>
        <w:color w:val="000000" w:themeColor="text1"/>
        <w:sz w:val="18"/>
        <w:szCs w:val="18"/>
      </w:rPr>
      <w:instrText xml:space="preserve"> PAGE </w:instrText>
    </w:r>
    <w:r w:rsidR="00CE455F" w:rsidRPr="00D83CB7">
      <w:rPr>
        <w:rStyle w:val="Seitenzahl"/>
        <w:rFonts w:ascii="Arial" w:hAnsi="Arial" w:cs="Arial"/>
        <w:color w:val="000000" w:themeColor="text1"/>
        <w:sz w:val="18"/>
        <w:szCs w:val="18"/>
      </w:rPr>
      <w:fldChar w:fldCharType="separate"/>
    </w:r>
    <w:r w:rsidR="00BF1BAA">
      <w:rPr>
        <w:rStyle w:val="Seitenzahl"/>
        <w:rFonts w:ascii="Arial" w:hAnsi="Arial" w:cs="Arial"/>
        <w:noProof/>
        <w:color w:val="000000" w:themeColor="text1"/>
        <w:sz w:val="18"/>
        <w:szCs w:val="18"/>
      </w:rPr>
      <w:t>2</w:t>
    </w:r>
    <w:r w:rsidR="00CE455F" w:rsidRPr="00D83CB7">
      <w:rPr>
        <w:rStyle w:val="Seitenzahl"/>
        <w:rFonts w:ascii="Arial" w:hAnsi="Arial" w:cs="Arial"/>
        <w:color w:val="000000" w:themeColor="text1"/>
        <w:sz w:val="18"/>
        <w:szCs w:val="18"/>
      </w:rPr>
      <w:fldChar w:fldCharType="end"/>
    </w:r>
    <w:r>
      <w:rPr>
        <w:rStyle w:val="Seitenzahl"/>
        <w:rFonts w:ascii="Arial" w:hAnsi="Arial"/>
        <w:color w:val="000000" w:themeColor="text1"/>
        <w:sz w:val="18"/>
        <w:szCs w:val="18"/>
      </w:rPr>
      <w:t xml:space="preserve"> / </w:t>
    </w:r>
    <w:r w:rsidR="00CE455F" w:rsidRPr="00D83CB7">
      <w:rPr>
        <w:rStyle w:val="Seitenzahl"/>
        <w:rFonts w:ascii="Arial" w:hAnsi="Arial" w:cs="Arial"/>
        <w:color w:val="000000" w:themeColor="text1"/>
        <w:sz w:val="18"/>
        <w:szCs w:val="18"/>
      </w:rPr>
      <w:fldChar w:fldCharType="begin"/>
    </w:r>
    <w:r w:rsidR="00CE455F" w:rsidRPr="00D83CB7">
      <w:rPr>
        <w:rStyle w:val="Seitenzahl"/>
        <w:rFonts w:ascii="Arial" w:hAnsi="Arial" w:cs="Arial"/>
        <w:color w:val="000000" w:themeColor="text1"/>
        <w:sz w:val="18"/>
        <w:szCs w:val="18"/>
      </w:rPr>
      <w:instrText xml:space="preserve"> NUMPAGES </w:instrText>
    </w:r>
    <w:r w:rsidR="00CE455F" w:rsidRPr="00D83CB7">
      <w:rPr>
        <w:rStyle w:val="Seitenzahl"/>
        <w:rFonts w:ascii="Arial" w:hAnsi="Arial" w:cs="Arial"/>
        <w:color w:val="000000" w:themeColor="text1"/>
        <w:sz w:val="18"/>
        <w:szCs w:val="18"/>
      </w:rPr>
      <w:fldChar w:fldCharType="separate"/>
    </w:r>
    <w:r w:rsidR="00BF1BAA">
      <w:rPr>
        <w:rStyle w:val="Seitenzahl"/>
        <w:rFonts w:ascii="Arial" w:hAnsi="Arial" w:cs="Arial"/>
        <w:noProof/>
        <w:color w:val="000000" w:themeColor="text1"/>
        <w:sz w:val="18"/>
        <w:szCs w:val="18"/>
      </w:rPr>
      <w:t>3</w:t>
    </w:r>
    <w:r w:rsidR="00CE455F" w:rsidRPr="00D83CB7">
      <w:rPr>
        <w:rStyle w:val="Seitenzahl"/>
        <w:rFonts w:ascii="Arial" w:hAnsi="Arial" w:cs="Arial"/>
        <w:color w:val="000000" w:themeColor="text1"/>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8709B1" w14:textId="77777777" w:rsidR="008C608D" w:rsidRDefault="008C608D">
    <w:pPr>
      <w:pStyle w:val="Fuzeile"/>
    </w:pPr>
    <w:r>
      <w:rPr>
        <w:noProof/>
        <w:lang w:val="de-DE" w:eastAsia="de-DE"/>
      </w:rPr>
      <w:drawing>
        <wp:anchor distT="0" distB="0" distL="0" distR="0" simplePos="0" relativeHeight="251659264" behindDoc="0" locked="0" layoutInCell="0" allowOverlap="1" wp14:anchorId="3C8AE65D" wp14:editId="37B4444B">
          <wp:simplePos x="0" y="0"/>
          <wp:positionH relativeFrom="column">
            <wp:posOffset>-617220</wp:posOffset>
          </wp:positionH>
          <wp:positionV relativeFrom="page">
            <wp:posOffset>9429750</wp:posOffset>
          </wp:positionV>
          <wp:extent cx="7346950" cy="1197610"/>
          <wp:effectExtent l="0" t="0" r="6350" b="2540"/>
          <wp:wrapThrough wrapText="bothSides">
            <wp:wrapPolygon edited="0">
              <wp:start x="19322" y="0"/>
              <wp:lineTo x="19322" y="5497"/>
              <wp:lineTo x="0" y="5841"/>
              <wp:lineTo x="0" y="21302"/>
              <wp:lineTo x="21563" y="21302"/>
              <wp:lineTo x="21563" y="5841"/>
              <wp:lineTo x="20723" y="5497"/>
              <wp:lineTo x="20723" y="0"/>
              <wp:lineTo x="19322" y="0"/>
            </wp:wrapPolygon>
          </wp:wrapThrough>
          <wp:docPr id="8"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71129_Logo_A4_GPP.pdf"/>
                  <pic:cNvPicPr/>
                </pic:nvPicPr>
                <pic:blipFill>
                  <a:blip r:embed="rId1">
                    <a:extLst>
                      <a:ext uri="{28A0092B-C50C-407E-A947-70E740481C1C}">
                        <a14:useLocalDpi xmlns:a14="http://schemas.microsoft.com/office/drawing/2010/main" val="0"/>
                      </a:ext>
                    </a:extLst>
                  </a:blip>
                  <a:stretch>
                    <a:fillRect/>
                  </a:stretch>
                </pic:blipFill>
                <pic:spPr>
                  <a:xfrm>
                    <a:off x="0" y="0"/>
                    <a:ext cx="7346950" cy="119761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65F1FA" w14:textId="77777777" w:rsidR="00016491" w:rsidRDefault="00016491">
      <w:r>
        <w:separator/>
      </w:r>
    </w:p>
  </w:footnote>
  <w:footnote w:type="continuationSeparator" w:id="0">
    <w:p w14:paraId="11E2DDFA" w14:textId="77777777" w:rsidR="00016491" w:rsidRDefault="000164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9A270" w14:textId="1353DA7E" w:rsidR="006138CB" w:rsidRPr="009E3ADA" w:rsidRDefault="003E27B4" w:rsidP="006138CB">
    <w:pPr>
      <w:jc w:val="right"/>
      <w:rPr>
        <w:rFonts w:ascii="Arial" w:hAnsi="Arial" w:cs="Arial"/>
        <w:color w:val="918F90"/>
        <w:sz w:val="28"/>
        <w:szCs w:val="28"/>
      </w:rPr>
    </w:pPr>
    <w:r>
      <w:rPr>
        <w:rFonts w:ascii="Times New Roman" w:hAnsi="Times New Roman"/>
        <w:noProof/>
        <w:lang w:val="de-DE" w:eastAsia="de-DE"/>
      </w:rPr>
      <mc:AlternateContent>
        <mc:Choice Requires="wps">
          <w:drawing>
            <wp:anchor distT="0" distB="0" distL="114300" distR="114300" simplePos="0" relativeHeight="251667456" behindDoc="0" locked="0" layoutInCell="1" allowOverlap="1" wp14:anchorId="12F1C8E7" wp14:editId="0D1CD564">
              <wp:simplePos x="0" y="0"/>
              <wp:positionH relativeFrom="margin">
                <wp:posOffset>-88104</wp:posOffset>
              </wp:positionH>
              <wp:positionV relativeFrom="paragraph">
                <wp:posOffset>41910</wp:posOffset>
              </wp:positionV>
              <wp:extent cx="4779010" cy="281940"/>
              <wp:effectExtent l="0" t="0" r="0" b="381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9010" cy="281940"/>
                      </a:xfrm>
                      <a:prstGeom prst="rect">
                        <a:avLst/>
                      </a:prstGeom>
                      <a:noFill/>
                      <a:ln w="9525">
                        <a:noFill/>
                        <a:miter lim="800000"/>
                        <a:headEnd/>
                        <a:tailEnd/>
                      </a:ln>
                    </wps:spPr>
                    <wps:txbx>
                      <w:txbxContent>
                        <w:p w14:paraId="49DF3728" w14:textId="143866D2" w:rsidR="003E27B4" w:rsidRDefault="003E27B4" w:rsidP="003E27B4">
                          <w:pPr>
                            <w:spacing w:after="0"/>
                            <w:rPr>
                              <w:rFonts w:ascii="Arial" w:hAnsi="Arial" w:cs="Arial"/>
                              <w:sz w:val="16"/>
                              <w:szCs w:val="16"/>
                            </w:rPr>
                          </w:pPr>
                          <w:r>
                            <w:rPr>
                              <w:rFonts w:ascii="Arial" w:hAnsi="Arial"/>
                              <w:b/>
                              <w:sz w:val="16"/>
                              <w:szCs w:val="16"/>
                            </w:rPr>
                            <w:t>Press contact:</w:t>
                          </w:r>
                          <w:r>
                            <w:rPr>
                              <w:rFonts w:ascii="Arial" w:hAnsi="Arial"/>
                              <w:sz w:val="16"/>
                              <w:szCs w:val="16"/>
                            </w:rPr>
                            <w:t xml:space="preserve"> Britt Finke | Tel.: +49 (0)40/350 802-993 | b.finke@grossmann-berger.de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F1C8E7" id="_x0000_t202" coordsize="21600,21600" o:spt="202" path="m,l,21600r21600,l21600,xe">
              <v:stroke joinstyle="miter"/>
              <v:path gradientshapeok="t" o:connecttype="rect"/>
            </v:shapetype>
            <v:shape id="Textfeld 1" o:spid="_x0000_s1026" type="#_x0000_t202" style="position:absolute;left:0;text-align:left;margin-left:-6.95pt;margin-top:3.3pt;width:376.3pt;height:22.2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pAZCwIAAPIDAAAOAAAAZHJzL2Uyb0RvYy54bWysU9tu2zAMfR+wfxD0vtgJkiUx4hRduw4D&#10;ugvQ7gMUXWJhkqhJSuzs60fJaRZsb8P8IIgmechzSG1uBmvIUYaowbV0OqkpkY6D0G7f0m/PD29W&#10;lMTEnGAGnGzpSUZ6s339atP7Rs6gAyNkIAjiYtP7lnYp+aaqIu+kZXECXjp0KgiWJTTDvhKB9Yhu&#10;TTWr67dVD0H4AFzGiH/vRyfdFnylJE9flIoyEdNS7C2VM5Rzl89qu2HNPjDfaX5ug/1DF5Zph0Uv&#10;UPcsMXII+i8oq3mACCpNONgKlNJcFg7IZlr/weapY14WLihO9BeZ4v+D5Z+PXwPRAmdHiWMWR/Qs&#10;h6SkEWSa1el9bDDoyWNYGt7BkCMz0+gfgX+PxMFdx9xe3oYAfSeZwO5KZnWVOuLEDLLrP4HAMuyQ&#10;oAANKtgMiGIQRMcpnS6TwVYIx5/z5XKN+lDC0TdbTdfzMrqKNS/ZPsT0QYIl+dLSgJMv6Oz4GBPy&#10;wNCXkFzMwYM2pkzfONK3dL2YLUrClcfqhMtptG3pqs7fuC6Z5HsnSnJi2ox3LGAc1smsM9GRchp2&#10;w1nFHYgT8g8wLiE+Grx0EH5S0uMCtjT+OLAgKTEfHWq4ns6RJEnFmC+WMzTCtWd37WGOI1RLEyXj&#10;9S6VLR+53qLWShcZcntjJ+decbGKOudHkDf32i5Rv5/q9hcAAAD//wMAUEsDBBQABgAIAAAAIQCe&#10;AVxR3gAAAAgBAAAPAAAAZHJzL2Rvd25yZXYueG1sTI9BT8JAFITvJvyHzTPxBrsVKVD7SozGqwZQ&#10;E29L99E2dN823YXWf+96kuNkJjPf5JvRtuJCvW8cIyQzBYK4dKbhCuFj/zpdgfBBs9GtY0L4IQ+b&#10;YnKT68y4gbd02YVKxBL2mUaoQ+gyKX1Zk9V+5jri6B1db3WIsq+k6fUQy20r75VKpdUNx4Vad/Rc&#10;U3nanS3C59vx++tBvVcvdtENblSS7Voi3t2OT48gAo3hPwx/+BEdish0cGc2XrQI02S+jlGENAUR&#10;/eV8tQRxQFgkCmSRy+sDxS8AAAD//wMAUEsBAi0AFAAGAAgAAAAhALaDOJL+AAAA4QEAABMAAAAA&#10;AAAAAAAAAAAAAAAAAFtDb250ZW50X1R5cGVzXS54bWxQSwECLQAUAAYACAAAACEAOP0h/9YAAACU&#10;AQAACwAAAAAAAAAAAAAAAAAvAQAAX3JlbHMvLnJlbHNQSwECLQAUAAYACAAAACEAnB6QGQsCAADy&#10;AwAADgAAAAAAAAAAAAAAAAAuAgAAZHJzL2Uyb0RvYy54bWxQSwECLQAUAAYACAAAACEAngFcUd4A&#10;AAAIAQAADwAAAAAAAAAAAAAAAABlBAAAZHJzL2Rvd25yZXYueG1sUEsFBgAAAAAEAAQA8wAAAHAF&#10;AAAAAA==&#10;" filled="f" stroked="f">
              <v:textbox>
                <w:txbxContent>
                  <w:p w14:paraId="49DF3728" w14:textId="143866D2" w:rsidR="003E27B4" w:rsidRDefault="003E27B4" w:rsidP="003E27B4">
                    <w:pPr>
                      <w:spacing w:after="0"/>
                      <w:rPr>
                        <w:rFonts w:ascii="Arial" w:hAnsi="Arial" w:cs="Arial"/>
                        <w:sz w:val="16"/>
                        <w:szCs w:val="16"/>
                      </w:rPr>
                    </w:pPr>
                    <w:r>
                      <w:rPr>
                        <w:rFonts w:ascii="Arial" w:hAnsi="Arial"/>
                        <w:b/>
                        <w:sz w:val="16"/>
                        <w:szCs w:val="16"/>
                      </w:rPr>
                      <w:t>Press contact:</w:t>
                    </w:r>
                    <w:r>
                      <w:rPr>
                        <w:rFonts w:ascii="Arial" w:hAnsi="Arial"/>
                        <w:sz w:val="16"/>
                        <w:szCs w:val="16"/>
                      </w:rPr>
                      <w:t xml:space="preserve"> Britt Finke | Tel.: +49 (0)40/350 802-993 | b.finke@grossmann-berger.de</w:t>
                    </w:r>
                  </w:p>
                </w:txbxContent>
              </v:textbox>
              <w10:wrap anchorx="margin"/>
            </v:shape>
          </w:pict>
        </mc:Fallback>
      </mc:AlternateContent>
    </w:r>
    <w:r>
      <w:rPr>
        <w:rFonts w:ascii="Arial" w:hAnsi="Arial"/>
        <w:color w:val="918F90"/>
        <w:sz w:val="28"/>
        <w:szCs w:val="28"/>
      </w:rPr>
      <w:t>Press release</w:t>
    </w:r>
  </w:p>
  <w:p w14:paraId="25B9848C" w14:textId="77777777" w:rsidR="00CE455F" w:rsidRDefault="00CE455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0758FA" w14:textId="61381213" w:rsidR="00D83CB7" w:rsidRDefault="00CE7D16" w:rsidP="000C770D">
    <w:pPr>
      <w:jc w:val="right"/>
      <w:rPr>
        <w:rFonts w:ascii="Arial" w:hAnsi="Arial" w:cs="Arial"/>
        <w:color w:val="918F90"/>
        <w:sz w:val="28"/>
        <w:szCs w:val="28"/>
      </w:rPr>
    </w:pPr>
    <w:r>
      <w:rPr>
        <w:rFonts w:ascii="Times New Roman" w:hAnsi="Times New Roman"/>
        <w:noProof/>
        <w:lang w:val="de-DE" w:eastAsia="de-DE"/>
      </w:rPr>
      <mc:AlternateContent>
        <mc:Choice Requires="wps">
          <w:drawing>
            <wp:anchor distT="0" distB="0" distL="114300" distR="114300" simplePos="0" relativeHeight="251665408" behindDoc="0" locked="0" layoutInCell="1" allowOverlap="1" wp14:anchorId="452EA495" wp14:editId="55D8E217">
              <wp:simplePos x="0" y="0"/>
              <wp:positionH relativeFrom="margin">
                <wp:posOffset>-92267</wp:posOffset>
              </wp:positionH>
              <wp:positionV relativeFrom="paragraph">
                <wp:posOffset>9525</wp:posOffset>
              </wp:positionV>
              <wp:extent cx="4779010" cy="281940"/>
              <wp:effectExtent l="0" t="0" r="0" b="381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9010" cy="281940"/>
                      </a:xfrm>
                      <a:prstGeom prst="rect">
                        <a:avLst/>
                      </a:prstGeom>
                      <a:noFill/>
                      <a:ln w="9525">
                        <a:noFill/>
                        <a:miter lim="800000"/>
                        <a:headEnd/>
                        <a:tailEnd/>
                      </a:ln>
                    </wps:spPr>
                    <wps:txbx>
                      <w:txbxContent>
                        <w:p w14:paraId="296CAEDD" w14:textId="6FD8213F" w:rsidR="00CE7D16" w:rsidRDefault="00CE7D16" w:rsidP="00CE7D16">
                          <w:pPr>
                            <w:spacing w:after="0"/>
                            <w:rPr>
                              <w:rFonts w:ascii="Arial" w:hAnsi="Arial" w:cs="Arial"/>
                              <w:sz w:val="16"/>
                              <w:szCs w:val="16"/>
                            </w:rPr>
                          </w:pPr>
                          <w:r>
                            <w:rPr>
                              <w:rFonts w:ascii="Arial" w:hAnsi="Arial"/>
                              <w:b/>
                              <w:sz w:val="16"/>
                              <w:szCs w:val="16"/>
                            </w:rPr>
                            <w:t>Press contact:</w:t>
                          </w:r>
                          <w:r>
                            <w:rPr>
                              <w:rFonts w:ascii="Arial" w:hAnsi="Arial"/>
                              <w:sz w:val="16"/>
                              <w:szCs w:val="16"/>
                            </w:rPr>
                            <w:t xml:space="preserve"> Britt Finke | Tel.: +49 (0)40/350 802-993 | b.finke@grossmann-berger.de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2EA495" id="_x0000_t202" coordsize="21600,21600" o:spt="202" path="m,l,21600r21600,l21600,xe">
              <v:stroke joinstyle="miter"/>
              <v:path gradientshapeok="t" o:connecttype="rect"/>
            </v:shapetype>
            <v:shape id="Textfeld 3" o:spid="_x0000_s1027" type="#_x0000_t202" style="position:absolute;left:0;text-align:left;margin-left:-7.25pt;margin-top:.75pt;width:376.3pt;height:22.2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G/3DgIAAPkDAAAOAAAAZHJzL2Uyb0RvYy54bWysU9tu2zAMfR+wfxD0vjhJkyUx4hRduw4D&#10;ugvQ7gMUXWJhkqhJSuzs60vJaRpsb8P8IIgmechzSK2ve2vIQYaowTV0MhpTIh0Hod2uoT+e7t8t&#10;KYmJOcEMONnQo4z0evP2zbrztZxCC0bIQBDExbrzDW1T8nVVRd5Ky+IIvHToVBAsS2iGXSUC6xDd&#10;mmo6Hr+vOgjCB+AyRvx7NzjppuArJXn6plSUiZiGYm+pnKGc23xWmzWrd4H5VvNTG+wfurBMOyx6&#10;hrpjiZF90H9BWc0DRFBpxMFWoJTmsnBANpPxH2weW+Zl4YLiRH+WKf4/WP718D0QLRp6RYljFkf0&#10;JPukpBHkKqvT+Vhj0KPHsNR/gB6nXJhG/wD8ZyQOblvmdvImBOhayQR2N8mZ1UXqgBMzyLb7AgLL&#10;sH2CAtSrYLN0KAZBdJzS8TwZbIVw/DlbLFaoDyUcfdPlZDUro6tY/ZLtQ0yfJFiSLw0NOPmCzg4P&#10;MeVuWP0Skos5uNfGlOkbR7qGrubTeUm48FidcDmNtg1djvM3rEsm+dGJkpyYNsMdCxh3Yp2JDpRT&#10;v+2LvEWSrMgWxBFlCDDsIr4dvLQQflPS4R42NP7asyApMZ8dSrmazJArScWYzRdTNMKlZ3vpYY4j&#10;VEMTJcP1NpVlHyjfoORKFzVeOzm1jPtVRDq9hbzAl3aJen2xm2cAAAD//wMAUEsDBBQABgAIAAAA&#10;IQD6ckn23QAAAAgBAAAPAAAAZHJzL2Rvd25yZXYueG1sTI9NT8MwDIbvSPyHyJO4bUmhHVvXdEIg&#10;rqCND4lb1nhtReNUTbaWf485sZNlPa9ePy62k+vEGYfQetKQLBQIpMrblmoN72/P8xWIEA1Z03lC&#10;DT8YYFteXxUmt36kHZ73sRZcQiE3GpoY+1zKUDXoTFj4HonZ0Q/ORF6HWtrBjFzuOnmr1FI60xJf&#10;aEyPjw1W3/uT0/Dxcvz6TNVr/eSyfvSTkuTWUuub2fSwARFxiv9h+NNndSjZ6eBPZIPoNMyTNOMo&#10;Ax7M7+9WCYiDhjRbgywLeflA+QsAAP//AwBQSwECLQAUAAYACAAAACEAtoM4kv4AAADhAQAAEwAA&#10;AAAAAAAAAAAAAAAAAAAAW0NvbnRlbnRfVHlwZXNdLnhtbFBLAQItABQABgAIAAAAIQA4/SH/1gAA&#10;AJQBAAALAAAAAAAAAAAAAAAAAC8BAABfcmVscy8ucmVsc1BLAQItABQABgAIAAAAIQC0iG/3DgIA&#10;APkDAAAOAAAAAAAAAAAAAAAAAC4CAABkcnMvZTJvRG9jLnhtbFBLAQItABQABgAIAAAAIQD6ckn2&#10;3QAAAAgBAAAPAAAAAAAAAAAAAAAAAGgEAABkcnMvZG93bnJldi54bWxQSwUGAAAAAAQABADzAAAA&#10;cgUAAAAA&#10;" filled="f" stroked="f">
              <v:textbox>
                <w:txbxContent>
                  <w:p w14:paraId="296CAEDD" w14:textId="6FD8213F" w:rsidR="00CE7D16" w:rsidRDefault="00CE7D16" w:rsidP="00CE7D16">
                    <w:pPr>
                      <w:spacing w:after="0"/>
                      <w:rPr>
                        <w:rFonts w:ascii="Arial" w:hAnsi="Arial" w:cs="Arial"/>
                        <w:sz w:val="16"/>
                        <w:szCs w:val="16"/>
                      </w:rPr>
                    </w:pPr>
                    <w:r>
                      <w:rPr>
                        <w:rFonts w:ascii="Arial" w:hAnsi="Arial"/>
                        <w:b/>
                        <w:sz w:val="16"/>
                        <w:szCs w:val="16"/>
                      </w:rPr>
                      <w:t>Press contact:</w:t>
                    </w:r>
                    <w:r>
                      <w:rPr>
                        <w:rFonts w:ascii="Arial" w:hAnsi="Arial"/>
                        <w:sz w:val="16"/>
                        <w:szCs w:val="16"/>
                      </w:rPr>
                      <w:t xml:space="preserve"> Britt Finke | Tel.: +49 (0)40/350 802-993 | b.finke@grossmann-berger.de</w:t>
                    </w:r>
                  </w:p>
                </w:txbxContent>
              </v:textbox>
              <w10:wrap anchorx="margin"/>
            </v:shape>
          </w:pict>
        </mc:Fallback>
      </mc:AlternateContent>
    </w:r>
    <w:r>
      <w:rPr>
        <w:rFonts w:ascii="Arial" w:hAnsi="Arial"/>
        <w:color w:val="918F90"/>
        <w:sz w:val="28"/>
        <w:szCs w:val="28"/>
      </w:rPr>
      <w:t>Press release</w:t>
    </w:r>
  </w:p>
  <w:p w14:paraId="47ED31F5" w14:textId="77777777" w:rsidR="000C770D" w:rsidRDefault="000C770D" w:rsidP="000C770D">
    <w:pPr>
      <w:jc w:val="right"/>
      <w:rPr>
        <w:rFonts w:ascii="Arial" w:hAnsi="Arial" w:cs="Arial"/>
        <w:color w:val="918F9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796F52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4D015A8"/>
    <w:lvl w:ilvl="0">
      <w:start w:val="1"/>
      <w:numFmt w:val="decimal"/>
      <w:lvlText w:val="%1."/>
      <w:lvlJc w:val="left"/>
      <w:pPr>
        <w:tabs>
          <w:tab w:val="num" w:pos="1492"/>
        </w:tabs>
        <w:ind w:left="1492" w:hanging="360"/>
      </w:pPr>
      <w:rPr>
        <w:rFonts w:cs="Times New Roman"/>
      </w:rPr>
    </w:lvl>
  </w:abstractNum>
  <w:abstractNum w:abstractNumId="2" w15:restartNumberingAfterBreak="0">
    <w:nsid w:val="FFFFFF7D"/>
    <w:multiLevelType w:val="singleLevel"/>
    <w:tmpl w:val="D57C894E"/>
    <w:lvl w:ilvl="0">
      <w:start w:val="1"/>
      <w:numFmt w:val="decimal"/>
      <w:lvlText w:val="%1."/>
      <w:lvlJc w:val="left"/>
      <w:pPr>
        <w:tabs>
          <w:tab w:val="num" w:pos="1209"/>
        </w:tabs>
        <w:ind w:left="1209" w:hanging="360"/>
      </w:pPr>
      <w:rPr>
        <w:rFonts w:cs="Times New Roman"/>
      </w:rPr>
    </w:lvl>
  </w:abstractNum>
  <w:abstractNum w:abstractNumId="3" w15:restartNumberingAfterBreak="0">
    <w:nsid w:val="FFFFFF7E"/>
    <w:multiLevelType w:val="singleLevel"/>
    <w:tmpl w:val="4470FC18"/>
    <w:lvl w:ilvl="0">
      <w:start w:val="1"/>
      <w:numFmt w:val="decimal"/>
      <w:lvlText w:val="%1."/>
      <w:lvlJc w:val="left"/>
      <w:pPr>
        <w:tabs>
          <w:tab w:val="num" w:pos="926"/>
        </w:tabs>
        <w:ind w:left="926" w:hanging="360"/>
      </w:pPr>
      <w:rPr>
        <w:rFonts w:cs="Times New Roman"/>
      </w:rPr>
    </w:lvl>
  </w:abstractNum>
  <w:abstractNum w:abstractNumId="4" w15:restartNumberingAfterBreak="0">
    <w:nsid w:val="FFFFFF7F"/>
    <w:multiLevelType w:val="singleLevel"/>
    <w:tmpl w:val="F5847D82"/>
    <w:lvl w:ilvl="0">
      <w:start w:val="1"/>
      <w:numFmt w:val="decimal"/>
      <w:lvlText w:val="%1."/>
      <w:lvlJc w:val="left"/>
      <w:pPr>
        <w:tabs>
          <w:tab w:val="num" w:pos="643"/>
        </w:tabs>
        <w:ind w:left="643" w:hanging="360"/>
      </w:pPr>
      <w:rPr>
        <w:rFonts w:cs="Times New Roman"/>
      </w:rPr>
    </w:lvl>
  </w:abstractNum>
  <w:abstractNum w:abstractNumId="5" w15:restartNumberingAfterBreak="0">
    <w:nsid w:val="FFFFFF80"/>
    <w:multiLevelType w:val="singleLevel"/>
    <w:tmpl w:val="9664F6C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89E7B6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8D124CE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06AAE25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4B695F8"/>
    <w:lvl w:ilvl="0">
      <w:start w:val="1"/>
      <w:numFmt w:val="decimal"/>
      <w:lvlText w:val="%1."/>
      <w:lvlJc w:val="left"/>
      <w:pPr>
        <w:tabs>
          <w:tab w:val="num" w:pos="360"/>
        </w:tabs>
        <w:ind w:left="360" w:hanging="360"/>
      </w:pPr>
      <w:rPr>
        <w:rFonts w:cs="Times New Roman"/>
      </w:rPr>
    </w:lvl>
  </w:abstractNum>
  <w:abstractNum w:abstractNumId="10" w15:restartNumberingAfterBreak="0">
    <w:nsid w:val="FFFFFF89"/>
    <w:multiLevelType w:val="singleLevel"/>
    <w:tmpl w:val="9DFA040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DF305C1"/>
    <w:multiLevelType w:val="hybridMultilevel"/>
    <w:tmpl w:val="BD4E00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58A2E2B"/>
    <w:multiLevelType w:val="hybridMultilevel"/>
    <w:tmpl w:val="8C66C3F0"/>
    <w:lvl w:ilvl="0" w:tplc="B84AA822">
      <w:start w:val="3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0296C5D"/>
    <w:multiLevelType w:val="hybridMultilevel"/>
    <w:tmpl w:val="0FA2F5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53064DC"/>
    <w:multiLevelType w:val="hybridMultilevel"/>
    <w:tmpl w:val="602C0CE0"/>
    <w:lvl w:ilvl="0" w:tplc="035054B6">
      <w:numFmt w:val="bullet"/>
      <w:lvlText w:val="-"/>
      <w:lvlJc w:val="left"/>
      <w:pPr>
        <w:ind w:left="-349" w:hanging="360"/>
      </w:pPr>
      <w:rPr>
        <w:rFonts w:ascii="Arial" w:eastAsia="Times New Roman" w:hAnsi="Arial" w:hint="default"/>
      </w:rPr>
    </w:lvl>
    <w:lvl w:ilvl="1" w:tplc="04070003" w:tentative="1">
      <w:start w:val="1"/>
      <w:numFmt w:val="bullet"/>
      <w:lvlText w:val="o"/>
      <w:lvlJc w:val="left"/>
      <w:pPr>
        <w:ind w:left="371" w:hanging="360"/>
      </w:pPr>
      <w:rPr>
        <w:rFonts w:ascii="Courier New" w:hAnsi="Courier New" w:hint="default"/>
      </w:rPr>
    </w:lvl>
    <w:lvl w:ilvl="2" w:tplc="04070005" w:tentative="1">
      <w:start w:val="1"/>
      <w:numFmt w:val="bullet"/>
      <w:lvlText w:val=""/>
      <w:lvlJc w:val="left"/>
      <w:pPr>
        <w:ind w:left="1091" w:hanging="360"/>
      </w:pPr>
      <w:rPr>
        <w:rFonts w:ascii="Wingdings" w:hAnsi="Wingdings" w:hint="default"/>
      </w:rPr>
    </w:lvl>
    <w:lvl w:ilvl="3" w:tplc="04070001" w:tentative="1">
      <w:start w:val="1"/>
      <w:numFmt w:val="bullet"/>
      <w:lvlText w:val=""/>
      <w:lvlJc w:val="left"/>
      <w:pPr>
        <w:ind w:left="1811" w:hanging="360"/>
      </w:pPr>
      <w:rPr>
        <w:rFonts w:ascii="Symbol" w:hAnsi="Symbol" w:hint="default"/>
      </w:rPr>
    </w:lvl>
    <w:lvl w:ilvl="4" w:tplc="04070003" w:tentative="1">
      <w:start w:val="1"/>
      <w:numFmt w:val="bullet"/>
      <w:lvlText w:val="o"/>
      <w:lvlJc w:val="left"/>
      <w:pPr>
        <w:ind w:left="2531" w:hanging="360"/>
      </w:pPr>
      <w:rPr>
        <w:rFonts w:ascii="Courier New" w:hAnsi="Courier New" w:hint="default"/>
      </w:rPr>
    </w:lvl>
    <w:lvl w:ilvl="5" w:tplc="04070005" w:tentative="1">
      <w:start w:val="1"/>
      <w:numFmt w:val="bullet"/>
      <w:lvlText w:val=""/>
      <w:lvlJc w:val="left"/>
      <w:pPr>
        <w:ind w:left="3251" w:hanging="360"/>
      </w:pPr>
      <w:rPr>
        <w:rFonts w:ascii="Wingdings" w:hAnsi="Wingdings" w:hint="default"/>
      </w:rPr>
    </w:lvl>
    <w:lvl w:ilvl="6" w:tplc="04070001" w:tentative="1">
      <w:start w:val="1"/>
      <w:numFmt w:val="bullet"/>
      <w:lvlText w:val=""/>
      <w:lvlJc w:val="left"/>
      <w:pPr>
        <w:ind w:left="3971" w:hanging="360"/>
      </w:pPr>
      <w:rPr>
        <w:rFonts w:ascii="Symbol" w:hAnsi="Symbol" w:hint="default"/>
      </w:rPr>
    </w:lvl>
    <w:lvl w:ilvl="7" w:tplc="04070003" w:tentative="1">
      <w:start w:val="1"/>
      <w:numFmt w:val="bullet"/>
      <w:lvlText w:val="o"/>
      <w:lvlJc w:val="left"/>
      <w:pPr>
        <w:ind w:left="4691" w:hanging="360"/>
      </w:pPr>
      <w:rPr>
        <w:rFonts w:ascii="Courier New" w:hAnsi="Courier New" w:hint="default"/>
      </w:rPr>
    </w:lvl>
    <w:lvl w:ilvl="8" w:tplc="04070005" w:tentative="1">
      <w:start w:val="1"/>
      <w:numFmt w:val="bullet"/>
      <w:lvlText w:val=""/>
      <w:lvlJc w:val="left"/>
      <w:pPr>
        <w:ind w:left="5411" w:hanging="360"/>
      </w:pPr>
      <w:rPr>
        <w:rFonts w:ascii="Wingdings" w:hAnsi="Wingdings" w:hint="default"/>
      </w:rPr>
    </w:lvl>
  </w:abstractNum>
  <w:abstractNum w:abstractNumId="15" w15:restartNumberingAfterBreak="0">
    <w:nsid w:val="5FEF1FE5"/>
    <w:multiLevelType w:val="hybridMultilevel"/>
    <w:tmpl w:val="FC5AA5D8"/>
    <w:lvl w:ilvl="0" w:tplc="725CC09E">
      <w:start w:val="18"/>
      <w:numFmt w:val="bullet"/>
      <w:lvlText w:val="-"/>
      <w:lvlJc w:val="left"/>
      <w:pPr>
        <w:ind w:left="1087" w:hanging="360"/>
      </w:pPr>
      <w:rPr>
        <w:rFonts w:ascii="Arial" w:eastAsia="Arial" w:hAnsi="Arial" w:cs="Arial" w:hint="default"/>
      </w:rPr>
    </w:lvl>
    <w:lvl w:ilvl="1" w:tplc="04070003" w:tentative="1">
      <w:start w:val="1"/>
      <w:numFmt w:val="bullet"/>
      <w:lvlText w:val="o"/>
      <w:lvlJc w:val="left"/>
      <w:pPr>
        <w:ind w:left="1807" w:hanging="360"/>
      </w:pPr>
      <w:rPr>
        <w:rFonts w:ascii="Courier New" w:hAnsi="Courier New" w:cs="Courier New" w:hint="default"/>
      </w:rPr>
    </w:lvl>
    <w:lvl w:ilvl="2" w:tplc="04070005" w:tentative="1">
      <w:start w:val="1"/>
      <w:numFmt w:val="bullet"/>
      <w:lvlText w:val=""/>
      <w:lvlJc w:val="left"/>
      <w:pPr>
        <w:ind w:left="2527" w:hanging="360"/>
      </w:pPr>
      <w:rPr>
        <w:rFonts w:ascii="Wingdings" w:hAnsi="Wingdings" w:hint="default"/>
      </w:rPr>
    </w:lvl>
    <w:lvl w:ilvl="3" w:tplc="04070001" w:tentative="1">
      <w:start w:val="1"/>
      <w:numFmt w:val="bullet"/>
      <w:lvlText w:val=""/>
      <w:lvlJc w:val="left"/>
      <w:pPr>
        <w:ind w:left="3247" w:hanging="360"/>
      </w:pPr>
      <w:rPr>
        <w:rFonts w:ascii="Symbol" w:hAnsi="Symbol" w:hint="default"/>
      </w:rPr>
    </w:lvl>
    <w:lvl w:ilvl="4" w:tplc="04070003" w:tentative="1">
      <w:start w:val="1"/>
      <w:numFmt w:val="bullet"/>
      <w:lvlText w:val="o"/>
      <w:lvlJc w:val="left"/>
      <w:pPr>
        <w:ind w:left="3967" w:hanging="360"/>
      </w:pPr>
      <w:rPr>
        <w:rFonts w:ascii="Courier New" w:hAnsi="Courier New" w:cs="Courier New" w:hint="default"/>
      </w:rPr>
    </w:lvl>
    <w:lvl w:ilvl="5" w:tplc="04070005" w:tentative="1">
      <w:start w:val="1"/>
      <w:numFmt w:val="bullet"/>
      <w:lvlText w:val=""/>
      <w:lvlJc w:val="left"/>
      <w:pPr>
        <w:ind w:left="4687" w:hanging="360"/>
      </w:pPr>
      <w:rPr>
        <w:rFonts w:ascii="Wingdings" w:hAnsi="Wingdings" w:hint="default"/>
      </w:rPr>
    </w:lvl>
    <w:lvl w:ilvl="6" w:tplc="04070001" w:tentative="1">
      <w:start w:val="1"/>
      <w:numFmt w:val="bullet"/>
      <w:lvlText w:val=""/>
      <w:lvlJc w:val="left"/>
      <w:pPr>
        <w:ind w:left="5407" w:hanging="360"/>
      </w:pPr>
      <w:rPr>
        <w:rFonts w:ascii="Symbol" w:hAnsi="Symbol" w:hint="default"/>
      </w:rPr>
    </w:lvl>
    <w:lvl w:ilvl="7" w:tplc="04070003" w:tentative="1">
      <w:start w:val="1"/>
      <w:numFmt w:val="bullet"/>
      <w:lvlText w:val="o"/>
      <w:lvlJc w:val="left"/>
      <w:pPr>
        <w:ind w:left="6127" w:hanging="360"/>
      </w:pPr>
      <w:rPr>
        <w:rFonts w:ascii="Courier New" w:hAnsi="Courier New" w:cs="Courier New" w:hint="default"/>
      </w:rPr>
    </w:lvl>
    <w:lvl w:ilvl="8" w:tplc="04070005" w:tentative="1">
      <w:start w:val="1"/>
      <w:numFmt w:val="bullet"/>
      <w:lvlText w:val=""/>
      <w:lvlJc w:val="left"/>
      <w:pPr>
        <w:ind w:left="6847" w:hanging="360"/>
      </w:pPr>
      <w:rPr>
        <w:rFonts w:ascii="Wingdings" w:hAnsi="Wingdings" w:hint="default"/>
      </w:rPr>
    </w:lvl>
  </w:abstractNum>
  <w:abstractNum w:abstractNumId="16" w15:restartNumberingAfterBreak="0">
    <w:nsid w:val="60C35D90"/>
    <w:multiLevelType w:val="hybridMultilevel"/>
    <w:tmpl w:val="32E27468"/>
    <w:lvl w:ilvl="0" w:tplc="04070005">
      <w:start w:val="1"/>
      <w:numFmt w:val="bullet"/>
      <w:lvlText w:val=""/>
      <w:lvlJc w:val="left"/>
      <w:pPr>
        <w:ind w:left="1004" w:hanging="360"/>
      </w:pPr>
      <w:rPr>
        <w:rFonts w:ascii="Wingdings" w:hAnsi="Wingdings"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7" w15:restartNumberingAfterBreak="0">
    <w:nsid w:val="60DD473C"/>
    <w:multiLevelType w:val="hybridMultilevel"/>
    <w:tmpl w:val="3D72A5EA"/>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68054B7C"/>
    <w:multiLevelType w:val="hybridMultilevel"/>
    <w:tmpl w:val="2AC65CD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68F54FC7"/>
    <w:multiLevelType w:val="hybridMultilevel"/>
    <w:tmpl w:val="7A00E706"/>
    <w:lvl w:ilvl="0" w:tplc="B6F8B6B2">
      <w:numFmt w:val="bullet"/>
      <w:lvlText w:val="-"/>
      <w:lvlJc w:val="left"/>
      <w:pPr>
        <w:ind w:left="1080" w:hanging="360"/>
      </w:pPr>
      <w:rPr>
        <w:rFonts w:ascii="Arial" w:eastAsia="Cambria"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0" w15:restartNumberingAfterBreak="0">
    <w:nsid w:val="6FFF56F7"/>
    <w:multiLevelType w:val="hybridMultilevel"/>
    <w:tmpl w:val="F8825BF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4"/>
  </w:num>
  <w:num w:numId="13">
    <w:abstractNumId w:val="19"/>
  </w:num>
  <w:num w:numId="14">
    <w:abstractNumId w:val="15"/>
  </w:num>
  <w:num w:numId="15">
    <w:abstractNumId w:val="17"/>
  </w:num>
  <w:num w:numId="16">
    <w:abstractNumId w:val="11"/>
  </w:num>
  <w:num w:numId="17">
    <w:abstractNumId w:val="13"/>
  </w:num>
  <w:num w:numId="18">
    <w:abstractNumId w:val="18"/>
  </w:num>
  <w:num w:numId="19">
    <w:abstractNumId w:val="12"/>
  </w:num>
  <w:num w:numId="20">
    <w:abstractNumId w:val="20"/>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activeWritingStyle w:appName="MSWord" w:lang="de-DE" w:vendorID="64" w:dllVersion="6" w:nlCheck="1" w:checkStyle="0"/>
  <w:activeWritingStyle w:appName="MSWord" w:lang="en-US" w:vendorID="64" w:dllVersion="6" w:nlCheck="1" w:checkStyle="0"/>
  <w:activeWritingStyle w:appName="MSWord" w:lang="en-GB" w:vendorID="64" w:dllVersion="6" w:nlCheck="1" w:checkStyle="0"/>
  <w:activeWritingStyle w:appName="MSWord" w:lang="de-DE" w:vendorID="64" w:dllVersion="0" w:nlCheck="1" w:checkStyle="0"/>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bbruch" w:val="0"/>
  </w:docVars>
  <w:rsids>
    <w:rsidRoot w:val="004661EE"/>
    <w:rsid w:val="0000392D"/>
    <w:rsid w:val="000159FE"/>
    <w:rsid w:val="00016491"/>
    <w:rsid w:val="00022F16"/>
    <w:rsid w:val="00023D78"/>
    <w:rsid w:val="00027644"/>
    <w:rsid w:val="0003075C"/>
    <w:rsid w:val="00034842"/>
    <w:rsid w:val="000418C7"/>
    <w:rsid w:val="000464D0"/>
    <w:rsid w:val="00046FEC"/>
    <w:rsid w:val="00060743"/>
    <w:rsid w:val="000615E2"/>
    <w:rsid w:val="000623C0"/>
    <w:rsid w:val="00064A03"/>
    <w:rsid w:val="00064CAC"/>
    <w:rsid w:val="00066796"/>
    <w:rsid w:val="0006773E"/>
    <w:rsid w:val="00075002"/>
    <w:rsid w:val="000766D7"/>
    <w:rsid w:val="0007670A"/>
    <w:rsid w:val="00076E1E"/>
    <w:rsid w:val="00080F27"/>
    <w:rsid w:val="00081461"/>
    <w:rsid w:val="000834E2"/>
    <w:rsid w:val="000A308A"/>
    <w:rsid w:val="000A517C"/>
    <w:rsid w:val="000A5ED1"/>
    <w:rsid w:val="000A6AE3"/>
    <w:rsid w:val="000A72C3"/>
    <w:rsid w:val="000B0335"/>
    <w:rsid w:val="000B1606"/>
    <w:rsid w:val="000B3315"/>
    <w:rsid w:val="000B39AB"/>
    <w:rsid w:val="000B3A6C"/>
    <w:rsid w:val="000B7D28"/>
    <w:rsid w:val="000C5904"/>
    <w:rsid w:val="000C74B2"/>
    <w:rsid w:val="000C770D"/>
    <w:rsid w:val="000D48D4"/>
    <w:rsid w:val="000D75CE"/>
    <w:rsid w:val="000D7F9A"/>
    <w:rsid w:val="000E03F3"/>
    <w:rsid w:val="000E22CA"/>
    <w:rsid w:val="000E49CB"/>
    <w:rsid w:val="000E7BC7"/>
    <w:rsid w:val="000F5742"/>
    <w:rsid w:val="0010158E"/>
    <w:rsid w:val="001029C4"/>
    <w:rsid w:val="00107758"/>
    <w:rsid w:val="00111400"/>
    <w:rsid w:val="0011486D"/>
    <w:rsid w:val="00117D5D"/>
    <w:rsid w:val="00117EF7"/>
    <w:rsid w:val="00121E33"/>
    <w:rsid w:val="00126550"/>
    <w:rsid w:val="00127DF7"/>
    <w:rsid w:val="00130D77"/>
    <w:rsid w:val="001324D6"/>
    <w:rsid w:val="00132522"/>
    <w:rsid w:val="00135BD2"/>
    <w:rsid w:val="00135E09"/>
    <w:rsid w:val="00153417"/>
    <w:rsid w:val="00154825"/>
    <w:rsid w:val="0017364E"/>
    <w:rsid w:val="0017516B"/>
    <w:rsid w:val="00176F1D"/>
    <w:rsid w:val="0018068D"/>
    <w:rsid w:val="00180801"/>
    <w:rsid w:val="00181838"/>
    <w:rsid w:val="001871BC"/>
    <w:rsid w:val="001A2ABE"/>
    <w:rsid w:val="001A360C"/>
    <w:rsid w:val="001B577C"/>
    <w:rsid w:val="001C0A59"/>
    <w:rsid w:val="001C6C7B"/>
    <w:rsid w:val="001D14DA"/>
    <w:rsid w:val="001D43BB"/>
    <w:rsid w:val="001D645F"/>
    <w:rsid w:val="001D64B8"/>
    <w:rsid w:val="001E1172"/>
    <w:rsid w:val="001E6995"/>
    <w:rsid w:val="001F0102"/>
    <w:rsid w:val="001F1513"/>
    <w:rsid w:val="001F1ECE"/>
    <w:rsid w:val="001F3C3A"/>
    <w:rsid w:val="0020062D"/>
    <w:rsid w:val="00201E4A"/>
    <w:rsid w:val="00202F14"/>
    <w:rsid w:val="00205769"/>
    <w:rsid w:val="00212FEC"/>
    <w:rsid w:val="002131BB"/>
    <w:rsid w:val="00213F07"/>
    <w:rsid w:val="00214952"/>
    <w:rsid w:val="0022086D"/>
    <w:rsid w:val="00223C8C"/>
    <w:rsid w:val="00227E31"/>
    <w:rsid w:val="00230F81"/>
    <w:rsid w:val="002341EE"/>
    <w:rsid w:val="002353AA"/>
    <w:rsid w:val="00237341"/>
    <w:rsid w:val="00241042"/>
    <w:rsid w:val="00241526"/>
    <w:rsid w:val="00242D24"/>
    <w:rsid w:val="002462B6"/>
    <w:rsid w:val="00251FC5"/>
    <w:rsid w:val="00252F40"/>
    <w:rsid w:val="00253412"/>
    <w:rsid w:val="00254C6F"/>
    <w:rsid w:val="002550BA"/>
    <w:rsid w:val="00255679"/>
    <w:rsid w:val="00257596"/>
    <w:rsid w:val="0027266B"/>
    <w:rsid w:val="00274734"/>
    <w:rsid w:val="00277361"/>
    <w:rsid w:val="0028116D"/>
    <w:rsid w:val="002817CB"/>
    <w:rsid w:val="00281E80"/>
    <w:rsid w:val="002834B0"/>
    <w:rsid w:val="00283671"/>
    <w:rsid w:val="00284A5D"/>
    <w:rsid w:val="00284E27"/>
    <w:rsid w:val="00294B7D"/>
    <w:rsid w:val="002A1973"/>
    <w:rsid w:val="002A59CD"/>
    <w:rsid w:val="002B14F6"/>
    <w:rsid w:val="002B7C7F"/>
    <w:rsid w:val="002C055A"/>
    <w:rsid w:val="002C2392"/>
    <w:rsid w:val="002C450A"/>
    <w:rsid w:val="002D1C5C"/>
    <w:rsid w:val="002D1E20"/>
    <w:rsid w:val="002E2A92"/>
    <w:rsid w:val="002E6860"/>
    <w:rsid w:val="002E7AA5"/>
    <w:rsid w:val="002F0411"/>
    <w:rsid w:val="002F1F2D"/>
    <w:rsid w:val="002F767E"/>
    <w:rsid w:val="00301F3A"/>
    <w:rsid w:val="003044F7"/>
    <w:rsid w:val="00304D7A"/>
    <w:rsid w:val="003079E3"/>
    <w:rsid w:val="00313876"/>
    <w:rsid w:val="00317DDA"/>
    <w:rsid w:val="003246F0"/>
    <w:rsid w:val="00325E2A"/>
    <w:rsid w:val="00326066"/>
    <w:rsid w:val="00326349"/>
    <w:rsid w:val="003264A2"/>
    <w:rsid w:val="003272F3"/>
    <w:rsid w:val="003372CA"/>
    <w:rsid w:val="0034064A"/>
    <w:rsid w:val="00345716"/>
    <w:rsid w:val="00346814"/>
    <w:rsid w:val="0034786C"/>
    <w:rsid w:val="00347A18"/>
    <w:rsid w:val="00350D85"/>
    <w:rsid w:val="00350F54"/>
    <w:rsid w:val="00351477"/>
    <w:rsid w:val="003517C9"/>
    <w:rsid w:val="00351DCD"/>
    <w:rsid w:val="0035408E"/>
    <w:rsid w:val="00357EC4"/>
    <w:rsid w:val="003627E1"/>
    <w:rsid w:val="00365AF8"/>
    <w:rsid w:val="00370000"/>
    <w:rsid w:val="00373507"/>
    <w:rsid w:val="0038230E"/>
    <w:rsid w:val="00382529"/>
    <w:rsid w:val="0038350F"/>
    <w:rsid w:val="00396CE0"/>
    <w:rsid w:val="003A00C9"/>
    <w:rsid w:val="003A1687"/>
    <w:rsid w:val="003A25A4"/>
    <w:rsid w:val="003A3109"/>
    <w:rsid w:val="003A32F7"/>
    <w:rsid w:val="003B19F4"/>
    <w:rsid w:val="003B49E4"/>
    <w:rsid w:val="003B4CCF"/>
    <w:rsid w:val="003B6CD4"/>
    <w:rsid w:val="003C1693"/>
    <w:rsid w:val="003C5218"/>
    <w:rsid w:val="003C6AB4"/>
    <w:rsid w:val="003C71DF"/>
    <w:rsid w:val="003E099F"/>
    <w:rsid w:val="003E27B4"/>
    <w:rsid w:val="003E4DF9"/>
    <w:rsid w:val="003F1A91"/>
    <w:rsid w:val="003F665D"/>
    <w:rsid w:val="0040086D"/>
    <w:rsid w:val="00400B1D"/>
    <w:rsid w:val="004017D8"/>
    <w:rsid w:val="00405D59"/>
    <w:rsid w:val="00411E03"/>
    <w:rsid w:val="004123B1"/>
    <w:rsid w:val="004138B8"/>
    <w:rsid w:val="00417F4D"/>
    <w:rsid w:val="004269AC"/>
    <w:rsid w:val="00426E13"/>
    <w:rsid w:val="004303A1"/>
    <w:rsid w:val="00440DC9"/>
    <w:rsid w:val="004450C4"/>
    <w:rsid w:val="00445DF9"/>
    <w:rsid w:val="004506D2"/>
    <w:rsid w:val="00456F40"/>
    <w:rsid w:val="004609BD"/>
    <w:rsid w:val="004611DC"/>
    <w:rsid w:val="004661EE"/>
    <w:rsid w:val="00466741"/>
    <w:rsid w:val="00470064"/>
    <w:rsid w:val="0047198B"/>
    <w:rsid w:val="0048136E"/>
    <w:rsid w:val="004818CE"/>
    <w:rsid w:val="0049059E"/>
    <w:rsid w:val="004966E3"/>
    <w:rsid w:val="004A2BEA"/>
    <w:rsid w:val="004A3C64"/>
    <w:rsid w:val="004A5AEA"/>
    <w:rsid w:val="004B2694"/>
    <w:rsid w:val="004B2FDA"/>
    <w:rsid w:val="004B480A"/>
    <w:rsid w:val="004B5A6D"/>
    <w:rsid w:val="004B5FB0"/>
    <w:rsid w:val="004C0CA2"/>
    <w:rsid w:val="004D50C0"/>
    <w:rsid w:val="004D772A"/>
    <w:rsid w:val="004E339B"/>
    <w:rsid w:val="004E4273"/>
    <w:rsid w:val="004E4562"/>
    <w:rsid w:val="004E7F0F"/>
    <w:rsid w:val="004F077F"/>
    <w:rsid w:val="004F78B4"/>
    <w:rsid w:val="005023DD"/>
    <w:rsid w:val="00503D8C"/>
    <w:rsid w:val="00511179"/>
    <w:rsid w:val="0051170E"/>
    <w:rsid w:val="00511F14"/>
    <w:rsid w:val="0051485A"/>
    <w:rsid w:val="00522B84"/>
    <w:rsid w:val="00531A7F"/>
    <w:rsid w:val="00534BAD"/>
    <w:rsid w:val="005360E8"/>
    <w:rsid w:val="005412D0"/>
    <w:rsid w:val="005428C5"/>
    <w:rsid w:val="00543C55"/>
    <w:rsid w:val="0054412E"/>
    <w:rsid w:val="0055393B"/>
    <w:rsid w:val="005554C7"/>
    <w:rsid w:val="00556F58"/>
    <w:rsid w:val="0055704F"/>
    <w:rsid w:val="0055723A"/>
    <w:rsid w:val="00567D57"/>
    <w:rsid w:val="00571004"/>
    <w:rsid w:val="00573D11"/>
    <w:rsid w:val="0057685F"/>
    <w:rsid w:val="00577B63"/>
    <w:rsid w:val="00582B99"/>
    <w:rsid w:val="00590903"/>
    <w:rsid w:val="00597258"/>
    <w:rsid w:val="005A40F1"/>
    <w:rsid w:val="005A617A"/>
    <w:rsid w:val="005A6282"/>
    <w:rsid w:val="005B0FC9"/>
    <w:rsid w:val="005B24B2"/>
    <w:rsid w:val="005B66D3"/>
    <w:rsid w:val="005B7D91"/>
    <w:rsid w:val="005B7EC3"/>
    <w:rsid w:val="005C108C"/>
    <w:rsid w:val="005C422A"/>
    <w:rsid w:val="005C4556"/>
    <w:rsid w:val="005C5302"/>
    <w:rsid w:val="005D307B"/>
    <w:rsid w:val="005E362E"/>
    <w:rsid w:val="005E3A2A"/>
    <w:rsid w:val="005E43B3"/>
    <w:rsid w:val="005F0034"/>
    <w:rsid w:val="005F69D4"/>
    <w:rsid w:val="005F7593"/>
    <w:rsid w:val="006029D7"/>
    <w:rsid w:val="00606BFF"/>
    <w:rsid w:val="00606E35"/>
    <w:rsid w:val="0061109D"/>
    <w:rsid w:val="006110BE"/>
    <w:rsid w:val="0061138B"/>
    <w:rsid w:val="00612AA0"/>
    <w:rsid w:val="006138CB"/>
    <w:rsid w:val="006142A4"/>
    <w:rsid w:val="0062200D"/>
    <w:rsid w:val="006224C4"/>
    <w:rsid w:val="006225EA"/>
    <w:rsid w:val="006261DF"/>
    <w:rsid w:val="00631936"/>
    <w:rsid w:val="006321DC"/>
    <w:rsid w:val="00641270"/>
    <w:rsid w:val="00642074"/>
    <w:rsid w:val="006424F8"/>
    <w:rsid w:val="00656049"/>
    <w:rsid w:val="00672C84"/>
    <w:rsid w:val="00672F97"/>
    <w:rsid w:val="00674339"/>
    <w:rsid w:val="00681CAB"/>
    <w:rsid w:val="00682CFC"/>
    <w:rsid w:val="006842EF"/>
    <w:rsid w:val="00685030"/>
    <w:rsid w:val="00692D4F"/>
    <w:rsid w:val="00693E35"/>
    <w:rsid w:val="0069559B"/>
    <w:rsid w:val="00695E58"/>
    <w:rsid w:val="0069613C"/>
    <w:rsid w:val="0069757D"/>
    <w:rsid w:val="006A1329"/>
    <w:rsid w:val="006A66F9"/>
    <w:rsid w:val="006B4303"/>
    <w:rsid w:val="006B7CF3"/>
    <w:rsid w:val="006C6C20"/>
    <w:rsid w:val="006D024C"/>
    <w:rsid w:val="006E3B3D"/>
    <w:rsid w:val="006E5C9C"/>
    <w:rsid w:val="006F1774"/>
    <w:rsid w:val="006F292B"/>
    <w:rsid w:val="006F6A03"/>
    <w:rsid w:val="00702624"/>
    <w:rsid w:val="00713D81"/>
    <w:rsid w:val="007171BF"/>
    <w:rsid w:val="00717A20"/>
    <w:rsid w:val="00720DFF"/>
    <w:rsid w:val="00723A2A"/>
    <w:rsid w:val="007265F3"/>
    <w:rsid w:val="0072790A"/>
    <w:rsid w:val="00730E23"/>
    <w:rsid w:val="00753311"/>
    <w:rsid w:val="00754513"/>
    <w:rsid w:val="00762CC5"/>
    <w:rsid w:val="00762F85"/>
    <w:rsid w:val="00767063"/>
    <w:rsid w:val="007906B4"/>
    <w:rsid w:val="007970A0"/>
    <w:rsid w:val="00797E4F"/>
    <w:rsid w:val="007A314C"/>
    <w:rsid w:val="007A3CB9"/>
    <w:rsid w:val="007B215B"/>
    <w:rsid w:val="007B4617"/>
    <w:rsid w:val="007C26B6"/>
    <w:rsid w:val="007C2D96"/>
    <w:rsid w:val="007E2ECB"/>
    <w:rsid w:val="007E759D"/>
    <w:rsid w:val="007F2DBE"/>
    <w:rsid w:val="007F33B6"/>
    <w:rsid w:val="007F4CF6"/>
    <w:rsid w:val="007F642D"/>
    <w:rsid w:val="007F756A"/>
    <w:rsid w:val="00800E2C"/>
    <w:rsid w:val="0080214D"/>
    <w:rsid w:val="00811DEF"/>
    <w:rsid w:val="00812471"/>
    <w:rsid w:val="00814A90"/>
    <w:rsid w:val="008261A5"/>
    <w:rsid w:val="008327E5"/>
    <w:rsid w:val="0083382E"/>
    <w:rsid w:val="00844AAC"/>
    <w:rsid w:val="0085354A"/>
    <w:rsid w:val="00855325"/>
    <w:rsid w:val="00862E34"/>
    <w:rsid w:val="008634F3"/>
    <w:rsid w:val="008652FA"/>
    <w:rsid w:val="00865915"/>
    <w:rsid w:val="008661AA"/>
    <w:rsid w:val="00871832"/>
    <w:rsid w:val="00875E9B"/>
    <w:rsid w:val="00876FCA"/>
    <w:rsid w:val="00881B0A"/>
    <w:rsid w:val="00886CCE"/>
    <w:rsid w:val="008942C6"/>
    <w:rsid w:val="00896B33"/>
    <w:rsid w:val="00897DBE"/>
    <w:rsid w:val="008A2995"/>
    <w:rsid w:val="008A2BA4"/>
    <w:rsid w:val="008A62FB"/>
    <w:rsid w:val="008A77B7"/>
    <w:rsid w:val="008B0F67"/>
    <w:rsid w:val="008B297B"/>
    <w:rsid w:val="008B3833"/>
    <w:rsid w:val="008C0535"/>
    <w:rsid w:val="008C0BCD"/>
    <w:rsid w:val="008C0BD9"/>
    <w:rsid w:val="008C42AF"/>
    <w:rsid w:val="008C608D"/>
    <w:rsid w:val="008D1F37"/>
    <w:rsid w:val="008E14BE"/>
    <w:rsid w:val="008E3F75"/>
    <w:rsid w:val="008E461D"/>
    <w:rsid w:val="008E5520"/>
    <w:rsid w:val="008F08E5"/>
    <w:rsid w:val="008F097F"/>
    <w:rsid w:val="008F0EA4"/>
    <w:rsid w:val="008F10B9"/>
    <w:rsid w:val="008F1FE9"/>
    <w:rsid w:val="008F38F6"/>
    <w:rsid w:val="008F5213"/>
    <w:rsid w:val="008F67E7"/>
    <w:rsid w:val="008F6B2D"/>
    <w:rsid w:val="009000CF"/>
    <w:rsid w:val="009050B3"/>
    <w:rsid w:val="00906FC5"/>
    <w:rsid w:val="0090748B"/>
    <w:rsid w:val="00907E6A"/>
    <w:rsid w:val="00913CFE"/>
    <w:rsid w:val="00914C4C"/>
    <w:rsid w:val="00916E72"/>
    <w:rsid w:val="00920C9C"/>
    <w:rsid w:val="00922754"/>
    <w:rsid w:val="00925781"/>
    <w:rsid w:val="009258D0"/>
    <w:rsid w:val="009274EA"/>
    <w:rsid w:val="00934D87"/>
    <w:rsid w:val="00935AB3"/>
    <w:rsid w:val="00941093"/>
    <w:rsid w:val="00957E3A"/>
    <w:rsid w:val="00960B13"/>
    <w:rsid w:val="009635CF"/>
    <w:rsid w:val="009646C4"/>
    <w:rsid w:val="009668BB"/>
    <w:rsid w:val="009734CE"/>
    <w:rsid w:val="00974CB0"/>
    <w:rsid w:val="00975085"/>
    <w:rsid w:val="009750A4"/>
    <w:rsid w:val="0098080C"/>
    <w:rsid w:val="00981DE0"/>
    <w:rsid w:val="0098287E"/>
    <w:rsid w:val="0098460C"/>
    <w:rsid w:val="00991976"/>
    <w:rsid w:val="0099413E"/>
    <w:rsid w:val="00994676"/>
    <w:rsid w:val="00996E1A"/>
    <w:rsid w:val="009B1E02"/>
    <w:rsid w:val="009B4392"/>
    <w:rsid w:val="009B51DA"/>
    <w:rsid w:val="009B7D09"/>
    <w:rsid w:val="009C0784"/>
    <w:rsid w:val="009C2CB9"/>
    <w:rsid w:val="009C51DF"/>
    <w:rsid w:val="009D0B63"/>
    <w:rsid w:val="009D24DA"/>
    <w:rsid w:val="009D5D75"/>
    <w:rsid w:val="009E0C0B"/>
    <w:rsid w:val="009E1C67"/>
    <w:rsid w:val="009E572D"/>
    <w:rsid w:val="009E5930"/>
    <w:rsid w:val="009F32A2"/>
    <w:rsid w:val="009F54CE"/>
    <w:rsid w:val="009F70FE"/>
    <w:rsid w:val="00A0600B"/>
    <w:rsid w:val="00A06264"/>
    <w:rsid w:val="00A1639A"/>
    <w:rsid w:val="00A215C9"/>
    <w:rsid w:val="00A25474"/>
    <w:rsid w:val="00A25CF0"/>
    <w:rsid w:val="00A40786"/>
    <w:rsid w:val="00A42F0D"/>
    <w:rsid w:val="00A52BBB"/>
    <w:rsid w:val="00A5364B"/>
    <w:rsid w:val="00A615E0"/>
    <w:rsid w:val="00A64002"/>
    <w:rsid w:val="00A65E2B"/>
    <w:rsid w:val="00A70878"/>
    <w:rsid w:val="00A73C12"/>
    <w:rsid w:val="00A74AA0"/>
    <w:rsid w:val="00A7546D"/>
    <w:rsid w:val="00A7613D"/>
    <w:rsid w:val="00A77100"/>
    <w:rsid w:val="00A81626"/>
    <w:rsid w:val="00A8357B"/>
    <w:rsid w:val="00A848FC"/>
    <w:rsid w:val="00A975B1"/>
    <w:rsid w:val="00AA14B7"/>
    <w:rsid w:val="00AA4D97"/>
    <w:rsid w:val="00AB424B"/>
    <w:rsid w:val="00AB74D4"/>
    <w:rsid w:val="00AD17B7"/>
    <w:rsid w:val="00AE6AAA"/>
    <w:rsid w:val="00AE6CF7"/>
    <w:rsid w:val="00AF08D2"/>
    <w:rsid w:val="00B01A1B"/>
    <w:rsid w:val="00B02242"/>
    <w:rsid w:val="00B069C5"/>
    <w:rsid w:val="00B06D1B"/>
    <w:rsid w:val="00B077D5"/>
    <w:rsid w:val="00B16A78"/>
    <w:rsid w:val="00B200E4"/>
    <w:rsid w:val="00B26FFD"/>
    <w:rsid w:val="00B31E12"/>
    <w:rsid w:val="00B31F77"/>
    <w:rsid w:val="00B35B6D"/>
    <w:rsid w:val="00B35DC6"/>
    <w:rsid w:val="00B51699"/>
    <w:rsid w:val="00B53FAF"/>
    <w:rsid w:val="00B55D98"/>
    <w:rsid w:val="00B63153"/>
    <w:rsid w:val="00B6527D"/>
    <w:rsid w:val="00B73B3A"/>
    <w:rsid w:val="00B74507"/>
    <w:rsid w:val="00B75718"/>
    <w:rsid w:val="00B75E7E"/>
    <w:rsid w:val="00B81257"/>
    <w:rsid w:val="00B9030E"/>
    <w:rsid w:val="00B9324B"/>
    <w:rsid w:val="00B93817"/>
    <w:rsid w:val="00B9391B"/>
    <w:rsid w:val="00B9682D"/>
    <w:rsid w:val="00B977A6"/>
    <w:rsid w:val="00BA0B96"/>
    <w:rsid w:val="00BA52C9"/>
    <w:rsid w:val="00BB15DA"/>
    <w:rsid w:val="00BB340D"/>
    <w:rsid w:val="00BB6626"/>
    <w:rsid w:val="00BC2A3A"/>
    <w:rsid w:val="00BC64EC"/>
    <w:rsid w:val="00BC7971"/>
    <w:rsid w:val="00BC7BF3"/>
    <w:rsid w:val="00BD073D"/>
    <w:rsid w:val="00BD6001"/>
    <w:rsid w:val="00BD6652"/>
    <w:rsid w:val="00BD75E0"/>
    <w:rsid w:val="00BE10CC"/>
    <w:rsid w:val="00BE4198"/>
    <w:rsid w:val="00BF0008"/>
    <w:rsid w:val="00BF029A"/>
    <w:rsid w:val="00BF1BAA"/>
    <w:rsid w:val="00BF3AFD"/>
    <w:rsid w:val="00C05758"/>
    <w:rsid w:val="00C1491C"/>
    <w:rsid w:val="00C1606C"/>
    <w:rsid w:val="00C16E16"/>
    <w:rsid w:val="00C23180"/>
    <w:rsid w:val="00C26F94"/>
    <w:rsid w:val="00C362A7"/>
    <w:rsid w:val="00C41492"/>
    <w:rsid w:val="00C502EC"/>
    <w:rsid w:val="00C50874"/>
    <w:rsid w:val="00C6435B"/>
    <w:rsid w:val="00C65078"/>
    <w:rsid w:val="00C702B5"/>
    <w:rsid w:val="00C70389"/>
    <w:rsid w:val="00C80ABA"/>
    <w:rsid w:val="00C9039E"/>
    <w:rsid w:val="00C904B6"/>
    <w:rsid w:val="00C90A75"/>
    <w:rsid w:val="00C91657"/>
    <w:rsid w:val="00C96DF4"/>
    <w:rsid w:val="00CA0F2C"/>
    <w:rsid w:val="00CA462D"/>
    <w:rsid w:val="00CA6A66"/>
    <w:rsid w:val="00CC1337"/>
    <w:rsid w:val="00CC2514"/>
    <w:rsid w:val="00CC48DF"/>
    <w:rsid w:val="00CC6FB9"/>
    <w:rsid w:val="00CD4A91"/>
    <w:rsid w:val="00CD6BD0"/>
    <w:rsid w:val="00CD70E7"/>
    <w:rsid w:val="00CD7363"/>
    <w:rsid w:val="00CE0964"/>
    <w:rsid w:val="00CE0C1F"/>
    <w:rsid w:val="00CE3191"/>
    <w:rsid w:val="00CE455F"/>
    <w:rsid w:val="00CE4A15"/>
    <w:rsid w:val="00CE5195"/>
    <w:rsid w:val="00CE6B63"/>
    <w:rsid w:val="00CE74B4"/>
    <w:rsid w:val="00CE7D16"/>
    <w:rsid w:val="00CF0BF9"/>
    <w:rsid w:val="00CF2E86"/>
    <w:rsid w:val="00CF5957"/>
    <w:rsid w:val="00CF69E0"/>
    <w:rsid w:val="00D0004A"/>
    <w:rsid w:val="00D04BA2"/>
    <w:rsid w:val="00D077B0"/>
    <w:rsid w:val="00D157A0"/>
    <w:rsid w:val="00D22D42"/>
    <w:rsid w:val="00D24AF1"/>
    <w:rsid w:val="00D31447"/>
    <w:rsid w:val="00D341F9"/>
    <w:rsid w:val="00D35A6D"/>
    <w:rsid w:val="00D36D8D"/>
    <w:rsid w:val="00D45711"/>
    <w:rsid w:val="00D47190"/>
    <w:rsid w:val="00D500FC"/>
    <w:rsid w:val="00D50EC4"/>
    <w:rsid w:val="00D51597"/>
    <w:rsid w:val="00D5326E"/>
    <w:rsid w:val="00D55867"/>
    <w:rsid w:val="00D57410"/>
    <w:rsid w:val="00D634A3"/>
    <w:rsid w:val="00D72339"/>
    <w:rsid w:val="00D73E47"/>
    <w:rsid w:val="00D74ABB"/>
    <w:rsid w:val="00D8091B"/>
    <w:rsid w:val="00D83CB7"/>
    <w:rsid w:val="00D9090D"/>
    <w:rsid w:val="00D926B4"/>
    <w:rsid w:val="00D976B3"/>
    <w:rsid w:val="00D97FA8"/>
    <w:rsid w:val="00DB289A"/>
    <w:rsid w:val="00DB4363"/>
    <w:rsid w:val="00DB66BD"/>
    <w:rsid w:val="00DC07C5"/>
    <w:rsid w:val="00DC7B25"/>
    <w:rsid w:val="00DC7F9A"/>
    <w:rsid w:val="00DD340F"/>
    <w:rsid w:val="00DD39EA"/>
    <w:rsid w:val="00DD6B73"/>
    <w:rsid w:val="00DE23F8"/>
    <w:rsid w:val="00DE7CC2"/>
    <w:rsid w:val="00DF75AC"/>
    <w:rsid w:val="00E007DD"/>
    <w:rsid w:val="00E04392"/>
    <w:rsid w:val="00E05CF6"/>
    <w:rsid w:val="00E077DE"/>
    <w:rsid w:val="00E112C9"/>
    <w:rsid w:val="00E1314C"/>
    <w:rsid w:val="00E158F7"/>
    <w:rsid w:val="00E16ABE"/>
    <w:rsid w:val="00E2087E"/>
    <w:rsid w:val="00E2356E"/>
    <w:rsid w:val="00E23C81"/>
    <w:rsid w:val="00E25D59"/>
    <w:rsid w:val="00E2636D"/>
    <w:rsid w:val="00E34976"/>
    <w:rsid w:val="00E36818"/>
    <w:rsid w:val="00E47B97"/>
    <w:rsid w:val="00E5203C"/>
    <w:rsid w:val="00E61AEA"/>
    <w:rsid w:val="00E634CC"/>
    <w:rsid w:val="00E771E0"/>
    <w:rsid w:val="00E81727"/>
    <w:rsid w:val="00E81AEB"/>
    <w:rsid w:val="00E82F0E"/>
    <w:rsid w:val="00E84DFB"/>
    <w:rsid w:val="00E90673"/>
    <w:rsid w:val="00E95ABF"/>
    <w:rsid w:val="00E95F89"/>
    <w:rsid w:val="00E96FAC"/>
    <w:rsid w:val="00EA0382"/>
    <w:rsid w:val="00EA129F"/>
    <w:rsid w:val="00EB7A31"/>
    <w:rsid w:val="00EC08DC"/>
    <w:rsid w:val="00EC0EC1"/>
    <w:rsid w:val="00ED0582"/>
    <w:rsid w:val="00ED1262"/>
    <w:rsid w:val="00ED7374"/>
    <w:rsid w:val="00EE014F"/>
    <w:rsid w:val="00EE31F6"/>
    <w:rsid w:val="00EE36DC"/>
    <w:rsid w:val="00EE6896"/>
    <w:rsid w:val="00EF06B5"/>
    <w:rsid w:val="00F044EE"/>
    <w:rsid w:val="00F20069"/>
    <w:rsid w:val="00F20AAA"/>
    <w:rsid w:val="00F21201"/>
    <w:rsid w:val="00F22BE9"/>
    <w:rsid w:val="00F2414C"/>
    <w:rsid w:val="00F3320B"/>
    <w:rsid w:val="00F40E92"/>
    <w:rsid w:val="00F41947"/>
    <w:rsid w:val="00F435AA"/>
    <w:rsid w:val="00F45370"/>
    <w:rsid w:val="00F511B7"/>
    <w:rsid w:val="00F53A47"/>
    <w:rsid w:val="00F60A04"/>
    <w:rsid w:val="00F63C5D"/>
    <w:rsid w:val="00F67E03"/>
    <w:rsid w:val="00F67EAF"/>
    <w:rsid w:val="00F7191D"/>
    <w:rsid w:val="00F72E52"/>
    <w:rsid w:val="00F730FC"/>
    <w:rsid w:val="00F745DE"/>
    <w:rsid w:val="00F76C6A"/>
    <w:rsid w:val="00F808FD"/>
    <w:rsid w:val="00F83BF1"/>
    <w:rsid w:val="00F84A19"/>
    <w:rsid w:val="00F87D09"/>
    <w:rsid w:val="00F90CB9"/>
    <w:rsid w:val="00F90F26"/>
    <w:rsid w:val="00F91D23"/>
    <w:rsid w:val="00F91DD8"/>
    <w:rsid w:val="00F97373"/>
    <w:rsid w:val="00FA0254"/>
    <w:rsid w:val="00FA59F1"/>
    <w:rsid w:val="00FA6129"/>
    <w:rsid w:val="00FA6854"/>
    <w:rsid w:val="00FB064F"/>
    <w:rsid w:val="00FB0F6B"/>
    <w:rsid w:val="00FB144F"/>
    <w:rsid w:val="00FB159A"/>
    <w:rsid w:val="00FB4D77"/>
    <w:rsid w:val="00FC40F0"/>
    <w:rsid w:val="00FC497D"/>
    <w:rsid w:val="00FD076B"/>
    <w:rsid w:val="00FD140F"/>
    <w:rsid w:val="00FD39DE"/>
    <w:rsid w:val="00FE0368"/>
    <w:rsid w:val="00FE4B61"/>
    <w:rsid w:val="00FF3782"/>
    <w:rsid w:val="00FF6F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CF9775E"/>
  <w15:docId w15:val="{48E02C0B-CC27-4B01-9B73-947E0840A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sz w:val="22"/>
        <w:szCs w:val="22"/>
        <w:lang w:val="en-GB"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517C9"/>
    <w:pPr>
      <w:spacing w:after="200"/>
    </w:pPr>
    <w:rPr>
      <w:sz w:val="24"/>
      <w:szCs w:val="24"/>
      <w:lang w:eastAsia="en-US"/>
    </w:rPr>
  </w:style>
  <w:style w:type="paragraph" w:styleId="berschrift1">
    <w:name w:val="heading 1"/>
    <w:basedOn w:val="Standard"/>
    <w:next w:val="Standard"/>
    <w:link w:val="berschrift1Zchn"/>
    <w:qFormat/>
    <w:locked/>
    <w:rsid w:val="00767063"/>
    <w:pPr>
      <w:keepNext/>
      <w:keepLines/>
      <w:spacing w:before="240" w:after="0"/>
      <w:outlineLvl w:val="0"/>
    </w:pPr>
    <w:rPr>
      <w:rFonts w:asciiTheme="majorHAnsi" w:eastAsiaTheme="majorEastAsia" w:hAnsiTheme="majorHAnsi" w:cstheme="majorBidi"/>
      <w:color w:val="BD9100" w:themeColor="accent1" w:themeShade="BF"/>
      <w:sz w:val="32"/>
      <w:szCs w:val="32"/>
    </w:rPr>
  </w:style>
  <w:style w:type="paragraph" w:styleId="berschrift3">
    <w:name w:val="heading 3"/>
    <w:basedOn w:val="Standard"/>
    <w:next w:val="Standard"/>
    <w:link w:val="berschrift3Zchn"/>
    <w:unhideWhenUsed/>
    <w:qFormat/>
    <w:locked/>
    <w:rsid w:val="00767063"/>
    <w:pPr>
      <w:keepNext/>
      <w:keepLines/>
      <w:spacing w:before="40" w:after="0"/>
      <w:outlineLvl w:val="2"/>
    </w:pPr>
    <w:rPr>
      <w:rFonts w:asciiTheme="majorHAnsi" w:eastAsiaTheme="majorEastAsia" w:hAnsiTheme="majorHAnsi" w:cstheme="majorBidi"/>
      <w:color w:val="7E600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format1">
    <w:name w:val="Absatzformat 1"/>
    <w:basedOn w:val="Standard"/>
    <w:uiPriority w:val="99"/>
    <w:rsid w:val="007906B4"/>
    <w:pPr>
      <w:widowControl w:val="0"/>
      <w:autoSpaceDE w:val="0"/>
      <w:autoSpaceDN w:val="0"/>
      <w:adjustRightInd w:val="0"/>
      <w:spacing w:after="85" w:line="288" w:lineRule="auto"/>
      <w:textAlignment w:val="center"/>
    </w:pPr>
    <w:rPr>
      <w:rFonts w:ascii="Akkurat-Fett" w:hAnsi="Akkurat-Fett" w:cs="Akkurat-Fett"/>
      <w:color w:val="000000"/>
      <w:sz w:val="16"/>
      <w:szCs w:val="16"/>
    </w:rPr>
  </w:style>
  <w:style w:type="paragraph" w:styleId="Sprechblasentext">
    <w:name w:val="Balloon Text"/>
    <w:basedOn w:val="Standard"/>
    <w:link w:val="SprechblasentextZchn"/>
    <w:uiPriority w:val="99"/>
    <w:rsid w:val="00F044EE"/>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locked/>
    <w:rsid w:val="00F044EE"/>
    <w:rPr>
      <w:rFonts w:ascii="Tahoma" w:hAnsi="Tahoma" w:cs="Tahoma"/>
      <w:sz w:val="16"/>
      <w:szCs w:val="16"/>
    </w:rPr>
  </w:style>
  <w:style w:type="paragraph" w:styleId="Listenabsatz">
    <w:name w:val="List Paragraph"/>
    <w:basedOn w:val="Standard"/>
    <w:uiPriority w:val="99"/>
    <w:qFormat/>
    <w:rsid w:val="00F044EE"/>
    <w:pPr>
      <w:ind w:left="720"/>
      <w:contextualSpacing/>
    </w:pPr>
  </w:style>
  <w:style w:type="paragraph" w:styleId="StandardWeb">
    <w:name w:val="Normal (Web)"/>
    <w:basedOn w:val="Standard"/>
    <w:uiPriority w:val="99"/>
    <w:rsid w:val="00D72339"/>
    <w:pPr>
      <w:spacing w:before="100" w:beforeAutospacing="1" w:after="100" w:afterAutospacing="1"/>
    </w:pPr>
    <w:rPr>
      <w:rFonts w:ascii="Times New Roman" w:eastAsia="Times New Roman" w:hAnsi="Times New Roman"/>
      <w:lang w:eastAsia="de-DE"/>
    </w:rPr>
  </w:style>
  <w:style w:type="paragraph" w:styleId="Kopfzeile">
    <w:name w:val="header"/>
    <w:basedOn w:val="Standard"/>
    <w:link w:val="KopfzeileZchn"/>
    <w:uiPriority w:val="99"/>
    <w:rsid w:val="00CF5957"/>
    <w:pPr>
      <w:tabs>
        <w:tab w:val="center" w:pos="4536"/>
        <w:tab w:val="right" w:pos="9072"/>
      </w:tabs>
    </w:pPr>
  </w:style>
  <w:style w:type="character" w:customStyle="1" w:styleId="KopfzeileZchn">
    <w:name w:val="Kopfzeile Zchn"/>
    <w:basedOn w:val="Absatz-Standardschriftart"/>
    <w:link w:val="Kopfzeile"/>
    <w:uiPriority w:val="99"/>
    <w:semiHidden/>
    <w:locked/>
    <w:rsid w:val="00886CCE"/>
    <w:rPr>
      <w:rFonts w:cs="Times New Roman"/>
      <w:sz w:val="24"/>
      <w:szCs w:val="24"/>
      <w:lang w:eastAsia="en-US"/>
    </w:rPr>
  </w:style>
  <w:style w:type="paragraph" w:styleId="Fuzeile">
    <w:name w:val="footer"/>
    <w:basedOn w:val="Standard"/>
    <w:link w:val="FuzeileZchn"/>
    <w:uiPriority w:val="99"/>
    <w:rsid w:val="00CF5957"/>
    <w:pPr>
      <w:tabs>
        <w:tab w:val="center" w:pos="4536"/>
        <w:tab w:val="right" w:pos="9072"/>
      </w:tabs>
    </w:pPr>
  </w:style>
  <w:style w:type="character" w:customStyle="1" w:styleId="FuzeileZchn">
    <w:name w:val="Fußzeile Zchn"/>
    <w:basedOn w:val="Absatz-Standardschriftart"/>
    <w:link w:val="Fuzeile"/>
    <w:uiPriority w:val="99"/>
    <w:locked/>
    <w:rsid w:val="00886CCE"/>
    <w:rPr>
      <w:rFonts w:cs="Times New Roman"/>
      <w:sz w:val="24"/>
      <w:szCs w:val="24"/>
      <w:lang w:eastAsia="en-US"/>
    </w:rPr>
  </w:style>
  <w:style w:type="paragraph" w:styleId="Textkrper">
    <w:name w:val="Body Text"/>
    <w:basedOn w:val="Standard"/>
    <w:link w:val="TextkrperZchn"/>
    <w:uiPriority w:val="99"/>
    <w:rsid w:val="00CF5957"/>
    <w:pPr>
      <w:spacing w:after="0" w:line="240" w:lineRule="atLeast"/>
    </w:pPr>
    <w:rPr>
      <w:rFonts w:ascii="Helv" w:hAnsi="Helv"/>
      <w:color w:val="000000"/>
      <w:sz w:val="20"/>
      <w:szCs w:val="20"/>
      <w:lang w:eastAsia="de-DE"/>
    </w:rPr>
  </w:style>
  <w:style w:type="character" w:customStyle="1" w:styleId="TextkrperZchn">
    <w:name w:val="Textkörper Zchn"/>
    <w:basedOn w:val="Absatz-Standardschriftart"/>
    <w:link w:val="Textkrper"/>
    <w:uiPriority w:val="99"/>
    <w:semiHidden/>
    <w:locked/>
    <w:rsid w:val="00886CCE"/>
    <w:rPr>
      <w:rFonts w:cs="Times New Roman"/>
      <w:sz w:val="24"/>
      <w:szCs w:val="24"/>
      <w:lang w:eastAsia="en-US"/>
    </w:rPr>
  </w:style>
  <w:style w:type="character" w:styleId="Hyperlink">
    <w:name w:val="Hyperlink"/>
    <w:basedOn w:val="Absatz-Standardschriftart"/>
    <w:uiPriority w:val="99"/>
    <w:rsid w:val="00CF5957"/>
    <w:rPr>
      <w:rFonts w:cs="Times New Roman"/>
      <w:color w:val="0000FF"/>
      <w:u w:val="single"/>
    </w:rPr>
  </w:style>
  <w:style w:type="character" w:styleId="Seitenzahl">
    <w:name w:val="page number"/>
    <w:basedOn w:val="Absatz-Standardschriftart"/>
    <w:uiPriority w:val="99"/>
    <w:rsid w:val="00862E34"/>
    <w:rPr>
      <w:rFonts w:cs="Times New Roman"/>
    </w:rPr>
  </w:style>
  <w:style w:type="character" w:styleId="BesuchterLink">
    <w:name w:val="FollowedHyperlink"/>
    <w:basedOn w:val="Absatz-Standardschriftart"/>
    <w:uiPriority w:val="99"/>
    <w:semiHidden/>
    <w:unhideWhenUsed/>
    <w:rsid w:val="004B2FDA"/>
    <w:rPr>
      <w:color w:val="92A4C2" w:themeColor="followedHyperlink"/>
      <w:u w:val="single"/>
    </w:rPr>
  </w:style>
  <w:style w:type="paragraph" w:customStyle="1" w:styleId="Default">
    <w:name w:val="Default"/>
    <w:rsid w:val="00EE36DC"/>
    <w:pPr>
      <w:autoSpaceDE w:val="0"/>
      <w:autoSpaceDN w:val="0"/>
      <w:adjustRightInd w:val="0"/>
    </w:pPr>
    <w:rPr>
      <w:rFonts w:ascii="Arial" w:hAnsi="Arial" w:cs="Arial"/>
      <w:color w:val="000000"/>
      <w:sz w:val="24"/>
      <w:szCs w:val="24"/>
    </w:rPr>
  </w:style>
  <w:style w:type="character" w:styleId="Fett">
    <w:name w:val="Strong"/>
    <w:basedOn w:val="Absatz-Standardschriftart"/>
    <w:uiPriority w:val="22"/>
    <w:qFormat/>
    <w:locked/>
    <w:rsid w:val="00382529"/>
    <w:rPr>
      <w:b/>
      <w:bCs/>
    </w:rPr>
  </w:style>
  <w:style w:type="table" w:styleId="Tabellenraster">
    <w:name w:val="Table Grid"/>
    <w:basedOn w:val="NormaleTabelle"/>
    <w:uiPriority w:val="59"/>
    <w:locked/>
    <w:rsid w:val="002C05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liesstextNL">
    <w:name w:val="Fliesstext NL"/>
    <w:basedOn w:val="Standard"/>
    <w:uiPriority w:val="99"/>
    <w:rsid w:val="002C055A"/>
    <w:pPr>
      <w:autoSpaceDE w:val="0"/>
      <w:autoSpaceDN w:val="0"/>
      <w:adjustRightInd w:val="0"/>
      <w:spacing w:after="0" w:line="220" w:lineRule="atLeast"/>
      <w:jc w:val="both"/>
      <w:textAlignment w:val="center"/>
    </w:pPr>
    <w:rPr>
      <w:rFonts w:ascii="Mark OT Light" w:hAnsi="Mark OT Light" w:cs="Mark OT Light"/>
      <w:color w:val="000000"/>
      <w:spacing w:val="-4"/>
      <w:sz w:val="18"/>
      <w:szCs w:val="18"/>
      <w:lang w:eastAsia="de-DE"/>
    </w:rPr>
  </w:style>
  <w:style w:type="paragraph" w:customStyle="1" w:styleId="GrafikHeadlineNL">
    <w:name w:val="Grafik Headline NL"/>
    <w:basedOn w:val="FliesstextNL"/>
    <w:uiPriority w:val="99"/>
    <w:rsid w:val="002C055A"/>
    <w:rPr>
      <w:rFonts w:ascii="Mark OT" w:hAnsi="Mark OT" w:cs="Mark OT"/>
      <w:b/>
      <w:bCs/>
    </w:rPr>
  </w:style>
  <w:style w:type="paragraph" w:customStyle="1" w:styleId="HeadlineNL">
    <w:name w:val="Headline NL"/>
    <w:basedOn w:val="FliesstextNL"/>
    <w:uiPriority w:val="99"/>
    <w:rsid w:val="002C055A"/>
    <w:pPr>
      <w:spacing w:line="400" w:lineRule="atLeast"/>
    </w:pPr>
    <w:rPr>
      <w:rFonts w:ascii="Mark OT" w:hAnsi="Mark OT" w:cs="Mark OT"/>
      <w:b/>
      <w:bCs/>
      <w:spacing w:val="0"/>
      <w:sz w:val="28"/>
      <w:szCs w:val="28"/>
    </w:rPr>
  </w:style>
  <w:style w:type="paragraph" w:customStyle="1" w:styleId="SublineNL">
    <w:name w:val="Subline NL"/>
    <w:basedOn w:val="FliesstextNL"/>
    <w:uiPriority w:val="99"/>
    <w:rsid w:val="002C055A"/>
    <w:pPr>
      <w:spacing w:line="320" w:lineRule="atLeast"/>
    </w:pPr>
    <w:rPr>
      <w:spacing w:val="0"/>
      <w:sz w:val="28"/>
      <w:szCs w:val="28"/>
    </w:rPr>
  </w:style>
  <w:style w:type="character" w:styleId="Kommentarzeichen">
    <w:name w:val="annotation reference"/>
    <w:basedOn w:val="Absatz-Standardschriftart"/>
    <w:uiPriority w:val="99"/>
    <w:semiHidden/>
    <w:unhideWhenUsed/>
    <w:rsid w:val="00567D57"/>
    <w:rPr>
      <w:sz w:val="16"/>
      <w:szCs w:val="16"/>
    </w:rPr>
  </w:style>
  <w:style w:type="paragraph" w:styleId="Kommentartext">
    <w:name w:val="annotation text"/>
    <w:basedOn w:val="Standard"/>
    <w:link w:val="KommentartextZchn"/>
    <w:uiPriority w:val="99"/>
    <w:semiHidden/>
    <w:unhideWhenUsed/>
    <w:rsid w:val="00567D57"/>
    <w:rPr>
      <w:sz w:val="20"/>
      <w:szCs w:val="20"/>
    </w:rPr>
  </w:style>
  <w:style w:type="character" w:customStyle="1" w:styleId="KommentartextZchn">
    <w:name w:val="Kommentartext Zchn"/>
    <w:basedOn w:val="Absatz-Standardschriftart"/>
    <w:link w:val="Kommentartext"/>
    <w:uiPriority w:val="99"/>
    <w:semiHidden/>
    <w:rsid w:val="00567D57"/>
    <w:rPr>
      <w:sz w:val="20"/>
      <w:szCs w:val="20"/>
      <w:lang w:eastAsia="en-US"/>
    </w:rPr>
  </w:style>
  <w:style w:type="paragraph" w:styleId="Kommentarthema">
    <w:name w:val="annotation subject"/>
    <w:basedOn w:val="Kommentartext"/>
    <w:next w:val="Kommentartext"/>
    <w:link w:val="KommentarthemaZchn"/>
    <w:uiPriority w:val="99"/>
    <w:semiHidden/>
    <w:unhideWhenUsed/>
    <w:rsid w:val="00567D57"/>
    <w:rPr>
      <w:b/>
      <w:bCs/>
    </w:rPr>
  </w:style>
  <w:style w:type="character" w:customStyle="1" w:styleId="KommentarthemaZchn">
    <w:name w:val="Kommentarthema Zchn"/>
    <w:basedOn w:val="KommentartextZchn"/>
    <w:link w:val="Kommentarthema"/>
    <w:uiPriority w:val="99"/>
    <w:semiHidden/>
    <w:rsid w:val="00567D57"/>
    <w:rPr>
      <w:b/>
      <w:bCs/>
      <w:sz w:val="20"/>
      <w:szCs w:val="20"/>
      <w:lang w:eastAsia="en-US"/>
    </w:rPr>
  </w:style>
  <w:style w:type="table" w:customStyle="1" w:styleId="TableGrid1">
    <w:name w:val="Table Grid1"/>
    <w:basedOn w:val="NormaleTabelle"/>
    <w:next w:val="Tabellenraster"/>
    <w:uiPriority w:val="59"/>
    <w:rsid w:val="001E1172"/>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NormaleTabelle"/>
    <w:next w:val="Tabellenraster"/>
    <w:uiPriority w:val="59"/>
    <w:rsid w:val="001E1172"/>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rsid w:val="00767063"/>
    <w:rPr>
      <w:rFonts w:asciiTheme="majorHAnsi" w:eastAsiaTheme="majorEastAsia" w:hAnsiTheme="majorHAnsi" w:cstheme="majorBidi"/>
      <w:color w:val="BD9100" w:themeColor="accent1" w:themeShade="BF"/>
      <w:sz w:val="32"/>
      <w:szCs w:val="32"/>
      <w:lang w:eastAsia="en-US"/>
    </w:rPr>
  </w:style>
  <w:style w:type="character" w:customStyle="1" w:styleId="berschrift3Zchn">
    <w:name w:val="Überschrift 3 Zchn"/>
    <w:basedOn w:val="Absatz-Standardschriftart"/>
    <w:link w:val="berschrift3"/>
    <w:rsid w:val="00767063"/>
    <w:rPr>
      <w:rFonts w:asciiTheme="majorHAnsi" w:eastAsiaTheme="majorEastAsia" w:hAnsiTheme="majorHAnsi" w:cstheme="majorBidi"/>
      <w:color w:val="7E600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88995">
      <w:bodyDiv w:val="1"/>
      <w:marLeft w:val="0"/>
      <w:marRight w:val="0"/>
      <w:marTop w:val="0"/>
      <w:marBottom w:val="0"/>
      <w:divBdr>
        <w:top w:val="none" w:sz="0" w:space="0" w:color="auto"/>
        <w:left w:val="none" w:sz="0" w:space="0" w:color="auto"/>
        <w:bottom w:val="none" w:sz="0" w:space="0" w:color="auto"/>
        <w:right w:val="none" w:sz="0" w:space="0" w:color="auto"/>
      </w:divBdr>
    </w:div>
    <w:div w:id="69085092">
      <w:bodyDiv w:val="1"/>
      <w:marLeft w:val="0"/>
      <w:marRight w:val="0"/>
      <w:marTop w:val="0"/>
      <w:marBottom w:val="0"/>
      <w:divBdr>
        <w:top w:val="none" w:sz="0" w:space="0" w:color="auto"/>
        <w:left w:val="none" w:sz="0" w:space="0" w:color="auto"/>
        <w:bottom w:val="none" w:sz="0" w:space="0" w:color="auto"/>
        <w:right w:val="none" w:sz="0" w:space="0" w:color="auto"/>
      </w:divBdr>
    </w:div>
    <w:div w:id="165246966">
      <w:bodyDiv w:val="1"/>
      <w:marLeft w:val="0"/>
      <w:marRight w:val="0"/>
      <w:marTop w:val="0"/>
      <w:marBottom w:val="0"/>
      <w:divBdr>
        <w:top w:val="none" w:sz="0" w:space="0" w:color="auto"/>
        <w:left w:val="none" w:sz="0" w:space="0" w:color="auto"/>
        <w:bottom w:val="none" w:sz="0" w:space="0" w:color="auto"/>
        <w:right w:val="none" w:sz="0" w:space="0" w:color="auto"/>
      </w:divBdr>
    </w:div>
    <w:div w:id="168377120">
      <w:bodyDiv w:val="1"/>
      <w:marLeft w:val="0"/>
      <w:marRight w:val="0"/>
      <w:marTop w:val="0"/>
      <w:marBottom w:val="0"/>
      <w:divBdr>
        <w:top w:val="none" w:sz="0" w:space="0" w:color="auto"/>
        <w:left w:val="none" w:sz="0" w:space="0" w:color="auto"/>
        <w:bottom w:val="none" w:sz="0" w:space="0" w:color="auto"/>
        <w:right w:val="none" w:sz="0" w:space="0" w:color="auto"/>
      </w:divBdr>
    </w:div>
    <w:div w:id="228268108">
      <w:bodyDiv w:val="1"/>
      <w:marLeft w:val="0"/>
      <w:marRight w:val="0"/>
      <w:marTop w:val="0"/>
      <w:marBottom w:val="0"/>
      <w:divBdr>
        <w:top w:val="none" w:sz="0" w:space="0" w:color="auto"/>
        <w:left w:val="none" w:sz="0" w:space="0" w:color="auto"/>
        <w:bottom w:val="none" w:sz="0" w:space="0" w:color="auto"/>
        <w:right w:val="none" w:sz="0" w:space="0" w:color="auto"/>
      </w:divBdr>
    </w:div>
    <w:div w:id="308095336">
      <w:bodyDiv w:val="1"/>
      <w:marLeft w:val="0"/>
      <w:marRight w:val="0"/>
      <w:marTop w:val="0"/>
      <w:marBottom w:val="0"/>
      <w:divBdr>
        <w:top w:val="none" w:sz="0" w:space="0" w:color="auto"/>
        <w:left w:val="none" w:sz="0" w:space="0" w:color="auto"/>
        <w:bottom w:val="none" w:sz="0" w:space="0" w:color="auto"/>
        <w:right w:val="none" w:sz="0" w:space="0" w:color="auto"/>
      </w:divBdr>
    </w:div>
    <w:div w:id="341660978">
      <w:bodyDiv w:val="1"/>
      <w:marLeft w:val="0"/>
      <w:marRight w:val="0"/>
      <w:marTop w:val="0"/>
      <w:marBottom w:val="0"/>
      <w:divBdr>
        <w:top w:val="none" w:sz="0" w:space="0" w:color="auto"/>
        <w:left w:val="none" w:sz="0" w:space="0" w:color="auto"/>
        <w:bottom w:val="none" w:sz="0" w:space="0" w:color="auto"/>
        <w:right w:val="none" w:sz="0" w:space="0" w:color="auto"/>
      </w:divBdr>
    </w:div>
    <w:div w:id="369644447">
      <w:bodyDiv w:val="1"/>
      <w:marLeft w:val="0"/>
      <w:marRight w:val="0"/>
      <w:marTop w:val="0"/>
      <w:marBottom w:val="0"/>
      <w:divBdr>
        <w:top w:val="none" w:sz="0" w:space="0" w:color="auto"/>
        <w:left w:val="none" w:sz="0" w:space="0" w:color="auto"/>
        <w:bottom w:val="none" w:sz="0" w:space="0" w:color="auto"/>
        <w:right w:val="none" w:sz="0" w:space="0" w:color="auto"/>
      </w:divBdr>
    </w:div>
    <w:div w:id="425925692">
      <w:bodyDiv w:val="1"/>
      <w:marLeft w:val="0"/>
      <w:marRight w:val="0"/>
      <w:marTop w:val="0"/>
      <w:marBottom w:val="0"/>
      <w:divBdr>
        <w:top w:val="none" w:sz="0" w:space="0" w:color="auto"/>
        <w:left w:val="none" w:sz="0" w:space="0" w:color="auto"/>
        <w:bottom w:val="none" w:sz="0" w:space="0" w:color="auto"/>
        <w:right w:val="none" w:sz="0" w:space="0" w:color="auto"/>
      </w:divBdr>
      <w:divsChild>
        <w:div w:id="886913749">
          <w:marLeft w:val="0"/>
          <w:marRight w:val="0"/>
          <w:marTop w:val="0"/>
          <w:marBottom w:val="0"/>
          <w:divBdr>
            <w:top w:val="none" w:sz="0" w:space="0" w:color="auto"/>
            <w:left w:val="none" w:sz="0" w:space="0" w:color="auto"/>
            <w:bottom w:val="none" w:sz="0" w:space="0" w:color="auto"/>
            <w:right w:val="none" w:sz="0" w:space="0" w:color="auto"/>
          </w:divBdr>
          <w:divsChild>
            <w:div w:id="2099672467">
              <w:marLeft w:val="0"/>
              <w:marRight w:val="0"/>
              <w:marTop w:val="0"/>
              <w:marBottom w:val="0"/>
              <w:divBdr>
                <w:top w:val="none" w:sz="0" w:space="0" w:color="auto"/>
                <w:left w:val="none" w:sz="0" w:space="0" w:color="auto"/>
                <w:bottom w:val="none" w:sz="0" w:space="0" w:color="auto"/>
                <w:right w:val="none" w:sz="0" w:space="0" w:color="auto"/>
              </w:divBdr>
              <w:divsChild>
                <w:div w:id="97261843">
                  <w:marLeft w:val="0"/>
                  <w:marRight w:val="0"/>
                  <w:marTop w:val="0"/>
                  <w:marBottom w:val="0"/>
                  <w:divBdr>
                    <w:top w:val="none" w:sz="0" w:space="0" w:color="auto"/>
                    <w:left w:val="none" w:sz="0" w:space="0" w:color="auto"/>
                    <w:bottom w:val="none" w:sz="0" w:space="0" w:color="auto"/>
                    <w:right w:val="none" w:sz="0" w:space="0" w:color="auto"/>
                  </w:divBdr>
                  <w:divsChild>
                    <w:div w:id="1225792571">
                      <w:marLeft w:val="0"/>
                      <w:marRight w:val="0"/>
                      <w:marTop w:val="0"/>
                      <w:marBottom w:val="0"/>
                      <w:divBdr>
                        <w:top w:val="none" w:sz="0" w:space="0" w:color="auto"/>
                        <w:left w:val="none" w:sz="0" w:space="0" w:color="auto"/>
                        <w:bottom w:val="none" w:sz="0" w:space="0" w:color="auto"/>
                        <w:right w:val="none" w:sz="0" w:space="0" w:color="auto"/>
                      </w:divBdr>
                      <w:divsChild>
                        <w:div w:id="117572393">
                          <w:marLeft w:val="0"/>
                          <w:marRight w:val="0"/>
                          <w:marTop w:val="45"/>
                          <w:marBottom w:val="0"/>
                          <w:divBdr>
                            <w:top w:val="none" w:sz="0" w:space="0" w:color="auto"/>
                            <w:left w:val="none" w:sz="0" w:space="0" w:color="auto"/>
                            <w:bottom w:val="none" w:sz="0" w:space="0" w:color="auto"/>
                            <w:right w:val="none" w:sz="0" w:space="0" w:color="auto"/>
                          </w:divBdr>
                          <w:divsChild>
                            <w:div w:id="2033844504">
                              <w:marLeft w:val="0"/>
                              <w:marRight w:val="0"/>
                              <w:marTop w:val="0"/>
                              <w:marBottom w:val="0"/>
                              <w:divBdr>
                                <w:top w:val="none" w:sz="0" w:space="0" w:color="auto"/>
                                <w:left w:val="none" w:sz="0" w:space="0" w:color="auto"/>
                                <w:bottom w:val="none" w:sz="0" w:space="0" w:color="auto"/>
                                <w:right w:val="none" w:sz="0" w:space="0" w:color="auto"/>
                              </w:divBdr>
                              <w:divsChild>
                                <w:div w:id="1336225925">
                                  <w:marLeft w:val="10530"/>
                                  <w:marRight w:val="0"/>
                                  <w:marTop w:val="0"/>
                                  <w:marBottom w:val="0"/>
                                  <w:divBdr>
                                    <w:top w:val="none" w:sz="0" w:space="0" w:color="auto"/>
                                    <w:left w:val="none" w:sz="0" w:space="0" w:color="auto"/>
                                    <w:bottom w:val="none" w:sz="0" w:space="0" w:color="auto"/>
                                    <w:right w:val="none" w:sz="0" w:space="0" w:color="auto"/>
                                  </w:divBdr>
                                  <w:divsChild>
                                    <w:div w:id="1318996912">
                                      <w:marLeft w:val="0"/>
                                      <w:marRight w:val="0"/>
                                      <w:marTop w:val="0"/>
                                      <w:marBottom w:val="0"/>
                                      <w:divBdr>
                                        <w:top w:val="none" w:sz="0" w:space="0" w:color="auto"/>
                                        <w:left w:val="none" w:sz="0" w:space="0" w:color="auto"/>
                                        <w:bottom w:val="none" w:sz="0" w:space="0" w:color="auto"/>
                                        <w:right w:val="none" w:sz="0" w:space="0" w:color="auto"/>
                                      </w:divBdr>
                                      <w:divsChild>
                                        <w:div w:id="1324351777">
                                          <w:marLeft w:val="0"/>
                                          <w:marRight w:val="0"/>
                                          <w:marTop w:val="0"/>
                                          <w:marBottom w:val="0"/>
                                          <w:divBdr>
                                            <w:top w:val="none" w:sz="0" w:space="0" w:color="auto"/>
                                            <w:left w:val="none" w:sz="0" w:space="0" w:color="auto"/>
                                            <w:bottom w:val="none" w:sz="0" w:space="0" w:color="auto"/>
                                            <w:right w:val="none" w:sz="0" w:space="0" w:color="auto"/>
                                          </w:divBdr>
                                          <w:divsChild>
                                            <w:div w:id="221989635">
                                              <w:marLeft w:val="0"/>
                                              <w:marRight w:val="0"/>
                                              <w:marTop w:val="0"/>
                                              <w:marBottom w:val="0"/>
                                              <w:divBdr>
                                                <w:top w:val="none" w:sz="0" w:space="0" w:color="auto"/>
                                                <w:left w:val="none" w:sz="0" w:space="0" w:color="auto"/>
                                                <w:bottom w:val="none" w:sz="0" w:space="0" w:color="auto"/>
                                                <w:right w:val="none" w:sz="0" w:space="0" w:color="auto"/>
                                              </w:divBdr>
                                              <w:divsChild>
                                                <w:div w:id="855114812">
                                                  <w:marLeft w:val="0"/>
                                                  <w:marRight w:val="0"/>
                                                  <w:marTop w:val="0"/>
                                                  <w:marBottom w:val="0"/>
                                                  <w:divBdr>
                                                    <w:top w:val="none" w:sz="0" w:space="0" w:color="auto"/>
                                                    <w:left w:val="none" w:sz="0" w:space="0" w:color="auto"/>
                                                    <w:bottom w:val="none" w:sz="0" w:space="0" w:color="auto"/>
                                                    <w:right w:val="none" w:sz="0" w:space="0" w:color="auto"/>
                                                  </w:divBdr>
                                                  <w:divsChild>
                                                    <w:div w:id="987974419">
                                                      <w:marLeft w:val="0"/>
                                                      <w:marRight w:val="0"/>
                                                      <w:marTop w:val="0"/>
                                                      <w:marBottom w:val="0"/>
                                                      <w:divBdr>
                                                        <w:top w:val="none" w:sz="0" w:space="0" w:color="auto"/>
                                                        <w:left w:val="none" w:sz="0" w:space="0" w:color="auto"/>
                                                        <w:bottom w:val="none" w:sz="0" w:space="0" w:color="auto"/>
                                                        <w:right w:val="none" w:sz="0" w:space="0" w:color="auto"/>
                                                      </w:divBdr>
                                                      <w:divsChild>
                                                        <w:div w:id="979649846">
                                                          <w:marLeft w:val="0"/>
                                                          <w:marRight w:val="0"/>
                                                          <w:marTop w:val="0"/>
                                                          <w:marBottom w:val="0"/>
                                                          <w:divBdr>
                                                            <w:top w:val="none" w:sz="0" w:space="0" w:color="auto"/>
                                                            <w:left w:val="none" w:sz="0" w:space="0" w:color="auto"/>
                                                            <w:bottom w:val="none" w:sz="0" w:space="0" w:color="auto"/>
                                                            <w:right w:val="none" w:sz="0" w:space="0" w:color="auto"/>
                                                          </w:divBdr>
                                                          <w:divsChild>
                                                            <w:div w:id="2047217953">
                                                              <w:marLeft w:val="0"/>
                                                              <w:marRight w:val="0"/>
                                                              <w:marTop w:val="0"/>
                                                              <w:marBottom w:val="0"/>
                                                              <w:divBdr>
                                                                <w:top w:val="none" w:sz="0" w:space="0" w:color="auto"/>
                                                                <w:left w:val="none" w:sz="0" w:space="0" w:color="auto"/>
                                                                <w:bottom w:val="none" w:sz="0" w:space="0" w:color="auto"/>
                                                                <w:right w:val="none" w:sz="0" w:space="0" w:color="auto"/>
                                                              </w:divBdr>
                                                              <w:divsChild>
                                                                <w:div w:id="193019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32897037">
      <w:bodyDiv w:val="1"/>
      <w:marLeft w:val="0"/>
      <w:marRight w:val="0"/>
      <w:marTop w:val="0"/>
      <w:marBottom w:val="0"/>
      <w:divBdr>
        <w:top w:val="none" w:sz="0" w:space="0" w:color="auto"/>
        <w:left w:val="none" w:sz="0" w:space="0" w:color="auto"/>
        <w:bottom w:val="none" w:sz="0" w:space="0" w:color="auto"/>
        <w:right w:val="none" w:sz="0" w:space="0" w:color="auto"/>
      </w:divBdr>
    </w:div>
    <w:div w:id="462619305">
      <w:bodyDiv w:val="1"/>
      <w:marLeft w:val="0"/>
      <w:marRight w:val="0"/>
      <w:marTop w:val="0"/>
      <w:marBottom w:val="0"/>
      <w:divBdr>
        <w:top w:val="none" w:sz="0" w:space="0" w:color="auto"/>
        <w:left w:val="none" w:sz="0" w:space="0" w:color="auto"/>
        <w:bottom w:val="none" w:sz="0" w:space="0" w:color="auto"/>
        <w:right w:val="none" w:sz="0" w:space="0" w:color="auto"/>
      </w:divBdr>
    </w:div>
    <w:div w:id="485703102">
      <w:bodyDiv w:val="1"/>
      <w:marLeft w:val="0"/>
      <w:marRight w:val="0"/>
      <w:marTop w:val="0"/>
      <w:marBottom w:val="0"/>
      <w:divBdr>
        <w:top w:val="none" w:sz="0" w:space="0" w:color="auto"/>
        <w:left w:val="none" w:sz="0" w:space="0" w:color="auto"/>
        <w:bottom w:val="none" w:sz="0" w:space="0" w:color="auto"/>
        <w:right w:val="none" w:sz="0" w:space="0" w:color="auto"/>
      </w:divBdr>
    </w:div>
    <w:div w:id="658462484">
      <w:bodyDiv w:val="1"/>
      <w:marLeft w:val="0"/>
      <w:marRight w:val="0"/>
      <w:marTop w:val="0"/>
      <w:marBottom w:val="0"/>
      <w:divBdr>
        <w:top w:val="none" w:sz="0" w:space="0" w:color="auto"/>
        <w:left w:val="none" w:sz="0" w:space="0" w:color="auto"/>
        <w:bottom w:val="none" w:sz="0" w:space="0" w:color="auto"/>
        <w:right w:val="none" w:sz="0" w:space="0" w:color="auto"/>
      </w:divBdr>
    </w:div>
    <w:div w:id="683628865">
      <w:bodyDiv w:val="1"/>
      <w:marLeft w:val="0"/>
      <w:marRight w:val="0"/>
      <w:marTop w:val="0"/>
      <w:marBottom w:val="0"/>
      <w:divBdr>
        <w:top w:val="none" w:sz="0" w:space="0" w:color="auto"/>
        <w:left w:val="none" w:sz="0" w:space="0" w:color="auto"/>
        <w:bottom w:val="none" w:sz="0" w:space="0" w:color="auto"/>
        <w:right w:val="none" w:sz="0" w:space="0" w:color="auto"/>
      </w:divBdr>
      <w:divsChild>
        <w:div w:id="1233275600">
          <w:marLeft w:val="0"/>
          <w:marRight w:val="0"/>
          <w:marTop w:val="825"/>
          <w:marBottom w:val="750"/>
          <w:divBdr>
            <w:top w:val="none" w:sz="0" w:space="0" w:color="auto"/>
            <w:left w:val="none" w:sz="0" w:space="0" w:color="auto"/>
            <w:bottom w:val="none" w:sz="0" w:space="0" w:color="auto"/>
            <w:right w:val="none" w:sz="0" w:space="0" w:color="auto"/>
          </w:divBdr>
          <w:divsChild>
            <w:div w:id="52774215">
              <w:marLeft w:val="0"/>
              <w:marRight w:val="0"/>
              <w:marTop w:val="0"/>
              <w:marBottom w:val="0"/>
              <w:divBdr>
                <w:top w:val="none" w:sz="0" w:space="0" w:color="auto"/>
                <w:left w:val="none" w:sz="0" w:space="0" w:color="auto"/>
                <w:bottom w:val="none" w:sz="0" w:space="0" w:color="auto"/>
                <w:right w:val="none" w:sz="0" w:space="0" w:color="auto"/>
              </w:divBdr>
              <w:divsChild>
                <w:div w:id="1301308883">
                  <w:marLeft w:val="0"/>
                  <w:marRight w:val="14400"/>
                  <w:marTop w:val="0"/>
                  <w:marBottom w:val="0"/>
                  <w:divBdr>
                    <w:top w:val="none" w:sz="0" w:space="0" w:color="auto"/>
                    <w:left w:val="none" w:sz="0" w:space="0" w:color="auto"/>
                    <w:bottom w:val="none" w:sz="0" w:space="0" w:color="auto"/>
                    <w:right w:val="none" w:sz="0" w:space="0" w:color="auto"/>
                  </w:divBdr>
                  <w:divsChild>
                    <w:div w:id="174734405">
                      <w:marLeft w:val="0"/>
                      <w:marRight w:val="0"/>
                      <w:marTop w:val="0"/>
                      <w:marBottom w:val="0"/>
                      <w:divBdr>
                        <w:top w:val="none" w:sz="0" w:space="0" w:color="auto"/>
                        <w:left w:val="none" w:sz="0" w:space="0" w:color="auto"/>
                        <w:bottom w:val="none" w:sz="0" w:space="0" w:color="auto"/>
                        <w:right w:val="none" w:sz="0" w:space="0" w:color="auto"/>
                      </w:divBdr>
                      <w:divsChild>
                        <w:div w:id="91948371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477752">
      <w:bodyDiv w:val="1"/>
      <w:marLeft w:val="0"/>
      <w:marRight w:val="0"/>
      <w:marTop w:val="0"/>
      <w:marBottom w:val="0"/>
      <w:divBdr>
        <w:top w:val="none" w:sz="0" w:space="0" w:color="auto"/>
        <w:left w:val="none" w:sz="0" w:space="0" w:color="auto"/>
        <w:bottom w:val="none" w:sz="0" w:space="0" w:color="auto"/>
        <w:right w:val="none" w:sz="0" w:space="0" w:color="auto"/>
      </w:divBdr>
    </w:div>
    <w:div w:id="794836209">
      <w:bodyDiv w:val="1"/>
      <w:marLeft w:val="0"/>
      <w:marRight w:val="0"/>
      <w:marTop w:val="0"/>
      <w:marBottom w:val="0"/>
      <w:divBdr>
        <w:top w:val="none" w:sz="0" w:space="0" w:color="auto"/>
        <w:left w:val="none" w:sz="0" w:space="0" w:color="auto"/>
        <w:bottom w:val="none" w:sz="0" w:space="0" w:color="auto"/>
        <w:right w:val="none" w:sz="0" w:space="0" w:color="auto"/>
      </w:divBdr>
      <w:divsChild>
        <w:div w:id="821585798">
          <w:marLeft w:val="0"/>
          <w:marRight w:val="0"/>
          <w:marTop w:val="0"/>
          <w:marBottom w:val="0"/>
          <w:divBdr>
            <w:top w:val="none" w:sz="0" w:space="0" w:color="auto"/>
            <w:left w:val="none" w:sz="0" w:space="0" w:color="auto"/>
            <w:bottom w:val="none" w:sz="0" w:space="0" w:color="auto"/>
            <w:right w:val="none" w:sz="0" w:space="0" w:color="auto"/>
          </w:divBdr>
          <w:divsChild>
            <w:div w:id="1215041588">
              <w:marLeft w:val="0"/>
              <w:marRight w:val="0"/>
              <w:marTop w:val="0"/>
              <w:marBottom w:val="0"/>
              <w:divBdr>
                <w:top w:val="none" w:sz="0" w:space="0" w:color="auto"/>
                <w:left w:val="none" w:sz="0" w:space="0" w:color="auto"/>
                <w:bottom w:val="none" w:sz="0" w:space="0" w:color="auto"/>
                <w:right w:val="none" w:sz="0" w:space="0" w:color="auto"/>
              </w:divBdr>
              <w:divsChild>
                <w:div w:id="2009867565">
                  <w:marLeft w:val="0"/>
                  <w:marRight w:val="0"/>
                  <w:marTop w:val="0"/>
                  <w:marBottom w:val="0"/>
                  <w:divBdr>
                    <w:top w:val="none" w:sz="0" w:space="0" w:color="auto"/>
                    <w:left w:val="none" w:sz="0" w:space="0" w:color="auto"/>
                    <w:bottom w:val="none" w:sz="0" w:space="0" w:color="auto"/>
                    <w:right w:val="none" w:sz="0" w:space="0" w:color="auto"/>
                  </w:divBdr>
                  <w:divsChild>
                    <w:div w:id="489103285">
                      <w:marLeft w:val="0"/>
                      <w:marRight w:val="0"/>
                      <w:marTop w:val="0"/>
                      <w:marBottom w:val="0"/>
                      <w:divBdr>
                        <w:top w:val="none" w:sz="0" w:space="0" w:color="auto"/>
                        <w:left w:val="none" w:sz="0" w:space="0" w:color="auto"/>
                        <w:bottom w:val="none" w:sz="0" w:space="0" w:color="auto"/>
                        <w:right w:val="none" w:sz="0" w:space="0" w:color="auto"/>
                      </w:divBdr>
                      <w:divsChild>
                        <w:div w:id="1384913999">
                          <w:marLeft w:val="0"/>
                          <w:marRight w:val="0"/>
                          <w:marTop w:val="45"/>
                          <w:marBottom w:val="0"/>
                          <w:divBdr>
                            <w:top w:val="none" w:sz="0" w:space="0" w:color="auto"/>
                            <w:left w:val="none" w:sz="0" w:space="0" w:color="auto"/>
                            <w:bottom w:val="none" w:sz="0" w:space="0" w:color="auto"/>
                            <w:right w:val="none" w:sz="0" w:space="0" w:color="auto"/>
                          </w:divBdr>
                          <w:divsChild>
                            <w:div w:id="1288976640">
                              <w:marLeft w:val="1800"/>
                              <w:marRight w:val="3810"/>
                              <w:marTop w:val="0"/>
                              <w:marBottom w:val="0"/>
                              <w:divBdr>
                                <w:top w:val="none" w:sz="0" w:space="0" w:color="auto"/>
                                <w:left w:val="none" w:sz="0" w:space="0" w:color="auto"/>
                                <w:bottom w:val="none" w:sz="0" w:space="0" w:color="auto"/>
                                <w:right w:val="none" w:sz="0" w:space="0" w:color="auto"/>
                              </w:divBdr>
                              <w:divsChild>
                                <w:div w:id="998923496">
                                  <w:marLeft w:val="0"/>
                                  <w:marRight w:val="0"/>
                                  <w:marTop w:val="0"/>
                                  <w:marBottom w:val="0"/>
                                  <w:divBdr>
                                    <w:top w:val="none" w:sz="0" w:space="0" w:color="auto"/>
                                    <w:left w:val="none" w:sz="0" w:space="0" w:color="auto"/>
                                    <w:bottom w:val="none" w:sz="0" w:space="0" w:color="auto"/>
                                    <w:right w:val="none" w:sz="0" w:space="0" w:color="auto"/>
                                  </w:divBdr>
                                  <w:divsChild>
                                    <w:div w:id="1894462646">
                                      <w:marLeft w:val="0"/>
                                      <w:marRight w:val="0"/>
                                      <w:marTop w:val="0"/>
                                      <w:marBottom w:val="0"/>
                                      <w:divBdr>
                                        <w:top w:val="none" w:sz="0" w:space="0" w:color="auto"/>
                                        <w:left w:val="none" w:sz="0" w:space="0" w:color="auto"/>
                                        <w:bottom w:val="none" w:sz="0" w:space="0" w:color="auto"/>
                                        <w:right w:val="none" w:sz="0" w:space="0" w:color="auto"/>
                                      </w:divBdr>
                                      <w:divsChild>
                                        <w:div w:id="1058819270">
                                          <w:marLeft w:val="0"/>
                                          <w:marRight w:val="0"/>
                                          <w:marTop w:val="0"/>
                                          <w:marBottom w:val="0"/>
                                          <w:divBdr>
                                            <w:top w:val="none" w:sz="0" w:space="0" w:color="auto"/>
                                            <w:left w:val="none" w:sz="0" w:space="0" w:color="auto"/>
                                            <w:bottom w:val="none" w:sz="0" w:space="0" w:color="auto"/>
                                            <w:right w:val="none" w:sz="0" w:space="0" w:color="auto"/>
                                          </w:divBdr>
                                          <w:divsChild>
                                            <w:div w:id="1834487000">
                                              <w:marLeft w:val="0"/>
                                              <w:marRight w:val="0"/>
                                              <w:marTop w:val="100"/>
                                              <w:marBottom w:val="100"/>
                                              <w:divBdr>
                                                <w:top w:val="none" w:sz="0" w:space="0" w:color="auto"/>
                                                <w:left w:val="none" w:sz="0" w:space="0" w:color="auto"/>
                                                <w:bottom w:val="none" w:sz="0" w:space="0" w:color="auto"/>
                                                <w:right w:val="none" w:sz="0" w:space="0" w:color="auto"/>
                                              </w:divBdr>
                                              <w:divsChild>
                                                <w:div w:id="493490447">
                                                  <w:marLeft w:val="0"/>
                                                  <w:marRight w:val="0"/>
                                                  <w:marTop w:val="0"/>
                                                  <w:marBottom w:val="0"/>
                                                  <w:divBdr>
                                                    <w:top w:val="none" w:sz="0" w:space="0" w:color="auto"/>
                                                    <w:left w:val="none" w:sz="0" w:space="0" w:color="auto"/>
                                                    <w:bottom w:val="none" w:sz="0" w:space="0" w:color="auto"/>
                                                    <w:right w:val="none" w:sz="0" w:space="0" w:color="auto"/>
                                                  </w:divBdr>
                                                  <w:divsChild>
                                                    <w:div w:id="290523207">
                                                      <w:marLeft w:val="0"/>
                                                      <w:marRight w:val="0"/>
                                                      <w:marTop w:val="0"/>
                                                      <w:marBottom w:val="0"/>
                                                      <w:divBdr>
                                                        <w:top w:val="none" w:sz="0" w:space="0" w:color="auto"/>
                                                        <w:left w:val="none" w:sz="0" w:space="0" w:color="auto"/>
                                                        <w:bottom w:val="none" w:sz="0" w:space="0" w:color="auto"/>
                                                        <w:right w:val="none" w:sz="0" w:space="0" w:color="auto"/>
                                                      </w:divBdr>
                                                      <w:divsChild>
                                                        <w:div w:id="1056851096">
                                                          <w:marLeft w:val="0"/>
                                                          <w:marRight w:val="0"/>
                                                          <w:marTop w:val="0"/>
                                                          <w:marBottom w:val="0"/>
                                                          <w:divBdr>
                                                            <w:top w:val="none" w:sz="0" w:space="0" w:color="auto"/>
                                                            <w:left w:val="none" w:sz="0" w:space="0" w:color="auto"/>
                                                            <w:bottom w:val="none" w:sz="0" w:space="0" w:color="auto"/>
                                                            <w:right w:val="none" w:sz="0" w:space="0" w:color="auto"/>
                                                          </w:divBdr>
                                                          <w:divsChild>
                                                            <w:div w:id="173607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2845888">
      <w:bodyDiv w:val="1"/>
      <w:marLeft w:val="0"/>
      <w:marRight w:val="0"/>
      <w:marTop w:val="0"/>
      <w:marBottom w:val="0"/>
      <w:divBdr>
        <w:top w:val="none" w:sz="0" w:space="0" w:color="auto"/>
        <w:left w:val="none" w:sz="0" w:space="0" w:color="auto"/>
        <w:bottom w:val="none" w:sz="0" w:space="0" w:color="auto"/>
        <w:right w:val="none" w:sz="0" w:space="0" w:color="auto"/>
      </w:divBdr>
    </w:div>
    <w:div w:id="827208446">
      <w:bodyDiv w:val="1"/>
      <w:marLeft w:val="0"/>
      <w:marRight w:val="0"/>
      <w:marTop w:val="0"/>
      <w:marBottom w:val="0"/>
      <w:divBdr>
        <w:top w:val="none" w:sz="0" w:space="0" w:color="auto"/>
        <w:left w:val="none" w:sz="0" w:space="0" w:color="auto"/>
        <w:bottom w:val="none" w:sz="0" w:space="0" w:color="auto"/>
        <w:right w:val="none" w:sz="0" w:space="0" w:color="auto"/>
      </w:divBdr>
    </w:div>
    <w:div w:id="1048457314">
      <w:bodyDiv w:val="1"/>
      <w:marLeft w:val="0"/>
      <w:marRight w:val="0"/>
      <w:marTop w:val="0"/>
      <w:marBottom w:val="0"/>
      <w:divBdr>
        <w:top w:val="none" w:sz="0" w:space="0" w:color="auto"/>
        <w:left w:val="none" w:sz="0" w:space="0" w:color="auto"/>
        <w:bottom w:val="none" w:sz="0" w:space="0" w:color="auto"/>
        <w:right w:val="none" w:sz="0" w:space="0" w:color="auto"/>
      </w:divBdr>
    </w:div>
    <w:div w:id="1151870192">
      <w:bodyDiv w:val="1"/>
      <w:marLeft w:val="0"/>
      <w:marRight w:val="0"/>
      <w:marTop w:val="0"/>
      <w:marBottom w:val="0"/>
      <w:divBdr>
        <w:top w:val="none" w:sz="0" w:space="0" w:color="auto"/>
        <w:left w:val="none" w:sz="0" w:space="0" w:color="auto"/>
        <w:bottom w:val="none" w:sz="0" w:space="0" w:color="auto"/>
        <w:right w:val="none" w:sz="0" w:space="0" w:color="auto"/>
      </w:divBdr>
    </w:div>
    <w:div w:id="1165510627">
      <w:bodyDiv w:val="1"/>
      <w:marLeft w:val="0"/>
      <w:marRight w:val="0"/>
      <w:marTop w:val="0"/>
      <w:marBottom w:val="0"/>
      <w:divBdr>
        <w:top w:val="none" w:sz="0" w:space="0" w:color="auto"/>
        <w:left w:val="none" w:sz="0" w:space="0" w:color="auto"/>
        <w:bottom w:val="none" w:sz="0" w:space="0" w:color="auto"/>
        <w:right w:val="none" w:sz="0" w:space="0" w:color="auto"/>
      </w:divBdr>
    </w:div>
    <w:div w:id="1315061569">
      <w:bodyDiv w:val="1"/>
      <w:marLeft w:val="0"/>
      <w:marRight w:val="0"/>
      <w:marTop w:val="0"/>
      <w:marBottom w:val="0"/>
      <w:divBdr>
        <w:top w:val="none" w:sz="0" w:space="0" w:color="auto"/>
        <w:left w:val="none" w:sz="0" w:space="0" w:color="auto"/>
        <w:bottom w:val="none" w:sz="0" w:space="0" w:color="auto"/>
        <w:right w:val="none" w:sz="0" w:space="0" w:color="auto"/>
      </w:divBdr>
    </w:div>
    <w:div w:id="1455558272">
      <w:bodyDiv w:val="1"/>
      <w:marLeft w:val="0"/>
      <w:marRight w:val="0"/>
      <w:marTop w:val="0"/>
      <w:marBottom w:val="0"/>
      <w:divBdr>
        <w:top w:val="none" w:sz="0" w:space="0" w:color="auto"/>
        <w:left w:val="none" w:sz="0" w:space="0" w:color="auto"/>
        <w:bottom w:val="none" w:sz="0" w:space="0" w:color="auto"/>
        <w:right w:val="none" w:sz="0" w:space="0" w:color="auto"/>
      </w:divBdr>
    </w:div>
    <w:div w:id="1463500317">
      <w:bodyDiv w:val="1"/>
      <w:marLeft w:val="0"/>
      <w:marRight w:val="0"/>
      <w:marTop w:val="0"/>
      <w:marBottom w:val="0"/>
      <w:divBdr>
        <w:top w:val="none" w:sz="0" w:space="0" w:color="auto"/>
        <w:left w:val="none" w:sz="0" w:space="0" w:color="auto"/>
        <w:bottom w:val="none" w:sz="0" w:space="0" w:color="auto"/>
        <w:right w:val="none" w:sz="0" w:space="0" w:color="auto"/>
      </w:divBdr>
    </w:div>
    <w:div w:id="1465586959">
      <w:bodyDiv w:val="1"/>
      <w:marLeft w:val="0"/>
      <w:marRight w:val="0"/>
      <w:marTop w:val="0"/>
      <w:marBottom w:val="0"/>
      <w:divBdr>
        <w:top w:val="none" w:sz="0" w:space="0" w:color="auto"/>
        <w:left w:val="none" w:sz="0" w:space="0" w:color="auto"/>
        <w:bottom w:val="none" w:sz="0" w:space="0" w:color="auto"/>
        <w:right w:val="none" w:sz="0" w:space="0" w:color="auto"/>
      </w:divBdr>
    </w:div>
    <w:div w:id="1483696168">
      <w:bodyDiv w:val="1"/>
      <w:marLeft w:val="0"/>
      <w:marRight w:val="0"/>
      <w:marTop w:val="0"/>
      <w:marBottom w:val="0"/>
      <w:divBdr>
        <w:top w:val="none" w:sz="0" w:space="0" w:color="auto"/>
        <w:left w:val="none" w:sz="0" w:space="0" w:color="auto"/>
        <w:bottom w:val="none" w:sz="0" w:space="0" w:color="auto"/>
        <w:right w:val="none" w:sz="0" w:space="0" w:color="auto"/>
      </w:divBdr>
    </w:div>
    <w:div w:id="1622608427">
      <w:bodyDiv w:val="1"/>
      <w:marLeft w:val="0"/>
      <w:marRight w:val="0"/>
      <w:marTop w:val="0"/>
      <w:marBottom w:val="0"/>
      <w:divBdr>
        <w:top w:val="none" w:sz="0" w:space="0" w:color="auto"/>
        <w:left w:val="none" w:sz="0" w:space="0" w:color="auto"/>
        <w:bottom w:val="none" w:sz="0" w:space="0" w:color="auto"/>
        <w:right w:val="none" w:sz="0" w:space="0" w:color="auto"/>
      </w:divBdr>
    </w:div>
    <w:div w:id="1796024579">
      <w:bodyDiv w:val="1"/>
      <w:marLeft w:val="0"/>
      <w:marRight w:val="0"/>
      <w:marTop w:val="0"/>
      <w:marBottom w:val="0"/>
      <w:divBdr>
        <w:top w:val="none" w:sz="0" w:space="0" w:color="auto"/>
        <w:left w:val="none" w:sz="0" w:space="0" w:color="auto"/>
        <w:bottom w:val="none" w:sz="0" w:space="0" w:color="auto"/>
        <w:right w:val="none" w:sz="0" w:space="0" w:color="auto"/>
      </w:divBdr>
    </w:div>
    <w:div w:id="1843080526">
      <w:marLeft w:val="0"/>
      <w:marRight w:val="0"/>
      <w:marTop w:val="0"/>
      <w:marBottom w:val="0"/>
      <w:divBdr>
        <w:top w:val="none" w:sz="0" w:space="0" w:color="auto"/>
        <w:left w:val="none" w:sz="0" w:space="0" w:color="auto"/>
        <w:bottom w:val="none" w:sz="0" w:space="0" w:color="auto"/>
        <w:right w:val="none" w:sz="0" w:space="0" w:color="auto"/>
      </w:divBdr>
    </w:div>
    <w:div w:id="1882474938">
      <w:bodyDiv w:val="1"/>
      <w:marLeft w:val="0"/>
      <w:marRight w:val="0"/>
      <w:marTop w:val="0"/>
      <w:marBottom w:val="0"/>
      <w:divBdr>
        <w:top w:val="none" w:sz="0" w:space="0" w:color="auto"/>
        <w:left w:val="none" w:sz="0" w:space="0" w:color="auto"/>
        <w:bottom w:val="none" w:sz="0" w:space="0" w:color="auto"/>
        <w:right w:val="none" w:sz="0" w:space="0" w:color="auto"/>
      </w:divBdr>
    </w:div>
    <w:div w:id="2014411746">
      <w:bodyDiv w:val="1"/>
      <w:marLeft w:val="0"/>
      <w:marRight w:val="0"/>
      <w:marTop w:val="0"/>
      <w:marBottom w:val="0"/>
      <w:divBdr>
        <w:top w:val="none" w:sz="0" w:space="0" w:color="auto"/>
        <w:left w:val="none" w:sz="0" w:space="0" w:color="auto"/>
        <w:bottom w:val="none" w:sz="0" w:space="0" w:color="auto"/>
        <w:right w:val="none" w:sz="0" w:space="0" w:color="auto"/>
      </w:divBdr>
    </w:div>
    <w:div w:id="2089377147">
      <w:bodyDiv w:val="1"/>
      <w:marLeft w:val="0"/>
      <w:marRight w:val="0"/>
      <w:marTop w:val="0"/>
      <w:marBottom w:val="0"/>
      <w:divBdr>
        <w:top w:val="none" w:sz="0" w:space="0" w:color="auto"/>
        <w:left w:val="none" w:sz="0" w:space="0" w:color="auto"/>
        <w:bottom w:val="none" w:sz="0" w:space="0" w:color="auto"/>
        <w:right w:val="none" w:sz="0" w:space="0" w:color="auto"/>
      </w:divBdr>
    </w:div>
    <w:div w:id="2095739872">
      <w:bodyDiv w:val="1"/>
      <w:marLeft w:val="0"/>
      <w:marRight w:val="0"/>
      <w:marTop w:val="0"/>
      <w:marBottom w:val="0"/>
      <w:divBdr>
        <w:top w:val="none" w:sz="0" w:space="0" w:color="auto"/>
        <w:left w:val="none" w:sz="0" w:space="0" w:color="auto"/>
        <w:bottom w:val="none" w:sz="0" w:space="0" w:color="auto"/>
        <w:right w:val="none" w:sz="0" w:space="0" w:color="auto"/>
      </w:divBdr>
    </w:div>
    <w:div w:id="2108572068">
      <w:bodyDiv w:val="1"/>
      <w:marLeft w:val="0"/>
      <w:marRight w:val="0"/>
      <w:marTop w:val="0"/>
      <w:marBottom w:val="0"/>
      <w:divBdr>
        <w:top w:val="none" w:sz="0" w:space="0" w:color="auto"/>
        <w:left w:val="none" w:sz="0" w:space="0" w:color="auto"/>
        <w:bottom w:val="none" w:sz="0" w:space="0" w:color="auto"/>
        <w:right w:val="none" w:sz="0" w:space="0" w:color="auto"/>
      </w:divBdr>
      <w:divsChild>
        <w:div w:id="348677127">
          <w:marLeft w:val="0"/>
          <w:marRight w:val="0"/>
          <w:marTop w:val="90"/>
          <w:marBottom w:val="0"/>
          <w:divBdr>
            <w:top w:val="none" w:sz="0" w:space="0" w:color="auto"/>
            <w:left w:val="none" w:sz="0" w:space="0" w:color="auto"/>
            <w:bottom w:val="none" w:sz="0" w:space="0" w:color="auto"/>
            <w:right w:val="none" w:sz="0" w:space="0" w:color="auto"/>
          </w:divBdr>
          <w:divsChild>
            <w:div w:id="139273232">
              <w:marLeft w:val="0"/>
              <w:marRight w:val="0"/>
              <w:marTop w:val="0"/>
              <w:marBottom w:val="405"/>
              <w:divBdr>
                <w:top w:val="none" w:sz="0" w:space="0" w:color="auto"/>
                <w:left w:val="none" w:sz="0" w:space="0" w:color="auto"/>
                <w:bottom w:val="none" w:sz="0" w:space="0" w:color="auto"/>
                <w:right w:val="none" w:sz="0" w:space="0" w:color="auto"/>
              </w:divBdr>
              <w:divsChild>
                <w:div w:id="2000306464">
                  <w:marLeft w:val="0"/>
                  <w:marRight w:val="0"/>
                  <w:marTop w:val="0"/>
                  <w:marBottom w:val="0"/>
                  <w:divBdr>
                    <w:top w:val="none" w:sz="0" w:space="0" w:color="auto"/>
                    <w:left w:val="none" w:sz="0" w:space="0" w:color="auto"/>
                    <w:bottom w:val="none" w:sz="0" w:space="0" w:color="auto"/>
                    <w:right w:val="none" w:sz="0" w:space="0" w:color="auto"/>
                  </w:divBdr>
                  <w:divsChild>
                    <w:div w:id="13857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568504">
      <w:bodyDiv w:val="1"/>
      <w:marLeft w:val="0"/>
      <w:marRight w:val="0"/>
      <w:marTop w:val="0"/>
      <w:marBottom w:val="0"/>
      <w:divBdr>
        <w:top w:val="none" w:sz="0" w:space="0" w:color="auto"/>
        <w:left w:val="none" w:sz="0" w:space="0" w:color="auto"/>
        <w:bottom w:val="none" w:sz="0" w:space="0" w:color="auto"/>
        <w:right w:val="none" w:sz="0" w:space="0" w:color="auto"/>
      </w:divBdr>
      <w:divsChild>
        <w:div w:id="84495818">
          <w:marLeft w:val="518"/>
          <w:marRight w:val="0"/>
          <w:marTop w:val="0"/>
          <w:marBottom w:val="0"/>
          <w:divBdr>
            <w:top w:val="none" w:sz="0" w:space="0" w:color="auto"/>
            <w:left w:val="none" w:sz="0" w:space="0" w:color="auto"/>
            <w:bottom w:val="none" w:sz="0" w:space="0" w:color="auto"/>
            <w:right w:val="none" w:sz="0" w:space="0" w:color="auto"/>
          </w:divBdr>
        </w:div>
        <w:div w:id="448554726">
          <w:marLeft w:val="1238"/>
          <w:marRight w:val="0"/>
          <w:marTop w:val="0"/>
          <w:marBottom w:val="0"/>
          <w:divBdr>
            <w:top w:val="none" w:sz="0" w:space="0" w:color="auto"/>
            <w:left w:val="none" w:sz="0" w:space="0" w:color="auto"/>
            <w:bottom w:val="none" w:sz="0" w:space="0" w:color="auto"/>
            <w:right w:val="none" w:sz="0" w:space="0" w:color="auto"/>
          </w:divBdr>
        </w:div>
        <w:div w:id="1683389385">
          <w:marLeft w:val="1238"/>
          <w:marRight w:val="0"/>
          <w:marTop w:val="0"/>
          <w:marBottom w:val="0"/>
          <w:divBdr>
            <w:top w:val="none" w:sz="0" w:space="0" w:color="auto"/>
            <w:left w:val="none" w:sz="0" w:space="0" w:color="auto"/>
            <w:bottom w:val="none" w:sz="0" w:space="0" w:color="auto"/>
            <w:right w:val="none" w:sz="0" w:space="0" w:color="auto"/>
          </w:divBdr>
        </w:div>
        <w:div w:id="298728355">
          <w:marLeft w:val="123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germanpropertypartners.de/de/"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eug-immobilien.de/privat-immobilien" TargetMode="External"/><Relationship Id="rId17" Type="http://schemas.openxmlformats.org/officeDocument/2006/relationships/hyperlink" Target="mailto:presse@grossmann-berger.de" TargetMode="External"/><Relationship Id="rId2" Type="http://schemas.openxmlformats.org/officeDocument/2006/relationships/numbering" Target="numbering.xml"/><Relationship Id="rId16" Type="http://schemas.openxmlformats.org/officeDocument/2006/relationships/hyperlink" Target="file:///\\file01\Marketing\Presse\5_PresseMITTEILUNGEN\Marktbericht%20Investment\2021\2021_Q1\20180517_Dokumentation%20der%20Verarbeitungstaetigkeit%20nach%20DSGVO_Presse.docx"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ug-immobilien.de/gewerbe-immobilien" TargetMode="External"/><Relationship Id="rId5" Type="http://schemas.openxmlformats.org/officeDocument/2006/relationships/webSettings" Target="webSettings.xml"/><Relationship Id="rId15" Type="http://schemas.openxmlformats.org/officeDocument/2006/relationships/hyperlink" Target="https://www.grossmann-berger.de/news/pressemappe/" TargetMode="External"/><Relationship Id="rId23" Type="http://schemas.openxmlformats.org/officeDocument/2006/relationships/theme" Target="theme/theme1.xml"/><Relationship Id="rId10" Type="http://schemas.openxmlformats.org/officeDocument/2006/relationships/hyperlink" Target="https://www.grossmann-berger.d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rossmann-berger.de/marktbericht/gewerbe/hamburg-investment/" TargetMode="External"/><Relationship Id="rId14" Type="http://schemas.openxmlformats.org/officeDocument/2006/relationships/hyperlink" Target="https://www.grossmann-berger.de/datenschutz/"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G&amp;B Farben für Word_2019">
  <a:themeElements>
    <a:clrScheme name="G&amp;B Farben">
      <a:dk1>
        <a:srgbClr val="000000"/>
      </a:dk1>
      <a:lt1>
        <a:sysClr val="window" lastClr="FFFFFF"/>
      </a:lt1>
      <a:dk2>
        <a:srgbClr val="1F242B"/>
      </a:dk2>
      <a:lt2>
        <a:srgbClr val="E4E2E4"/>
      </a:lt2>
      <a:accent1>
        <a:srgbClr val="FDC300"/>
      </a:accent1>
      <a:accent2>
        <a:srgbClr val="1F242B"/>
      </a:accent2>
      <a:accent3>
        <a:srgbClr val="FFD444"/>
      </a:accent3>
      <a:accent4>
        <a:srgbClr val="FFE17E"/>
      </a:accent4>
      <a:accent5>
        <a:srgbClr val="838490"/>
      </a:accent5>
      <a:accent6>
        <a:srgbClr val="E4E2E4"/>
      </a:accent6>
      <a:hlink>
        <a:srgbClr val="4A5A73"/>
      </a:hlink>
      <a:folHlink>
        <a:srgbClr val="92A4C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F64B9D-CB3D-4212-ABA3-0F180DF90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945</Words>
  <Characters>5573</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6505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 bi</dc:creator>
  <cp:lastModifiedBy>Britt Finke</cp:lastModifiedBy>
  <cp:revision>3</cp:revision>
  <cp:lastPrinted>2022-01-04T07:31:00Z</cp:lastPrinted>
  <dcterms:created xsi:type="dcterms:W3CDTF">2022-01-04T08:15:00Z</dcterms:created>
  <dcterms:modified xsi:type="dcterms:W3CDTF">2022-01-04T12:51:00Z</dcterms:modified>
</cp:coreProperties>
</file>