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9034" w14:textId="45400C51" w:rsidR="000D48D4" w:rsidRDefault="00D157A0" w:rsidP="00365AF8">
      <w:pPr>
        <w:spacing w:after="0" w:line="360" w:lineRule="auto"/>
        <w:rPr>
          <w:rFonts w:ascii="Arial" w:hAnsi="Arial" w:cs="Arial"/>
          <w:b/>
        </w:rPr>
      </w:pPr>
      <w:r>
        <w:rPr>
          <w:rFonts w:ascii="Arial" w:hAnsi="Arial"/>
          <w:b/>
        </w:rPr>
        <w:t>Hamburg: Investment market, 1st-3rd quarters of 2021</w:t>
      </w:r>
      <w:r>
        <w:rPr>
          <w:rFonts w:ascii="Arial" w:hAnsi="Arial"/>
          <w:b/>
        </w:rPr>
        <w:br/>
        <w:t>Volume of transactions gaining fresh momentum</w:t>
      </w:r>
    </w:p>
    <w:p w14:paraId="5DC3EAC5" w14:textId="29DB094C" w:rsidR="00590903" w:rsidRPr="00253412" w:rsidRDefault="00590903" w:rsidP="00365AF8">
      <w:pPr>
        <w:spacing w:after="0" w:line="360" w:lineRule="auto"/>
        <w:jc w:val="both"/>
        <w:rPr>
          <w:rFonts w:ascii="Arial" w:hAnsi="Arial" w:cs="Arial"/>
          <w:b/>
          <w:sz w:val="18"/>
          <w:szCs w:val="20"/>
        </w:rPr>
      </w:pPr>
    </w:p>
    <w:p w14:paraId="54D98814" w14:textId="60D3CDF3" w:rsidR="009274EA" w:rsidRPr="009274EA" w:rsidRDefault="00E90673" w:rsidP="00F91D23">
      <w:pPr>
        <w:spacing w:after="0" w:line="360" w:lineRule="auto"/>
        <w:rPr>
          <w:rFonts w:ascii="Arial" w:hAnsi="Arial" w:cs="Arial"/>
          <w:sz w:val="20"/>
          <w:szCs w:val="20"/>
        </w:rPr>
      </w:pPr>
      <w:r>
        <w:rPr>
          <w:rFonts w:ascii="Arial" w:hAnsi="Arial"/>
          <w:b/>
          <w:sz w:val="20"/>
          <w:szCs w:val="20"/>
        </w:rPr>
        <w:t>Hamburg, 1st October 2021</w:t>
      </w:r>
      <w:r>
        <w:rPr>
          <w:rFonts w:ascii="Arial" w:hAnsi="Arial"/>
          <w:sz w:val="20"/>
          <w:szCs w:val="20"/>
        </w:rPr>
        <w:t xml:space="preserve"> –</w:t>
      </w:r>
      <w:r w:rsidR="00BF1EF6">
        <w:rPr>
          <w:rFonts w:ascii="Arial" w:hAnsi="Arial"/>
          <w:sz w:val="20"/>
          <w:szCs w:val="20"/>
        </w:rPr>
        <w:t xml:space="preserve"> </w:t>
      </w:r>
      <w:r>
        <w:rPr>
          <w:rFonts w:ascii="Arial" w:hAnsi="Arial"/>
          <w:sz w:val="20"/>
          <w:szCs w:val="20"/>
        </w:rPr>
        <w:t xml:space="preserve">In the 3rd quarter of the year almost as many commercial properties were traded in Hamburg as in the first two quarters of 2021 together. Obviously, the market picked up considerably more speed in the 3rd quarter, although the trading total of €2.1bn was 42 % below the strong result of the previous year (€3.64bn). </w:t>
      </w:r>
      <w:r>
        <w:rPr>
          <w:rFonts w:ascii="Arial" w:hAnsi="Arial"/>
          <w:i/>
          <w:sz w:val="20"/>
          <w:szCs w:val="20"/>
        </w:rPr>
        <w:t>“At the end of the second lockdown, the third quarter has seen the market for investments in Hamburg real estate surge ahead,”</w:t>
      </w:r>
      <w:r>
        <w:rPr>
          <w:rFonts w:ascii="Arial" w:hAnsi="Arial"/>
          <w:sz w:val="20"/>
          <w:szCs w:val="20"/>
        </w:rPr>
        <w:t xml:space="preserve"> notes </w:t>
      </w:r>
      <w:r>
        <w:rPr>
          <w:rFonts w:ascii="Arial" w:hAnsi="Arial"/>
          <w:b/>
          <w:sz w:val="20"/>
          <w:szCs w:val="20"/>
        </w:rPr>
        <w:t>Sandra Ludwig</w:t>
      </w:r>
      <w:r w:rsidRPr="00C91938">
        <w:rPr>
          <w:rFonts w:ascii="Arial" w:hAnsi="Arial"/>
          <w:sz w:val="20"/>
          <w:szCs w:val="20"/>
        </w:rPr>
        <w:t>,</w:t>
      </w:r>
      <w:r>
        <w:rPr>
          <w:rFonts w:ascii="Arial" w:hAnsi="Arial"/>
          <w:sz w:val="20"/>
          <w:szCs w:val="20"/>
        </w:rPr>
        <w:t xml:space="preserve"> managing di</w:t>
      </w:r>
      <w:r w:rsidR="00C91938">
        <w:rPr>
          <w:rFonts w:ascii="Arial" w:hAnsi="Arial"/>
          <w:sz w:val="20"/>
          <w:szCs w:val="20"/>
        </w:rPr>
        <w:t xml:space="preserve">rector of Grossmann &amp; Berger, </w:t>
      </w:r>
      <w:r>
        <w:rPr>
          <w:rFonts w:ascii="Arial" w:hAnsi="Arial"/>
          <w:sz w:val="20"/>
          <w:szCs w:val="20"/>
        </w:rPr>
        <w:t xml:space="preserve">member of German Property Partners (GPP). </w:t>
      </w:r>
      <w:r>
        <w:rPr>
          <w:rFonts w:ascii="Arial" w:hAnsi="Arial"/>
          <w:i/>
          <w:sz w:val="20"/>
          <w:szCs w:val="20"/>
        </w:rPr>
        <w:t xml:space="preserve">“Overall, however, a huge shortage of properties persists, especially when it comes to core real estate. Because the market for office properties has revived and is thriving, investors are now turning their attention </w:t>
      </w:r>
      <w:r w:rsidR="00BF1EF6">
        <w:rPr>
          <w:rFonts w:ascii="Arial" w:hAnsi="Arial"/>
          <w:i/>
          <w:sz w:val="20"/>
          <w:szCs w:val="20"/>
        </w:rPr>
        <w:t>to other classes of risk too,</w:t>
      </w:r>
      <w:r>
        <w:rPr>
          <w:rFonts w:ascii="Arial" w:hAnsi="Arial"/>
          <w:i/>
          <w:sz w:val="20"/>
          <w:szCs w:val="20"/>
        </w:rPr>
        <w:t>“</w:t>
      </w:r>
      <w:r>
        <w:rPr>
          <w:rFonts w:ascii="Arial" w:hAnsi="Arial"/>
          <w:sz w:val="20"/>
          <w:szCs w:val="20"/>
        </w:rPr>
        <w:t xml:space="preserve"> adds </w:t>
      </w:r>
      <w:r>
        <w:rPr>
          <w:rFonts w:ascii="Arial" w:hAnsi="Arial"/>
          <w:b/>
          <w:sz w:val="20"/>
          <w:szCs w:val="20"/>
        </w:rPr>
        <w:t>Ludwig</w:t>
      </w:r>
      <w:r>
        <w:rPr>
          <w:rFonts w:ascii="Arial" w:hAnsi="Arial"/>
          <w:sz w:val="20"/>
          <w:szCs w:val="20"/>
        </w:rPr>
        <w:t>. Grossmann &amp; Berger expects the market to continue its upward trajectory for the rest of the year and post a robust end-of-year trading result.</w:t>
      </w:r>
    </w:p>
    <w:p w14:paraId="350A348B" w14:textId="77777777" w:rsidR="00257596" w:rsidRDefault="00257596" w:rsidP="00F91D23">
      <w:pPr>
        <w:spacing w:after="0" w:line="360" w:lineRule="auto"/>
        <w:rPr>
          <w:rFonts w:ascii="Arial" w:hAnsi="Arial" w:cs="Arial"/>
          <w:b/>
          <w:sz w:val="20"/>
          <w:szCs w:val="20"/>
        </w:rPr>
      </w:pPr>
    </w:p>
    <w:p w14:paraId="79CA357A" w14:textId="58F908D1" w:rsidR="000A5ED1" w:rsidRPr="00D35A6D" w:rsidRDefault="00365AF8" w:rsidP="00365AF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1A9EE166" w14:textId="20D01EF9" w:rsidR="00223C8C" w:rsidRDefault="00223C8C"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In the first three quarters of 2021 four </w:t>
      </w:r>
      <w:r>
        <w:rPr>
          <w:rFonts w:ascii="Arial" w:hAnsi="Arial"/>
          <w:sz w:val="20"/>
          <w:szCs w:val="20"/>
          <w:u w:val="single"/>
        </w:rPr>
        <w:t>transactions</w:t>
      </w:r>
      <w:r>
        <w:rPr>
          <w:rFonts w:ascii="Arial" w:hAnsi="Arial"/>
          <w:sz w:val="20"/>
          <w:szCs w:val="20"/>
        </w:rPr>
        <w:t xml:space="preserve"> priced at </w:t>
      </w:r>
      <w:r>
        <w:rPr>
          <w:rFonts w:ascii="Arial" w:hAnsi="Arial"/>
          <w:sz w:val="20"/>
          <w:szCs w:val="20"/>
          <w:u w:val="single"/>
        </w:rPr>
        <w:t>over €100m</w:t>
      </w:r>
      <w:r>
        <w:rPr>
          <w:rFonts w:ascii="Arial" w:hAnsi="Arial"/>
          <w:sz w:val="20"/>
          <w:szCs w:val="20"/>
        </w:rPr>
        <w:t xml:space="preserve"> accounted for 32 % of the volume traded. These included the sale of the “Multimedia Centre </w:t>
      </w:r>
      <w:proofErr w:type="spellStart"/>
      <w:r>
        <w:rPr>
          <w:rFonts w:ascii="Arial" w:hAnsi="Arial"/>
          <w:sz w:val="20"/>
          <w:szCs w:val="20"/>
        </w:rPr>
        <w:t>Rotherbaum</w:t>
      </w:r>
      <w:proofErr w:type="spellEnd"/>
      <w:r>
        <w:rPr>
          <w:rFonts w:ascii="Arial" w:hAnsi="Arial"/>
          <w:sz w:val="20"/>
          <w:szCs w:val="20"/>
        </w:rPr>
        <w:t xml:space="preserve">” for which Values Real Estate paid </w:t>
      </w:r>
      <w:proofErr w:type="spellStart"/>
      <w:r>
        <w:rPr>
          <w:rFonts w:ascii="Arial" w:hAnsi="Arial"/>
          <w:sz w:val="20"/>
          <w:szCs w:val="20"/>
        </w:rPr>
        <w:t>Vermögensverwaltung</w:t>
      </w:r>
      <w:proofErr w:type="spellEnd"/>
      <w:r>
        <w:rPr>
          <w:rFonts w:ascii="Arial" w:hAnsi="Arial"/>
          <w:sz w:val="20"/>
          <w:szCs w:val="20"/>
        </w:rPr>
        <w:t xml:space="preserve"> </w:t>
      </w:r>
      <w:proofErr w:type="spellStart"/>
      <w:r>
        <w:rPr>
          <w:rFonts w:ascii="Arial" w:hAnsi="Arial"/>
          <w:sz w:val="20"/>
          <w:szCs w:val="20"/>
        </w:rPr>
        <w:t>Jahr</w:t>
      </w:r>
      <w:proofErr w:type="spellEnd"/>
      <w:r>
        <w:rPr>
          <w:rFonts w:ascii="Arial" w:hAnsi="Arial"/>
          <w:sz w:val="20"/>
          <w:szCs w:val="20"/>
        </w:rPr>
        <w:t xml:space="preserve"> some €170m – the largest agreement concluded between July and September.</w:t>
      </w:r>
    </w:p>
    <w:p w14:paraId="352FAC56" w14:textId="2CDA4CE0" w:rsidR="00597258" w:rsidRDefault="00597258"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Comprising 62 % of the volume, office real estate was the most sought-after asset class up to the end of the 3rd quarter of 2021 and investors still believe in its future despite changing work patterns. Logistics real estate lost ground, making up 12 % of the total (Q3/2020: 20 %), and the proportion of mixed-use properties remained stable at 11 % of the total volume.</w:t>
      </w:r>
    </w:p>
    <w:p w14:paraId="05146798" w14:textId="67DE58FD" w:rsidR="0098080C" w:rsidRDefault="000464D0"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Hamburg East </w:t>
      </w:r>
      <w:r>
        <w:rPr>
          <w:rFonts w:ascii="Arial" w:hAnsi="Arial"/>
          <w:sz w:val="20"/>
          <w:szCs w:val="20"/>
          <w:u w:val="single"/>
        </w:rPr>
        <w:t>sub-market</w:t>
      </w:r>
      <w:r>
        <w:rPr>
          <w:rFonts w:ascii="Arial" w:hAnsi="Arial"/>
          <w:sz w:val="20"/>
          <w:szCs w:val="20"/>
        </w:rPr>
        <w:t xml:space="preserve"> accounted for some 27 % of the total volume traded (17 transactions), thus finishing ahead of City (15 %) and St. Georg (15 %). </w:t>
      </w:r>
    </w:p>
    <w:p w14:paraId="2612E83C" w14:textId="1F750003" w:rsidR="00B977A6" w:rsidRDefault="00B977A6" w:rsidP="003372CA">
      <w:pPr>
        <w:pStyle w:val="Listenabsatz"/>
        <w:numPr>
          <w:ilvl w:val="0"/>
          <w:numId w:val="20"/>
        </w:numPr>
        <w:spacing w:after="0" w:line="360" w:lineRule="auto"/>
        <w:ind w:left="284" w:hanging="284"/>
        <w:textAlignment w:val="baseline"/>
        <w:rPr>
          <w:rFonts w:ascii="Arial" w:hAnsi="Arial" w:cs="Arial"/>
          <w:sz w:val="20"/>
          <w:szCs w:val="20"/>
        </w:rPr>
      </w:pPr>
      <w:r w:rsidRPr="00C91938">
        <w:rPr>
          <w:rFonts w:ascii="Arial" w:hAnsi="Arial"/>
          <w:sz w:val="20"/>
          <w:szCs w:val="20"/>
          <w:u w:val="single"/>
        </w:rPr>
        <w:t>Portfolio trades</w:t>
      </w:r>
      <w:r>
        <w:rPr>
          <w:rFonts w:ascii="Arial" w:hAnsi="Arial"/>
          <w:sz w:val="20"/>
          <w:szCs w:val="20"/>
        </w:rPr>
        <w:t xml:space="preserve"> made up 19 % of the market, a year on year decline of around 50 %. </w:t>
      </w:r>
    </w:p>
    <w:p w14:paraId="4D62E922" w14:textId="09922AE5" w:rsidR="00B977A6" w:rsidRDefault="00B977A6"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Fund managers (29 %), developers (23 %) and open-ended property retail funds (19 %) were the biggest </w:t>
      </w:r>
      <w:r>
        <w:rPr>
          <w:rFonts w:ascii="Arial" w:hAnsi="Arial"/>
          <w:sz w:val="20"/>
          <w:szCs w:val="20"/>
          <w:u w:val="single"/>
        </w:rPr>
        <w:t>groups of buyers</w:t>
      </w:r>
      <w:r>
        <w:rPr>
          <w:rFonts w:ascii="Arial" w:hAnsi="Arial"/>
          <w:sz w:val="20"/>
          <w:szCs w:val="20"/>
        </w:rPr>
        <w:t xml:space="preserve">. Fund managers were also the biggest </w:t>
      </w:r>
      <w:r>
        <w:rPr>
          <w:rFonts w:ascii="Arial" w:hAnsi="Arial"/>
          <w:sz w:val="20"/>
          <w:szCs w:val="20"/>
          <w:u w:val="single"/>
        </w:rPr>
        <w:t>group of vendors</w:t>
      </w:r>
      <w:r>
        <w:rPr>
          <w:rFonts w:ascii="Arial" w:hAnsi="Arial"/>
          <w:sz w:val="20"/>
          <w:szCs w:val="20"/>
        </w:rPr>
        <w:t xml:space="preserve"> (21 %), closely followed by corporates/owner-occupiers and developers, each with a 20 % share of the market. </w:t>
      </w:r>
    </w:p>
    <w:p w14:paraId="15354D0C" w14:textId="5786A63D" w:rsidR="000D75CE" w:rsidRDefault="000D75CE"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u w:val="single"/>
        </w:rPr>
        <w:t>Overseas buyers</w:t>
      </w:r>
      <w:r>
        <w:rPr>
          <w:rFonts w:ascii="Arial" w:hAnsi="Arial"/>
          <w:sz w:val="20"/>
          <w:szCs w:val="20"/>
        </w:rPr>
        <w:t xml:space="preserve"> accounted for 17 % of the volume traded, remaining well below their share a year ago (41 %). The proportion of </w:t>
      </w:r>
      <w:r>
        <w:rPr>
          <w:rFonts w:ascii="Arial" w:hAnsi="Arial"/>
          <w:sz w:val="20"/>
          <w:szCs w:val="20"/>
          <w:u w:val="single"/>
        </w:rPr>
        <w:t>international vendors</w:t>
      </w:r>
      <w:r>
        <w:rPr>
          <w:rFonts w:ascii="Arial" w:hAnsi="Arial"/>
          <w:sz w:val="20"/>
          <w:szCs w:val="20"/>
        </w:rPr>
        <w:t xml:space="preserve"> remained at a steady 19 %. </w:t>
      </w:r>
    </w:p>
    <w:p w14:paraId="748AFC38" w14:textId="77777777" w:rsidR="00C91938" w:rsidRPr="00C91938" w:rsidRDefault="005C108C" w:rsidP="00936C1D">
      <w:pPr>
        <w:pStyle w:val="Listenabsatz"/>
        <w:numPr>
          <w:ilvl w:val="0"/>
          <w:numId w:val="20"/>
        </w:numPr>
        <w:spacing w:after="0" w:line="360" w:lineRule="auto"/>
        <w:ind w:left="284" w:hanging="284"/>
        <w:textAlignment w:val="baseline"/>
        <w:rPr>
          <w:rFonts w:ascii="Arial" w:hAnsi="Arial" w:cs="Arial"/>
          <w:sz w:val="20"/>
          <w:szCs w:val="20"/>
        </w:rPr>
      </w:pPr>
      <w:r w:rsidRPr="00C91938">
        <w:rPr>
          <w:rFonts w:ascii="Arial" w:hAnsi="Arial"/>
          <w:sz w:val="20"/>
          <w:szCs w:val="20"/>
        </w:rPr>
        <w:t xml:space="preserve">High demand continues to compress </w:t>
      </w:r>
      <w:r w:rsidRPr="00C91938">
        <w:rPr>
          <w:rFonts w:ascii="Arial" w:hAnsi="Arial"/>
          <w:sz w:val="20"/>
          <w:szCs w:val="20"/>
          <w:u w:val="single"/>
        </w:rPr>
        <w:t>prime yields</w:t>
      </w:r>
      <w:r w:rsidRPr="00C91938">
        <w:rPr>
          <w:rFonts w:ascii="Arial" w:hAnsi="Arial"/>
          <w:sz w:val="20"/>
          <w:szCs w:val="20"/>
        </w:rPr>
        <w:t xml:space="preserve"> on </w:t>
      </w:r>
      <w:r w:rsidR="00BF1EF6" w:rsidRPr="00C91938">
        <w:rPr>
          <w:rFonts w:ascii="Arial" w:hAnsi="Arial"/>
          <w:sz w:val="20"/>
          <w:szCs w:val="20"/>
        </w:rPr>
        <w:t>office and logistics properties.</w:t>
      </w:r>
      <w:r w:rsidRPr="00C91938">
        <w:rPr>
          <w:rFonts w:ascii="Arial" w:hAnsi="Arial"/>
          <w:sz w:val="20"/>
          <w:szCs w:val="20"/>
        </w:rPr>
        <w:t xml:space="preserve"> Year on year yields on office properties dropped by 7 % to 2.60 %, and on industrial and logistics real estate by 17 % to 3.50 %. The prime yield on commercial buildings remained stable at 2.70 %.</w:t>
      </w:r>
    </w:p>
    <w:p w14:paraId="2CACE4BB" w14:textId="31D5DCF9" w:rsidR="00706AF0" w:rsidRPr="00C91938" w:rsidRDefault="00C91938" w:rsidP="00C91938">
      <w:pPr>
        <w:spacing w:after="0" w:line="360" w:lineRule="auto"/>
        <w:textAlignment w:val="baseline"/>
        <w:rPr>
          <w:rFonts w:ascii="Arial" w:hAnsi="Arial" w:cs="Arial"/>
          <w:sz w:val="20"/>
          <w:szCs w:val="20"/>
        </w:rPr>
      </w:pPr>
      <w:r>
        <w:rPr>
          <w:noProof/>
          <w:lang w:val="de-DE" w:eastAsia="de-DE"/>
        </w:rPr>
        <w:lastRenderedPageBreak/>
        <w:drawing>
          <wp:anchor distT="0" distB="0" distL="114300" distR="114300" simplePos="0" relativeHeight="251658240" behindDoc="0" locked="0" layoutInCell="1" allowOverlap="1" wp14:anchorId="0ECC13CB" wp14:editId="3F6C78DF">
            <wp:simplePos x="0" y="0"/>
            <wp:positionH relativeFrom="margin">
              <wp:align>right</wp:align>
            </wp:positionH>
            <wp:positionV relativeFrom="paragraph">
              <wp:posOffset>294005</wp:posOffset>
            </wp:positionV>
            <wp:extent cx="2863215" cy="2021205"/>
            <wp:effectExtent l="19050" t="19050" r="13335" b="171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stment-market-Hamburg-tav-3Q2021.jpg"/>
                    <pic:cNvPicPr/>
                  </pic:nvPicPr>
                  <pic:blipFill>
                    <a:blip r:embed="rId8">
                      <a:extLst>
                        <a:ext uri="{28A0092B-C50C-407E-A947-70E740481C1C}">
                          <a14:useLocalDpi xmlns:a14="http://schemas.microsoft.com/office/drawing/2010/main" val="0"/>
                        </a:ext>
                      </a:extLst>
                    </a:blip>
                    <a:stretch>
                      <a:fillRect/>
                    </a:stretch>
                  </pic:blipFill>
                  <pic:spPr>
                    <a:xfrm>
                      <a:off x="0" y="0"/>
                      <a:ext cx="2863215" cy="202120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2"/>
        <w:tblpPr w:leftFromText="141" w:rightFromText="141" w:vertAnchor="text" w:horzAnchor="margin" w:tblpY="111"/>
        <w:tblW w:w="0" w:type="auto"/>
        <w:tblLook w:val="04A0" w:firstRow="1" w:lastRow="0" w:firstColumn="1" w:lastColumn="0" w:noHBand="0" w:noVBand="1"/>
      </w:tblPr>
      <w:tblGrid>
        <w:gridCol w:w="3823"/>
        <w:gridCol w:w="1134"/>
      </w:tblGrid>
      <w:tr w:rsidR="005E3A2A" w:rsidRPr="006F49D0" w14:paraId="673C20C7" w14:textId="77777777" w:rsidTr="005E3A2A">
        <w:trPr>
          <w:trHeight w:val="283"/>
        </w:trPr>
        <w:tc>
          <w:tcPr>
            <w:tcW w:w="0" w:type="auto"/>
            <w:shd w:val="clear" w:color="auto" w:fill="1F242B" w:themeFill="accent2"/>
          </w:tcPr>
          <w:p w14:paraId="7D687BA4" w14:textId="77777777" w:rsidR="005E3A2A" w:rsidRPr="004712BA" w:rsidRDefault="005E3A2A" w:rsidP="005E3A2A">
            <w:pPr>
              <w:widowControl w:val="0"/>
              <w:spacing w:before="60" w:after="60"/>
              <w:jc w:val="both"/>
              <w:rPr>
                <w:rFonts w:ascii="Arial" w:hAnsi="Arial" w:cs="Arial"/>
                <w:b/>
                <w:sz w:val="18"/>
                <w:szCs w:val="16"/>
              </w:rPr>
            </w:pPr>
            <w:r>
              <w:rPr>
                <w:rFonts w:ascii="Arial" w:hAnsi="Arial"/>
                <w:b/>
                <w:sz w:val="20"/>
                <w:szCs w:val="20"/>
              </w:rPr>
              <w:t>Investment market | Hamburg</w:t>
            </w:r>
            <w:r>
              <w:t xml:space="preserve"> </w:t>
            </w:r>
            <w:r>
              <w:rPr>
                <w:rFonts w:ascii="Arial" w:hAnsi="Arial"/>
                <w:b/>
                <w:sz w:val="20"/>
                <w:szCs w:val="20"/>
              </w:rPr>
              <w:t>| 2021</w:t>
            </w:r>
          </w:p>
        </w:tc>
        <w:tc>
          <w:tcPr>
            <w:tcW w:w="1134" w:type="dxa"/>
            <w:shd w:val="clear" w:color="auto" w:fill="1F242B" w:themeFill="accent2"/>
          </w:tcPr>
          <w:p w14:paraId="2C5C2D21" w14:textId="2DDAA3A0" w:rsidR="005E3A2A" w:rsidRPr="004712BA" w:rsidRDefault="005E3A2A" w:rsidP="005E3A2A">
            <w:pPr>
              <w:widowControl w:val="0"/>
              <w:spacing w:before="60" w:after="60"/>
              <w:jc w:val="center"/>
              <w:rPr>
                <w:rFonts w:ascii="Arial" w:hAnsi="Arial" w:cs="Arial"/>
                <w:b/>
                <w:sz w:val="18"/>
                <w:szCs w:val="16"/>
              </w:rPr>
            </w:pPr>
            <w:r>
              <w:rPr>
                <w:rFonts w:ascii="Arial" w:hAnsi="Arial"/>
                <w:b/>
                <w:sz w:val="18"/>
                <w:szCs w:val="16"/>
              </w:rPr>
              <w:t>Q 1-3</w:t>
            </w:r>
          </w:p>
        </w:tc>
      </w:tr>
      <w:tr w:rsidR="005E3A2A" w:rsidRPr="006F49D0" w14:paraId="6FC2A8CA" w14:textId="77777777" w:rsidTr="00E771E0">
        <w:trPr>
          <w:trHeight w:val="193"/>
        </w:trPr>
        <w:tc>
          <w:tcPr>
            <w:tcW w:w="3823" w:type="dxa"/>
          </w:tcPr>
          <w:p w14:paraId="08C271AD" w14:textId="77777777" w:rsidR="005E3A2A" w:rsidRPr="004712BA" w:rsidRDefault="005E3A2A" w:rsidP="005E3A2A">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268FA53C" w14:textId="33BD2DDF" w:rsidR="005E3A2A" w:rsidRPr="00E771E0" w:rsidRDefault="00E771E0" w:rsidP="005E3A2A">
            <w:pPr>
              <w:widowControl w:val="0"/>
              <w:spacing w:before="40" w:after="40"/>
              <w:jc w:val="right"/>
              <w:rPr>
                <w:rFonts w:ascii="Arial" w:hAnsi="Arial" w:cs="Arial"/>
                <w:sz w:val="18"/>
                <w:szCs w:val="16"/>
              </w:rPr>
            </w:pPr>
            <w:r>
              <w:rPr>
                <w:rFonts w:ascii="Arial" w:hAnsi="Arial"/>
                <w:sz w:val="18"/>
                <w:szCs w:val="16"/>
              </w:rPr>
              <w:t>2,100</w:t>
            </w:r>
          </w:p>
        </w:tc>
      </w:tr>
      <w:tr w:rsidR="005E3A2A" w:rsidRPr="006F49D0" w14:paraId="3A65387B" w14:textId="77777777" w:rsidTr="005E3A2A">
        <w:trPr>
          <w:trHeight w:val="283"/>
        </w:trPr>
        <w:tc>
          <w:tcPr>
            <w:tcW w:w="3823" w:type="dxa"/>
          </w:tcPr>
          <w:p w14:paraId="19D23DDA" w14:textId="77777777" w:rsidR="005E3A2A" w:rsidRPr="00A7575D" w:rsidRDefault="005E3A2A" w:rsidP="005E3A2A">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319BA066" w14:textId="1B68B69D" w:rsidR="005E3A2A" w:rsidRPr="00E771E0" w:rsidRDefault="00E771E0" w:rsidP="005E3A2A">
            <w:pPr>
              <w:widowControl w:val="0"/>
              <w:spacing w:before="40" w:after="40"/>
              <w:jc w:val="right"/>
              <w:rPr>
                <w:rFonts w:ascii="Arial" w:hAnsi="Arial" w:cs="Arial"/>
                <w:sz w:val="18"/>
                <w:szCs w:val="16"/>
              </w:rPr>
            </w:pPr>
            <w:r>
              <w:rPr>
                <w:rFonts w:ascii="Arial" w:hAnsi="Arial"/>
                <w:sz w:val="18"/>
                <w:szCs w:val="16"/>
              </w:rPr>
              <w:t>-42</w:t>
            </w:r>
          </w:p>
        </w:tc>
      </w:tr>
      <w:tr w:rsidR="005E3A2A" w:rsidRPr="006F49D0" w14:paraId="2AB9E5E4" w14:textId="77777777" w:rsidTr="005E3A2A">
        <w:trPr>
          <w:trHeight w:val="283"/>
        </w:trPr>
        <w:tc>
          <w:tcPr>
            <w:tcW w:w="3823" w:type="dxa"/>
          </w:tcPr>
          <w:p w14:paraId="58348ED7" w14:textId="77777777" w:rsidR="005E3A2A" w:rsidRPr="00A7575D" w:rsidRDefault="005E3A2A" w:rsidP="005E3A2A">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7358A4DF" w14:textId="2E640628" w:rsidR="005E3A2A" w:rsidRPr="00E771E0" w:rsidRDefault="00E771E0" w:rsidP="005E3A2A">
            <w:pPr>
              <w:widowControl w:val="0"/>
              <w:spacing w:before="40" w:after="40"/>
              <w:jc w:val="right"/>
              <w:rPr>
                <w:rFonts w:ascii="Arial" w:hAnsi="Arial" w:cs="Arial"/>
                <w:sz w:val="18"/>
                <w:szCs w:val="16"/>
              </w:rPr>
            </w:pPr>
            <w:r>
              <w:rPr>
                <w:rFonts w:ascii="Arial" w:hAnsi="Arial"/>
                <w:sz w:val="18"/>
                <w:szCs w:val="16"/>
              </w:rPr>
              <w:t>15</w:t>
            </w:r>
          </w:p>
        </w:tc>
      </w:tr>
      <w:tr w:rsidR="005E3A2A" w:rsidRPr="006F49D0" w14:paraId="7D0BB507" w14:textId="77777777" w:rsidTr="005E3A2A">
        <w:trPr>
          <w:trHeight w:val="283"/>
        </w:trPr>
        <w:tc>
          <w:tcPr>
            <w:tcW w:w="3823" w:type="dxa"/>
          </w:tcPr>
          <w:p w14:paraId="38B51E71" w14:textId="77777777" w:rsidR="005E3A2A" w:rsidRPr="00CF57DD" w:rsidRDefault="005E3A2A" w:rsidP="005E3A2A">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175D9AE3" w14:textId="07B46D63" w:rsidR="005E3A2A" w:rsidRPr="00E771E0" w:rsidRDefault="00E771E0" w:rsidP="005E3A2A">
            <w:pPr>
              <w:widowControl w:val="0"/>
              <w:spacing w:before="40" w:after="40"/>
              <w:jc w:val="right"/>
              <w:rPr>
                <w:rFonts w:ascii="Arial" w:hAnsi="Arial" w:cs="Arial"/>
                <w:sz w:val="18"/>
                <w:szCs w:val="16"/>
              </w:rPr>
            </w:pPr>
            <w:r>
              <w:rPr>
                <w:rFonts w:ascii="Arial" w:hAnsi="Arial"/>
                <w:sz w:val="18"/>
                <w:szCs w:val="16"/>
              </w:rPr>
              <w:t>17</w:t>
            </w:r>
          </w:p>
        </w:tc>
      </w:tr>
      <w:tr w:rsidR="005E3A2A" w:rsidRPr="006F49D0" w14:paraId="29F2F30F" w14:textId="77777777" w:rsidTr="005E3A2A">
        <w:trPr>
          <w:trHeight w:val="283"/>
        </w:trPr>
        <w:tc>
          <w:tcPr>
            <w:tcW w:w="3823" w:type="dxa"/>
          </w:tcPr>
          <w:p w14:paraId="452CC115" w14:textId="77777777" w:rsidR="005E3A2A" w:rsidRPr="004712BA" w:rsidRDefault="005E3A2A" w:rsidP="005E3A2A">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60F82010" w14:textId="77777777" w:rsidR="005E3A2A" w:rsidRPr="00E771E0" w:rsidRDefault="005E3A2A" w:rsidP="005E3A2A">
            <w:pPr>
              <w:widowControl w:val="0"/>
              <w:spacing w:before="40" w:after="40"/>
              <w:jc w:val="right"/>
              <w:rPr>
                <w:rFonts w:ascii="Arial" w:hAnsi="Arial" w:cs="Arial"/>
                <w:sz w:val="18"/>
                <w:szCs w:val="16"/>
              </w:rPr>
            </w:pPr>
            <w:r>
              <w:rPr>
                <w:rFonts w:ascii="Arial" w:hAnsi="Arial"/>
                <w:sz w:val="18"/>
                <w:szCs w:val="16"/>
              </w:rPr>
              <w:t>2.60</w:t>
            </w:r>
          </w:p>
        </w:tc>
      </w:tr>
      <w:tr w:rsidR="005E3A2A" w14:paraId="67803660" w14:textId="77777777" w:rsidTr="005E3A2A">
        <w:trPr>
          <w:trHeight w:val="283"/>
        </w:trPr>
        <w:tc>
          <w:tcPr>
            <w:tcW w:w="3823" w:type="dxa"/>
          </w:tcPr>
          <w:p w14:paraId="686359D8" w14:textId="77777777" w:rsidR="005E3A2A" w:rsidRPr="00A7575D" w:rsidRDefault="005E3A2A" w:rsidP="005E3A2A">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467A93AD" w14:textId="77777777" w:rsidR="005E3A2A" w:rsidRPr="00E771E0" w:rsidRDefault="005E3A2A" w:rsidP="005E3A2A">
            <w:pPr>
              <w:widowControl w:val="0"/>
              <w:spacing w:before="40" w:after="40"/>
              <w:jc w:val="right"/>
              <w:rPr>
                <w:rFonts w:ascii="Arial" w:hAnsi="Arial" w:cs="Arial"/>
                <w:sz w:val="18"/>
                <w:szCs w:val="16"/>
              </w:rPr>
            </w:pPr>
            <w:r>
              <w:rPr>
                <w:rFonts w:ascii="Arial" w:hAnsi="Arial"/>
                <w:sz w:val="18"/>
                <w:szCs w:val="16"/>
              </w:rPr>
              <w:t>-0.20</w:t>
            </w:r>
          </w:p>
        </w:tc>
      </w:tr>
      <w:tr w:rsidR="005E3A2A" w:rsidRPr="006F49D0" w14:paraId="6603F78E" w14:textId="77777777" w:rsidTr="005E3A2A">
        <w:trPr>
          <w:trHeight w:val="283"/>
        </w:trPr>
        <w:tc>
          <w:tcPr>
            <w:tcW w:w="3823" w:type="dxa"/>
          </w:tcPr>
          <w:p w14:paraId="3CB2FB9C" w14:textId="77777777" w:rsidR="005E3A2A" w:rsidRPr="004712BA" w:rsidRDefault="005E3A2A" w:rsidP="005E3A2A">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396B5761" w14:textId="77777777" w:rsidR="005E3A2A" w:rsidRPr="00F67E03" w:rsidRDefault="005E3A2A" w:rsidP="005E3A2A">
            <w:pPr>
              <w:widowControl w:val="0"/>
              <w:spacing w:before="40" w:after="40"/>
              <w:jc w:val="right"/>
              <w:rPr>
                <w:rFonts w:ascii="Arial" w:hAnsi="Arial" w:cs="Arial"/>
                <w:sz w:val="18"/>
                <w:szCs w:val="16"/>
              </w:rPr>
            </w:pPr>
            <w:r>
              <w:rPr>
                <w:rFonts w:ascii="Arial" w:hAnsi="Arial"/>
                <w:sz w:val="18"/>
                <w:szCs w:val="16"/>
              </w:rPr>
              <w:t>2.70</w:t>
            </w:r>
          </w:p>
        </w:tc>
      </w:tr>
      <w:tr w:rsidR="005E3A2A" w14:paraId="2E4D905A" w14:textId="77777777" w:rsidTr="005E3A2A">
        <w:trPr>
          <w:trHeight w:val="283"/>
        </w:trPr>
        <w:tc>
          <w:tcPr>
            <w:tcW w:w="3823" w:type="dxa"/>
          </w:tcPr>
          <w:p w14:paraId="413D0230" w14:textId="77777777" w:rsidR="005E3A2A" w:rsidRPr="00A7575D" w:rsidRDefault="005E3A2A" w:rsidP="005E3A2A">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5C89D216" w14:textId="77777777" w:rsidR="005E3A2A" w:rsidRPr="00F67E03" w:rsidRDefault="005E3A2A" w:rsidP="005E3A2A">
            <w:pPr>
              <w:widowControl w:val="0"/>
              <w:spacing w:before="40" w:after="40"/>
              <w:jc w:val="right"/>
              <w:rPr>
                <w:rFonts w:ascii="Arial" w:hAnsi="Arial" w:cs="Arial"/>
                <w:sz w:val="18"/>
                <w:szCs w:val="16"/>
              </w:rPr>
            </w:pPr>
            <w:r>
              <w:rPr>
                <w:rFonts w:ascii="Arial" w:hAnsi="Arial"/>
                <w:sz w:val="18"/>
                <w:szCs w:val="16"/>
              </w:rPr>
              <w:t>±0.00</w:t>
            </w:r>
          </w:p>
        </w:tc>
      </w:tr>
      <w:tr w:rsidR="005E3A2A" w:rsidRPr="006F49D0" w14:paraId="7CFDCAD5" w14:textId="77777777" w:rsidTr="005E3A2A">
        <w:trPr>
          <w:trHeight w:val="283"/>
        </w:trPr>
        <w:tc>
          <w:tcPr>
            <w:tcW w:w="3823" w:type="dxa"/>
          </w:tcPr>
          <w:p w14:paraId="70A797EC" w14:textId="77777777" w:rsidR="005E3A2A" w:rsidRPr="004712BA" w:rsidRDefault="005E3A2A" w:rsidP="005E3A2A">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687C20A8" w14:textId="6849FB22" w:rsidR="005E3A2A" w:rsidRPr="00F67E03" w:rsidRDefault="005E3A2A" w:rsidP="005E3A2A">
            <w:pPr>
              <w:widowControl w:val="0"/>
              <w:spacing w:before="40" w:after="40"/>
              <w:jc w:val="right"/>
              <w:rPr>
                <w:rFonts w:ascii="Arial" w:hAnsi="Arial" w:cs="Arial"/>
                <w:sz w:val="18"/>
                <w:szCs w:val="16"/>
              </w:rPr>
            </w:pPr>
            <w:r>
              <w:rPr>
                <w:rFonts w:ascii="Arial" w:hAnsi="Arial"/>
                <w:sz w:val="18"/>
                <w:szCs w:val="16"/>
              </w:rPr>
              <w:t>3.50</w:t>
            </w:r>
          </w:p>
        </w:tc>
      </w:tr>
      <w:tr w:rsidR="005E3A2A" w14:paraId="1E68D707" w14:textId="77777777" w:rsidTr="005E3A2A">
        <w:trPr>
          <w:trHeight w:val="283"/>
        </w:trPr>
        <w:tc>
          <w:tcPr>
            <w:tcW w:w="3823" w:type="dxa"/>
          </w:tcPr>
          <w:p w14:paraId="2F5B4C9C" w14:textId="77777777" w:rsidR="005E3A2A" w:rsidRPr="00A7575D" w:rsidRDefault="005E3A2A" w:rsidP="005E3A2A">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5C96C0A1" w14:textId="68BF8A4D" w:rsidR="005E3A2A" w:rsidRPr="00F67E03" w:rsidRDefault="005E3A2A" w:rsidP="005E3A2A">
            <w:pPr>
              <w:widowControl w:val="0"/>
              <w:spacing w:before="40" w:after="40"/>
              <w:jc w:val="right"/>
              <w:rPr>
                <w:rFonts w:ascii="Arial" w:hAnsi="Arial" w:cs="Arial"/>
                <w:sz w:val="18"/>
                <w:szCs w:val="16"/>
              </w:rPr>
            </w:pPr>
            <w:r>
              <w:rPr>
                <w:rFonts w:ascii="Arial" w:hAnsi="Arial"/>
                <w:sz w:val="18"/>
                <w:szCs w:val="16"/>
              </w:rPr>
              <w:t>-0.70</w:t>
            </w:r>
          </w:p>
        </w:tc>
      </w:tr>
      <w:tr w:rsidR="005E3A2A" w:rsidRPr="006F49D0" w14:paraId="32327CE7" w14:textId="77777777" w:rsidTr="005E3A2A">
        <w:trPr>
          <w:trHeight w:val="283"/>
        </w:trPr>
        <w:tc>
          <w:tcPr>
            <w:tcW w:w="3823" w:type="dxa"/>
            <w:tcBorders>
              <w:bottom w:val="single" w:sz="4" w:space="0" w:color="auto"/>
            </w:tcBorders>
          </w:tcPr>
          <w:p w14:paraId="370DE8A8" w14:textId="77777777" w:rsidR="005E3A2A" w:rsidRPr="004712BA" w:rsidRDefault="005E3A2A" w:rsidP="005E3A2A">
            <w:pPr>
              <w:widowControl w:val="0"/>
              <w:spacing w:before="40" w:after="40"/>
              <w:jc w:val="both"/>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2BA348F4" w14:textId="77777777" w:rsidR="005E3A2A" w:rsidRPr="00F67E03" w:rsidRDefault="005E3A2A" w:rsidP="005E3A2A">
            <w:pPr>
              <w:widowControl w:val="0"/>
              <w:spacing w:before="40" w:after="40"/>
              <w:jc w:val="right"/>
              <w:rPr>
                <w:rFonts w:ascii="Arial" w:hAnsi="Arial" w:cs="Arial"/>
                <w:sz w:val="18"/>
                <w:szCs w:val="16"/>
              </w:rPr>
            </w:pPr>
            <w:r>
              <w:rPr>
                <w:rFonts w:ascii="Arial" w:hAnsi="Arial"/>
                <w:sz w:val="18"/>
                <w:szCs w:val="16"/>
              </w:rPr>
              <w:t>Offices</w:t>
            </w:r>
          </w:p>
        </w:tc>
      </w:tr>
      <w:tr w:rsidR="005E3A2A" w:rsidRPr="006F49D0" w14:paraId="1D20F59C" w14:textId="77777777" w:rsidTr="005E3A2A">
        <w:trPr>
          <w:trHeight w:val="283"/>
        </w:trPr>
        <w:tc>
          <w:tcPr>
            <w:tcW w:w="3823" w:type="dxa"/>
            <w:tcBorders>
              <w:bottom w:val="single" w:sz="4" w:space="0" w:color="auto"/>
            </w:tcBorders>
          </w:tcPr>
          <w:p w14:paraId="55EE6F9A" w14:textId="77777777" w:rsidR="005E3A2A" w:rsidRPr="004712BA" w:rsidRDefault="005E3A2A" w:rsidP="005E3A2A">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373C3DF0" w14:textId="7C5C70BC" w:rsidR="005E3A2A" w:rsidRPr="00F67E03" w:rsidRDefault="00F67E03" w:rsidP="005E3A2A">
            <w:pPr>
              <w:widowControl w:val="0"/>
              <w:spacing w:before="40" w:after="40"/>
              <w:jc w:val="right"/>
              <w:rPr>
                <w:rFonts w:ascii="Arial" w:hAnsi="Arial" w:cs="Arial"/>
                <w:sz w:val="18"/>
                <w:szCs w:val="16"/>
              </w:rPr>
            </w:pPr>
            <w:r>
              <w:rPr>
                <w:rFonts w:ascii="Arial" w:hAnsi="Arial"/>
                <w:sz w:val="18"/>
                <w:szCs w:val="16"/>
              </w:rPr>
              <w:t>62</w:t>
            </w:r>
          </w:p>
        </w:tc>
      </w:tr>
    </w:tbl>
    <w:p w14:paraId="13D61BAD" w14:textId="2B74C544" w:rsidR="00723A2A" w:rsidRPr="00241526" w:rsidRDefault="00723A2A" w:rsidP="008E3F75">
      <w:pPr>
        <w:pStyle w:val="Listenabsatz"/>
        <w:spacing w:after="0" w:line="360" w:lineRule="auto"/>
        <w:ind w:left="284"/>
        <w:textAlignment w:val="baseline"/>
        <w:rPr>
          <w:rFonts w:ascii="Arial" w:hAnsi="Arial" w:cs="Arial"/>
          <w:sz w:val="20"/>
          <w:szCs w:val="20"/>
        </w:rPr>
      </w:pPr>
    </w:p>
    <w:p w14:paraId="7AFFF209" w14:textId="6F744275" w:rsidR="000A5ED1" w:rsidRPr="00B26FFD" w:rsidRDefault="000A5ED1" w:rsidP="0062200D">
      <w:pPr>
        <w:spacing w:after="0" w:line="360" w:lineRule="auto"/>
        <w:ind w:left="68"/>
        <w:textAlignment w:val="baseline"/>
        <w:rPr>
          <w:rFonts w:ascii="Arial" w:hAnsi="Arial" w:cs="Arial"/>
          <w:sz w:val="20"/>
          <w:szCs w:val="20"/>
        </w:rPr>
      </w:pPr>
    </w:p>
    <w:p w14:paraId="47F53CCE" w14:textId="589E9DAA" w:rsidR="000A5ED1" w:rsidRDefault="000A5ED1" w:rsidP="000A5ED1">
      <w:pPr>
        <w:spacing w:after="0" w:line="360" w:lineRule="auto"/>
        <w:rPr>
          <w:rFonts w:ascii="Arial" w:eastAsia="Arial" w:hAnsi="Arial" w:cs="Arial"/>
          <w:b/>
          <w:color w:val="000000" w:themeColor="text1"/>
          <w:sz w:val="20"/>
          <w:szCs w:val="20"/>
        </w:rPr>
      </w:pPr>
    </w:p>
    <w:p w14:paraId="328EF12E" w14:textId="314E0975" w:rsidR="004E7F0F" w:rsidRPr="00A0600B" w:rsidRDefault="004E7F0F" w:rsidP="004E7F0F">
      <w:pPr>
        <w:rPr>
          <w:rFonts w:ascii="Arial" w:hAnsi="Arial" w:cs="Arial"/>
          <w:b/>
          <w:sz w:val="20"/>
          <w:szCs w:val="20"/>
        </w:rPr>
      </w:pPr>
      <w:r>
        <w:rPr>
          <w:rFonts w:ascii="Arial" w:hAnsi="Arial"/>
          <w:b/>
          <w:sz w:val="20"/>
          <w:szCs w:val="20"/>
        </w:rPr>
        <w:t>Selected top transactions | investments in Hamburg | 1st-3rd quarters of 2021</w:t>
      </w:r>
      <w:bookmarkStart w:id="0" w:name="_GoBack"/>
      <w:bookmarkEnd w:id="0"/>
    </w:p>
    <w:tbl>
      <w:tblPr>
        <w:tblStyle w:val="TableGrid1"/>
        <w:tblpPr w:leftFromText="141" w:rightFromText="141" w:vertAnchor="text" w:horzAnchor="margin" w:tblpY="61"/>
        <w:tblW w:w="10154" w:type="dxa"/>
        <w:tblLayout w:type="fixed"/>
        <w:tblLook w:val="04A0" w:firstRow="1" w:lastRow="0" w:firstColumn="1" w:lastColumn="0" w:noHBand="0" w:noVBand="1"/>
      </w:tblPr>
      <w:tblGrid>
        <w:gridCol w:w="2972"/>
        <w:gridCol w:w="1105"/>
        <w:gridCol w:w="880"/>
        <w:gridCol w:w="1842"/>
        <w:gridCol w:w="2127"/>
        <w:gridCol w:w="1228"/>
      </w:tblGrid>
      <w:tr w:rsidR="004E7F0F" w:rsidRPr="006F49D0" w14:paraId="3216EE8E" w14:textId="77777777" w:rsidTr="00C91938">
        <w:trPr>
          <w:trHeight w:val="567"/>
        </w:trPr>
        <w:tc>
          <w:tcPr>
            <w:tcW w:w="2972" w:type="dxa"/>
            <w:shd w:val="clear" w:color="auto" w:fill="1F242B" w:themeFill="accent2"/>
            <w:vAlign w:val="center"/>
          </w:tcPr>
          <w:p w14:paraId="30C73659" w14:textId="112CD77E" w:rsidR="004E7F0F" w:rsidRDefault="004E7F0F" w:rsidP="005A6282">
            <w:pPr>
              <w:spacing w:after="0"/>
              <w:jc w:val="center"/>
              <w:rPr>
                <w:rFonts w:ascii="Arial" w:hAnsi="Arial" w:cs="Arial"/>
                <w:b/>
                <w:sz w:val="18"/>
                <w:szCs w:val="16"/>
              </w:rPr>
            </w:pPr>
            <w:r>
              <w:rPr>
                <w:rFonts w:ascii="Arial" w:hAnsi="Arial"/>
                <w:b/>
                <w:sz w:val="18"/>
                <w:szCs w:val="16"/>
              </w:rPr>
              <w:t>Project</w:t>
            </w:r>
            <w:r w:rsidR="00C91938">
              <w:rPr>
                <w:rFonts w:ascii="Arial" w:hAnsi="Arial"/>
                <w:b/>
                <w:sz w:val="18"/>
                <w:szCs w:val="16"/>
              </w:rPr>
              <w:t xml:space="preserve"> </w:t>
            </w:r>
            <w:r>
              <w:rPr>
                <w:rFonts w:ascii="Arial" w:hAnsi="Arial"/>
                <w:b/>
                <w:sz w:val="18"/>
                <w:szCs w:val="16"/>
              </w:rPr>
              <w:t>/</w:t>
            </w:r>
            <w:r w:rsidR="00C91938">
              <w:rPr>
                <w:rFonts w:ascii="Arial" w:hAnsi="Arial"/>
                <w:b/>
                <w:sz w:val="18"/>
                <w:szCs w:val="16"/>
              </w:rPr>
              <w:t xml:space="preserve"> </w:t>
            </w:r>
            <w:r>
              <w:rPr>
                <w:rFonts w:ascii="Arial" w:hAnsi="Arial"/>
                <w:b/>
                <w:sz w:val="18"/>
                <w:szCs w:val="16"/>
              </w:rPr>
              <w:t>property</w:t>
            </w:r>
          </w:p>
          <w:p w14:paraId="657CB67E" w14:textId="47843775" w:rsidR="004E7F0F" w:rsidRPr="00C626E7" w:rsidRDefault="004E7F0F" w:rsidP="005A6282">
            <w:pPr>
              <w:spacing w:after="0"/>
              <w:jc w:val="center"/>
              <w:rPr>
                <w:rFonts w:ascii="Arial" w:hAnsi="Arial" w:cs="Arial"/>
                <w:b/>
                <w:sz w:val="18"/>
                <w:szCs w:val="16"/>
              </w:rPr>
            </w:pPr>
            <w:r>
              <w:rPr>
                <w:rFonts w:ascii="Arial" w:hAnsi="Arial"/>
                <w:b/>
                <w:sz w:val="18"/>
                <w:szCs w:val="16"/>
              </w:rPr>
              <w:t>Street no.</w:t>
            </w:r>
          </w:p>
        </w:tc>
        <w:tc>
          <w:tcPr>
            <w:tcW w:w="1105" w:type="dxa"/>
            <w:shd w:val="clear" w:color="auto" w:fill="1F242B" w:themeFill="accent2"/>
          </w:tcPr>
          <w:p w14:paraId="7C71E885" w14:textId="77777777" w:rsidR="004E7F0F" w:rsidRPr="009F10F1" w:rsidRDefault="004E7F0F" w:rsidP="005A6282">
            <w:pPr>
              <w:widowControl w:val="0"/>
              <w:spacing w:before="60" w:afterLines="60" w:after="144"/>
              <w:jc w:val="center"/>
              <w:rPr>
                <w:rFonts w:ascii="Arial" w:hAnsi="Arial" w:cs="Arial"/>
                <w:b/>
                <w:sz w:val="18"/>
                <w:szCs w:val="16"/>
              </w:rPr>
            </w:pPr>
            <w:r>
              <w:rPr>
                <w:rFonts w:ascii="Arial" w:hAnsi="Arial"/>
                <w:b/>
                <w:sz w:val="18"/>
                <w:szCs w:val="16"/>
              </w:rPr>
              <w:t>Sub-market</w:t>
            </w:r>
          </w:p>
        </w:tc>
        <w:tc>
          <w:tcPr>
            <w:tcW w:w="880" w:type="dxa"/>
            <w:shd w:val="clear" w:color="auto" w:fill="1F242B" w:themeFill="accent2"/>
          </w:tcPr>
          <w:p w14:paraId="38F233F9" w14:textId="77777777" w:rsidR="004E7F0F" w:rsidRPr="009F10F1" w:rsidRDefault="004E7F0F" w:rsidP="005A6282">
            <w:pPr>
              <w:widowControl w:val="0"/>
              <w:spacing w:before="60" w:afterLines="60" w:after="144"/>
              <w:jc w:val="center"/>
              <w:rPr>
                <w:rFonts w:ascii="Arial" w:hAnsi="Arial" w:cs="Arial"/>
                <w:b/>
                <w:sz w:val="18"/>
                <w:szCs w:val="16"/>
              </w:rPr>
            </w:pPr>
            <w:r>
              <w:rPr>
                <w:rFonts w:ascii="Arial" w:hAnsi="Arial"/>
                <w:b/>
                <w:sz w:val="18"/>
                <w:szCs w:val="16"/>
              </w:rPr>
              <w:t>Asset class</w:t>
            </w:r>
          </w:p>
        </w:tc>
        <w:tc>
          <w:tcPr>
            <w:tcW w:w="1842" w:type="dxa"/>
            <w:shd w:val="clear" w:color="auto" w:fill="1F242B" w:themeFill="accent2"/>
            <w:vAlign w:val="center"/>
          </w:tcPr>
          <w:p w14:paraId="3EC0A276" w14:textId="2F6C092E" w:rsidR="004E7F0F" w:rsidRPr="009F10F1" w:rsidRDefault="004E7F0F" w:rsidP="005A6282">
            <w:pPr>
              <w:widowControl w:val="0"/>
              <w:spacing w:before="60" w:afterLines="60" w:after="144"/>
              <w:jc w:val="center"/>
              <w:rPr>
                <w:rFonts w:ascii="Arial" w:hAnsi="Arial" w:cs="Arial"/>
                <w:b/>
                <w:sz w:val="18"/>
                <w:szCs w:val="16"/>
              </w:rPr>
            </w:pPr>
            <w:r>
              <w:rPr>
                <w:rFonts w:ascii="Arial" w:hAnsi="Arial"/>
                <w:b/>
                <w:sz w:val="18"/>
                <w:szCs w:val="16"/>
              </w:rPr>
              <w:t>Buyer</w:t>
            </w:r>
            <w:r w:rsidR="00C91938">
              <w:rPr>
                <w:rFonts w:ascii="Arial" w:hAnsi="Arial"/>
                <w:b/>
                <w:sz w:val="18"/>
                <w:szCs w:val="16"/>
              </w:rPr>
              <w:t xml:space="preserve"> </w:t>
            </w:r>
            <w:r>
              <w:rPr>
                <w:rFonts w:ascii="Arial" w:hAnsi="Arial"/>
                <w:b/>
                <w:sz w:val="18"/>
                <w:szCs w:val="16"/>
              </w:rPr>
              <w:t>/</w:t>
            </w:r>
            <w:r w:rsidR="00C91938">
              <w:rPr>
                <w:rFonts w:ascii="Arial" w:hAnsi="Arial"/>
                <w:b/>
                <w:sz w:val="18"/>
                <w:szCs w:val="16"/>
              </w:rPr>
              <w:t xml:space="preserve"> </w:t>
            </w:r>
            <w:r>
              <w:rPr>
                <w:rFonts w:ascii="Arial" w:hAnsi="Arial"/>
                <w:b/>
                <w:sz w:val="18"/>
                <w:szCs w:val="16"/>
              </w:rPr>
              <w:t>investor</w:t>
            </w:r>
          </w:p>
        </w:tc>
        <w:tc>
          <w:tcPr>
            <w:tcW w:w="2127" w:type="dxa"/>
            <w:shd w:val="clear" w:color="auto" w:fill="1F242B" w:themeFill="accent2"/>
            <w:vAlign w:val="center"/>
          </w:tcPr>
          <w:p w14:paraId="7F255BE2" w14:textId="7F45110D" w:rsidR="004E7F0F" w:rsidRPr="009F10F1" w:rsidRDefault="00056485" w:rsidP="005A6282">
            <w:pPr>
              <w:widowControl w:val="0"/>
              <w:spacing w:before="60" w:afterLines="60" w:after="144"/>
              <w:jc w:val="center"/>
              <w:rPr>
                <w:rFonts w:ascii="Arial" w:hAnsi="Arial" w:cs="Arial"/>
                <w:b/>
                <w:sz w:val="18"/>
                <w:szCs w:val="16"/>
              </w:rPr>
            </w:pPr>
            <w:r>
              <w:rPr>
                <w:rFonts w:ascii="Arial" w:hAnsi="Arial"/>
                <w:b/>
                <w:sz w:val="18"/>
                <w:szCs w:val="16"/>
              </w:rPr>
              <w:t>Vendor</w:t>
            </w:r>
          </w:p>
        </w:tc>
        <w:tc>
          <w:tcPr>
            <w:tcW w:w="1228" w:type="dxa"/>
            <w:shd w:val="clear" w:color="auto" w:fill="1F242B" w:themeFill="accent2"/>
            <w:vAlign w:val="center"/>
          </w:tcPr>
          <w:p w14:paraId="5742F731" w14:textId="77777777" w:rsidR="004E7F0F" w:rsidRPr="009F10F1" w:rsidRDefault="004E7F0F" w:rsidP="005A6282">
            <w:pPr>
              <w:widowControl w:val="0"/>
              <w:spacing w:before="60" w:after="0"/>
              <w:jc w:val="center"/>
              <w:rPr>
                <w:rFonts w:ascii="Arial" w:hAnsi="Arial" w:cs="Arial"/>
                <w:b/>
                <w:sz w:val="18"/>
                <w:szCs w:val="16"/>
              </w:rPr>
            </w:pPr>
            <w:r>
              <w:rPr>
                <w:rFonts w:ascii="Arial" w:hAnsi="Arial"/>
                <w:b/>
                <w:sz w:val="18"/>
                <w:szCs w:val="16"/>
              </w:rPr>
              <w:t>Purchase price*</w:t>
            </w:r>
          </w:p>
          <w:p w14:paraId="3F120A03" w14:textId="77777777" w:rsidR="004E7F0F" w:rsidRPr="009F10F1" w:rsidRDefault="004E7F0F" w:rsidP="005A6282">
            <w:pPr>
              <w:widowControl w:val="0"/>
              <w:spacing w:before="60" w:after="0"/>
              <w:jc w:val="center"/>
              <w:rPr>
                <w:rFonts w:ascii="Arial" w:hAnsi="Arial" w:cs="Arial"/>
                <w:b/>
                <w:sz w:val="18"/>
                <w:szCs w:val="16"/>
              </w:rPr>
            </w:pPr>
            <w:r>
              <w:rPr>
                <w:rFonts w:ascii="Arial" w:hAnsi="Arial"/>
                <w:sz w:val="18"/>
                <w:szCs w:val="16"/>
              </w:rPr>
              <w:t>[approx. €m]</w:t>
            </w:r>
          </w:p>
        </w:tc>
      </w:tr>
      <w:tr w:rsidR="004E7F0F" w:rsidRPr="00F2414C" w14:paraId="30FD5B1E" w14:textId="77777777" w:rsidTr="00C91938">
        <w:trPr>
          <w:trHeight w:val="567"/>
        </w:trPr>
        <w:tc>
          <w:tcPr>
            <w:tcW w:w="2972" w:type="dxa"/>
            <w:shd w:val="clear" w:color="auto" w:fill="FFFFFF" w:themeFill="background1"/>
            <w:vAlign w:val="center"/>
          </w:tcPr>
          <w:p w14:paraId="34A6CB0C" w14:textId="1A6A6E14" w:rsidR="004E7F0F" w:rsidRPr="00CA462D" w:rsidRDefault="00CA462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“Spectrum”</w:t>
            </w:r>
          </w:p>
          <w:p w14:paraId="5A6DCA49" w14:textId="49BDF41E" w:rsidR="00CA462D" w:rsidRPr="00CA462D" w:rsidRDefault="00CA462D" w:rsidP="00327D2E">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Amandus-Stubbe-Strasse</w:t>
            </w:r>
            <w:proofErr w:type="spellEnd"/>
            <w:r>
              <w:rPr>
                <w:rFonts w:ascii="Arial" w:hAnsi="Arial"/>
                <w:color w:val="000000" w:themeColor="text1"/>
                <w:sz w:val="18"/>
                <w:szCs w:val="18"/>
              </w:rPr>
              <w:t xml:space="preserve"> 10</w:t>
            </w:r>
          </w:p>
        </w:tc>
        <w:tc>
          <w:tcPr>
            <w:tcW w:w="1105" w:type="dxa"/>
            <w:shd w:val="clear" w:color="auto" w:fill="FFFFFF" w:themeFill="background1"/>
            <w:vAlign w:val="center"/>
          </w:tcPr>
          <w:p w14:paraId="40F6453C" w14:textId="7810608D" w:rsidR="004E7F0F" w:rsidRPr="00CA462D" w:rsidRDefault="00CA462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Hamburg East</w:t>
            </w:r>
          </w:p>
        </w:tc>
        <w:tc>
          <w:tcPr>
            <w:tcW w:w="880" w:type="dxa"/>
            <w:shd w:val="clear" w:color="auto" w:fill="FFFFFF" w:themeFill="background1"/>
            <w:vAlign w:val="center"/>
          </w:tcPr>
          <w:p w14:paraId="11C43E4C" w14:textId="058613AC" w:rsidR="00CA462D" w:rsidRPr="00706AF0" w:rsidRDefault="00CA462D" w:rsidP="00327D2E">
            <w:pPr>
              <w:widowControl w:val="0"/>
              <w:spacing w:after="0"/>
              <w:rPr>
                <w:rFonts w:ascii="Arial" w:hAnsi="Arial" w:cs="Arial"/>
                <w:color w:val="000000" w:themeColor="text1"/>
                <w:sz w:val="18"/>
                <w:szCs w:val="18"/>
              </w:rPr>
            </w:pPr>
            <w:r w:rsidRPr="00706AF0">
              <w:rPr>
                <w:rFonts w:ascii="Arial" w:hAnsi="Arial"/>
                <w:color w:val="000000" w:themeColor="text1"/>
                <w:sz w:val="18"/>
                <w:szCs w:val="18"/>
              </w:rPr>
              <w:t>Ware</w:t>
            </w:r>
            <w:r w:rsidR="00706AF0">
              <w:rPr>
                <w:rFonts w:ascii="Arial" w:hAnsi="Arial"/>
                <w:color w:val="000000" w:themeColor="text1"/>
                <w:sz w:val="18"/>
                <w:szCs w:val="18"/>
              </w:rPr>
              <w:t>-</w:t>
            </w:r>
            <w:r w:rsidRPr="00706AF0">
              <w:rPr>
                <w:rFonts w:ascii="Arial" w:hAnsi="Arial"/>
                <w:color w:val="000000" w:themeColor="text1"/>
                <w:sz w:val="18"/>
                <w:szCs w:val="18"/>
              </w:rPr>
              <w:t>house</w:t>
            </w:r>
            <w:r w:rsidR="00706AF0">
              <w:rPr>
                <w:rFonts w:ascii="Arial" w:hAnsi="Arial"/>
                <w:color w:val="000000" w:themeColor="text1"/>
                <w:sz w:val="18"/>
                <w:szCs w:val="18"/>
              </w:rPr>
              <w:t xml:space="preserve"> </w:t>
            </w:r>
            <w:r w:rsidRPr="00706AF0">
              <w:rPr>
                <w:rFonts w:ascii="Arial" w:hAnsi="Arial"/>
                <w:color w:val="000000" w:themeColor="text1"/>
                <w:sz w:val="18"/>
                <w:szCs w:val="18"/>
              </w:rPr>
              <w:t>/</w:t>
            </w:r>
          </w:p>
          <w:p w14:paraId="42CAEC28" w14:textId="73D371DE" w:rsidR="004E7F0F" w:rsidRPr="00CA462D" w:rsidRDefault="00CA462D" w:rsidP="00327D2E">
            <w:pPr>
              <w:widowControl w:val="0"/>
              <w:spacing w:after="0"/>
              <w:rPr>
                <w:rFonts w:ascii="Arial" w:hAnsi="Arial" w:cs="Arial"/>
                <w:color w:val="000000" w:themeColor="text1"/>
                <w:sz w:val="18"/>
                <w:szCs w:val="18"/>
              </w:rPr>
            </w:pPr>
            <w:r w:rsidRPr="00706AF0">
              <w:rPr>
                <w:rFonts w:ascii="Arial" w:hAnsi="Arial"/>
                <w:color w:val="000000" w:themeColor="text1"/>
                <w:sz w:val="18"/>
                <w:szCs w:val="18"/>
              </w:rPr>
              <w:t>logistics</w:t>
            </w:r>
          </w:p>
        </w:tc>
        <w:tc>
          <w:tcPr>
            <w:tcW w:w="1842" w:type="dxa"/>
            <w:shd w:val="clear" w:color="auto" w:fill="FFFFFF" w:themeFill="background1"/>
            <w:vAlign w:val="center"/>
          </w:tcPr>
          <w:p w14:paraId="7DD2A0CE" w14:textId="1EA3E1FE" w:rsidR="004E7F0F" w:rsidRPr="00CA462D" w:rsidRDefault="00CA462D" w:rsidP="00674339">
            <w:pPr>
              <w:widowControl w:val="0"/>
              <w:spacing w:after="0"/>
              <w:rPr>
                <w:rFonts w:ascii="Arial" w:hAnsi="Arial" w:cs="Arial"/>
                <w:color w:val="000000" w:themeColor="text1"/>
                <w:sz w:val="18"/>
                <w:szCs w:val="18"/>
              </w:rPr>
            </w:pPr>
            <w:r>
              <w:rPr>
                <w:rFonts w:ascii="Arial" w:hAnsi="Arial"/>
                <w:color w:val="000000" w:themeColor="text1"/>
                <w:sz w:val="18"/>
                <w:szCs w:val="18"/>
              </w:rPr>
              <w:t>DWS Group</w:t>
            </w:r>
          </w:p>
        </w:tc>
        <w:tc>
          <w:tcPr>
            <w:tcW w:w="2127" w:type="dxa"/>
            <w:shd w:val="clear" w:color="auto" w:fill="FFFFFF" w:themeFill="background1"/>
            <w:vAlign w:val="center"/>
          </w:tcPr>
          <w:p w14:paraId="146FFCB8" w14:textId="07282CD9" w:rsidR="004E7F0F" w:rsidRPr="00CA462D" w:rsidRDefault="00CA462D" w:rsidP="00327D2E">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Fiege</w:t>
            </w:r>
            <w:proofErr w:type="spellEnd"/>
            <w:r>
              <w:rPr>
                <w:rFonts w:ascii="Arial" w:hAnsi="Arial"/>
                <w:color w:val="000000" w:themeColor="text1"/>
                <w:sz w:val="18"/>
                <w:szCs w:val="18"/>
              </w:rPr>
              <w:t xml:space="preserve"> Deutschland</w:t>
            </w:r>
          </w:p>
        </w:tc>
        <w:tc>
          <w:tcPr>
            <w:tcW w:w="1228" w:type="dxa"/>
            <w:shd w:val="clear" w:color="auto" w:fill="FFFFFF" w:themeFill="background1"/>
            <w:vAlign w:val="center"/>
          </w:tcPr>
          <w:p w14:paraId="273ED851" w14:textId="5A62C8F6" w:rsidR="004E7F0F" w:rsidRPr="00CA462D" w:rsidRDefault="00CA462D" w:rsidP="00327D2E">
            <w:pPr>
              <w:widowControl w:val="0"/>
              <w:spacing w:after="0"/>
              <w:jc w:val="right"/>
              <w:rPr>
                <w:rFonts w:ascii="Arial" w:hAnsi="Arial" w:cs="Arial"/>
                <w:color w:val="000000" w:themeColor="text1"/>
                <w:sz w:val="18"/>
                <w:szCs w:val="18"/>
              </w:rPr>
            </w:pPr>
            <w:r>
              <w:rPr>
                <w:rFonts w:ascii="Arial" w:hAnsi="Arial"/>
                <w:color w:val="000000" w:themeColor="text1"/>
                <w:sz w:val="18"/>
                <w:szCs w:val="18"/>
              </w:rPr>
              <w:t>189</w:t>
            </w:r>
          </w:p>
        </w:tc>
      </w:tr>
      <w:tr w:rsidR="00F67E03" w:rsidRPr="00F2414C" w14:paraId="74A28DC9" w14:textId="77777777" w:rsidTr="00C91938">
        <w:trPr>
          <w:trHeight w:val="567"/>
        </w:trPr>
        <w:tc>
          <w:tcPr>
            <w:tcW w:w="2972" w:type="dxa"/>
            <w:shd w:val="clear" w:color="auto" w:fill="D9D9D9" w:themeFill="background1" w:themeFillShade="D9"/>
            <w:vAlign w:val="center"/>
          </w:tcPr>
          <w:p w14:paraId="73FB5DB2" w14:textId="05173C06" w:rsidR="00F67E03" w:rsidRPr="00CA462D" w:rsidRDefault="00400B1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“Multimedia Centre </w:t>
            </w:r>
            <w:proofErr w:type="spellStart"/>
            <w:r>
              <w:rPr>
                <w:rFonts w:ascii="Arial" w:hAnsi="Arial"/>
                <w:color w:val="000000" w:themeColor="text1"/>
                <w:sz w:val="18"/>
                <w:szCs w:val="18"/>
              </w:rPr>
              <w:t>Rotherbaum</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Rothenbaumchaussee</w:t>
            </w:r>
            <w:proofErr w:type="spellEnd"/>
            <w:r>
              <w:rPr>
                <w:rFonts w:ascii="Arial" w:hAnsi="Arial"/>
                <w:color w:val="000000" w:themeColor="text1"/>
                <w:sz w:val="18"/>
                <w:szCs w:val="18"/>
              </w:rPr>
              <w:t xml:space="preserve"> 76-80</w:t>
            </w:r>
          </w:p>
        </w:tc>
        <w:tc>
          <w:tcPr>
            <w:tcW w:w="1105" w:type="dxa"/>
            <w:shd w:val="clear" w:color="auto" w:fill="D9D9D9" w:themeFill="background1" w:themeFillShade="D9"/>
            <w:vAlign w:val="center"/>
          </w:tcPr>
          <w:p w14:paraId="0D46604A" w14:textId="4B3C9680" w:rsidR="00F67E03" w:rsidRPr="00CA462D" w:rsidRDefault="00A42F0D" w:rsidP="00327D2E">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Alster</w:t>
            </w:r>
            <w:proofErr w:type="spellEnd"/>
            <w:r>
              <w:rPr>
                <w:rFonts w:ascii="Arial" w:hAnsi="Arial"/>
                <w:color w:val="000000" w:themeColor="text1"/>
                <w:sz w:val="18"/>
                <w:szCs w:val="18"/>
              </w:rPr>
              <w:t xml:space="preserve"> West</w:t>
            </w:r>
          </w:p>
        </w:tc>
        <w:tc>
          <w:tcPr>
            <w:tcW w:w="880" w:type="dxa"/>
            <w:shd w:val="clear" w:color="auto" w:fill="D9D9D9" w:themeFill="background1" w:themeFillShade="D9"/>
            <w:vAlign w:val="center"/>
          </w:tcPr>
          <w:p w14:paraId="5FE8BCA4" w14:textId="1F3068BB" w:rsidR="00F67E03" w:rsidRPr="00CA462D" w:rsidRDefault="00400B1D" w:rsidP="00327D2E">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842" w:type="dxa"/>
            <w:shd w:val="clear" w:color="auto" w:fill="D9D9D9" w:themeFill="background1" w:themeFillShade="D9"/>
            <w:vAlign w:val="center"/>
          </w:tcPr>
          <w:p w14:paraId="7E99BD89" w14:textId="20FB0239" w:rsidR="00F67E03" w:rsidRPr="00CA462D" w:rsidRDefault="00400B1D" w:rsidP="00674339">
            <w:pPr>
              <w:widowControl w:val="0"/>
              <w:spacing w:after="0"/>
              <w:rPr>
                <w:rFonts w:ascii="Arial" w:hAnsi="Arial" w:cs="Arial"/>
                <w:color w:val="000000" w:themeColor="text1"/>
                <w:sz w:val="18"/>
                <w:szCs w:val="18"/>
              </w:rPr>
            </w:pPr>
            <w:r>
              <w:rPr>
                <w:rFonts w:ascii="Arial" w:hAnsi="Arial"/>
                <w:color w:val="000000" w:themeColor="text1"/>
                <w:sz w:val="18"/>
                <w:szCs w:val="18"/>
              </w:rPr>
              <w:t>Values Real Estate</w:t>
            </w:r>
          </w:p>
        </w:tc>
        <w:tc>
          <w:tcPr>
            <w:tcW w:w="2127" w:type="dxa"/>
            <w:shd w:val="clear" w:color="auto" w:fill="D9D9D9" w:themeFill="background1" w:themeFillShade="D9"/>
            <w:vAlign w:val="center"/>
          </w:tcPr>
          <w:p w14:paraId="6B09286D" w14:textId="70CDF36E" w:rsidR="00F67E03" w:rsidRPr="00CA462D" w:rsidRDefault="00400B1D" w:rsidP="00327D2E">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Vermögensverwaltung</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Jahr</w:t>
            </w:r>
            <w:proofErr w:type="spellEnd"/>
          </w:p>
        </w:tc>
        <w:tc>
          <w:tcPr>
            <w:tcW w:w="1228" w:type="dxa"/>
            <w:shd w:val="clear" w:color="auto" w:fill="D9D9D9" w:themeFill="background1" w:themeFillShade="D9"/>
            <w:vAlign w:val="center"/>
          </w:tcPr>
          <w:p w14:paraId="5960E0F2" w14:textId="688289A1" w:rsidR="00F67E03" w:rsidRPr="00CA462D" w:rsidRDefault="00400B1D" w:rsidP="00327D2E">
            <w:pPr>
              <w:widowControl w:val="0"/>
              <w:spacing w:after="0"/>
              <w:jc w:val="right"/>
              <w:rPr>
                <w:rFonts w:ascii="Arial" w:hAnsi="Arial" w:cs="Arial"/>
                <w:color w:val="000000" w:themeColor="text1"/>
                <w:sz w:val="18"/>
                <w:szCs w:val="18"/>
              </w:rPr>
            </w:pPr>
            <w:r>
              <w:rPr>
                <w:rFonts w:ascii="Arial" w:hAnsi="Arial"/>
                <w:color w:val="000000" w:themeColor="text1"/>
                <w:sz w:val="18"/>
                <w:szCs w:val="18"/>
              </w:rPr>
              <w:t>170</w:t>
            </w:r>
          </w:p>
        </w:tc>
      </w:tr>
      <w:tr w:rsidR="00CA462D" w:rsidRPr="00F2414C" w14:paraId="078EA026" w14:textId="77777777" w:rsidTr="00C91938">
        <w:trPr>
          <w:trHeight w:val="567"/>
        </w:trPr>
        <w:tc>
          <w:tcPr>
            <w:tcW w:w="2972" w:type="dxa"/>
            <w:shd w:val="clear" w:color="auto" w:fill="auto"/>
            <w:vAlign w:val="center"/>
          </w:tcPr>
          <w:p w14:paraId="40BD68E4" w14:textId="77777777" w:rsidR="00CA462D" w:rsidRPr="00CA462D" w:rsidRDefault="00CA462D" w:rsidP="00CA462D">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“Hamburg </w:t>
            </w:r>
            <w:proofErr w:type="spellStart"/>
            <w:r>
              <w:rPr>
                <w:rFonts w:ascii="Arial" w:hAnsi="Arial"/>
                <w:color w:val="000000" w:themeColor="text1"/>
                <w:sz w:val="18"/>
                <w:szCs w:val="18"/>
              </w:rPr>
              <w:t>Süd</w:t>
            </w:r>
            <w:proofErr w:type="spellEnd"/>
            <w:r>
              <w:rPr>
                <w:rFonts w:ascii="Arial" w:hAnsi="Arial"/>
                <w:color w:val="000000" w:themeColor="text1"/>
                <w:sz w:val="18"/>
                <w:szCs w:val="18"/>
              </w:rPr>
              <w:t xml:space="preserve"> House”, </w:t>
            </w:r>
          </w:p>
          <w:p w14:paraId="43C7A864" w14:textId="3D6DBB95" w:rsidR="00CA462D" w:rsidRPr="00CA462D" w:rsidRDefault="00CA462D" w:rsidP="00CA462D">
            <w:pPr>
              <w:widowControl w:val="0"/>
              <w:spacing w:after="0"/>
              <w:rPr>
                <w:rFonts w:ascii="Arial" w:hAnsi="Arial" w:cs="Arial"/>
                <w:color w:val="000000" w:themeColor="text1"/>
                <w:sz w:val="18"/>
                <w:szCs w:val="18"/>
              </w:rPr>
            </w:pPr>
            <w:r>
              <w:rPr>
                <w:rFonts w:ascii="Arial" w:hAnsi="Arial"/>
                <w:color w:val="000000" w:themeColor="text1"/>
                <w:sz w:val="18"/>
                <w:szCs w:val="18"/>
              </w:rPr>
              <w:t>Willy-Brandt-</w:t>
            </w:r>
            <w:proofErr w:type="spellStart"/>
            <w:r>
              <w:rPr>
                <w:rFonts w:ascii="Arial" w:hAnsi="Arial"/>
                <w:color w:val="000000" w:themeColor="text1"/>
                <w:sz w:val="18"/>
                <w:szCs w:val="18"/>
              </w:rPr>
              <w:t>Strasse</w:t>
            </w:r>
            <w:proofErr w:type="spellEnd"/>
            <w:r>
              <w:rPr>
                <w:rFonts w:ascii="Arial" w:hAnsi="Arial"/>
                <w:color w:val="000000" w:themeColor="text1"/>
                <w:sz w:val="18"/>
                <w:szCs w:val="18"/>
              </w:rPr>
              <w:t xml:space="preserve"> 59-63 </w:t>
            </w:r>
          </w:p>
        </w:tc>
        <w:tc>
          <w:tcPr>
            <w:tcW w:w="1105" w:type="dxa"/>
            <w:shd w:val="clear" w:color="auto" w:fill="auto"/>
            <w:vAlign w:val="center"/>
          </w:tcPr>
          <w:p w14:paraId="5D93CD15" w14:textId="35C22B48" w:rsidR="00CA462D" w:rsidRPr="00CA462D" w:rsidRDefault="00CA462D" w:rsidP="00CA462D">
            <w:pPr>
              <w:widowControl w:val="0"/>
              <w:spacing w:after="0"/>
              <w:rPr>
                <w:rFonts w:ascii="Arial" w:hAnsi="Arial" w:cs="Arial"/>
                <w:color w:val="000000" w:themeColor="text1"/>
                <w:sz w:val="18"/>
                <w:szCs w:val="18"/>
              </w:rPr>
            </w:pPr>
            <w:r>
              <w:rPr>
                <w:rFonts w:ascii="Arial" w:hAnsi="Arial"/>
                <w:color w:val="000000" w:themeColor="text1"/>
                <w:sz w:val="18"/>
                <w:szCs w:val="18"/>
              </w:rPr>
              <w:t>City</w:t>
            </w:r>
          </w:p>
        </w:tc>
        <w:tc>
          <w:tcPr>
            <w:tcW w:w="880" w:type="dxa"/>
            <w:shd w:val="clear" w:color="auto" w:fill="auto"/>
            <w:vAlign w:val="center"/>
          </w:tcPr>
          <w:p w14:paraId="0A2F86C8" w14:textId="75032F10" w:rsidR="00CA462D" w:rsidRPr="00CA462D" w:rsidRDefault="00CA462D" w:rsidP="00CA462D">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842" w:type="dxa"/>
            <w:shd w:val="clear" w:color="auto" w:fill="auto"/>
            <w:vAlign w:val="center"/>
          </w:tcPr>
          <w:p w14:paraId="5C526C90" w14:textId="163164B6" w:rsidR="00CA462D" w:rsidRPr="00CA462D" w:rsidRDefault="00CA462D" w:rsidP="00CA462D">
            <w:pPr>
              <w:widowControl w:val="0"/>
              <w:spacing w:after="0"/>
              <w:rPr>
                <w:rFonts w:ascii="Arial" w:hAnsi="Arial" w:cs="Arial"/>
                <w:sz w:val="18"/>
                <w:szCs w:val="18"/>
              </w:rPr>
            </w:pPr>
            <w:r>
              <w:rPr>
                <w:rFonts w:ascii="Arial" w:hAnsi="Arial"/>
                <w:sz w:val="18"/>
                <w:szCs w:val="18"/>
              </w:rPr>
              <w:t>Union Investment.</w:t>
            </w:r>
          </w:p>
        </w:tc>
        <w:tc>
          <w:tcPr>
            <w:tcW w:w="2127" w:type="dxa"/>
            <w:shd w:val="clear" w:color="auto" w:fill="auto"/>
            <w:vAlign w:val="center"/>
          </w:tcPr>
          <w:p w14:paraId="611BBC35" w14:textId="7FF1632B" w:rsidR="00CA462D" w:rsidRPr="00CA462D" w:rsidRDefault="00CA462D" w:rsidP="00CA462D">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Dr.</w:t>
            </w:r>
            <w:proofErr w:type="spellEnd"/>
            <w:r>
              <w:rPr>
                <w:rFonts w:ascii="Arial" w:hAnsi="Arial"/>
                <w:color w:val="000000" w:themeColor="text1"/>
                <w:sz w:val="18"/>
                <w:szCs w:val="18"/>
              </w:rPr>
              <w:t xml:space="preserve"> August </w:t>
            </w:r>
            <w:proofErr w:type="spellStart"/>
            <w:r>
              <w:rPr>
                <w:rFonts w:ascii="Arial" w:hAnsi="Arial"/>
                <w:color w:val="000000" w:themeColor="text1"/>
                <w:sz w:val="18"/>
                <w:szCs w:val="18"/>
              </w:rPr>
              <w:t>Oetker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Nahrungsmittel</w:t>
            </w:r>
            <w:proofErr w:type="spellEnd"/>
            <w:r>
              <w:rPr>
                <w:rFonts w:ascii="Arial" w:hAnsi="Arial"/>
                <w:color w:val="000000" w:themeColor="text1"/>
                <w:sz w:val="18"/>
                <w:szCs w:val="18"/>
              </w:rPr>
              <w:t xml:space="preserve"> </w:t>
            </w:r>
          </w:p>
        </w:tc>
        <w:tc>
          <w:tcPr>
            <w:tcW w:w="1228" w:type="dxa"/>
            <w:shd w:val="clear" w:color="auto" w:fill="auto"/>
            <w:vAlign w:val="center"/>
          </w:tcPr>
          <w:p w14:paraId="00102CAD" w14:textId="6A766CA4" w:rsidR="00CA462D" w:rsidRPr="00CA462D" w:rsidRDefault="00CA462D" w:rsidP="00CA462D">
            <w:pPr>
              <w:widowControl w:val="0"/>
              <w:spacing w:after="0"/>
              <w:jc w:val="right"/>
              <w:rPr>
                <w:rFonts w:ascii="Arial" w:hAnsi="Arial" w:cs="Arial"/>
                <w:color w:val="000000" w:themeColor="text1"/>
                <w:sz w:val="18"/>
                <w:szCs w:val="18"/>
              </w:rPr>
            </w:pPr>
            <w:r>
              <w:rPr>
                <w:rFonts w:ascii="Arial" w:hAnsi="Arial"/>
                <w:color w:val="000000" w:themeColor="text1"/>
                <w:sz w:val="18"/>
                <w:szCs w:val="18"/>
              </w:rPr>
              <w:t>&gt; 150</w:t>
            </w:r>
          </w:p>
        </w:tc>
      </w:tr>
      <w:tr w:rsidR="004E7F0F" w:rsidRPr="006F49D0" w14:paraId="3C103812" w14:textId="77777777" w:rsidTr="00C91938">
        <w:trPr>
          <w:trHeight w:val="567"/>
        </w:trPr>
        <w:tc>
          <w:tcPr>
            <w:tcW w:w="2972" w:type="dxa"/>
            <w:shd w:val="clear" w:color="auto" w:fill="D9D9D9" w:themeFill="background1" w:themeFillShade="D9"/>
            <w:vAlign w:val="center"/>
          </w:tcPr>
          <w:p w14:paraId="029D5084" w14:textId="3DE0C3A1" w:rsidR="004E7F0F" w:rsidRPr="00CA462D" w:rsidRDefault="005F0034" w:rsidP="00327D2E">
            <w:pPr>
              <w:widowControl w:val="0"/>
              <w:spacing w:after="0"/>
              <w:rPr>
                <w:rFonts w:ascii="Arial" w:hAnsi="Arial" w:cs="Arial"/>
                <w:sz w:val="18"/>
                <w:szCs w:val="18"/>
              </w:rPr>
            </w:pPr>
            <w:proofErr w:type="spellStart"/>
            <w:r>
              <w:rPr>
                <w:rFonts w:ascii="Arial" w:hAnsi="Arial"/>
                <w:sz w:val="18"/>
                <w:szCs w:val="18"/>
              </w:rPr>
              <w:t>Norderstrasse</w:t>
            </w:r>
            <w:proofErr w:type="spellEnd"/>
            <w:r>
              <w:rPr>
                <w:rFonts w:ascii="Arial" w:hAnsi="Arial"/>
                <w:sz w:val="18"/>
                <w:szCs w:val="18"/>
              </w:rPr>
              <w:t xml:space="preserve"> 101</w:t>
            </w:r>
          </w:p>
        </w:tc>
        <w:tc>
          <w:tcPr>
            <w:tcW w:w="1105" w:type="dxa"/>
            <w:shd w:val="clear" w:color="auto" w:fill="D9D9D9" w:themeFill="background1" w:themeFillShade="D9"/>
            <w:vAlign w:val="center"/>
          </w:tcPr>
          <w:p w14:paraId="6826776C" w14:textId="545BDE48" w:rsidR="004E7F0F" w:rsidRPr="00CA462D" w:rsidRDefault="005F0034" w:rsidP="00327D2E">
            <w:pPr>
              <w:widowControl w:val="0"/>
              <w:spacing w:after="0"/>
              <w:rPr>
                <w:rFonts w:ascii="Arial" w:hAnsi="Arial" w:cs="Arial"/>
                <w:sz w:val="18"/>
                <w:szCs w:val="18"/>
              </w:rPr>
            </w:pPr>
            <w:r>
              <w:rPr>
                <w:rFonts w:ascii="Arial" w:hAnsi="Arial"/>
                <w:sz w:val="18"/>
                <w:szCs w:val="18"/>
              </w:rPr>
              <w:t>St. Georg</w:t>
            </w:r>
          </w:p>
        </w:tc>
        <w:tc>
          <w:tcPr>
            <w:tcW w:w="880" w:type="dxa"/>
            <w:shd w:val="clear" w:color="auto" w:fill="D9D9D9" w:themeFill="background1" w:themeFillShade="D9"/>
            <w:vAlign w:val="center"/>
          </w:tcPr>
          <w:p w14:paraId="26C04F2B" w14:textId="615543AD" w:rsidR="004E7F0F" w:rsidRPr="00CA462D" w:rsidRDefault="005F0034" w:rsidP="00327D2E">
            <w:pPr>
              <w:widowControl w:val="0"/>
              <w:spacing w:after="0"/>
              <w:rPr>
                <w:rFonts w:ascii="Arial" w:hAnsi="Arial" w:cs="Arial"/>
                <w:sz w:val="18"/>
                <w:szCs w:val="18"/>
              </w:rPr>
            </w:pPr>
            <w:r>
              <w:rPr>
                <w:rFonts w:ascii="Arial" w:hAnsi="Arial"/>
                <w:sz w:val="18"/>
                <w:szCs w:val="18"/>
              </w:rPr>
              <w:t>Offices</w:t>
            </w:r>
          </w:p>
        </w:tc>
        <w:tc>
          <w:tcPr>
            <w:tcW w:w="1842" w:type="dxa"/>
            <w:shd w:val="clear" w:color="auto" w:fill="D9D9D9" w:themeFill="background1" w:themeFillShade="D9"/>
            <w:vAlign w:val="center"/>
          </w:tcPr>
          <w:p w14:paraId="3AA9E270" w14:textId="3E346E30" w:rsidR="004E7F0F" w:rsidRPr="00CA462D" w:rsidRDefault="005F0034" w:rsidP="00327D2E">
            <w:pPr>
              <w:widowControl w:val="0"/>
              <w:spacing w:after="0"/>
              <w:rPr>
                <w:rFonts w:ascii="Arial" w:hAnsi="Arial" w:cs="Arial"/>
                <w:sz w:val="18"/>
                <w:szCs w:val="18"/>
              </w:rPr>
            </w:pPr>
            <w:r>
              <w:rPr>
                <w:rFonts w:ascii="Arial" w:hAnsi="Arial"/>
                <w:sz w:val="18"/>
                <w:szCs w:val="18"/>
              </w:rPr>
              <w:t xml:space="preserve">B &amp; L </w:t>
            </w:r>
            <w:proofErr w:type="spellStart"/>
            <w:r>
              <w:rPr>
                <w:rFonts w:ascii="Arial" w:hAnsi="Arial"/>
                <w:sz w:val="18"/>
                <w:szCs w:val="18"/>
              </w:rPr>
              <w:t>Gruppe</w:t>
            </w:r>
            <w:proofErr w:type="spellEnd"/>
          </w:p>
        </w:tc>
        <w:tc>
          <w:tcPr>
            <w:tcW w:w="2127" w:type="dxa"/>
            <w:shd w:val="clear" w:color="auto" w:fill="D9D9D9" w:themeFill="background1" w:themeFillShade="D9"/>
            <w:vAlign w:val="center"/>
          </w:tcPr>
          <w:p w14:paraId="2260B6E9" w14:textId="7D862071" w:rsidR="004E7F0F" w:rsidRPr="00CA462D" w:rsidRDefault="00FE0368" w:rsidP="00FE0368">
            <w:pPr>
              <w:widowControl w:val="0"/>
              <w:spacing w:after="0"/>
              <w:rPr>
                <w:rFonts w:ascii="Arial" w:hAnsi="Arial" w:cs="Arial"/>
                <w:sz w:val="18"/>
                <w:szCs w:val="18"/>
              </w:rPr>
            </w:pPr>
            <w:proofErr w:type="spellStart"/>
            <w:r>
              <w:rPr>
                <w:rFonts w:ascii="Arial" w:hAnsi="Arial"/>
                <w:sz w:val="18"/>
                <w:szCs w:val="18"/>
              </w:rPr>
              <w:t>Commerz</w:t>
            </w:r>
            <w:proofErr w:type="spellEnd"/>
            <w:r>
              <w:rPr>
                <w:rFonts w:ascii="Arial" w:hAnsi="Arial"/>
                <w:sz w:val="18"/>
                <w:szCs w:val="18"/>
              </w:rPr>
              <w:t xml:space="preserve"> Real</w:t>
            </w:r>
          </w:p>
        </w:tc>
        <w:tc>
          <w:tcPr>
            <w:tcW w:w="1228" w:type="dxa"/>
            <w:shd w:val="clear" w:color="auto" w:fill="D9D9D9" w:themeFill="background1" w:themeFillShade="D9"/>
            <w:vAlign w:val="center"/>
          </w:tcPr>
          <w:p w14:paraId="7355C269" w14:textId="4CC09CB9" w:rsidR="004E7F0F" w:rsidRPr="00CA462D" w:rsidRDefault="005F0034" w:rsidP="00327D2E">
            <w:pPr>
              <w:widowControl w:val="0"/>
              <w:spacing w:after="0"/>
              <w:jc w:val="right"/>
              <w:rPr>
                <w:rFonts w:ascii="Arial" w:hAnsi="Arial" w:cs="Arial"/>
                <w:sz w:val="18"/>
                <w:szCs w:val="18"/>
              </w:rPr>
            </w:pPr>
            <w:r>
              <w:rPr>
                <w:rFonts w:ascii="Arial" w:hAnsi="Arial"/>
                <w:sz w:val="18"/>
                <w:szCs w:val="18"/>
              </w:rPr>
              <w:t>150</w:t>
            </w:r>
          </w:p>
        </w:tc>
      </w:tr>
    </w:tbl>
    <w:p w14:paraId="76290F15" w14:textId="5B724C1D" w:rsidR="00CA462D" w:rsidRDefault="004E7F0F" w:rsidP="00CA462D">
      <w:pPr>
        <w:widowControl w:val="0"/>
        <w:spacing w:after="0"/>
        <w:rPr>
          <w:rFonts w:ascii="Arial" w:hAnsi="Arial" w:cs="Arial"/>
          <w:sz w:val="16"/>
          <w:szCs w:val="16"/>
        </w:rPr>
      </w:pPr>
      <w:r>
        <w:rPr>
          <w:rFonts w:ascii="Arial" w:hAnsi="Arial"/>
          <w:sz w:val="16"/>
          <w:szCs w:val="16"/>
        </w:rPr>
        <w:t>*The purchase prices stated are based on publicly available data, where none is available an estimate is made; transactions occurring in the quarter dealt with in this report are highlighted.</w:t>
      </w:r>
    </w:p>
    <w:p w14:paraId="373A4382" w14:textId="3E06F6AA" w:rsidR="004E7F0F" w:rsidRDefault="004E7F0F" w:rsidP="004E7F0F">
      <w:pPr>
        <w:spacing w:after="0"/>
        <w:rPr>
          <w:rFonts w:ascii="Arial" w:eastAsia="Arial" w:hAnsi="Arial" w:cs="Arial"/>
          <w:color w:val="000000" w:themeColor="text1"/>
          <w:sz w:val="20"/>
          <w:szCs w:val="20"/>
        </w:rPr>
      </w:pPr>
    </w:p>
    <w:p w14:paraId="513CABD7" w14:textId="77777777" w:rsidR="004E7F0F" w:rsidRDefault="004E7F0F" w:rsidP="004E7F0F">
      <w:pPr>
        <w:spacing w:after="0"/>
        <w:rPr>
          <w:rFonts w:ascii="Arial" w:eastAsia="Arial" w:hAnsi="Arial" w:cs="Arial"/>
          <w:color w:val="000000" w:themeColor="text1"/>
          <w:sz w:val="20"/>
          <w:szCs w:val="20"/>
        </w:rPr>
      </w:pPr>
    </w:p>
    <w:p w14:paraId="1F993A3D" w14:textId="6C43FE09" w:rsidR="004E7F0F" w:rsidRPr="00BF0D75" w:rsidRDefault="004E7F0F" w:rsidP="004E7F0F">
      <w:pPr>
        <w:spacing w:after="0" w:line="360" w:lineRule="auto"/>
        <w:rPr>
          <w:rFonts w:ascii="Arial" w:hAnsi="Arial" w:cs="Arial"/>
          <w:sz w:val="18"/>
          <w:szCs w:val="18"/>
        </w:rPr>
      </w:pPr>
      <w:r w:rsidRPr="00BF0D75">
        <w:rPr>
          <w:rFonts w:ascii="Arial" w:hAnsi="Arial" w:cs="Arial"/>
          <w:color w:val="000000" w:themeColor="text1"/>
          <w:sz w:val="18"/>
          <w:szCs w:val="18"/>
        </w:rPr>
        <w:t xml:space="preserve">The complete </w:t>
      </w:r>
      <w:hyperlink r:id="rId9" w:history="1">
        <w:r w:rsidRPr="00BF0D75">
          <w:rPr>
            <w:rStyle w:val="Hyperlink"/>
            <w:rFonts w:ascii="Arial" w:hAnsi="Arial" w:cs="Arial"/>
            <w:sz w:val="18"/>
            <w:szCs w:val="18"/>
          </w:rPr>
          <w:t>investment market survey</w:t>
        </w:r>
      </w:hyperlink>
      <w:r w:rsidRPr="00BF0D75">
        <w:rPr>
          <w:rFonts w:ascii="Arial" w:hAnsi="Arial" w:cs="Arial"/>
          <w:color w:val="000000" w:themeColor="text1"/>
          <w:sz w:val="18"/>
          <w:szCs w:val="18"/>
        </w:rPr>
        <w:t xml:space="preserve"> will soon be available and can be downloaded from our website.</w:t>
      </w:r>
    </w:p>
    <w:p w14:paraId="545BF58C" w14:textId="77777777" w:rsidR="004E7F0F" w:rsidRDefault="004E7F0F" w:rsidP="004E7F0F">
      <w:pPr>
        <w:spacing w:after="0" w:line="360" w:lineRule="auto"/>
        <w:rPr>
          <w:rFonts w:ascii="Arial" w:hAnsi="Arial" w:cs="Arial"/>
          <w:b/>
          <w:sz w:val="16"/>
          <w:szCs w:val="16"/>
        </w:rPr>
      </w:pPr>
    </w:p>
    <w:p w14:paraId="66E7EF52" w14:textId="77777777" w:rsidR="004E7F0F" w:rsidRPr="0090748B" w:rsidRDefault="004E7F0F" w:rsidP="004E7F0F">
      <w:pPr>
        <w:spacing w:after="0" w:line="360" w:lineRule="auto"/>
        <w:rPr>
          <w:rFonts w:ascii="Arial" w:hAnsi="Arial" w:cs="Arial"/>
          <w:b/>
          <w:sz w:val="16"/>
          <w:szCs w:val="16"/>
        </w:rPr>
      </w:pPr>
      <w:r>
        <w:rPr>
          <w:rFonts w:ascii="Arial" w:hAnsi="Arial"/>
          <w:b/>
          <w:sz w:val="16"/>
          <w:szCs w:val="16"/>
        </w:rPr>
        <w:t>About Grossmann &amp; Berger</w:t>
      </w:r>
    </w:p>
    <w:p w14:paraId="774D9BE5" w14:textId="536DB96D" w:rsidR="000B39AB" w:rsidRPr="000B39AB" w:rsidRDefault="00056485" w:rsidP="000B39AB">
      <w:pPr>
        <w:spacing w:after="0" w:line="360" w:lineRule="auto"/>
        <w:rPr>
          <w:rFonts w:ascii="Arial" w:hAnsi="Arial" w:cs="Arial"/>
          <w:sz w:val="16"/>
          <w:szCs w:val="16"/>
        </w:rPr>
      </w:pPr>
      <w:hyperlink r:id="rId10" w:history="1">
        <w:r w:rsidR="000B39AB">
          <w:rPr>
            <w:rStyle w:val="Hyperlink"/>
            <w:rFonts w:ascii="Arial" w:hAnsi="Arial"/>
            <w:snapToGrid w:val="0"/>
            <w:sz w:val="16"/>
            <w:szCs w:val="16"/>
          </w:rPr>
          <w:t>Grossmann &amp; Berger GmbH</w:t>
        </w:r>
      </w:hyperlink>
      <w:r w:rsidR="000B39AB">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0B39AB">
          <w:rPr>
            <w:rStyle w:val="Hyperlink"/>
            <w:rFonts w:ascii="Arial" w:hAnsi="Arial"/>
            <w:snapToGrid w:val="0"/>
            <w:sz w:val="16"/>
            <w:szCs w:val="16"/>
          </w:rPr>
          <w:t>E &amp; G Real Estate</w:t>
        </w:r>
      </w:hyperlink>
      <w:r w:rsidR="00706AF0">
        <w:rPr>
          <w:rFonts w:ascii="Arial" w:hAnsi="Arial"/>
          <w:snapToGrid w:val="0"/>
          <w:sz w:val="16"/>
          <w:szCs w:val="16"/>
        </w:rPr>
        <w:t xml:space="preserve"> and </w:t>
      </w:r>
      <w:hyperlink r:id="rId12" w:history="1">
        <w:r w:rsidR="000B39AB">
          <w:rPr>
            <w:rStyle w:val="Hyperlink"/>
            <w:rFonts w:ascii="Arial" w:hAnsi="Arial"/>
            <w:snapToGrid w:val="0"/>
            <w:sz w:val="16"/>
            <w:szCs w:val="16"/>
          </w:rPr>
          <w:t xml:space="preserve">E &amp; G Private </w:t>
        </w:r>
        <w:proofErr w:type="spellStart"/>
        <w:r w:rsidR="000B39AB">
          <w:rPr>
            <w:rStyle w:val="Hyperlink"/>
            <w:rFonts w:ascii="Arial" w:hAnsi="Arial"/>
            <w:snapToGrid w:val="0"/>
            <w:sz w:val="16"/>
            <w:szCs w:val="16"/>
          </w:rPr>
          <w:t>Immobilien</w:t>
        </w:r>
        <w:proofErr w:type="spellEnd"/>
      </w:hyperlink>
      <w:r w:rsidR="000B39AB">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0B39AB">
        <w:rPr>
          <w:rFonts w:ascii="Arial" w:hAnsi="Arial"/>
          <w:sz w:val="16"/>
          <w:szCs w:val="16"/>
        </w:rPr>
        <w:t xml:space="preserve">Grossmann &amp; Berger belongs to the HASPA Group and is a founding member of the national commercial real estate network </w:t>
      </w:r>
      <w:hyperlink r:id="rId13" w:history="1">
        <w:r w:rsidR="000B39AB">
          <w:rPr>
            <w:rStyle w:val="Hyperlink"/>
            <w:rFonts w:ascii="Arial" w:hAnsi="Arial"/>
            <w:sz w:val="16"/>
            <w:szCs w:val="16"/>
          </w:rPr>
          <w:t>German Property Partners</w:t>
        </w:r>
      </w:hyperlink>
      <w:r w:rsidR="000B39AB">
        <w:rPr>
          <w:rFonts w:ascii="Arial" w:hAnsi="Arial"/>
          <w:sz w:val="16"/>
          <w:szCs w:val="16"/>
        </w:rPr>
        <w:t xml:space="preserve"> (GPP).</w:t>
      </w:r>
    </w:p>
    <w:p w14:paraId="0C3EF407" w14:textId="77777777" w:rsidR="004E7F0F" w:rsidRDefault="004E7F0F" w:rsidP="004E7F0F">
      <w:pPr>
        <w:spacing w:after="0" w:line="360" w:lineRule="auto"/>
        <w:rPr>
          <w:rFonts w:ascii="Arial" w:hAnsi="Arial" w:cs="Arial"/>
          <w:sz w:val="20"/>
          <w:szCs w:val="20"/>
        </w:rPr>
      </w:pPr>
    </w:p>
    <w:p w14:paraId="51C1AA4D" w14:textId="0BE70DBA" w:rsidR="00046FEC" w:rsidRPr="00FD140F" w:rsidRDefault="004E7F0F" w:rsidP="005E3A2A">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046FEC" w:rsidRPr="00FD140F"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A6D2" w14:textId="77777777" w:rsidR="00030FB3" w:rsidRDefault="00030FB3">
      <w:r>
        <w:separator/>
      </w:r>
    </w:p>
  </w:endnote>
  <w:endnote w:type="continuationSeparator" w:id="0">
    <w:p w14:paraId="7799C9BC" w14:textId="77777777" w:rsidR="00030FB3" w:rsidRDefault="0003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A14304B"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440A7EF" w14:textId="594F0927"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05648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05648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91D0" w14:textId="77777777" w:rsidR="00030FB3" w:rsidRDefault="00030FB3">
      <w:r>
        <w:separator/>
      </w:r>
    </w:p>
  </w:footnote>
  <w:footnote w:type="continuationSeparator" w:id="0">
    <w:p w14:paraId="21C00944" w14:textId="77777777" w:rsidR="00030FB3" w:rsidRDefault="0003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565DED62">
              <wp:simplePos x="0" y="0"/>
              <wp:positionH relativeFrom="margin">
                <wp:posOffset>-74930</wp:posOffset>
              </wp:positionH>
              <wp:positionV relativeFrom="paragraph">
                <wp:posOffset>42530</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143866D2"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3.35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" filled="f" stroked="f">
              <v:textbox>
                <w:txbxContent>
                  <w:p w14:paraId="49DF3728" w14:textId="143866D2"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55D8E217">
              <wp:simplePos x="0" y="0"/>
              <wp:positionH relativeFrom="margin">
                <wp:posOffset>-92267</wp:posOffset>
              </wp:positionH>
              <wp:positionV relativeFrom="paragraph">
                <wp:posOffset>9525</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6FD8213F"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7.25pt;margin-top:.75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" filled="f" stroked="f">
              <v:textbox>
                <w:txbxContent>
                  <w:p w14:paraId="296CAEDD" w14:textId="6FD8213F"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8A2E2B"/>
    <w:multiLevelType w:val="hybridMultilevel"/>
    <w:tmpl w:val="8C66C3F0"/>
    <w:lvl w:ilvl="0" w:tplc="B84AA822">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1"/>
  </w:num>
  <w:num w:numId="17">
    <w:abstractNumId w:val="13"/>
  </w:num>
  <w:num w:numId="18">
    <w:abstractNumId w:val="1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92D"/>
    <w:rsid w:val="000159FE"/>
    <w:rsid w:val="00022F16"/>
    <w:rsid w:val="00023D78"/>
    <w:rsid w:val="00027644"/>
    <w:rsid w:val="0003075C"/>
    <w:rsid w:val="00030FB3"/>
    <w:rsid w:val="00034842"/>
    <w:rsid w:val="000418C7"/>
    <w:rsid w:val="000464D0"/>
    <w:rsid w:val="00046FEC"/>
    <w:rsid w:val="00056485"/>
    <w:rsid w:val="00060743"/>
    <w:rsid w:val="000615E2"/>
    <w:rsid w:val="000623C0"/>
    <w:rsid w:val="00064A03"/>
    <w:rsid w:val="00064CAC"/>
    <w:rsid w:val="00066796"/>
    <w:rsid w:val="0006773E"/>
    <w:rsid w:val="00075002"/>
    <w:rsid w:val="000766D7"/>
    <w:rsid w:val="0007670A"/>
    <w:rsid w:val="00080F27"/>
    <w:rsid w:val="00081461"/>
    <w:rsid w:val="000834E2"/>
    <w:rsid w:val="000A517C"/>
    <w:rsid w:val="000A5ED1"/>
    <w:rsid w:val="000A6AE3"/>
    <w:rsid w:val="000A72C3"/>
    <w:rsid w:val="000B0335"/>
    <w:rsid w:val="000B1606"/>
    <w:rsid w:val="000B3315"/>
    <w:rsid w:val="000B39AB"/>
    <w:rsid w:val="000B3A6C"/>
    <w:rsid w:val="000B7D28"/>
    <w:rsid w:val="000C74B2"/>
    <w:rsid w:val="000C770D"/>
    <w:rsid w:val="000D48D4"/>
    <w:rsid w:val="000D75CE"/>
    <w:rsid w:val="000D7F9A"/>
    <w:rsid w:val="000E03F3"/>
    <w:rsid w:val="000E22CA"/>
    <w:rsid w:val="000E49CB"/>
    <w:rsid w:val="000E7BC7"/>
    <w:rsid w:val="000F5742"/>
    <w:rsid w:val="0010158E"/>
    <w:rsid w:val="001029C4"/>
    <w:rsid w:val="00107758"/>
    <w:rsid w:val="00111400"/>
    <w:rsid w:val="0011486D"/>
    <w:rsid w:val="00117D5D"/>
    <w:rsid w:val="00117EF7"/>
    <w:rsid w:val="00121E33"/>
    <w:rsid w:val="00126550"/>
    <w:rsid w:val="00127DF7"/>
    <w:rsid w:val="001324D6"/>
    <w:rsid w:val="00132522"/>
    <w:rsid w:val="00135BD2"/>
    <w:rsid w:val="00135E09"/>
    <w:rsid w:val="00153417"/>
    <w:rsid w:val="00154825"/>
    <w:rsid w:val="0017364E"/>
    <w:rsid w:val="0017516B"/>
    <w:rsid w:val="00176F1D"/>
    <w:rsid w:val="0018068D"/>
    <w:rsid w:val="00180801"/>
    <w:rsid w:val="001871BC"/>
    <w:rsid w:val="001A2ABE"/>
    <w:rsid w:val="001A360C"/>
    <w:rsid w:val="001B577C"/>
    <w:rsid w:val="001C0A59"/>
    <w:rsid w:val="001C6C7B"/>
    <w:rsid w:val="001D14DA"/>
    <w:rsid w:val="001D43BB"/>
    <w:rsid w:val="001D645F"/>
    <w:rsid w:val="001D64B8"/>
    <w:rsid w:val="001E1172"/>
    <w:rsid w:val="001E6995"/>
    <w:rsid w:val="001F1513"/>
    <w:rsid w:val="001F1ECE"/>
    <w:rsid w:val="001F3C3A"/>
    <w:rsid w:val="0020062D"/>
    <w:rsid w:val="00201E4A"/>
    <w:rsid w:val="00205769"/>
    <w:rsid w:val="00212FEC"/>
    <w:rsid w:val="002131BB"/>
    <w:rsid w:val="00213F07"/>
    <w:rsid w:val="00214952"/>
    <w:rsid w:val="0022086D"/>
    <w:rsid w:val="00223C8C"/>
    <w:rsid w:val="00227E31"/>
    <w:rsid w:val="00230F81"/>
    <w:rsid w:val="002341EE"/>
    <w:rsid w:val="002353AA"/>
    <w:rsid w:val="00237341"/>
    <w:rsid w:val="00241526"/>
    <w:rsid w:val="00242D24"/>
    <w:rsid w:val="002462B6"/>
    <w:rsid w:val="00251FC5"/>
    <w:rsid w:val="00252F40"/>
    <w:rsid w:val="00253412"/>
    <w:rsid w:val="00254C6F"/>
    <w:rsid w:val="002550BA"/>
    <w:rsid w:val="00255679"/>
    <w:rsid w:val="00257596"/>
    <w:rsid w:val="0027266B"/>
    <w:rsid w:val="00274734"/>
    <w:rsid w:val="00277361"/>
    <w:rsid w:val="00281DE9"/>
    <w:rsid w:val="00281E80"/>
    <w:rsid w:val="002834B0"/>
    <w:rsid w:val="00283671"/>
    <w:rsid w:val="00284A5D"/>
    <w:rsid w:val="00284E27"/>
    <w:rsid w:val="00294B7D"/>
    <w:rsid w:val="002A1973"/>
    <w:rsid w:val="002A59CD"/>
    <w:rsid w:val="002B14F6"/>
    <w:rsid w:val="002B7C7F"/>
    <w:rsid w:val="002C055A"/>
    <w:rsid w:val="002C2392"/>
    <w:rsid w:val="002C450A"/>
    <w:rsid w:val="002D1C5C"/>
    <w:rsid w:val="002D1E20"/>
    <w:rsid w:val="002E2A92"/>
    <w:rsid w:val="002E6860"/>
    <w:rsid w:val="002E7AA5"/>
    <w:rsid w:val="002F0411"/>
    <w:rsid w:val="002F1F2D"/>
    <w:rsid w:val="002F767E"/>
    <w:rsid w:val="00301F3A"/>
    <w:rsid w:val="003044F7"/>
    <w:rsid w:val="00304D7A"/>
    <w:rsid w:val="003079E3"/>
    <w:rsid w:val="00313876"/>
    <w:rsid w:val="003246F0"/>
    <w:rsid w:val="00325E2A"/>
    <w:rsid w:val="00326066"/>
    <w:rsid w:val="00326349"/>
    <w:rsid w:val="003272F3"/>
    <w:rsid w:val="003372CA"/>
    <w:rsid w:val="0034064A"/>
    <w:rsid w:val="00345716"/>
    <w:rsid w:val="00346814"/>
    <w:rsid w:val="0034786C"/>
    <w:rsid w:val="00347A18"/>
    <w:rsid w:val="00350D85"/>
    <w:rsid w:val="00350F54"/>
    <w:rsid w:val="00351477"/>
    <w:rsid w:val="003517C9"/>
    <w:rsid w:val="00351DCD"/>
    <w:rsid w:val="0035408E"/>
    <w:rsid w:val="00357EC4"/>
    <w:rsid w:val="003627E1"/>
    <w:rsid w:val="00365AF8"/>
    <w:rsid w:val="00370000"/>
    <w:rsid w:val="00373507"/>
    <w:rsid w:val="0038230E"/>
    <w:rsid w:val="00382529"/>
    <w:rsid w:val="0038350F"/>
    <w:rsid w:val="00396CE0"/>
    <w:rsid w:val="003A00C9"/>
    <w:rsid w:val="003A1687"/>
    <w:rsid w:val="003A25A4"/>
    <w:rsid w:val="003A3109"/>
    <w:rsid w:val="003A32F7"/>
    <w:rsid w:val="003B19F4"/>
    <w:rsid w:val="003B49E4"/>
    <w:rsid w:val="003B4CCF"/>
    <w:rsid w:val="003B6CD4"/>
    <w:rsid w:val="003C1693"/>
    <w:rsid w:val="003C5218"/>
    <w:rsid w:val="003C6AB4"/>
    <w:rsid w:val="003C71DF"/>
    <w:rsid w:val="003E099F"/>
    <w:rsid w:val="003E27B4"/>
    <w:rsid w:val="003E4DF9"/>
    <w:rsid w:val="003F1A91"/>
    <w:rsid w:val="003F665D"/>
    <w:rsid w:val="0040086D"/>
    <w:rsid w:val="00400B1D"/>
    <w:rsid w:val="004017D8"/>
    <w:rsid w:val="00405D59"/>
    <w:rsid w:val="00411E03"/>
    <w:rsid w:val="004123B1"/>
    <w:rsid w:val="004138B8"/>
    <w:rsid w:val="00417F4D"/>
    <w:rsid w:val="004269AC"/>
    <w:rsid w:val="00426E13"/>
    <w:rsid w:val="004303A1"/>
    <w:rsid w:val="00440DC9"/>
    <w:rsid w:val="004450C4"/>
    <w:rsid w:val="00445DF9"/>
    <w:rsid w:val="004506D2"/>
    <w:rsid w:val="00456F40"/>
    <w:rsid w:val="004609BD"/>
    <w:rsid w:val="004611DC"/>
    <w:rsid w:val="004661EE"/>
    <w:rsid w:val="00466741"/>
    <w:rsid w:val="00470064"/>
    <w:rsid w:val="00471107"/>
    <w:rsid w:val="0047198B"/>
    <w:rsid w:val="004818CE"/>
    <w:rsid w:val="0049059E"/>
    <w:rsid w:val="004966E3"/>
    <w:rsid w:val="004A2BEA"/>
    <w:rsid w:val="004A3C64"/>
    <w:rsid w:val="004A5AEA"/>
    <w:rsid w:val="004B2694"/>
    <w:rsid w:val="004B2FDA"/>
    <w:rsid w:val="004B480A"/>
    <w:rsid w:val="004B5A6D"/>
    <w:rsid w:val="004B5FB0"/>
    <w:rsid w:val="004C0CA2"/>
    <w:rsid w:val="004D50C0"/>
    <w:rsid w:val="004D772A"/>
    <w:rsid w:val="004E339B"/>
    <w:rsid w:val="004E4273"/>
    <w:rsid w:val="004E4562"/>
    <w:rsid w:val="004E7F0F"/>
    <w:rsid w:val="004F077F"/>
    <w:rsid w:val="004F78B4"/>
    <w:rsid w:val="005023DD"/>
    <w:rsid w:val="00503D8C"/>
    <w:rsid w:val="00511179"/>
    <w:rsid w:val="0051170E"/>
    <w:rsid w:val="00511F14"/>
    <w:rsid w:val="0051485A"/>
    <w:rsid w:val="00522B84"/>
    <w:rsid w:val="00531A7F"/>
    <w:rsid w:val="00534BAD"/>
    <w:rsid w:val="005360E8"/>
    <w:rsid w:val="005412D0"/>
    <w:rsid w:val="005428C5"/>
    <w:rsid w:val="00543C55"/>
    <w:rsid w:val="0054412E"/>
    <w:rsid w:val="0055393B"/>
    <w:rsid w:val="005554C7"/>
    <w:rsid w:val="00556F58"/>
    <w:rsid w:val="0055704F"/>
    <w:rsid w:val="0055723A"/>
    <w:rsid w:val="00567D57"/>
    <w:rsid w:val="00571004"/>
    <w:rsid w:val="00573D11"/>
    <w:rsid w:val="0057685F"/>
    <w:rsid w:val="00577B63"/>
    <w:rsid w:val="00582B99"/>
    <w:rsid w:val="00590903"/>
    <w:rsid w:val="00597258"/>
    <w:rsid w:val="005A617A"/>
    <w:rsid w:val="005A6282"/>
    <w:rsid w:val="005B0FC9"/>
    <w:rsid w:val="005B24B2"/>
    <w:rsid w:val="005B66D3"/>
    <w:rsid w:val="005B7D91"/>
    <w:rsid w:val="005B7EC3"/>
    <w:rsid w:val="005C108C"/>
    <w:rsid w:val="005C422A"/>
    <w:rsid w:val="005C4556"/>
    <w:rsid w:val="005C5302"/>
    <w:rsid w:val="005D307B"/>
    <w:rsid w:val="005E362E"/>
    <w:rsid w:val="005E3A2A"/>
    <w:rsid w:val="005E43B3"/>
    <w:rsid w:val="005F0034"/>
    <w:rsid w:val="005F69D4"/>
    <w:rsid w:val="005F7593"/>
    <w:rsid w:val="006029D7"/>
    <w:rsid w:val="00606BFF"/>
    <w:rsid w:val="00606E35"/>
    <w:rsid w:val="0061109D"/>
    <w:rsid w:val="006110BE"/>
    <w:rsid w:val="0061138B"/>
    <w:rsid w:val="00612AA0"/>
    <w:rsid w:val="006138CB"/>
    <w:rsid w:val="006142A4"/>
    <w:rsid w:val="0062200D"/>
    <w:rsid w:val="006224C4"/>
    <w:rsid w:val="006225EA"/>
    <w:rsid w:val="006261DF"/>
    <w:rsid w:val="00631936"/>
    <w:rsid w:val="006321DC"/>
    <w:rsid w:val="00641270"/>
    <w:rsid w:val="00642074"/>
    <w:rsid w:val="006424F8"/>
    <w:rsid w:val="00656049"/>
    <w:rsid w:val="00672C84"/>
    <w:rsid w:val="00674339"/>
    <w:rsid w:val="00681CAB"/>
    <w:rsid w:val="00682CFC"/>
    <w:rsid w:val="006842EF"/>
    <w:rsid w:val="00685030"/>
    <w:rsid w:val="00692D4F"/>
    <w:rsid w:val="00693E35"/>
    <w:rsid w:val="0069559B"/>
    <w:rsid w:val="00695E58"/>
    <w:rsid w:val="0069613C"/>
    <w:rsid w:val="0069757D"/>
    <w:rsid w:val="006A1329"/>
    <w:rsid w:val="006A66F9"/>
    <w:rsid w:val="006B4303"/>
    <w:rsid w:val="006B7CF3"/>
    <w:rsid w:val="006D024C"/>
    <w:rsid w:val="006E3B3D"/>
    <w:rsid w:val="006E5C9C"/>
    <w:rsid w:val="006F1774"/>
    <w:rsid w:val="006F292B"/>
    <w:rsid w:val="006F6A03"/>
    <w:rsid w:val="00706AF0"/>
    <w:rsid w:val="00713D81"/>
    <w:rsid w:val="00717A20"/>
    <w:rsid w:val="00720DFF"/>
    <w:rsid w:val="00723A2A"/>
    <w:rsid w:val="007265F3"/>
    <w:rsid w:val="00730E23"/>
    <w:rsid w:val="00753311"/>
    <w:rsid w:val="00754513"/>
    <w:rsid w:val="00762CC5"/>
    <w:rsid w:val="00762F85"/>
    <w:rsid w:val="00767063"/>
    <w:rsid w:val="007906B4"/>
    <w:rsid w:val="007970A0"/>
    <w:rsid w:val="00797E4F"/>
    <w:rsid w:val="007A314C"/>
    <w:rsid w:val="007A3CB9"/>
    <w:rsid w:val="007B215B"/>
    <w:rsid w:val="007B4617"/>
    <w:rsid w:val="007C26B6"/>
    <w:rsid w:val="007C2D96"/>
    <w:rsid w:val="007E759D"/>
    <w:rsid w:val="007F2DBE"/>
    <w:rsid w:val="007F33B6"/>
    <w:rsid w:val="007F642D"/>
    <w:rsid w:val="007F756A"/>
    <w:rsid w:val="00800E2C"/>
    <w:rsid w:val="0080214D"/>
    <w:rsid w:val="00812471"/>
    <w:rsid w:val="00814A90"/>
    <w:rsid w:val="008261A5"/>
    <w:rsid w:val="008327E5"/>
    <w:rsid w:val="0083382E"/>
    <w:rsid w:val="00844AAC"/>
    <w:rsid w:val="0085354A"/>
    <w:rsid w:val="00855325"/>
    <w:rsid w:val="00862E34"/>
    <w:rsid w:val="008634F3"/>
    <w:rsid w:val="008652FA"/>
    <w:rsid w:val="00865915"/>
    <w:rsid w:val="008661AA"/>
    <w:rsid w:val="00871832"/>
    <w:rsid w:val="00875E9B"/>
    <w:rsid w:val="00876FCA"/>
    <w:rsid w:val="00881B0A"/>
    <w:rsid w:val="00886CCE"/>
    <w:rsid w:val="008942C6"/>
    <w:rsid w:val="00896B33"/>
    <w:rsid w:val="00897DBE"/>
    <w:rsid w:val="008A2995"/>
    <w:rsid w:val="008A2BA4"/>
    <w:rsid w:val="008A62FB"/>
    <w:rsid w:val="008A77B7"/>
    <w:rsid w:val="008B0F67"/>
    <w:rsid w:val="008B297B"/>
    <w:rsid w:val="008B3833"/>
    <w:rsid w:val="008C0535"/>
    <w:rsid w:val="008C0BCD"/>
    <w:rsid w:val="008C0BD9"/>
    <w:rsid w:val="008C42AF"/>
    <w:rsid w:val="008C608D"/>
    <w:rsid w:val="008D1F37"/>
    <w:rsid w:val="008E14BE"/>
    <w:rsid w:val="008E3F75"/>
    <w:rsid w:val="008E461D"/>
    <w:rsid w:val="008E5520"/>
    <w:rsid w:val="008F08E5"/>
    <w:rsid w:val="008F097F"/>
    <w:rsid w:val="008F0EA4"/>
    <w:rsid w:val="008F10B9"/>
    <w:rsid w:val="008F38F6"/>
    <w:rsid w:val="008F5213"/>
    <w:rsid w:val="008F67E7"/>
    <w:rsid w:val="008F6B2D"/>
    <w:rsid w:val="009000CF"/>
    <w:rsid w:val="009050B3"/>
    <w:rsid w:val="00906FC5"/>
    <w:rsid w:val="0090748B"/>
    <w:rsid w:val="00913CFE"/>
    <w:rsid w:val="00914C4C"/>
    <w:rsid w:val="00916E72"/>
    <w:rsid w:val="00920C9C"/>
    <w:rsid w:val="00922754"/>
    <w:rsid w:val="00925781"/>
    <w:rsid w:val="009258D0"/>
    <w:rsid w:val="009274EA"/>
    <w:rsid w:val="00934D87"/>
    <w:rsid w:val="00935AB3"/>
    <w:rsid w:val="00941093"/>
    <w:rsid w:val="00957E3A"/>
    <w:rsid w:val="00960B13"/>
    <w:rsid w:val="009635CF"/>
    <w:rsid w:val="009646C4"/>
    <w:rsid w:val="009668BB"/>
    <w:rsid w:val="009734CE"/>
    <w:rsid w:val="00974CB0"/>
    <w:rsid w:val="00975085"/>
    <w:rsid w:val="009750A4"/>
    <w:rsid w:val="0098080C"/>
    <w:rsid w:val="00981DE0"/>
    <w:rsid w:val="0098287E"/>
    <w:rsid w:val="0098460C"/>
    <w:rsid w:val="00991976"/>
    <w:rsid w:val="0099413E"/>
    <w:rsid w:val="00994676"/>
    <w:rsid w:val="00996E1A"/>
    <w:rsid w:val="009B1E02"/>
    <w:rsid w:val="009B4392"/>
    <w:rsid w:val="009B51DA"/>
    <w:rsid w:val="009B7D09"/>
    <w:rsid w:val="009C0784"/>
    <w:rsid w:val="009C2CB9"/>
    <w:rsid w:val="009C51DF"/>
    <w:rsid w:val="009D24DA"/>
    <w:rsid w:val="009D5D75"/>
    <w:rsid w:val="009E0C0B"/>
    <w:rsid w:val="009E1C67"/>
    <w:rsid w:val="009E572D"/>
    <w:rsid w:val="009F32A2"/>
    <w:rsid w:val="009F54CE"/>
    <w:rsid w:val="009F70FE"/>
    <w:rsid w:val="00A0600B"/>
    <w:rsid w:val="00A06264"/>
    <w:rsid w:val="00A1639A"/>
    <w:rsid w:val="00A215C9"/>
    <w:rsid w:val="00A25474"/>
    <w:rsid w:val="00A25CF0"/>
    <w:rsid w:val="00A40786"/>
    <w:rsid w:val="00A42F0D"/>
    <w:rsid w:val="00A5364B"/>
    <w:rsid w:val="00A615E0"/>
    <w:rsid w:val="00A64002"/>
    <w:rsid w:val="00A65E2B"/>
    <w:rsid w:val="00A70878"/>
    <w:rsid w:val="00A73C12"/>
    <w:rsid w:val="00A74AA0"/>
    <w:rsid w:val="00A7546D"/>
    <w:rsid w:val="00A7613D"/>
    <w:rsid w:val="00A77100"/>
    <w:rsid w:val="00A81626"/>
    <w:rsid w:val="00A8357B"/>
    <w:rsid w:val="00A848FC"/>
    <w:rsid w:val="00A975B1"/>
    <w:rsid w:val="00AA4D97"/>
    <w:rsid w:val="00AB424B"/>
    <w:rsid w:val="00AD17B7"/>
    <w:rsid w:val="00AE6AAA"/>
    <w:rsid w:val="00AE6CF7"/>
    <w:rsid w:val="00AF08D2"/>
    <w:rsid w:val="00B01A1B"/>
    <w:rsid w:val="00B02242"/>
    <w:rsid w:val="00B069C5"/>
    <w:rsid w:val="00B06D1B"/>
    <w:rsid w:val="00B077D5"/>
    <w:rsid w:val="00B16A78"/>
    <w:rsid w:val="00B200E4"/>
    <w:rsid w:val="00B26FFD"/>
    <w:rsid w:val="00B31E12"/>
    <w:rsid w:val="00B31F77"/>
    <w:rsid w:val="00B35B6D"/>
    <w:rsid w:val="00B35DC6"/>
    <w:rsid w:val="00B51699"/>
    <w:rsid w:val="00B53FAF"/>
    <w:rsid w:val="00B55D98"/>
    <w:rsid w:val="00B63153"/>
    <w:rsid w:val="00B6527D"/>
    <w:rsid w:val="00B73B3A"/>
    <w:rsid w:val="00B74507"/>
    <w:rsid w:val="00B75718"/>
    <w:rsid w:val="00B75E7E"/>
    <w:rsid w:val="00B81257"/>
    <w:rsid w:val="00B9324B"/>
    <w:rsid w:val="00B93817"/>
    <w:rsid w:val="00B9391B"/>
    <w:rsid w:val="00B9682D"/>
    <w:rsid w:val="00B977A6"/>
    <w:rsid w:val="00BA0B96"/>
    <w:rsid w:val="00BA52C9"/>
    <w:rsid w:val="00BB15DA"/>
    <w:rsid w:val="00BB340D"/>
    <w:rsid w:val="00BB6626"/>
    <w:rsid w:val="00BC2A3A"/>
    <w:rsid w:val="00BC64EC"/>
    <w:rsid w:val="00BC7971"/>
    <w:rsid w:val="00BC7BF3"/>
    <w:rsid w:val="00BD073D"/>
    <w:rsid w:val="00BD6001"/>
    <w:rsid w:val="00BD6652"/>
    <w:rsid w:val="00BD75E0"/>
    <w:rsid w:val="00BE10CC"/>
    <w:rsid w:val="00BE4198"/>
    <w:rsid w:val="00BF029A"/>
    <w:rsid w:val="00BF0D75"/>
    <w:rsid w:val="00BF1EF6"/>
    <w:rsid w:val="00BF3AFD"/>
    <w:rsid w:val="00C1606C"/>
    <w:rsid w:val="00C16E16"/>
    <w:rsid w:val="00C23180"/>
    <w:rsid w:val="00C26F94"/>
    <w:rsid w:val="00C41492"/>
    <w:rsid w:val="00C502EC"/>
    <w:rsid w:val="00C50874"/>
    <w:rsid w:val="00C6435B"/>
    <w:rsid w:val="00C702B5"/>
    <w:rsid w:val="00C70389"/>
    <w:rsid w:val="00C80ABA"/>
    <w:rsid w:val="00C904B6"/>
    <w:rsid w:val="00C90A75"/>
    <w:rsid w:val="00C91938"/>
    <w:rsid w:val="00C96DF4"/>
    <w:rsid w:val="00CA0F2C"/>
    <w:rsid w:val="00CA2F59"/>
    <w:rsid w:val="00CA462D"/>
    <w:rsid w:val="00CA6A66"/>
    <w:rsid w:val="00CC1337"/>
    <w:rsid w:val="00CC2514"/>
    <w:rsid w:val="00CC48DF"/>
    <w:rsid w:val="00CC6FB9"/>
    <w:rsid w:val="00CD4A91"/>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D0004A"/>
    <w:rsid w:val="00D04BA2"/>
    <w:rsid w:val="00D077B0"/>
    <w:rsid w:val="00D157A0"/>
    <w:rsid w:val="00D22D42"/>
    <w:rsid w:val="00D24AF1"/>
    <w:rsid w:val="00D31447"/>
    <w:rsid w:val="00D341F9"/>
    <w:rsid w:val="00D35A6D"/>
    <w:rsid w:val="00D36D8D"/>
    <w:rsid w:val="00D45711"/>
    <w:rsid w:val="00D47190"/>
    <w:rsid w:val="00D500FC"/>
    <w:rsid w:val="00D50EC4"/>
    <w:rsid w:val="00D51597"/>
    <w:rsid w:val="00D5326E"/>
    <w:rsid w:val="00D55867"/>
    <w:rsid w:val="00D57410"/>
    <w:rsid w:val="00D634A3"/>
    <w:rsid w:val="00D72339"/>
    <w:rsid w:val="00D73E47"/>
    <w:rsid w:val="00D74ABB"/>
    <w:rsid w:val="00D8091B"/>
    <w:rsid w:val="00D83CB7"/>
    <w:rsid w:val="00D9090D"/>
    <w:rsid w:val="00D926B4"/>
    <w:rsid w:val="00D976B3"/>
    <w:rsid w:val="00D97FA8"/>
    <w:rsid w:val="00DB289A"/>
    <w:rsid w:val="00DB4363"/>
    <w:rsid w:val="00DB66BD"/>
    <w:rsid w:val="00DC07C5"/>
    <w:rsid w:val="00DC7B25"/>
    <w:rsid w:val="00DD340F"/>
    <w:rsid w:val="00DD39EA"/>
    <w:rsid w:val="00DD6B73"/>
    <w:rsid w:val="00DE23F8"/>
    <w:rsid w:val="00DE7CC2"/>
    <w:rsid w:val="00E007DD"/>
    <w:rsid w:val="00E04392"/>
    <w:rsid w:val="00E05CF6"/>
    <w:rsid w:val="00E077DE"/>
    <w:rsid w:val="00E112C9"/>
    <w:rsid w:val="00E1314C"/>
    <w:rsid w:val="00E158F7"/>
    <w:rsid w:val="00E16ABE"/>
    <w:rsid w:val="00E2087E"/>
    <w:rsid w:val="00E2356E"/>
    <w:rsid w:val="00E23C81"/>
    <w:rsid w:val="00E2636D"/>
    <w:rsid w:val="00E34976"/>
    <w:rsid w:val="00E36818"/>
    <w:rsid w:val="00E47B97"/>
    <w:rsid w:val="00E5203C"/>
    <w:rsid w:val="00E634CC"/>
    <w:rsid w:val="00E771E0"/>
    <w:rsid w:val="00E81727"/>
    <w:rsid w:val="00E82F0E"/>
    <w:rsid w:val="00E84DFB"/>
    <w:rsid w:val="00E90673"/>
    <w:rsid w:val="00E95ABF"/>
    <w:rsid w:val="00E95F89"/>
    <w:rsid w:val="00E96FAC"/>
    <w:rsid w:val="00EA0382"/>
    <w:rsid w:val="00EA129F"/>
    <w:rsid w:val="00EB7A31"/>
    <w:rsid w:val="00EC08DC"/>
    <w:rsid w:val="00ED0582"/>
    <w:rsid w:val="00ED1262"/>
    <w:rsid w:val="00ED7374"/>
    <w:rsid w:val="00EE31F6"/>
    <w:rsid w:val="00EE36DC"/>
    <w:rsid w:val="00EE6896"/>
    <w:rsid w:val="00EF06B5"/>
    <w:rsid w:val="00F044EE"/>
    <w:rsid w:val="00F20069"/>
    <w:rsid w:val="00F20AAA"/>
    <w:rsid w:val="00F21201"/>
    <w:rsid w:val="00F22BE9"/>
    <w:rsid w:val="00F2414C"/>
    <w:rsid w:val="00F3320B"/>
    <w:rsid w:val="00F40E92"/>
    <w:rsid w:val="00F41947"/>
    <w:rsid w:val="00F435AA"/>
    <w:rsid w:val="00F45370"/>
    <w:rsid w:val="00F511B7"/>
    <w:rsid w:val="00F60A04"/>
    <w:rsid w:val="00F63C5D"/>
    <w:rsid w:val="00F67E03"/>
    <w:rsid w:val="00F67EAF"/>
    <w:rsid w:val="00F7191D"/>
    <w:rsid w:val="00F72E52"/>
    <w:rsid w:val="00F730FC"/>
    <w:rsid w:val="00F745DE"/>
    <w:rsid w:val="00F76C6A"/>
    <w:rsid w:val="00F808FD"/>
    <w:rsid w:val="00F83BF1"/>
    <w:rsid w:val="00F84A19"/>
    <w:rsid w:val="00F90CB9"/>
    <w:rsid w:val="00F91D23"/>
    <w:rsid w:val="00F91DD8"/>
    <w:rsid w:val="00F97373"/>
    <w:rsid w:val="00FA0254"/>
    <w:rsid w:val="00FA59F1"/>
    <w:rsid w:val="00FA6129"/>
    <w:rsid w:val="00FA6854"/>
    <w:rsid w:val="00FB064F"/>
    <w:rsid w:val="00FB0F6B"/>
    <w:rsid w:val="00FB144F"/>
    <w:rsid w:val="00FB159A"/>
    <w:rsid w:val="00FB4D77"/>
    <w:rsid w:val="00FC40F0"/>
    <w:rsid w:val="00FC497D"/>
    <w:rsid w:val="00FD076B"/>
    <w:rsid w:val="00FD140F"/>
    <w:rsid w:val="00FD39DE"/>
    <w:rsid w:val="00FE0368"/>
    <w:rsid w:val="00FE4B61"/>
    <w:rsid w:val="00FF3782"/>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F9775E"/>
  <w15:docId w15:val="{00D75772-300C-407F-A147-BADF4427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Investment\2021\2021_Q1\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com/marktbericht/gewerbe/hamburg-investment/"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A8BF-CF1C-46D6-AAB3-21C6F38B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4</cp:revision>
  <cp:lastPrinted>2021-10-01T07:20:00Z</cp:lastPrinted>
  <dcterms:created xsi:type="dcterms:W3CDTF">2021-10-01T13:24:00Z</dcterms:created>
  <dcterms:modified xsi:type="dcterms:W3CDTF">2021-10-04T13:15:00Z</dcterms:modified>
</cp:coreProperties>
</file>