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E2CD1" w14:textId="3C8F58CF" w:rsidR="00C7341F" w:rsidRDefault="00DB0734" w:rsidP="000C770D">
      <w:pPr>
        <w:spacing w:after="0" w:line="360" w:lineRule="auto"/>
        <w:rPr>
          <w:rFonts w:ascii="Arial" w:hAnsi="Arial" w:cs="Arial"/>
          <w:b/>
        </w:rPr>
      </w:pPr>
      <w:r>
        <w:rPr>
          <w:rFonts w:ascii="Arial" w:hAnsi="Arial"/>
          <w:b/>
        </w:rPr>
        <w:t>Hamburg: Investment market, 1st q</w:t>
      </w:r>
      <w:r w:rsidR="00C7341F">
        <w:rPr>
          <w:rFonts w:ascii="Arial" w:hAnsi="Arial"/>
          <w:b/>
        </w:rPr>
        <w:t>uarter of 2022</w:t>
      </w:r>
    </w:p>
    <w:p w14:paraId="6919F2CA" w14:textId="77777777" w:rsidR="00D04BA2" w:rsidRPr="00656B29" w:rsidRDefault="009A4414" w:rsidP="000C770D">
      <w:pPr>
        <w:spacing w:after="0" w:line="360" w:lineRule="auto"/>
        <w:rPr>
          <w:rFonts w:ascii="Arial" w:hAnsi="Arial" w:cs="Arial"/>
          <w:b/>
          <w:sz w:val="28"/>
          <w:szCs w:val="28"/>
        </w:rPr>
      </w:pPr>
      <w:r>
        <w:rPr>
          <w:rFonts w:ascii="Arial" w:hAnsi="Arial"/>
          <w:b/>
          <w:sz w:val="28"/>
          <w:szCs w:val="28"/>
        </w:rPr>
        <w:t>Record result thanks to outlier trade</w:t>
      </w:r>
    </w:p>
    <w:p w14:paraId="23842E4F" w14:textId="77777777" w:rsidR="00590903" w:rsidRPr="0090748B" w:rsidRDefault="00590903" w:rsidP="00590903">
      <w:pPr>
        <w:spacing w:after="0" w:line="360" w:lineRule="auto"/>
        <w:jc w:val="both"/>
        <w:rPr>
          <w:rFonts w:ascii="Arial" w:hAnsi="Arial" w:cs="Arial"/>
          <w:b/>
          <w:sz w:val="20"/>
          <w:szCs w:val="20"/>
        </w:rPr>
      </w:pPr>
    </w:p>
    <w:p w14:paraId="20F1535C" w14:textId="07065506" w:rsidR="00D04BA2" w:rsidRPr="00687D00" w:rsidRDefault="00C7341F" w:rsidP="000C770D">
      <w:pPr>
        <w:spacing w:after="0" w:line="360" w:lineRule="auto"/>
        <w:rPr>
          <w:rFonts w:ascii="Arial" w:hAnsi="Arial" w:cs="Arial"/>
          <w:i/>
          <w:sz w:val="20"/>
          <w:szCs w:val="20"/>
        </w:rPr>
      </w:pPr>
      <w:r>
        <w:rPr>
          <w:rFonts w:ascii="Arial" w:hAnsi="Arial"/>
          <w:b/>
          <w:sz w:val="20"/>
          <w:szCs w:val="20"/>
        </w:rPr>
        <w:t>Hamburg, 1st April 2022</w:t>
      </w:r>
      <w:r>
        <w:rPr>
          <w:rFonts w:ascii="Arial" w:hAnsi="Arial"/>
          <w:sz w:val="20"/>
          <w:szCs w:val="20"/>
        </w:rPr>
        <w:t xml:space="preserve"> – When the Canadian asset manager Brookfield Properties took over </w:t>
      </w:r>
      <w:proofErr w:type="spellStart"/>
      <w:r>
        <w:rPr>
          <w:rFonts w:ascii="Arial" w:hAnsi="Arial"/>
          <w:sz w:val="20"/>
          <w:szCs w:val="20"/>
        </w:rPr>
        <w:t>alstria</w:t>
      </w:r>
      <w:proofErr w:type="spellEnd"/>
      <w:r>
        <w:rPr>
          <w:rFonts w:ascii="Arial" w:hAnsi="Arial"/>
          <w:sz w:val="20"/>
          <w:szCs w:val="20"/>
        </w:rPr>
        <w:t xml:space="preserve"> office, an office-building management firm, it led to the highest 1st-quarter investment trading result </w:t>
      </w:r>
      <w:r w:rsidR="00676395">
        <w:rPr>
          <w:rFonts w:ascii="Arial" w:hAnsi="Arial"/>
          <w:sz w:val="20"/>
          <w:szCs w:val="20"/>
        </w:rPr>
        <w:t xml:space="preserve">ever recorded </w:t>
      </w:r>
      <w:r>
        <w:rPr>
          <w:rFonts w:ascii="Arial" w:hAnsi="Arial"/>
          <w:sz w:val="20"/>
          <w:szCs w:val="20"/>
        </w:rPr>
        <w:t xml:space="preserve">on the Hamburg market for commercial properties. The total volume traded in the first three months was some €1.9bn or 171 % higher than in the same quarter a year before. This take-over meant that in Hamburg alone more than 30 properties valued at some €1.5bn changed hands. Without this outlier trade the transaction volume would have been some €440m and thereby well below the prior year’s figure of €700m, largely because no trades had been left in the pipeline for completion in 2022. In her forecast for the remainder of the year </w:t>
      </w:r>
      <w:r>
        <w:rPr>
          <w:rFonts w:ascii="Arial" w:hAnsi="Arial"/>
          <w:b/>
          <w:sz w:val="20"/>
          <w:szCs w:val="20"/>
        </w:rPr>
        <w:t>Sandra Ludwig</w:t>
      </w:r>
      <w:r w:rsidRPr="00DB0734">
        <w:rPr>
          <w:rFonts w:ascii="Arial" w:hAnsi="Arial"/>
          <w:sz w:val="20"/>
          <w:szCs w:val="20"/>
        </w:rPr>
        <w:t>,</w:t>
      </w:r>
      <w:r>
        <w:rPr>
          <w:rFonts w:ascii="Arial" w:hAnsi="Arial"/>
          <w:sz w:val="20"/>
          <w:szCs w:val="20"/>
        </w:rPr>
        <w:t xml:space="preserve"> managing director of Grossma</w:t>
      </w:r>
      <w:r w:rsidR="00F969B2">
        <w:rPr>
          <w:rFonts w:ascii="Arial" w:hAnsi="Arial"/>
          <w:sz w:val="20"/>
          <w:szCs w:val="20"/>
        </w:rPr>
        <w:t xml:space="preserve">nn &amp; Berger, </w:t>
      </w:r>
      <w:r w:rsidR="00F8085A">
        <w:rPr>
          <w:rFonts w:ascii="Arial" w:hAnsi="Arial"/>
          <w:sz w:val="20"/>
          <w:szCs w:val="20"/>
        </w:rPr>
        <w:t>member of German</w:t>
      </w:r>
      <w:r>
        <w:rPr>
          <w:rFonts w:ascii="Arial" w:hAnsi="Arial"/>
          <w:sz w:val="20"/>
          <w:szCs w:val="20"/>
        </w:rPr>
        <w:t xml:space="preserve"> </w:t>
      </w:r>
      <w:r w:rsidR="00937880">
        <w:rPr>
          <w:rFonts w:ascii="Arial" w:hAnsi="Arial"/>
          <w:sz w:val="20"/>
          <w:szCs w:val="20"/>
        </w:rPr>
        <w:t xml:space="preserve">Property Partners (GPP), says, </w:t>
      </w:r>
      <w:r>
        <w:rPr>
          <w:rFonts w:ascii="Arial" w:hAnsi="Arial"/>
          <w:i/>
          <w:sz w:val="20"/>
          <w:szCs w:val="20"/>
        </w:rPr>
        <w:t>“At present there are many products on the market and the transaction pipeline is already well filled. Some big-ticket office trades are scheduled for completion in the second quarter. Demand, especially for ESG-compliant core real estate remains high, despite the political question marks raised by the Ukraine war. However, over the course of the year rising interest rates are likely to affect the prices buyers will pay and act as a brake o</w:t>
      </w:r>
      <w:r w:rsidR="00937880">
        <w:rPr>
          <w:rFonts w:ascii="Arial" w:hAnsi="Arial"/>
          <w:i/>
          <w:sz w:val="20"/>
          <w:szCs w:val="20"/>
        </w:rPr>
        <w:t>n the rally.”</w:t>
      </w:r>
    </w:p>
    <w:p w14:paraId="6517AEE9" w14:textId="77777777" w:rsidR="00ED39A3" w:rsidRDefault="00ED39A3" w:rsidP="000C770D">
      <w:pPr>
        <w:spacing w:after="0" w:line="360" w:lineRule="auto"/>
        <w:rPr>
          <w:rFonts w:ascii="Arial" w:hAnsi="Arial" w:cs="Arial"/>
          <w:sz w:val="20"/>
          <w:szCs w:val="20"/>
        </w:rPr>
      </w:pPr>
    </w:p>
    <w:p w14:paraId="589E0D37" w14:textId="77777777" w:rsidR="00710607" w:rsidRPr="00D35A6D" w:rsidRDefault="00710607" w:rsidP="00710607">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426DD863" w14:textId="41D249A5" w:rsidR="00710607" w:rsidRDefault="00710607" w:rsidP="006E4CF0">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Accounting for 86 % of the volume, office p</w:t>
      </w:r>
      <w:r w:rsidR="00676395">
        <w:rPr>
          <w:rFonts w:ascii="Arial" w:hAnsi="Arial"/>
          <w:sz w:val="20"/>
          <w:szCs w:val="20"/>
        </w:rPr>
        <w:t xml:space="preserve">roperties were the most traded </w:t>
      </w:r>
      <w:r>
        <w:rPr>
          <w:rFonts w:ascii="Arial" w:hAnsi="Arial"/>
          <w:sz w:val="20"/>
          <w:szCs w:val="20"/>
        </w:rPr>
        <w:t xml:space="preserve">class of commercial property </w:t>
      </w:r>
      <w:r>
        <w:rPr>
          <w:rFonts w:ascii="Arial" w:hAnsi="Arial"/>
          <w:sz w:val="20"/>
          <w:szCs w:val="20"/>
          <w:u w:val="single"/>
        </w:rPr>
        <w:t>asset.</w:t>
      </w:r>
      <w:r>
        <w:rPr>
          <w:rFonts w:ascii="Arial" w:hAnsi="Arial"/>
          <w:sz w:val="20"/>
          <w:szCs w:val="20"/>
        </w:rPr>
        <w:t xml:space="preserve"> Their sky-high share of trades is attributable to the outlier described earlier. Trailing far behind, commercial building land and industrial/logistics properties placed second and third with a share of about 4 % each.</w:t>
      </w:r>
    </w:p>
    <w:p w14:paraId="79AE52B6" w14:textId="2E6A8133" w:rsidR="00710607" w:rsidRDefault="00710607" w:rsidP="006E4CF0">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The relative activity of different </w:t>
      </w:r>
      <w:r>
        <w:rPr>
          <w:rFonts w:ascii="Arial" w:hAnsi="Arial"/>
          <w:sz w:val="20"/>
          <w:szCs w:val="20"/>
          <w:u w:val="single"/>
        </w:rPr>
        <w:t>buyer groups</w:t>
      </w:r>
      <w:r>
        <w:rPr>
          <w:rFonts w:ascii="Arial" w:hAnsi="Arial"/>
          <w:sz w:val="20"/>
          <w:szCs w:val="20"/>
        </w:rPr>
        <w:t xml:space="preserve"> a</w:t>
      </w:r>
      <w:r w:rsidR="00676395">
        <w:rPr>
          <w:rFonts w:ascii="Arial" w:hAnsi="Arial"/>
          <w:sz w:val="20"/>
          <w:szCs w:val="20"/>
        </w:rPr>
        <w:t>lso showed an unusual pattern: f</w:t>
      </w:r>
      <w:r>
        <w:rPr>
          <w:rFonts w:ascii="Arial" w:hAnsi="Arial"/>
          <w:sz w:val="20"/>
          <w:szCs w:val="20"/>
        </w:rPr>
        <w:t xml:space="preserve">und managers were significantly ahead of other groups with a share of some 82 %. If the </w:t>
      </w:r>
      <w:proofErr w:type="spellStart"/>
      <w:r>
        <w:rPr>
          <w:rFonts w:ascii="Arial" w:hAnsi="Arial"/>
          <w:sz w:val="20"/>
          <w:szCs w:val="20"/>
        </w:rPr>
        <w:t>alstria</w:t>
      </w:r>
      <w:proofErr w:type="spellEnd"/>
      <w:r>
        <w:rPr>
          <w:rFonts w:ascii="Arial" w:hAnsi="Arial"/>
          <w:sz w:val="20"/>
          <w:szCs w:val="20"/>
        </w:rPr>
        <w:t xml:space="preserve"> effect is discounted, developers were the biggest group of buyers with 44 % of the market.</w:t>
      </w:r>
    </w:p>
    <w:p w14:paraId="5C30CBB2" w14:textId="457EC43D" w:rsidR="001922E2" w:rsidRDefault="001922E2" w:rsidP="006E4CF0">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As far as </w:t>
      </w:r>
      <w:r>
        <w:rPr>
          <w:rFonts w:ascii="Arial" w:hAnsi="Arial"/>
          <w:sz w:val="20"/>
          <w:szCs w:val="20"/>
          <w:u w:val="single"/>
        </w:rPr>
        <w:t>sellers</w:t>
      </w:r>
      <w:r>
        <w:rPr>
          <w:rFonts w:ascii="Arial" w:hAnsi="Arial"/>
          <w:sz w:val="20"/>
          <w:szCs w:val="20"/>
        </w:rPr>
        <w:t xml:space="preserve"> of property are concerned, listed </w:t>
      </w:r>
      <w:r w:rsidR="00071AB6">
        <w:rPr>
          <w:rFonts w:ascii="Arial" w:hAnsi="Arial"/>
          <w:sz w:val="20"/>
          <w:szCs w:val="20"/>
        </w:rPr>
        <w:t>real estate investment AGs/REITs</w:t>
      </w:r>
      <w:r>
        <w:rPr>
          <w:rFonts w:ascii="Arial" w:hAnsi="Arial"/>
          <w:sz w:val="20"/>
          <w:szCs w:val="20"/>
        </w:rPr>
        <w:t xml:space="preserve"> formed the biggest group. Here too, their high share of 84 % was generated by the </w:t>
      </w:r>
      <w:proofErr w:type="spellStart"/>
      <w:r>
        <w:rPr>
          <w:rFonts w:ascii="Arial" w:hAnsi="Arial"/>
          <w:sz w:val="20"/>
          <w:szCs w:val="20"/>
        </w:rPr>
        <w:t>alstria</w:t>
      </w:r>
      <w:proofErr w:type="spellEnd"/>
      <w:r>
        <w:rPr>
          <w:rFonts w:ascii="Arial" w:hAnsi="Arial"/>
          <w:sz w:val="20"/>
          <w:szCs w:val="20"/>
        </w:rPr>
        <w:t xml:space="preserve"> take-over. Discounting this outlier, de</w:t>
      </w:r>
      <w:r w:rsidR="00F8085A">
        <w:rPr>
          <w:rFonts w:ascii="Arial" w:hAnsi="Arial"/>
          <w:sz w:val="20"/>
          <w:szCs w:val="20"/>
        </w:rPr>
        <w:t>velopers were the biggest group</w:t>
      </w:r>
      <w:r>
        <w:rPr>
          <w:rFonts w:ascii="Arial" w:hAnsi="Arial"/>
          <w:sz w:val="20"/>
          <w:szCs w:val="20"/>
        </w:rPr>
        <w:t xml:space="preserve"> of sellers with 32 % of the market. </w:t>
      </w:r>
      <w:bookmarkStart w:id="0" w:name="_GoBack"/>
      <w:bookmarkEnd w:id="0"/>
    </w:p>
    <w:p w14:paraId="1703F1B6" w14:textId="340C45A7" w:rsidR="005E35CD" w:rsidRPr="005E35CD" w:rsidRDefault="001B3575" w:rsidP="006E4CF0">
      <w:pPr>
        <w:pStyle w:val="Listenabsatz"/>
        <w:numPr>
          <w:ilvl w:val="0"/>
          <w:numId w:val="20"/>
        </w:numPr>
        <w:spacing w:after="0" w:line="360" w:lineRule="auto"/>
        <w:textAlignment w:val="baseline"/>
        <w:rPr>
          <w:rFonts w:ascii="Arial" w:hAnsi="Arial" w:cs="Arial"/>
          <w:b/>
          <w:sz w:val="20"/>
          <w:szCs w:val="20"/>
        </w:rPr>
      </w:pPr>
      <w:r>
        <w:rPr>
          <w:rFonts w:ascii="Arial" w:hAnsi="Arial"/>
          <w:sz w:val="20"/>
          <w:szCs w:val="20"/>
          <w:u w:val="single"/>
        </w:rPr>
        <w:t>International buyers</w:t>
      </w:r>
      <w:r>
        <w:rPr>
          <w:rFonts w:ascii="Arial" w:hAnsi="Arial"/>
          <w:sz w:val="20"/>
          <w:szCs w:val="20"/>
        </w:rPr>
        <w:t xml:space="preserve"> accounted for 87 % of the total trading volume. Without the </w:t>
      </w:r>
      <w:proofErr w:type="spellStart"/>
      <w:r>
        <w:rPr>
          <w:rFonts w:ascii="Arial" w:hAnsi="Arial"/>
          <w:sz w:val="20"/>
          <w:szCs w:val="20"/>
        </w:rPr>
        <w:t>alstria</w:t>
      </w:r>
      <w:proofErr w:type="spellEnd"/>
      <w:r>
        <w:rPr>
          <w:rFonts w:ascii="Arial" w:hAnsi="Arial"/>
          <w:sz w:val="20"/>
          <w:szCs w:val="20"/>
        </w:rPr>
        <w:t xml:space="preserve"> transaction, their share would have been 30 %. </w:t>
      </w:r>
    </w:p>
    <w:p w14:paraId="34C7463F" w14:textId="0BA012F5" w:rsidR="001B3575" w:rsidRDefault="006E5F6E" w:rsidP="006E4CF0">
      <w:pPr>
        <w:pStyle w:val="Listenabsatz"/>
        <w:numPr>
          <w:ilvl w:val="0"/>
          <w:numId w:val="20"/>
        </w:numPr>
        <w:spacing w:after="0" w:line="360" w:lineRule="auto"/>
        <w:textAlignment w:val="baseline"/>
        <w:rPr>
          <w:rFonts w:ascii="Arial" w:hAnsi="Arial" w:cs="Arial"/>
          <w:b/>
          <w:sz w:val="20"/>
          <w:szCs w:val="20"/>
        </w:rPr>
      </w:pPr>
      <w:r>
        <w:rPr>
          <w:rFonts w:ascii="Arial" w:hAnsi="Arial"/>
          <w:sz w:val="20"/>
          <w:szCs w:val="20"/>
        </w:rPr>
        <w:t xml:space="preserve">Whereas year on year the </w:t>
      </w:r>
      <w:r>
        <w:rPr>
          <w:rFonts w:ascii="Arial" w:hAnsi="Arial"/>
          <w:sz w:val="20"/>
          <w:szCs w:val="20"/>
          <w:u w:val="single"/>
        </w:rPr>
        <w:t>prime yield</w:t>
      </w:r>
      <w:r>
        <w:rPr>
          <w:rFonts w:ascii="Arial" w:hAnsi="Arial"/>
          <w:sz w:val="20"/>
          <w:szCs w:val="20"/>
        </w:rPr>
        <w:t xml:space="preserve"> on commercial buildings remained at its low of 2.7 %, on office properties it sank by 0.1 percentage points to 2.6 %. Strongly increased demand for industrial and logistics properties resulted in considerable yield compression in this segment: year on year the prime yield shrank by 0.6 percentage points to 3.3 %.</w:t>
      </w:r>
      <w:r>
        <w:rPr>
          <w:rFonts w:ascii="Arial" w:hAnsi="Arial"/>
          <w:sz w:val="20"/>
          <w:szCs w:val="20"/>
        </w:rPr>
        <w:br/>
      </w:r>
    </w:p>
    <w:p w14:paraId="1B6D45CB" w14:textId="77777777" w:rsidR="00937880" w:rsidRDefault="00937880" w:rsidP="00937880">
      <w:pPr>
        <w:spacing w:after="0" w:line="360" w:lineRule="auto"/>
        <w:textAlignment w:val="baseline"/>
        <w:rPr>
          <w:rFonts w:ascii="Arial" w:hAnsi="Arial" w:cs="Arial"/>
          <w:b/>
          <w:sz w:val="20"/>
          <w:szCs w:val="20"/>
        </w:rPr>
      </w:pPr>
    </w:p>
    <w:p w14:paraId="6C5100A8" w14:textId="77777777" w:rsidR="00937880" w:rsidRPr="00937880" w:rsidRDefault="00937880" w:rsidP="00937880">
      <w:pPr>
        <w:spacing w:after="0" w:line="360" w:lineRule="auto"/>
        <w:textAlignment w:val="baseline"/>
        <w:rPr>
          <w:rFonts w:ascii="Arial" w:hAnsi="Arial" w:cs="Arial"/>
          <w:b/>
          <w:sz w:val="20"/>
          <w:szCs w:val="20"/>
        </w:rPr>
      </w:pPr>
    </w:p>
    <w:p w14:paraId="5BDEA611" w14:textId="053180F0" w:rsidR="00C7341F" w:rsidRDefault="00C7341F" w:rsidP="00C7341F">
      <w:pPr>
        <w:spacing w:after="0" w:line="360" w:lineRule="auto"/>
        <w:rPr>
          <w:rFonts w:ascii="Arial" w:hAnsi="Arial" w:cs="Arial"/>
          <w:sz w:val="20"/>
          <w:szCs w:val="20"/>
        </w:rPr>
      </w:pPr>
    </w:p>
    <w:p w14:paraId="0795C973" w14:textId="06EF6CC2" w:rsidR="00C7341F" w:rsidRDefault="00D77211" w:rsidP="00C7341F">
      <w:pPr>
        <w:spacing w:after="0" w:line="360" w:lineRule="auto"/>
        <w:rPr>
          <w:rFonts w:ascii="Arial" w:hAnsi="Arial" w:cs="Arial"/>
          <w:sz w:val="20"/>
          <w:szCs w:val="20"/>
        </w:rPr>
      </w:pPr>
      <w:r>
        <w:rPr>
          <w:rFonts w:ascii="Arial" w:eastAsia="Arial" w:hAnsi="Arial" w:cs="Arial"/>
          <w:noProof/>
          <w:color w:val="000000" w:themeColor="text1"/>
          <w:sz w:val="20"/>
          <w:szCs w:val="20"/>
          <w:lang w:val="de-DE" w:eastAsia="de-DE"/>
        </w:rPr>
        <w:lastRenderedPageBreak/>
        <w:drawing>
          <wp:anchor distT="0" distB="0" distL="114300" distR="114300" simplePos="0" relativeHeight="251658240" behindDoc="0" locked="0" layoutInCell="1" allowOverlap="1" wp14:anchorId="54EB002B" wp14:editId="02F285F4">
            <wp:simplePos x="0" y="0"/>
            <wp:positionH relativeFrom="column">
              <wp:posOffset>3223260</wp:posOffset>
            </wp:positionH>
            <wp:positionV relativeFrom="paragraph">
              <wp:posOffset>248285</wp:posOffset>
            </wp:positionV>
            <wp:extent cx="2903855" cy="2093595"/>
            <wp:effectExtent l="19050" t="19050" r="10795" b="209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p;B-investment-market-HH-1q2022-tav.jpg"/>
                    <pic:cNvPicPr/>
                  </pic:nvPicPr>
                  <pic:blipFill>
                    <a:blip r:embed="rId8">
                      <a:extLst>
                        <a:ext uri="{28A0092B-C50C-407E-A947-70E740481C1C}">
                          <a14:useLocalDpi xmlns:a14="http://schemas.microsoft.com/office/drawing/2010/main" val="0"/>
                        </a:ext>
                      </a:extLst>
                    </a:blip>
                    <a:stretch>
                      <a:fillRect/>
                    </a:stretch>
                  </pic:blipFill>
                  <pic:spPr>
                    <a:xfrm>
                      <a:off x="0" y="0"/>
                      <a:ext cx="2903855" cy="2093595"/>
                    </a:xfrm>
                    <a:prstGeom prst="rect">
                      <a:avLst/>
                    </a:prstGeom>
                    <a:ln w="3175">
                      <a:solidFill>
                        <a:schemeClr val="tx1"/>
                      </a:solidFill>
                    </a:ln>
                  </pic:spPr>
                </pic:pic>
              </a:graphicData>
            </a:graphic>
          </wp:anchor>
        </w:drawing>
      </w:r>
    </w:p>
    <w:tbl>
      <w:tblPr>
        <w:tblStyle w:val="TableGrid2"/>
        <w:tblpPr w:leftFromText="141" w:rightFromText="141" w:vertAnchor="text" w:horzAnchor="margin" w:tblpY="45"/>
        <w:tblW w:w="0" w:type="auto"/>
        <w:tblLook w:val="04A0" w:firstRow="1" w:lastRow="0" w:firstColumn="1" w:lastColumn="0" w:noHBand="0" w:noVBand="1"/>
      </w:tblPr>
      <w:tblGrid>
        <w:gridCol w:w="3794"/>
        <w:gridCol w:w="1276"/>
      </w:tblGrid>
      <w:tr w:rsidR="00C7341F" w:rsidRPr="006F49D0" w14:paraId="2F4A79AC" w14:textId="77777777" w:rsidTr="00D77211">
        <w:trPr>
          <w:trHeight w:val="283"/>
        </w:trPr>
        <w:tc>
          <w:tcPr>
            <w:tcW w:w="3794" w:type="dxa"/>
            <w:shd w:val="clear" w:color="auto" w:fill="000000" w:themeFill="text1"/>
          </w:tcPr>
          <w:p w14:paraId="185DEA24" w14:textId="77777777" w:rsidR="00C7341F" w:rsidRPr="004712BA" w:rsidRDefault="00C7341F" w:rsidP="00927886">
            <w:pPr>
              <w:widowControl w:val="0"/>
              <w:spacing w:before="60" w:after="60"/>
              <w:jc w:val="both"/>
              <w:rPr>
                <w:rFonts w:ascii="Arial" w:hAnsi="Arial" w:cs="Arial"/>
                <w:b/>
                <w:sz w:val="18"/>
                <w:szCs w:val="16"/>
              </w:rPr>
            </w:pPr>
            <w:r>
              <w:rPr>
                <w:rFonts w:ascii="Arial" w:hAnsi="Arial"/>
                <w:b/>
                <w:sz w:val="20"/>
                <w:szCs w:val="20"/>
              </w:rPr>
              <w:t>Investment market | Hamburg</w:t>
            </w:r>
            <w:r>
              <w:t xml:space="preserve"> </w:t>
            </w:r>
            <w:r>
              <w:rPr>
                <w:rFonts w:ascii="Arial" w:hAnsi="Arial"/>
                <w:b/>
                <w:sz w:val="20"/>
                <w:szCs w:val="20"/>
              </w:rPr>
              <w:t>| 2022</w:t>
            </w:r>
          </w:p>
        </w:tc>
        <w:tc>
          <w:tcPr>
            <w:tcW w:w="1276" w:type="dxa"/>
            <w:shd w:val="clear" w:color="auto" w:fill="000000" w:themeFill="text1"/>
          </w:tcPr>
          <w:p w14:paraId="65EC24BE" w14:textId="77777777" w:rsidR="00C7341F" w:rsidRPr="004712BA" w:rsidRDefault="00C7341F" w:rsidP="00927886">
            <w:pPr>
              <w:widowControl w:val="0"/>
              <w:spacing w:before="60" w:after="60"/>
              <w:jc w:val="center"/>
              <w:rPr>
                <w:rFonts w:ascii="Arial" w:hAnsi="Arial" w:cs="Arial"/>
                <w:b/>
                <w:sz w:val="18"/>
                <w:szCs w:val="16"/>
              </w:rPr>
            </w:pPr>
            <w:r>
              <w:rPr>
                <w:rFonts w:ascii="Arial" w:hAnsi="Arial"/>
                <w:b/>
                <w:sz w:val="18"/>
                <w:szCs w:val="16"/>
              </w:rPr>
              <w:t>Q1</w:t>
            </w:r>
          </w:p>
        </w:tc>
      </w:tr>
      <w:tr w:rsidR="00C7341F" w:rsidRPr="006F49D0" w14:paraId="42F788D0" w14:textId="77777777" w:rsidTr="00D77211">
        <w:trPr>
          <w:trHeight w:val="193"/>
        </w:trPr>
        <w:tc>
          <w:tcPr>
            <w:tcW w:w="3794" w:type="dxa"/>
          </w:tcPr>
          <w:p w14:paraId="572A7D7F"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1276" w:type="dxa"/>
            <w:vAlign w:val="center"/>
          </w:tcPr>
          <w:p w14:paraId="141D4BF4" w14:textId="77777777" w:rsidR="00C7341F" w:rsidRPr="00E771E0" w:rsidRDefault="001B3575" w:rsidP="00927886">
            <w:pPr>
              <w:widowControl w:val="0"/>
              <w:spacing w:before="40" w:after="40"/>
              <w:jc w:val="right"/>
              <w:rPr>
                <w:rFonts w:ascii="Arial" w:hAnsi="Arial" w:cs="Arial"/>
                <w:sz w:val="18"/>
                <w:szCs w:val="16"/>
              </w:rPr>
            </w:pPr>
            <w:r>
              <w:rPr>
                <w:rFonts w:ascii="Arial" w:hAnsi="Arial"/>
                <w:sz w:val="18"/>
                <w:szCs w:val="16"/>
              </w:rPr>
              <w:t>1,900</w:t>
            </w:r>
          </w:p>
        </w:tc>
      </w:tr>
      <w:tr w:rsidR="00C7341F" w:rsidRPr="006F49D0" w14:paraId="77D40A98" w14:textId="77777777" w:rsidTr="00D77211">
        <w:trPr>
          <w:trHeight w:val="283"/>
        </w:trPr>
        <w:tc>
          <w:tcPr>
            <w:tcW w:w="3794" w:type="dxa"/>
          </w:tcPr>
          <w:p w14:paraId="2D485DBE"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276" w:type="dxa"/>
            <w:vAlign w:val="center"/>
          </w:tcPr>
          <w:p w14:paraId="4C41151E" w14:textId="77777777" w:rsidR="00C7341F" w:rsidRPr="00E771E0" w:rsidRDefault="001B3575" w:rsidP="00927886">
            <w:pPr>
              <w:widowControl w:val="0"/>
              <w:spacing w:before="40" w:after="40"/>
              <w:jc w:val="right"/>
              <w:rPr>
                <w:rFonts w:ascii="Arial" w:hAnsi="Arial" w:cs="Arial"/>
                <w:sz w:val="18"/>
                <w:szCs w:val="16"/>
              </w:rPr>
            </w:pPr>
            <w:r>
              <w:rPr>
                <w:rFonts w:ascii="Arial" w:hAnsi="Arial"/>
                <w:sz w:val="18"/>
                <w:szCs w:val="16"/>
              </w:rPr>
              <w:t>+171</w:t>
            </w:r>
          </w:p>
        </w:tc>
      </w:tr>
      <w:tr w:rsidR="00C7341F" w:rsidRPr="006F49D0" w14:paraId="297EB5D3" w14:textId="77777777" w:rsidTr="00D77211">
        <w:trPr>
          <w:trHeight w:val="283"/>
        </w:trPr>
        <w:tc>
          <w:tcPr>
            <w:tcW w:w="3794" w:type="dxa"/>
          </w:tcPr>
          <w:p w14:paraId="4DA1F0EA" w14:textId="77777777" w:rsidR="00C7341F" w:rsidRPr="00CF57DD" w:rsidRDefault="00C7341F" w:rsidP="00927886">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1276" w:type="dxa"/>
            <w:vAlign w:val="center"/>
          </w:tcPr>
          <w:p w14:paraId="58A41321" w14:textId="77777777" w:rsidR="00C7341F" w:rsidRPr="00E771E0" w:rsidRDefault="001B3575" w:rsidP="00927886">
            <w:pPr>
              <w:widowControl w:val="0"/>
              <w:spacing w:before="40" w:after="40"/>
              <w:jc w:val="right"/>
              <w:rPr>
                <w:rFonts w:ascii="Arial" w:hAnsi="Arial" w:cs="Arial"/>
                <w:sz w:val="18"/>
                <w:szCs w:val="16"/>
              </w:rPr>
            </w:pPr>
            <w:r>
              <w:rPr>
                <w:rFonts w:ascii="Arial" w:hAnsi="Arial"/>
                <w:sz w:val="18"/>
                <w:szCs w:val="16"/>
              </w:rPr>
              <w:t>87</w:t>
            </w:r>
          </w:p>
        </w:tc>
      </w:tr>
      <w:tr w:rsidR="00C7341F" w:rsidRPr="006F49D0" w14:paraId="7A04E1EC" w14:textId="77777777" w:rsidTr="00D77211">
        <w:trPr>
          <w:trHeight w:val="283"/>
        </w:trPr>
        <w:tc>
          <w:tcPr>
            <w:tcW w:w="3794" w:type="dxa"/>
          </w:tcPr>
          <w:p w14:paraId="7D123B83"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1276" w:type="dxa"/>
            <w:vAlign w:val="center"/>
          </w:tcPr>
          <w:p w14:paraId="3F8204F4" w14:textId="77777777" w:rsidR="00C7341F" w:rsidRPr="00E771E0" w:rsidRDefault="001B3575" w:rsidP="00927886">
            <w:pPr>
              <w:widowControl w:val="0"/>
              <w:spacing w:before="40" w:after="40"/>
              <w:jc w:val="right"/>
              <w:rPr>
                <w:rFonts w:ascii="Arial" w:hAnsi="Arial" w:cs="Arial"/>
                <w:sz w:val="18"/>
                <w:szCs w:val="16"/>
              </w:rPr>
            </w:pPr>
            <w:r>
              <w:rPr>
                <w:rFonts w:ascii="Arial" w:hAnsi="Arial"/>
                <w:sz w:val="18"/>
                <w:szCs w:val="16"/>
              </w:rPr>
              <w:t>2.60</w:t>
            </w:r>
          </w:p>
        </w:tc>
      </w:tr>
      <w:tr w:rsidR="00C7341F" w14:paraId="412D1554" w14:textId="77777777" w:rsidTr="00D77211">
        <w:trPr>
          <w:trHeight w:val="283"/>
        </w:trPr>
        <w:tc>
          <w:tcPr>
            <w:tcW w:w="3794" w:type="dxa"/>
          </w:tcPr>
          <w:p w14:paraId="285C2069"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276" w:type="dxa"/>
            <w:vAlign w:val="center"/>
          </w:tcPr>
          <w:p w14:paraId="7154116A" w14:textId="77777777" w:rsidR="00C7341F" w:rsidRPr="00E771E0" w:rsidRDefault="001B3575" w:rsidP="00927886">
            <w:pPr>
              <w:widowControl w:val="0"/>
              <w:spacing w:before="40" w:after="40"/>
              <w:jc w:val="right"/>
              <w:rPr>
                <w:rFonts w:ascii="Arial" w:hAnsi="Arial" w:cs="Arial"/>
                <w:sz w:val="18"/>
                <w:szCs w:val="16"/>
              </w:rPr>
            </w:pPr>
            <w:r>
              <w:rPr>
                <w:rFonts w:ascii="Arial" w:hAnsi="Arial"/>
                <w:sz w:val="18"/>
                <w:szCs w:val="16"/>
              </w:rPr>
              <w:t>-0.10</w:t>
            </w:r>
          </w:p>
        </w:tc>
      </w:tr>
      <w:tr w:rsidR="00C7341F" w:rsidRPr="006F49D0" w14:paraId="1F3F0D4C" w14:textId="77777777" w:rsidTr="00D77211">
        <w:trPr>
          <w:trHeight w:val="283"/>
        </w:trPr>
        <w:tc>
          <w:tcPr>
            <w:tcW w:w="3794" w:type="dxa"/>
          </w:tcPr>
          <w:p w14:paraId="7998213C"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1276" w:type="dxa"/>
            <w:vAlign w:val="center"/>
          </w:tcPr>
          <w:p w14:paraId="5C400650" w14:textId="77777777" w:rsidR="00C7341F" w:rsidRPr="00F67E03" w:rsidRDefault="001B3575" w:rsidP="00927886">
            <w:pPr>
              <w:widowControl w:val="0"/>
              <w:spacing w:before="40" w:after="40"/>
              <w:jc w:val="right"/>
              <w:rPr>
                <w:rFonts w:ascii="Arial" w:hAnsi="Arial" w:cs="Arial"/>
                <w:sz w:val="18"/>
                <w:szCs w:val="16"/>
              </w:rPr>
            </w:pPr>
            <w:r>
              <w:rPr>
                <w:rFonts w:ascii="Arial" w:hAnsi="Arial"/>
                <w:sz w:val="18"/>
                <w:szCs w:val="16"/>
              </w:rPr>
              <w:t>2.70</w:t>
            </w:r>
          </w:p>
        </w:tc>
      </w:tr>
      <w:tr w:rsidR="00C7341F" w14:paraId="7E04E2D1" w14:textId="77777777" w:rsidTr="00D77211">
        <w:trPr>
          <w:trHeight w:val="283"/>
        </w:trPr>
        <w:tc>
          <w:tcPr>
            <w:tcW w:w="3794" w:type="dxa"/>
          </w:tcPr>
          <w:p w14:paraId="50EDD51B"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276" w:type="dxa"/>
            <w:vAlign w:val="center"/>
          </w:tcPr>
          <w:p w14:paraId="4F154500" w14:textId="77777777" w:rsidR="00C7341F" w:rsidRPr="00F67E03" w:rsidRDefault="001B3575" w:rsidP="00927886">
            <w:pPr>
              <w:widowControl w:val="0"/>
              <w:spacing w:before="40" w:after="40"/>
              <w:jc w:val="right"/>
              <w:rPr>
                <w:rFonts w:ascii="Arial" w:hAnsi="Arial" w:cs="Arial"/>
                <w:sz w:val="18"/>
                <w:szCs w:val="16"/>
              </w:rPr>
            </w:pPr>
            <w:r>
              <w:rPr>
                <w:rFonts w:ascii="Arial" w:hAnsi="Arial"/>
                <w:sz w:val="18"/>
                <w:szCs w:val="16"/>
              </w:rPr>
              <w:t>±0.00</w:t>
            </w:r>
          </w:p>
        </w:tc>
      </w:tr>
      <w:tr w:rsidR="00C7341F" w:rsidRPr="006F49D0" w14:paraId="661023F9" w14:textId="77777777" w:rsidTr="00D77211">
        <w:trPr>
          <w:trHeight w:val="283"/>
        </w:trPr>
        <w:tc>
          <w:tcPr>
            <w:tcW w:w="3794" w:type="dxa"/>
          </w:tcPr>
          <w:p w14:paraId="1C7E799E"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1276" w:type="dxa"/>
            <w:vAlign w:val="center"/>
          </w:tcPr>
          <w:p w14:paraId="3B0C6875" w14:textId="77777777" w:rsidR="00C7341F" w:rsidRPr="00F67E03" w:rsidRDefault="001B3575" w:rsidP="00927886">
            <w:pPr>
              <w:widowControl w:val="0"/>
              <w:spacing w:before="40" w:after="40"/>
              <w:jc w:val="right"/>
              <w:rPr>
                <w:rFonts w:ascii="Arial" w:hAnsi="Arial" w:cs="Arial"/>
                <w:sz w:val="18"/>
                <w:szCs w:val="16"/>
              </w:rPr>
            </w:pPr>
            <w:r>
              <w:rPr>
                <w:rFonts w:ascii="Arial" w:hAnsi="Arial"/>
                <w:sz w:val="18"/>
                <w:szCs w:val="16"/>
              </w:rPr>
              <w:t>3.30</w:t>
            </w:r>
          </w:p>
        </w:tc>
      </w:tr>
      <w:tr w:rsidR="00C7341F" w14:paraId="63C42E15" w14:textId="77777777" w:rsidTr="00D77211">
        <w:trPr>
          <w:trHeight w:val="283"/>
        </w:trPr>
        <w:tc>
          <w:tcPr>
            <w:tcW w:w="3794" w:type="dxa"/>
          </w:tcPr>
          <w:p w14:paraId="1440EEA3"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276" w:type="dxa"/>
            <w:vAlign w:val="center"/>
          </w:tcPr>
          <w:p w14:paraId="1A0F9B44" w14:textId="77777777" w:rsidR="00C7341F" w:rsidRPr="00F67E03" w:rsidRDefault="001B3575" w:rsidP="00927886">
            <w:pPr>
              <w:widowControl w:val="0"/>
              <w:spacing w:before="40" w:after="40"/>
              <w:jc w:val="right"/>
              <w:rPr>
                <w:rFonts w:ascii="Arial" w:hAnsi="Arial" w:cs="Arial"/>
                <w:sz w:val="18"/>
                <w:szCs w:val="16"/>
              </w:rPr>
            </w:pPr>
            <w:r>
              <w:rPr>
                <w:rFonts w:ascii="Arial" w:hAnsi="Arial"/>
                <w:sz w:val="18"/>
                <w:szCs w:val="16"/>
              </w:rPr>
              <w:t>-0.60</w:t>
            </w:r>
          </w:p>
        </w:tc>
      </w:tr>
      <w:tr w:rsidR="00C7341F" w:rsidRPr="006F49D0" w14:paraId="07A2DDCA" w14:textId="77777777" w:rsidTr="00D77211">
        <w:trPr>
          <w:trHeight w:val="283"/>
        </w:trPr>
        <w:tc>
          <w:tcPr>
            <w:tcW w:w="3794" w:type="dxa"/>
            <w:tcBorders>
              <w:bottom w:val="single" w:sz="4" w:space="0" w:color="auto"/>
            </w:tcBorders>
          </w:tcPr>
          <w:p w14:paraId="7828C62D"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p>
        </w:tc>
        <w:tc>
          <w:tcPr>
            <w:tcW w:w="1276" w:type="dxa"/>
            <w:tcBorders>
              <w:bottom w:val="single" w:sz="4" w:space="0" w:color="auto"/>
            </w:tcBorders>
            <w:vAlign w:val="center"/>
          </w:tcPr>
          <w:p w14:paraId="4F47916D" w14:textId="77777777" w:rsidR="00C7341F" w:rsidRPr="00F67E03" w:rsidRDefault="001B3575" w:rsidP="00927886">
            <w:pPr>
              <w:widowControl w:val="0"/>
              <w:spacing w:before="40" w:after="40"/>
              <w:jc w:val="right"/>
              <w:rPr>
                <w:rFonts w:ascii="Arial" w:hAnsi="Arial" w:cs="Arial"/>
                <w:sz w:val="18"/>
                <w:szCs w:val="16"/>
              </w:rPr>
            </w:pPr>
            <w:r>
              <w:rPr>
                <w:rFonts w:ascii="Arial" w:hAnsi="Arial"/>
                <w:sz w:val="18"/>
                <w:szCs w:val="16"/>
              </w:rPr>
              <w:t>Office Letting</w:t>
            </w:r>
          </w:p>
        </w:tc>
      </w:tr>
      <w:tr w:rsidR="00C7341F" w:rsidRPr="006F49D0" w14:paraId="6440AD70" w14:textId="77777777" w:rsidTr="00D77211">
        <w:trPr>
          <w:trHeight w:val="283"/>
        </w:trPr>
        <w:tc>
          <w:tcPr>
            <w:tcW w:w="3794" w:type="dxa"/>
            <w:tcBorders>
              <w:bottom w:val="single" w:sz="4" w:space="0" w:color="auto"/>
            </w:tcBorders>
          </w:tcPr>
          <w:p w14:paraId="0E234409"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1276" w:type="dxa"/>
            <w:tcBorders>
              <w:bottom w:val="single" w:sz="4" w:space="0" w:color="auto"/>
            </w:tcBorders>
            <w:vAlign w:val="center"/>
          </w:tcPr>
          <w:p w14:paraId="79F5C2D7" w14:textId="77777777" w:rsidR="00C7341F" w:rsidRPr="00F67E03" w:rsidRDefault="001B3575" w:rsidP="00927886">
            <w:pPr>
              <w:widowControl w:val="0"/>
              <w:spacing w:before="40" w:after="40"/>
              <w:jc w:val="right"/>
              <w:rPr>
                <w:rFonts w:ascii="Arial" w:hAnsi="Arial" w:cs="Arial"/>
                <w:sz w:val="18"/>
                <w:szCs w:val="16"/>
              </w:rPr>
            </w:pPr>
            <w:r>
              <w:rPr>
                <w:rFonts w:ascii="Arial" w:hAnsi="Arial"/>
                <w:sz w:val="18"/>
                <w:szCs w:val="16"/>
              </w:rPr>
              <w:t>85.8</w:t>
            </w:r>
          </w:p>
        </w:tc>
      </w:tr>
    </w:tbl>
    <w:p w14:paraId="57438FD8" w14:textId="253F42B9" w:rsidR="00C7341F" w:rsidRDefault="00C7341F" w:rsidP="0090748B">
      <w:pPr>
        <w:spacing w:after="0" w:line="360" w:lineRule="auto"/>
        <w:textAlignment w:val="baseline"/>
        <w:rPr>
          <w:rFonts w:ascii="Arial" w:eastAsia="Arial" w:hAnsi="Arial" w:cs="Arial"/>
          <w:color w:val="000000" w:themeColor="text1"/>
          <w:sz w:val="20"/>
          <w:szCs w:val="20"/>
        </w:rPr>
      </w:pPr>
    </w:p>
    <w:p w14:paraId="46C0273D" w14:textId="77777777" w:rsidR="002F6BEB" w:rsidRDefault="002F6BEB" w:rsidP="00C7341F">
      <w:pPr>
        <w:rPr>
          <w:rFonts w:ascii="Arial" w:hAnsi="Arial"/>
          <w:b/>
          <w:sz w:val="20"/>
          <w:szCs w:val="20"/>
        </w:rPr>
      </w:pPr>
    </w:p>
    <w:p w14:paraId="4582D23C" w14:textId="144662E0" w:rsidR="00C7341F" w:rsidRPr="00A0600B" w:rsidRDefault="00C7341F" w:rsidP="00C7341F">
      <w:pPr>
        <w:rPr>
          <w:rFonts w:ascii="Arial" w:hAnsi="Arial" w:cs="Arial"/>
          <w:b/>
          <w:sz w:val="20"/>
          <w:szCs w:val="20"/>
        </w:rPr>
      </w:pPr>
      <w:r>
        <w:rPr>
          <w:rFonts w:ascii="Arial" w:hAnsi="Arial"/>
          <w:b/>
          <w:sz w:val="20"/>
          <w:szCs w:val="20"/>
        </w:rPr>
        <w:t xml:space="preserve">Selected top transactions | investments in Hamburg | </w:t>
      </w:r>
      <w:r w:rsidR="00D77211">
        <w:rPr>
          <w:rFonts w:ascii="Arial" w:hAnsi="Arial"/>
          <w:b/>
          <w:sz w:val="20"/>
          <w:szCs w:val="20"/>
        </w:rPr>
        <w:t>1Q</w:t>
      </w:r>
      <w:r>
        <w:rPr>
          <w:rFonts w:ascii="Arial" w:hAnsi="Arial"/>
          <w:b/>
          <w:sz w:val="20"/>
          <w:szCs w:val="20"/>
        </w:rPr>
        <w:t>2022</w:t>
      </w:r>
    </w:p>
    <w:tbl>
      <w:tblPr>
        <w:tblStyle w:val="TableGrid1"/>
        <w:tblpPr w:leftFromText="141" w:rightFromText="141" w:vertAnchor="text" w:horzAnchor="margin" w:tblpY="61"/>
        <w:tblW w:w="9776" w:type="dxa"/>
        <w:tblLayout w:type="fixed"/>
        <w:tblLook w:val="04A0" w:firstRow="1" w:lastRow="0" w:firstColumn="1" w:lastColumn="0" w:noHBand="0" w:noVBand="1"/>
      </w:tblPr>
      <w:tblGrid>
        <w:gridCol w:w="2660"/>
        <w:gridCol w:w="1276"/>
        <w:gridCol w:w="1275"/>
        <w:gridCol w:w="2127"/>
        <w:gridCol w:w="1275"/>
        <w:gridCol w:w="1163"/>
      </w:tblGrid>
      <w:tr w:rsidR="00C7341F" w:rsidRPr="006F49D0" w14:paraId="4F21D6DF" w14:textId="77777777" w:rsidTr="002F6BEB">
        <w:trPr>
          <w:trHeight w:val="567"/>
        </w:trPr>
        <w:tc>
          <w:tcPr>
            <w:tcW w:w="2660" w:type="dxa"/>
            <w:shd w:val="clear" w:color="auto" w:fill="000000" w:themeFill="text1"/>
            <w:vAlign w:val="center"/>
          </w:tcPr>
          <w:p w14:paraId="46C82216" w14:textId="77777777" w:rsidR="00C7341F" w:rsidRPr="00C7341F" w:rsidRDefault="00C7341F" w:rsidP="0012484F">
            <w:pPr>
              <w:spacing w:after="0"/>
              <w:jc w:val="center"/>
              <w:rPr>
                <w:rFonts w:ascii="Arial" w:hAnsi="Arial" w:cs="Arial"/>
                <w:b/>
                <w:color w:val="FFFFFF" w:themeColor="background1"/>
                <w:sz w:val="18"/>
                <w:szCs w:val="16"/>
              </w:rPr>
            </w:pPr>
            <w:r>
              <w:rPr>
                <w:rFonts w:ascii="Arial" w:hAnsi="Arial"/>
                <w:b/>
                <w:color w:val="FFFFFF" w:themeColor="background1"/>
                <w:sz w:val="18"/>
                <w:szCs w:val="16"/>
              </w:rPr>
              <w:t>Project/property</w:t>
            </w:r>
          </w:p>
          <w:p w14:paraId="06D07B1D" w14:textId="77777777" w:rsidR="00C7341F" w:rsidRPr="00C7341F" w:rsidRDefault="00C7341F" w:rsidP="0012484F">
            <w:pPr>
              <w:spacing w:after="0"/>
              <w:jc w:val="center"/>
              <w:rPr>
                <w:rFonts w:ascii="Arial" w:hAnsi="Arial" w:cs="Arial"/>
                <w:b/>
                <w:color w:val="FFFFFF" w:themeColor="background1"/>
                <w:sz w:val="18"/>
                <w:szCs w:val="16"/>
              </w:rPr>
            </w:pPr>
            <w:r>
              <w:rPr>
                <w:rFonts w:ascii="Arial" w:hAnsi="Arial"/>
                <w:b/>
                <w:color w:val="FFFFFF" w:themeColor="background1"/>
                <w:sz w:val="18"/>
                <w:szCs w:val="16"/>
              </w:rPr>
              <w:t>Street no.</w:t>
            </w:r>
          </w:p>
        </w:tc>
        <w:tc>
          <w:tcPr>
            <w:tcW w:w="1276" w:type="dxa"/>
            <w:shd w:val="clear" w:color="auto" w:fill="000000" w:themeFill="text1"/>
          </w:tcPr>
          <w:p w14:paraId="070FC834" w14:textId="62260587" w:rsidR="00C7341F" w:rsidRPr="00C7341F" w:rsidRDefault="0012484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Sub-market</w:t>
            </w:r>
          </w:p>
        </w:tc>
        <w:tc>
          <w:tcPr>
            <w:tcW w:w="1275" w:type="dxa"/>
            <w:shd w:val="clear" w:color="auto" w:fill="000000" w:themeFill="text1"/>
          </w:tcPr>
          <w:p w14:paraId="03801D01" w14:textId="1EDECB39" w:rsidR="00C7341F" w:rsidRPr="00C7341F" w:rsidRDefault="0012484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Asset class</w:t>
            </w:r>
          </w:p>
        </w:tc>
        <w:tc>
          <w:tcPr>
            <w:tcW w:w="2127" w:type="dxa"/>
            <w:shd w:val="clear" w:color="auto" w:fill="000000" w:themeFill="text1"/>
            <w:vAlign w:val="center"/>
          </w:tcPr>
          <w:p w14:paraId="64E565FC" w14:textId="77777777" w:rsidR="00C7341F" w:rsidRPr="00C7341F" w:rsidRDefault="00C7341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Buyer/investor</w:t>
            </w:r>
          </w:p>
        </w:tc>
        <w:tc>
          <w:tcPr>
            <w:tcW w:w="1275" w:type="dxa"/>
            <w:shd w:val="clear" w:color="auto" w:fill="000000" w:themeFill="text1"/>
            <w:vAlign w:val="center"/>
          </w:tcPr>
          <w:p w14:paraId="4F865E58" w14:textId="77777777" w:rsidR="00C7341F" w:rsidRPr="00C7341F" w:rsidRDefault="00C7341F" w:rsidP="0012484F">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Vendor</w:t>
            </w:r>
          </w:p>
        </w:tc>
        <w:tc>
          <w:tcPr>
            <w:tcW w:w="1163" w:type="dxa"/>
            <w:shd w:val="clear" w:color="auto" w:fill="000000" w:themeFill="text1"/>
            <w:vAlign w:val="center"/>
          </w:tcPr>
          <w:p w14:paraId="70DE4216" w14:textId="39935B56" w:rsidR="00C7341F" w:rsidRPr="00C7341F" w:rsidRDefault="00C7341F" w:rsidP="0012484F">
            <w:pPr>
              <w:widowControl w:val="0"/>
              <w:spacing w:before="60" w:after="0"/>
              <w:jc w:val="center"/>
              <w:rPr>
                <w:rFonts w:ascii="Arial" w:hAnsi="Arial" w:cs="Arial"/>
                <w:b/>
                <w:color w:val="FFFFFF" w:themeColor="background1"/>
                <w:sz w:val="18"/>
                <w:szCs w:val="16"/>
              </w:rPr>
            </w:pPr>
            <w:r>
              <w:rPr>
                <w:rFonts w:ascii="Arial" w:hAnsi="Arial"/>
                <w:b/>
                <w:color w:val="FFFFFF" w:themeColor="background1"/>
                <w:sz w:val="18"/>
                <w:szCs w:val="16"/>
              </w:rPr>
              <w:t>Purchase price*</w:t>
            </w:r>
          </w:p>
          <w:p w14:paraId="199A4A51" w14:textId="77777777" w:rsidR="00C7341F" w:rsidRPr="00C7341F" w:rsidRDefault="00C7341F" w:rsidP="0012484F">
            <w:pPr>
              <w:widowControl w:val="0"/>
              <w:spacing w:before="60" w:after="0"/>
              <w:jc w:val="center"/>
              <w:rPr>
                <w:rFonts w:ascii="Arial" w:hAnsi="Arial" w:cs="Arial"/>
                <w:b/>
                <w:color w:val="FFFFFF" w:themeColor="background1"/>
                <w:sz w:val="18"/>
                <w:szCs w:val="16"/>
              </w:rPr>
            </w:pPr>
            <w:r>
              <w:rPr>
                <w:rFonts w:ascii="Arial" w:hAnsi="Arial"/>
                <w:color w:val="FFFFFF" w:themeColor="background1"/>
                <w:sz w:val="18"/>
                <w:szCs w:val="16"/>
              </w:rPr>
              <w:t>[approx. €m]</w:t>
            </w:r>
          </w:p>
        </w:tc>
      </w:tr>
      <w:tr w:rsidR="00C7341F" w:rsidRPr="00F2414C" w14:paraId="7AC1D298" w14:textId="77777777" w:rsidTr="002F6BEB">
        <w:trPr>
          <w:trHeight w:val="567"/>
        </w:trPr>
        <w:tc>
          <w:tcPr>
            <w:tcW w:w="2660" w:type="dxa"/>
            <w:shd w:val="clear" w:color="auto" w:fill="FFFFFF" w:themeFill="background1"/>
            <w:vAlign w:val="center"/>
          </w:tcPr>
          <w:p w14:paraId="603D13DC" w14:textId="732BA045" w:rsidR="00C7341F" w:rsidRPr="00CA462D" w:rsidRDefault="007A4FCB" w:rsidP="00DE6366">
            <w:pPr>
              <w:widowControl w:val="0"/>
              <w:spacing w:after="0"/>
              <w:rPr>
                <w:rFonts w:ascii="Arial" w:hAnsi="Arial" w:cs="Arial"/>
                <w:color w:val="000000" w:themeColor="text1"/>
                <w:sz w:val="18"/>
                <w:szCs w:val="18"/>
              </w:rPr>
            </w:pPr>
            <w:r>
              <w:rPr>
                <w:rFonts w:ascii="Arial" w:hAnsi="Arial"/>
                <w:color w:val="000000" w:themeColor="text1"/>
                <w:sz w:val="18"/>
                <w:szCs w:val="18"/>
              </w:rPr>
              <w:t>“</w:t>
            </w:r>
            <w:proofErr w:type="spellStart"/>
            <w:r>
              <w:rPr>
                <w:rFonts w:ascii="Arial" w:hAnsi="Arial"/>
                <w:color w:val="000000" w:themeColor="text1"/>
                <w:sz w:val="18"/>
                <w:szCs w:val="18"/>
              </w:rPr>
              <w:t>alstria</w:t>
            </w:r>
            <w:proofErr w:type="spellEnd"/>
            <w:r>
              <w:rPr>
                <w:rFonts w:ascii="Arial" w:hAnsi="Arial"/>
                <w:color w:val="000000" w:themeColor="text1"/>
                <w:sz w:val="18"/>
                <w:szCs w:val="18"/>
              </w:rPr>
              <w:t xml:space="preserve"> office” portfolio</w:t>
            </w:r>
          </w:p>
        </w:tc>
        <w:tc>
          <w:tcPr>
            <w:tcW w:w="1276" w:type="dxa"/>
            <w:shd w:val="clear" w:color="auto" w:fill="FFFFFF" w:themeFill="background1"/>
            <w:vAlign w:val="center"/>
          </w:tcPr>
          <w:p w14:paraId="222FB983" w14:textId="2FBD4EE3" w:rsidR="00C7341F" w:rsidRPr="00CA462D" w:rsidRDefault="007A4FCB" w:rsidP="007A4FCB">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Hamburg </w:t>
            </w:r>
          </w:p>
        </w:tc>
        <w:tc>
          <w:tcPr>
            <w:tcW w:w="1275" w:type="dxa"/>
            <w:shd w:val="clear" w:color="auto" w:fill="FFFFFF" w:themeFill="background1"/>
            <w:vAlign w:val="center"/>
          </w:tcPr>
          <w:p w14:paraId="1BECA139" w14:textId="3DDA50ED" w:rsidR="00C7341F" w:rsidRPr="00CA462D" w:rsidRDefault="00712CE1" w:rsidP="00927886">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2127" w:type="dxa"/>
            <w:shd w:val="clear" w:color="auto" w:fill="FFFFFF" w:themeFill="background1"/>
            <w:vAlign w:val="center"/>
          </w:tcPr>
          <w:p w14:paraId="5FF1B7E2" w14:textId="3572C4F6" w:rsidR="00C7341F" w:rsidRPr="00CA462D" w:rsidRDefault="00712CE1" w:rsidP="00927886">
            <w:pPr>
              <w:widowControl w:val="0"/>
              <w:spacing w:after="0"/>
              <w:rPr>
                <w:rFonts w:ascii="Arial" w:hAnsi="Arial" w:cs="Arial"/>
                <w:color w:val="000000" w:themeColor="text1"/>
                <w:sz w:val="18"/>
                <w:szCs w:val="18"/>
              </w:rPr>
            </w:pPr>
            <w:r>
              <w:rPr>
                <w:rFonts w:ascii="Arial" w:hAnsi="Arial"/>
                <w:color w:val="000000" w:themeColor="text1"/>
                <w:sz w:val="18"/>
                <w:szCs w:val="18"/>
              </w:rPr>
              <w:t>Brookfield Properties</w:t>
            </w:r>
          </w:p>
        </w:tc>
        <w:tc>
          <w:tcPr>
            <w:tcW w:w="1275" w:type="dxa"/>
            <w:shd w:val="clear" w:color="auto" w:fill="FFFFFF" w:themeFill="background1"/>
            <w:vAlign w:val="center"/>
          </w:tcPr>
          <w:p w14:paraId="5728516F" w14:textId="292A0E24" w:rsidR="00C7341F" w:rsidRPr="00CA462D" w:rsidRDefault="00712CE1" w:rsidP="0012484F">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alstria</w:t>
            </w:r>
            <w:proofErr w:type="spellEnd"/>
            <w:r>
              <w:rPr>
                <w:rFonts w:ascii="Arial" w:hAnsi="Arial"/>
                <w:color w:val="000000" w:themeColor="text1"/>
                <w:sz w:val="18"/>
                <w:szCs w:val="18"/>
              </w:rPr>
              <w:t xml:space="preserve"> office REIT </w:t>
            </w:r>
          </w:p>
        </w:tc>
        <w:tc>
          <w:tcPr>
            <w:tcW w:w="1163" w:type="dxa"/>
            <w:shd w:val="clear" w:color="auto" w:fill="FFFFFF" w:themeFill="background1"/>
            <w:vAlign w:val="center"/>
          </w:tcPr>
          <w:p w14:paraId="40C90496" w14:textId="60755643" w:rsidR="00C7341F" w:rsidRPr="00CA462D" w:rsidRDefault="00712CE1" w:rsidP="00E347F2">
            <w:pPr>
              <w:widowControl w:val="0"/>
              <w:spacing w:after="0"/>
              <w:jc w:val="right"/>
              <w:rPr>
                <w:rFonts w:ascii="Arial" w:hAnsi="Arial" w:cs="Arial"/>
                <w:color w:val="000000" w:themeColor="text1"/>
                <w:sz w:val="18"/>
                <w:szCs w:val="18"/>
              </w:rPr>
            </w:pPr>
            <w:r>
              <w:rPr>
                <w:rFonts w:ascii="Arial" w:hAnsi="Arial"/>
                <w:color w:val="000000" w:themeColor="text1"/>
                <w:sz w:val="18"/>
                <w:szCs w:val="18"/>
              </w:rPr>
              <w:t>1,500</w:t>
            </w:r>
          </w:p>
        </w:tc>
      </w:tr>
      <w:tr w:rsidR="00C7341F" w:rsidRPr="00F2414C" w14:paraId="6C281615" w14:textId="77777777" w:rsidTr="002F6BEB">
        <w:trPr>
          <w:trHeight w:val="567"/>
        </w:trPr>
        <w:tc>
          <w:tcPr>
            <w:tcW w:w="2660" w:type="dxa"/>
            <w:shd w:val="clear" w:color="auto" w:fill="auto"/>
            <w:vAlign w:val="center"/>
          </w:tcPr>
          <w:p w14:paraId="78B904D4" w14:textId="10BD675B" w:rsidR="00C7341F" w:rsidRPr="00CA462D" w:rsidRDefault="00E347F2" w:rsidP="0012484F">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Building land </w:t>
            </w:r>
            <w:proofErr w:type="spellStart"/>
            <w:r>
              <w:rPr>
                <w:rFonts w:ascii="Arial" w:hAnsi="Arial"/>
                <w:color w:val="000000" w:themeColor="text1"/>
                <w:sz w:val="18"/>
                <w:szCs w:val="18"/>
              </w:rPr>
              <w:t>Seehafenstrasse</w:t>
            </w:r>
            <w:proofErr w:type="spellEnd"/>
          </w:p>
        </w:tc>
        <w:tc>
          <w:tcPr>
            <w:tcW w:w="1276" w:type="dxa"/>
            <w:shd w:val="clear" w:color="auto" w:fill="auto"/>
            <w:vAlign w:val="center"/>
          </w:tcPr>
          <w:p w14:paraId="6CFB43B5" w14:textId="42EB0DC0" w:rsidR="00C7341F" w:rsidRPr="00CA462D" w:rsidRDefault="00712CE1" w:rsidP="00927886">
            <w:pPr>
              <w:widowControl w:val="0"/>
              <w:spacing w:after="0"/>
              <w:rPr>
                <w:rFonts w:ascii="Arial" w:hAnsi="Arial" w:cs="Arial"/>
                <w:color w:val="000000" w:themeColor="text1"/>
                <w:sz w:val="18"/>
                <w:szCs w:val="18"/>
              </w:rPr>
            </w:pPr>
            <w:r>
              <w:rPr>
                <w:rFonts w:ascii="Arial" w:hAnsi="Arial"/>
                <w:color w:val="000000" w:themeColor="text1"/>
                <w:sz w:val="18"/>
                <w:szCs w:val="18"/>
              </w:rPr>
              <w:t>Hamburg South</w:t>
            </w:r>
          </w:p>
        </w:tc>
        <w:tc>
          <w:tcPr>
            <w:tcW w:w="1275" w:type="dxa"/>
            <w:shd w:val="clear" w:color="auto" w:fill="auto"/>
            <w:vAlign w:val="center"/>
          </w:tcPr>
          <w:p w14:paraId="7E6158FB" w14:textId="5DF9560E" w:rsidR="00C7341F" w:rsidRPr="00CA462D" w:rsidRDefault="00E347F2" w:rsidP="00E347F2">
            <w:pPr>
              <w:widowControl w:val="0"/>
              <w:spacing w:after="0"/>
              <w:rPr>
                <w:rFonts w:ascii="Arial" w:hAnsi="Arial" w:cs="Arial"/>
                <w:color w:val="000000" w:themeColor="text1"/>
                <w:sz w:val="18"/>
                <w:szCs w:val="18"/>
              </w:rPr>
            </w:pPr>
            <w:r>
              <w:rPr>
                <w:rFonts w:ascii="Arial" w:hAnsi="Arial"/>
                <w:color w:val="000000" w:themeColor="text1"/>
                <w:sz w:val="18"/>
                <w:szCs w:val="18"/>
              </w:rPr>
              <w:t>Commercial building land</w:t>
            </w:r>
          </w:p>
        </w:tc>
        <w:tc>
          <w:tcPr>
            <w:tcW w:w="2127" w:type="dxa"/>
            <w:shd w:val="clear" w:color="auto" w:fill="auto"/>
            <w:vAlign w:val="center"/>
          </w:tcPr>
          <w:p w14:paraId="779F9A7A" w14:textId="4440317A" w:rsidR="00C7341F" w:rsidRPr="00CA462D" w:rsidRDefault="00712CE1" w:rsidP="00927886">
            <w:pPr>
              <w:widowControl w:val="0"/>
              <w:spacing w:after="0"/>
              <w:rPr>
                <w:rFonts w:ascii="Arial" w:hAnsi="Arial" w:cs="Arial"/>
                <w:color w:val="000000" w:themeColor="text1"/>
                <w:sz w:val="18"/>
                <w:szCs w:val="18"/>
              </w:rPr>
            </w:pPr>
            <w:r>
              <w:rPr>
                <w:rFonts w:ascii="Arial" w:hAnsi="Arial"/>
                <w:color w:val="000000" w:themeColor="text1"/>
                <w:sz w:val="18"/>
                <w:szCs w:val="18"/>
              </w:rPr>
              <w:t>Project developers</w:t>
            </w:r>
          </w:p>
        </w:tc>
        <w:tc>
          <w:tcPr>
            <w:tcW w:w="1275" w:type="dxa"/>
            <w:shd w:val="clear" w:color="auto" w:fill="auto"/>
            <w:vAlign w:val="center"/>
          </w:tcPr>
          <w:p w14:paraId="40F63FEB" w14:textId="19FDBA67" w:rsidR="00C7341F" w:rsidRPr="00CA462D" w:rsidRDefault="00E347F2" w:rsidP="00927886">
            <w:pPr>
              <w:widowControl w:val="0"/>
              <w:spacing w:after="0"/>
              <w:rPr>
                <w:rFonts w:ascii="Arial" w:hAnsi="Arial" w:cs="Arial"/>
                <w:color w:val="000000" w:themeColor="text1"/>
                <w:sz w:val="18"/>
                <w:szCs w:val="18"/>
              </w:rPr>
            </w:pPr>
            <w:r>
              <w:rPr>
                <w:rFonts w:ascii="Arial" w:hAnsi="Arial"/>
                <w:color w:val="000000" w:themeColor="text1"/>
                <w:sz w:val="18"/>
                <w:szCs w:val="18"/>
              </w:rPr>
              <w:t>Corporate</w:t>
            </w:r>
          </w:p>
        </w:tc>
        <w:tc>
          <w:tcPr>
            <w:tcW w:w="1163" w:type="dxa"/>
            <w:shd w:val="clear" w:color="auto" w:fill="auto"/>
            <w:vAlign w:val="center"/>
          </w:tcPr>
          <w:p w14:paraId="41FEEF1D" w14:textId="0A10C455" w:rsidR="00C7341F" w:rsidRPr="00CA462D" w:rsidRDefault="00712CE1" w:rsidP="00927886">
            <w:pPr>
              <w:widowControl w:val="0"/>
              <w:spacing w:after="0"/>
              <w:jc w:val="right"/>
              <w:rPr>
                <w:rFonts w:ascii="Arial" w:hAnsi="Arial" w:cs="Arial"/>
                <w:color w:val="000000" w:themeColor="text1"/>
                <w:sz w:val="18"/>
                <w:szCs w:val="18"/>
              </w:rPr>
            </w:pPr>
            <w:r>
              <w:rPr>
                <w:rFonts w:ascii="Arial" w:hAnsi="Arial"/>
                <w:color w:val="000000" w:themeColor="text1"/>
                <w:sz w:val="18"/>
                <w:szCs w:val="18"/>
              </w:rPr>
              <w:t>70</w:t>
            </w:r>
          </w:p>
        </w:tc>
      </w:tr>
      <w:tr w:rsidR="00C7341F" w:rsidRPr="00F2414C" w14:paraId="4DEF231D" w14:textId="77777777" w:rsidTr="002F6BEB">
        <w:trPr>
          <w:trHeight w:val="567"/>
        </w:trPr>
        <w:tc>
          <w:tcPr>
            <w:tcW w:w="2660" w:type="dxa"/>
            <w:shd w:val="clear" w:color="auto" w:fill="auto"/>
            <w:vAlign w:val="center"/>
          </w:tcPr>
          <w:p w14:paraId="58E408B5" w14:textId="4DE095BF" w:rsidR="00C7341F" w:rsidRPr="00CA462D" w:rsidRDefault="007A4FCB" w:rsidP="002F6BEB">
            <w:pPr>
              <w:widowControl w:val="0"/>
              <w:spacing w:after="0"/>
              <w:rPr>
                <w:rFonts w:ascii="Arial" w:hAnsi="Arial" w:cs="Arial"/>
                <w:color w:val="000000" w:themeColor="text1"/>
                <w:sz w:val="18"/>
                <w:szCs w:val="18"/>
              </w:rPr>
            </w:pPr>
            <w:r>
              <w:rPr>
                <w:rFonts w:ascii="Arial" w:hAnsi="Arial"/>
                <w:color w:val="000000" w:themeColor="text1"/>
                <w:sz w:val="18"/>
                <w:szCs w:val="18"/>
              </w:rPr>
              <w:t>“</w:t>
            </w:r>
            <w:proofErr w:type="spellStart"/>
            <w:r>
              <w:rPr>
                <w:rFonts w:ascii="Arial" w:hAnsi="Arial"/>
                <w:color w:val="000000" w:themeColor="text1"/>
                <w:sz w:val="18"/>
                <w:szCs w:val="18"/>
              </w:rPr>
              <w:t>Peute</w:t>
            </w:r>
            <w:proofErr w:type="spellEnd"/>
            <w:r>
              <w:rPr>
                <w:rFonts w:ascii="Arial" w:hAnsi="Arial"/>
                <w:color w:val="000000" w:themeColor="text1"/>
                <w:sz w:val="18"/>
                <w:szCs w:val="18"/>
              </w:rPr>
              <w:t xml:space="preserve"> Dock” (section of site),</w:t>
            </w:r>
            <w:r w:rsidR="002F6BEB">
              <w:rPr>
                <w:rFonts w:ascii="Arial" w:hAnsi="Arial"/>
                <w:color w:val="000000" w:themeColor="text1"/>
                <w:sz w:val="18"/>
                <w:szCs w:val="18"/>
              </w:rPr>
              <w:t xml:space="preserve"> </w:t>
            </w:r>
            <w:proofErr w:type="spellStart"/>
            <w:r>
              <w:rPr>
                <w:rFonts w:ascii="Arial" w:hAnsi="Arial"/>
                <w:color w:val="000000" w:themeColor="text1"/>
                <w:sz w:val="18"/>
                <w:szCs w:val="18"/>
              </w:rPr>
              <w:t>Oberwerder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Damm</w:t>
            </w:r>
            <w:proofErr w:type="spellEnd"/>
            <w:r>
              <w:rPr>
                <w:rFonts w:ascii="Arial" w:hAnsi="Arial"/>
                <w:color w:val="000000" w:themeColor="text1"/>
                <w:sz w:val="18"/>
                <w:szCs w:val="18"/>
              </w:rPr>
              <w:t xml:space="preserve"> 11-21</w:t>
            </w:r>
          </w:p>
        </w:tc>
        <w:tc>
          <w:tcPr>
            <w:tcW w:w="1276" w:type="dxa"/>
            <w:shd w:val="clear" w:color="auto" w:fill="auto"/>
            <w:vAlign w:val="center"/>
          </w:tcPr>
          <w:p w14:paraId="3F2EE2F1" w14:textId="57ED599D" w:rsidR="00C7341F" w:rsidRPr="00CA462D" w:rsidRDefault="00712CE1" w:rsidP="00927886">
            <w:pPr>
              <w:widowControl w:val="0"/>
              <w:spacing w:after="0"/>
              <w:rPr>
                <w:rFonts w:ascii="Arial" w:hAnsi="Arial" w:cs="Arial"/>
                <w:color w:val="000000" w:themeColor="text1"/>
                <w:sz w:val="18"/>
                <w:szCs w:val="18"/>
              </w:rPr>
            </w:pPr>
            <w:r>
              <w:rPr>
                <w:rFonts w:ascii="Arial" w:hAnsi="Arial"/>
                <w:color w:val="000000" w:themeColor="text1"/>
                <w:sz w:val="18"/>
                <w:szCs w:val="18"/>
              </w:rPr>
              <w:t>Hamburg East</w:t>
            </w:r>
          </w:p>
        </w:tc>
        <w:tc>
          <w:tcPr>
            <w:tcW w:w="1275" w:type="dxa"/>
            <w:shd w:val="clear" w:color="auto" w:fill="auto"/>
            <w:vAlign w:val="center"/>
          </w:tcPr>
          <w:p w14:paraId="04C51391" w14:textId="060AC8F4" w:rsidR="00C7341F" w:rsidRPr="00CA462D" w:rsidRDefault="00712CE1" w:rsidP="00927886">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Industry / logistics </w:t>
            </w:r>
          </w:p>
        </w:tc>
        <w:tc>
          <w:tcPr>
            <w:tcW w:w="2127" w:type="dxa"/>
            <w:shd w:val="clear" w:color="auto" w:fill="auto"/>
            <w:vAlign w:val="center"/>
          </w:tcPr>
          <w:p w14:paraId="178C5741" w14:textId="1E10EE36" w:rsidR="00C7341F" w:rsidRPr="00CA462D" w:rsidRDefault="002F6BEB" w:rsidP="002F6BEB">
            <w:pPr>
              <w:widowControl w:val="0"/>
              <w:spacing w:after="0"/>
              <w:rPr>
                <w:rFonts w:ascii="Arial" w:hAnsi="Arial" w:cs="Arial"/>
                <w:sz w:val="18"/>
                <w:szCs w:val="18"/>
              </w:rPr>
            </w:pPr>
            <w:r>
              <w:rPr>
                <w:rFonts w:ascii="Arial" w:hAnsi="Arial"/>
                <w:sz w:val="18"/>
                <w:szCs w:val="18"/>
              </w:rPr>
              <w:t>German real estate-AG</w:t>
            </w:r>
            <w:r w:rsidR="007A4FCB">
              <w:rPr>
                <w:rFonts w:ascii="Arial" w:hAnsi="Arial"/>
                <w:sz w:val="18"/>
                <w:szCs w:val="18"/>
              </w:rPr>
              <w:t xml:space="preserve"> </w:t>
            </w:r>
          </w:p>
        </w:tc>
        <w:tc>
          <w:tcPr>
            <w:tcW w:w="1275" w:type="dxa"/>
            <w:shd w:val="clear" w:color="auto" w:fill="auto"/>
            <w:vAlign w:val="center"/>
          </w:tcPr>
          <w:p w14:paraId="7DFC0737" w14:textId="467E3848" w:rsidR="00C7341F" w:rsidRPr="00CA462D" w:rsidRDefault="007A4FCB" w:rsidP="00927886">
            <w:pPr>
              <w:widowControl w:val="0"/>
              <w:spacing w:after="0"/>
              <w:rPr>
                <w:rFonts w:ascii="Arial" w:hAnsi="Arial" w:cs="Arial"/>
                <w:color w:val="000000" w:themeColor="text1"/>
                <w:sz w:val="18"/>
                <w:szCs w:val="18"/>
              </w:rPr>
            </w:pPr>
            <w:r>
              <w:rPr>
                <w:rFonts w:ascii="Arial" w:hAnsi="Arial"/>
                <w:color w:val="000000" w:themeColor="text1"/>
                <w:sz w:val="18"/>
                <w:szCs w:val="18"/>
              </w:rPr>
              <w:t>Family Value Management</w:t>
            </w:r>
          </w:p>
        </w:tc>
        <w:tc>
          <w:tcPr>
            <w:tcW w:w="1163" w:type="dxa"/>
            <w:shd w:val="clear" w:color="auto" w:fill="auto"/>
            <w:vAlign w:val="center"/>
          </w:tcPr>
          <w:p w14:paraId="48ADC86F" w14:textId="0DFAE33A" w:rsidR="00C7341F" w:rsidRPr="00CA462D" w:rsidRDefault="00712CE1" w:rsidP="00927886">
            <w:pPr>
              <w:widowControl w:val="0"/>
              <w:spacing w:after="0"/>
              <w:jc w:val="right"/>
              <w:rPr>
                <w:rFonts w:ascii="Arial" w:hAnsi="Arial" w:cs="Arial"/>
                <w:color w:val="000000" w:themeColor="text1"/>
                <w:sz w:val="18"/>
                <w:szCs w:val="18"/>
              </w:rPr>
            </w:pPr>
            <w:r>
              <w:rPr>
                <w:rFonts w:ascii="Arial" w:hAnsi="Arial"/>
                <w:color w:val="000000" w:themeColor="text1"/>
                <w:sz w:val="18"/>
                <w:szCs w:val="18"/>
              </w:rPr>
              <w:t>45</w:t>
            </w:r>
          </w:p>
        </w:tc>
      </w:tr>
      <w:tr w:rsidR="00C7341F" w:rsidRPr="006F49D0" w14:paraId="3EDBA601" w14:textId="77777777" w:rsidTr="002F6BEB">
        <w:trPr>
          <w:trHeight w:val="567"/>
        </w:trPr>
        <w:tc>
          <w:tcPr>
            <w:tcW w:w="2660" w:type="dxa"/>
            <w:shd w:val="clear" w:color="auto" w:fill="auto"/>
            <w:vAlign w:val="center"/>
          </w:tcPr>
          <w:p w14:paraId="6A22F2BD" w14:textId="35B44EA9" w:rsidR="00C7341F" w:rsidRPr="00CA462D" w:rsidRDefault="007A4FCB" w:rsidP="0012484F">
            <w:pPr>
              <w:widowControl w:val="0"/>
              <w:spacing w:after="0"/>
              <w:rPr>
                <w:rFonts w:ascii="Arial" w:hAnsi="Arial" w:cs="Arial"/>
                <w:sz w:val="18"/>
                <w:szCs w:val="18"/>
              </w:rPr>
            </w:pPr>
            <w:r>
              <w:rPr>
                <w:rFonts w:ascii="Arial" w:hAnsi="Arial"/>
                <w:sz w:val="18"/>
                <w:szCs w:val="18"/>
              </w:rPr>
              <w:t>“</w:t>
            </w:r>
            <w:proofErr w:type="spellStart"/>
            <w:r>
              <w:rPr>
                <w:rFonts w:ascii="Arial" w:hAnsi="Arial"/>
                <w:sz w:val="18"/>
                <w:szCs w:val="18"/>
              </w:rPr>
              <w:t>Karstadt</w:t>
            </w:r>
            <w:proofErr w:type="spellEnd"/>
            <w:r>
              <w:rPr>
                <w:rFonts w:ascii="Arial" w:hAnsi="Arial"/>
                <w:sz w:val="18"/>
                <w:szCs w:val="18"/>
              </w:rPr>
              <w:t xml:space="preserve">”, </w:t>
            </w:r>
            <w:proofErr w:type="spellStart"/>
            <w:r>
              <w:rPr>
                <w:rFonts w:ascii="Arial" w:hAnsi="Arial"/>
                <w:sz w:val="18"/>
                <w:szCs w:val="18"/>
              </w:rPr>
              <w:t>Osterstrasse</w:t>
            </w:r>
            <w:proofErr w:type="spellEnd"/>
            <w:r>
              <w:rPr>
                <w:rFonts w:ascii="Arial" w:hAnsi="Arial"/>
                <w:sz w:val="18"/>
                <w:szCs w:val="18"/>
              </w:rPr>
              <w:t xml:space="preserve"> 119</w:t>
            </w:r>
          </w:p>
        </w:tc>
        <w:tc>
          <w:tcPr>
            <w:tcW w:w="1276" w:type="dxa"/>
            <w:shd w:val="clear" w:color="auto" w:fill="auto"/>
            <w:vAlign w:val="center"/>
          </w:tcPr>
          <w:p w14:paraId="59C72961" w14:textId="2979AE43" w:rsidR="00C7341F" w:rsidRPr="00CA462D" w:rsidRDefault="00E347F2" w:rsidP="00E347F2">
            <w:pPr>
              <w:widowControl w:val="0"/>
              <w:spacing w:after="0"/>
              <w:rPr>
                <w:rFonts w:ascii="Arial" w:hAnsi="Arial" w:cs="Arial"/>
                <w:sz w:val="18"/>
                <w:szCs w:val="18"/>
              </w:rPr>
            </w:pPr>
            <w:proofErr w:type="spellStart"/>
            <w:r>
              <w:rPr>
                <w:rFonts w:ascii="Arial" w:hAnsi="Arial"/>
                <w:sz w:val="18"/>
                <w:szCs w:val="18"/>
              </w:rPr>
              <w:t>Eimsbüttel</w:t>
            </w:r>
            <w:proofErr w:type="spellEnd"/>
          </w:p>
        </w:tc>
        <w:tc>
          <w:tcPr>
            <w:tcW w:w="1275" w:type="dxa"/>
            <w:shd w:val="clear" w:color="auto" w:fill="auto"/>
            <w:vAlign w:val="center"/>
          </w:tcPr>
          <w:p w14:paraId="488B5D95" w14:textId="22A47273" w:rsidR="00C7341F" w:rsidRPr="00CA462D" w:rsidRDefault="007A4FCB" w:rsidP="00927886">
            <w:pPr>
              <w:widowControl w:val="0"/>
              <w:spacing w:after="0"/>
              <w:rPr>
                <w:rFonts w:ascii="Arial" w:hAnsi="Arial" w:cs="Arial"/>
                <w:sz w:val="18"/>
                <w:szCs w:val="18"/>
              </w:rPr>
            </w:pPr>
            <w:r>
              <w:rPr>
                <w:rFonts w:ascii="Arial" w:hAnsi="Arial"/>
                <w:sz w:val="18"/>
                <w:szCs w:val="18"/>
              </w:rPr>
              <w:t>Retail</w:t>
            </w:r>
          </w:p>
        </w:tc>
        <w:tc>
          <w:tcPr>
            <w:tcW w:w="2127" w:type="dxa"/>
            <w:shd w:val="clear" w:color="auto" w:fill="auto"/>
            <w:vAlign w:val="center"/>
          </w:tcPr>
          <w:p w14:paraId="2591F3D3" w14:textId="28F7EE3B" w:rsidR="00C7341F" w:rsidRPr="00CA462D" w:rsidRDefault="007A4FCB" w:rsidP="0012484F">
            <w:pPr>
              <w:widowControl w:val="0"/>
              <w:spacing w:after="0"/>
              <w:rPr>
                <w:rFonts w:ascii="Arial" w:hAnsi="Arial" w:cs="Arial"/>
                <w:sz w:val="18"/>
                <w:szCs w:val="18"/>
              </w:rPr>
            </w:pPr>
            <w:proofErr w:type="spellStart"/>
            <w:r>
              <w:rPr>
                <w:rFonts w:ascii="Arial" w:hAnsi="Arial"/>
                <w:sz w:val="18"/>
                <w:szCs w:val="18"/>
              </w:rPr>
              <w:t>Imvest</w:t>
            </w:r>
            <w:proofErr w:type="spellEnd"/>
            <w:r>
              <w:rPr>
                <w:rFonts w:ascii="Arial" w:hAnsi="Arial"/>
                <w:sz w:val="18"/>
                <w:szCs w:val="18"/>
              </w:rPr>
              <w:t xml:space="preserve"> </w:t>
            </w:r>
            <w:proofErr w:type="spellStart"/>
            <w:r>
              <w:rPr>
                <w:rFonts w:ascii="Arial" w:hAnsi="Arial"/>
                <w:sz w:val="18"/>
                <w:szCs w:val="18"/>
              </w:rPr>
              <w:t>Projektentwicklung</w:t>
            </w:r>
            <w:proofErr w:type="spellEnd"/>
            <w:r>
              <w:rPr>
                <w:rFonts w:ascii="Arial" w:hAnsi="Arial"/>
                <w:sz w:val="18"/>
                <w:szCs w:val="18"/>
              </w:rPr>
              <w:t xml:space="preserve"> </w:t>
            </w:r>
          </w:p>
        </w:tc>
        <w:tc>
          <w:tcPr>
            <w:tcW w:w="1275" w:type="dxa"/>
            <w:shd w:val="clear" w:color="auto" w:fill="auto"/>
            <w:vAlign w:val="center"/>
          </w:tcPr>
          <w:p w14:paraId="6B439F32" w14:textId="446D7459" w:rsidR="00C7341F" w:rsidRPr="00CA462D" w:rsidRDefault="007A4FCB" w:rsidP="0012484F">
            <w:pPr>
              <w:widowControl w:val="0"/>
              <w:spacing w:after="0"/>
              <w:rPr>
                <w:rFonts w:ascii="Arial" w:hAnsi="Arial" w:cs="Arial"/>
                <w:sz w:val="18"/>
                <w:szCs w:val="18"/>
              </w:rPr>
            </w:pPr>
            <w:proofErr w:type="spellStart"/>
            <w:r>
              <w:rPr>
                <w:rFonts w:ascii="Arial" w:hAnsi="Arial"/>
                <w:sz w:val="18"/>
                <w:szCs w:val="18"/>
              </w:rPr>
              <w:t>Signa</w:t>
            </w:r>
            <w:proofErr w:type="spellEnd"/>
            <w:r>
              <w:rPr>
                <w:rFonts w:ascii="Arial" w:hAnsi="Arial"/>
                <w:sz w:val="18"/>
                <w:szCs w:val="18"/>
              </w:rPr>
              <w:t xml:space="preserve"> Holding </w:t>
            </w:r>
          </w:p>
        </w:tc>
        <w:tc>
          <w:tcPr>
            <w:tcW w:w="1163" w:type="dxa"/>
            <w:shd w:val="clear" w:color="auto" w:fill="auto"/>
            <w:vAlign w:val="center"/>
          </w:tcPr>
          <w:p w14:paraId="1C3F2E30" w14:textId="590CDE92" w:rsidR="00C7341F" w:rsidRPr="00CA462D" w:rsidRDefault="007A4FCB" w:rsidP="00927886">
            <w:pPr>
              <w:widowControl w:val="0"/>
              <w:spacing w:after="0"/>
              <w:jc w:val="right"/>
              <w:rPr>
                <w:rFonts w:ascii="Arial" w:hAnsi="Arial" w:cs="Arial"/>
                <w:sz w:val="18"/>
                <w:szCs w:val="18"/>
              </w:rPr>
            </w:pPr>
            <w:r>
              <w:rPr>
                <w:rFonts w:ascii="Arial" w:hAnsi="Arial"/>
                <w:sz w:val="18"/>
                <w:szCs w:val="18"/>
              </w:rPr>
              <w:t>38</w:t>
            </w:r>
          </w:p>
        </w:tc>
      </w:tr>
    </w:tbl>
    <w:p w14:paraId="38EB286B" w14:textId="38E1DFC2" w:rsidR="00C7341F" w:rsidRDefault="00C7341F" w:rsidP="00C7341F">
      <w:pPr>
        <w:widowControl w:val="0"/>
        <w:spacing w:after="0"/>
        <w:rPr>
          <w:rFonts w:ascii="Arial" w:hAnsi="Arial" w:cs="Arial"/>
          <w:sz w:val="16"/>
          <w:szCs w:val="16"/>
        </w:rPr>
      </w:pPr>
      <w:r>
        <w:rPr>
          <w:rFonts w:ascii="Arial" w:hAnsi="Arial"/>
          <w:sz w:val="16"/>
          <w:szCs w:val="16"/>
        </w:rPr>
        <w:t>* The purchase prices stated are based on publicly available data, where none is available an estimate is used instead</w:t>
      </w:r>
      <w:r w:rsidR="00D77211">
        <w:rPr>
          <w:rFonts w:ascii="Arial" w:hAnsi="Arial"/>
          <w:sz w:val="16"/>
          <w:szCs w:val="16"/>
        </w:rPr>
        <w:t>.</w:t>
      </w:r>
    </w:p>
    <w:p w14:paraId="307A702E" w14:textId="77777777" w:rsidR="00C7341F" w:rsidRDefault="00C7341F" w:rsidP="0090748B">
      <w:pPr>
        <w:spacing w:after="0" w:line="360" w:lineRule="auto"/>
        <w:textAlignment w:val="baseline"/>
        <w:rPr>
          <w:rFonts w:ascii="Arial" w:eastAsia="Arial" w:hAnsi="Arial" w:cs="Arial"/>
          <w:color w:val="000000" w:themeColor="text1"/>
          <w:sz w:val="20"/>
          <w:szCs w:val="20"/>
        </w:rPr>
      </w:pPr>
    </w:p>
    <w:p w14:paraId="642E7059" w14:textId="4E5F4536" w:rsidR="0090748B" w:rsidRPr="00937880" w:rsidRDefault="0090748B" w:rsidP="0090748B">
      <w:pPr>
        <w:spacing w:after="0" w:line="360" w:lineRule="auto"/>
        <w:textAlignment w:val="baseline"/>
        <w:rPr>
          <w:rFonts w:ascii="Arial" w:eastAsia="Arial" w:hAnsi="Arial" w:cs="Arial"/>
          <w:color w:val="000000" w:themeColor="text1"/>
          <w:sz w:val="16"/>
          <w:szCs w:val="16"/>
        </w:rPr>
      </w:pPr>
      <w:r w:rsidRPr="00937880">
        <w:rPr>
          <w:rFonts w:ascii="Arial" w:hAnsi="Arial" w:cs="Arial"/>
          <w:color w:val="000000" w:themeColor="text1"/>
          <w:sz w:val="16"/>
          <w:szCs w:val="16"/>
        </w:rPr>
        <w:t>The</w:t>
      </w:r>
      <w:hyperlink r:id="rId9" w:history="1">
        <w:r w:rsidRPr="00937880">
          <w:rPr>
            <w:rStyle w:val="Hyperlink"/>
            <w:rFonts w:ascii="Arial" w:hAnsi="Arial" w:cs="Arial"/>
            <w:sz w:val="16"/>
            <w:szCs w:val="16"/>
          </w:rPr>
          <w:t xml:space="preserve"> marke</w:t>
        </w:r>
        <w:r w:rsidR="002F6BEB">
          <w:rPr>
            <w:rStyle w:val="Hyperlink"/>
            <w:rFonts w:ascii="Arial" w:hAnsi="Arial" w:cs="Arial"/>
            <w:sz w:val="16"/>
            <w:szCs w:val="16"/>
          </w:rPr>
          <w:t xml:space="preserve">t survey property investment </w:t>
        </w:r>
        <w:r w:rsidRPr="00937880">
          <w:rPr>
            <w:rStyle w:val="Hyperlink"/>
            <w:rFonts w:ascii="Arial" w:hAnsi="Arial" w:cs="Arial"/>
            <w:sz w:val="16"/>
            <w:szCs w:val="16"/>
          </w:rPr>
          <w:t>Hamburg 2022/Q1</w:t>
        </w:r>
      </w:hyperlink>
      <w:r w:rsidRPr="00937880">
        <w:rPr>
          <w:rFonts w:ascii="Arial" w:hAnsi="Arial" w:cs="Arial"/>
          <w:color w:val="000000" w:themeColor="text1"/>
          <w:sz w:val="16"/>
          <w:szCs w:val="16"/>
        </w:rPr>
        <w:t xml:space="preserve"> will soon be available to download from our website.</w:t>
      </w:r>
    </w:p>
    <w:p w14:paraId="6498E5CA" w14:textId="77777777" w:rsidR="0090748B" w:rsidRDefault="0090748B" w:rsidP="000C770D">
      <w:pPr>
        <w:spacing w:after="0" w:line="360" w:lineRule="auto"/>
        <w:rPr>
          <w:rFonts w:ascii="Arial" w:hAnsi="Arial" w:cs="Arial"/>
          <w:sz w:val="20"/>
          <w:szCs w:val="20"/>
        </w:rPr>
      </w:pPr>
    </w:p>
    <w:p w14:paraId="542EEB00" w14:textId="77777777" w:rsidR="00B747F3" w:rsidRPr="0090748B" w:rsidRDefault="00B747F3" w:rsidP="00B747F3">
      <w:pPr>
        <w:spacing w:after="0" w:line="360" w:lineRule="auto"/>
        <w:rPr>
          <w:rFonts w:ascii="Arial" w:hAnsi="Arial" w:cs="Arial"/>
          <w:b/>
          <w:sz w:val="16"/>
          <w:szCs w:val="16"/>
        </w:rPr>
      </w:pPr>
      <w:r>
        <w:rPr>
          <w:rFonts w:ascii="Arial" w:hAnsi="Arial"/>
          <w:b/>
          <w:sz w:val="16"/>
          <w:szCs w:val="16"/>
        </w:rPr>
        <w:t>About Grossmann &amp; Berger</w:t>
      </w:r>
    </w:p>
    <w:p w14:paraId="26FA39E4" w14:textId="382958DE" w:rsidR="00B747F3" w:rsidRPr="004A6CA8" w:rsidRDefault="00071AB6" w:rsidP="00B747F3">
      <w:pPr>
        <w:spacing w:after="0" w:line="360" w:lineRule="auto"/>
        <w:rPr>
          <w:rFonts w:ascii="Arial" w:hAnsi="Arial" w:cs="Arial"/>
          <w:vanish/>
          <w:sz w:val="16"/>
          <w:szCs w:val="16"/>
          <w:specVanish/>
        </w:rPr>
      </w:pPr>
      <w:hyperlink r:id="rId10" w:history="1">
        <w:r w:rsidR="00B747F3">
          <w:rPr>
            <w:rStyle w:val="Hyperlink"/>
            <w:rFonts w:ascii="Arial" w:hAnsi="Arial"/>
            <w:snapToGrid w:val="0"/>
            <w:sz w:val="16"/>
            <w:szCs w:val="16"/>
          </w:rPr>
          <w:t>Grossmann &amp; Berger GmbH</w:t>
        </w:r>
      </w:hyperlink>
      <w:r w:rsidR="00B747F3">
        <w:rPr>
          <w:rFonts w:ascii="Arial" w:hAnsi="Arial"/>
          <w:snapToGrid w:val="0"/>
          <w:sz w:val="16"/>
          <w:szCs w:val="16"/>
        </w:rPr>
        <w:t xml:space="preserve"> is one of the leading service providers in the business of selling and letting commercial and residential properties in North Germany. In addition to its main office in Hamburg, the company has 20 local offices. This allows Grossmann &amp; Berger to cover the entire North German market. In May 2021 the company was augmented by </w:t>
      </w:r>
      <w:hyperlink r:id="rId11" w:history="1">
        <w:r w:rsidR="00B747F3">
          <w:rPr>
            <w:rStyle w:val="Hyperlink"/>
            <w:rFonts w:ascii="Arial" w:hAnsi="Arial"/>
            <w:snapToGrid w:val="0"/>
            <w:sz w:val="16"/>
            <w:szCs w:val="16"/>
          </w:rPr>
          <w:t>E &amp; G Real Estate</w:t>
        </w:r>
      </w:hyperlink>
      <w:r w:rsidR="00B747F3">
        <w:rPr>
          <w:rFonts w:ascii="Arial" w:hAnsi="Arial"/>
          <w:snapToGrid w:val="0"/>
          <w:sz w:val="16"/>
          <w:szCs w:val="16"/>
        </w:rPr>
        <w:t xml:space="preserve"> and</w:t>
      </w:r>
      <w:r w:rsidR="00B747F3">
        <w:rPr>
          <w:rFonts w:ascii="Arial" w:hAnsi="Arial"/>
          <w:snapToGrid w:val="0"/>
          <w:sz w:val="16"/>
          <w:szCs w:val="16"/>
        </w:rPr>
        <w:br/>
      </w:r>
      <w:hyperlink r:id="rId12" w:history="1">
        <w:r w:rsidR="00B747F3">
          <w:rPr>
            <w:rStyle w:val="Hyperlink"/>
            <w:rFonts w:ascii="Arial" w:hAnsi="Arial"/>
            <w:snapToGrid w:val="0"/>
            <w:sz w:val="16"/>
            <w:szCs w:val="16"/>
          </w:rPr>
          <w:t xml:space="preserve">E &amp; G Private </w:t>
        </w:r>
        <w:proofErr w:type="spellStart"/>
        <w:r w:rsidR="00B747F3">
          <w:rPr>
            <w:rStyle w:val="Hyperlink"/>
            <w:rFonts w:ascii="Arial" w:hAnsi="Arial"/>
            <w:snapToGrid w:val="0"/>
            <w:sz w:val="16"/>
            <w:szCs w:val="16"/>
          </w:rPr>
          <w:t>Immobilien</w:t>
        </w:r>
        <w:proofErr w:type="spellEnd"/>
      </w:hyperlink>
      <w:r w:rsidR="00B747F3">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250 employees provide the full range of relevant services. They also benefit from the company’s more than 85 years standing in the industry. </w:t>
      </w:r>
      <w:r w:rsidR="00B747F3">
        <w:rPr>
          <w:rFonts w:ascii="Arial" w:hAnsi="Arial"/>
          <w:sz w:val="16"/>
          <w:szCs w:val="16"/>
        </w:rPr>
        <w:t xml:space="preserve">Grossmann &amp; Berger belongs to the HASPA Group and is a founding member of the national commercial real estate network </w:t>
      </w:r>
      <w:hyperlink r:id="rId13" w:history="1">
        <w:r w:rsidR="00B747F3">
          <w:rPr>
            <w:rStyle w:val="Hyperlink"/>
            <w:rFonts w:ascii="Arial" w:hAnsi="Arial"/>
            <w:sz w:val="16"/>
            <w:szCs w:val="16"/>
          </w:rPr>
          <w:t>German Property Partners</w:t>
        </w:r>
      </w:hyperlink>
      <w:r w:rsidR="00B747F3">
        <w:rPr>
          <w:rFonts w:ascii="Arial" w:hAnsi="Arial"/>
          <w:sz w:val="16"/>
          <w:szCs w:val="16"/>
        </w:rPr>
        <w:t xml:space="preserve"> (GPP).</w:t>
      </w:r>
    </w:p>
    <w:p w14:paraId="688B9FF7" w14:textId="77777777" w:rsidR="00B747F3" w:rsidRPr="004A6CA8" w:rsidRDefault="00B747F3" w:rsidP="00B747F3">
      <w:pPr>
        <w:spacing w:after="0" w:line="360" w:lineRule="auto"/>
        <w:rPr>
          <w:rFonts w:ascii="Arial" w:hAnsi="Arial" w:cs="Arial"/>
          <w:sz w:val="16"/>
          <w:szCs w:val="16"/>
        </w:rPr>
      </w:pPr>
      <w:r>
        <w:rPr>
          <w:rFonts w:ascii="Arial" w:hAnsi="Arial"/>
          <w:sz w:val="16"/>
          <w:szCs w:val="16"/>
        </w:rPr>
        <w:t xml:space="preserve"> </w:t>
      </w:r>
    </w:p>
    <w:p w14:paraId="4F84B327" w14:textId="77777777" w:rsidR="00B747F3" w:rsidRPr="00583E25" w:rsidRDefault="00B747F3" w:rsidP="00B747F3">
      <w:pPr>
        <w:spacing w:after="0" w:line="360" w:lineRule="auto"/>
        <w:rPr>
          <w:rFonts w:ascii="Arial" w:hAnsi="Arial" w:cs="Arial"/>
          <w:sz w:val="16"/>
          <w:szCs w:val="16"/>
        </w:rPr>
      </w:pPr>
    </w:p>
    <w:p w14:paraId="4CECEBB6" w14:textId="7A4007C5" w:rsidR="00503D8C" w:rsidRPr="00712CE1" w:rsidRDefault="00B747F3" w:rsidP="00B747F3">
      <w:pPr>
        <w:spacing w:after="0" w:line="360" w:lineRule="auto"/>
        <w:rPr>
          <w:rFonts w:ascii="Arial" w:hAnsi="Arial" w:cs="Arial"/>
          <w:sz w:val="16"/>
          <w:szCs w:val="16"/>
        </w:rPr>
      </w:pPr>
      <w:r>
        <w:rPr>
          <w:rFonts w:ascii="Arial" w:hAnsi="Arial"/>
          <w:sz w:val="16"/>
          <w:szCs w:val="16"/>
        </w:rPr>
        <w:t>Please consult our website for Grossmann &amp; Berger’s</w:t>
      </w:r>
      <w:hyperlink r:id="rId14" w:history="1">
        <w:r w:rsidRPr="002F6BEB">
          <w:rPr>
            <w:rStyle w:val="Hyperlink"/>
            <w:rFonts w:ascii="Arial" w:hAnsi="Arial"/>
            <w:sz w:val="16"/>
            <w:szCs w:val="16"/>
            <w:u w:val="none"/>
          </w:rPr>
          <w:t xml:space="preserve"> </w:t>
        </w:r>
        <w:r>
          <w:rPr>
            <w:rStyle w:val="Hyperlink"/>
            <w:rFonts w:ascii="Arial" w:hAnsi="Arial"/>
            <w:sz w:val="16"/>
            <w:szCs w:val="16"/>
          </w:rPr>
          <w:t>data privacy policy</w:t>
        </w:r>
        <w:r w:rsidRPr="002F6BEB">
          <w:rPr>
            <w:rStyle w:val="Hyperlink"/>
            <w:rFonts w:ascii="Arial" w:hAnsi="Arial"/>
            <w:sz w:val="16"/>
            <w:szCs w:val="16"/>
            <w:u w:val="none"/>
          </w:rPr>
          <w:t>.</w:t>
        </w:r>
      </w:hyperlink>
      <w:r w:rsidR="002F6BEB">
        <w:rPr>
          <w:rFonts w:ascii="Arial" w:hAnsi="Arial"/>
          <w:sz w:val="16"/>
          <w:szCs w:val="16"/>
        </w:rPr>
        <w:t xml:space="preserve"> </w:t>
      </w:r>
      <w:r>
        <w:rPr>
          <w:rFonts w:ascii="Arial" w:hAnsi="Arial"/>
          <w:sz w:val="16"/>
          <w:szCs w:val="16"/>
        </w:rPr>
        <w:t xml:space="preserve">Here you will also be able to access our </w:t>
      </w:r>
      <w:hyperlink r:id="rId15" w:history="1">
        <w:r>
          <w:rPr>
            <w:rStyle w:val="Hyperlink"/>
            <w:rFonts w:ascii="Arial" w:hAnsi="Arial"/>
            <w:sz w:val="16"/>
            <w:szCs w:val="16"/>
          </w:rPr>
          <w:t>press kit</w:t>
        </w:r>
      </w:hyperlink>
      <w:r>
        <w:rPr>
          <w:rFonts w:ascii="Arial" w:hAnsi="Arial"/>
          <w:sz w:val="16"/>
          <w:szCs w:val="16"/>
        </w:rPr>
        <w:t xml:space="preserve"> and the associated </w:t>
      </w:r>
      <w:hyperlink r:id="rId16" w:history="1">
        <w:r w:rsidRPr="002F6BEB">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712CE1"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391B" w16cex:dateUtc="2022-03-31T12:28:00Z"/>
  <w16cex:commentExtensible w16cex:durableId="25F0394C" w16cex:dateUtc="2022-03-31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77545" w16cid:durableId="25F0391B"/>
  <w16cid:commentId w16cid:paraId="4A657374" w16cid:durableId="25F039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5DFA8" w14:textId="77777777" w:rsidR="002E1A0D" w:rsidRDefault="002E1A0D">
      <w:r>
        <w:separator/>
      </w:r>
    </w:p>
  </w:endnote>
  <w:endnote w:type="continuationSeparator" w:id="0">
    <w:p w14:paraId="244B1A0E" w14:textId="77777777" w:rsidR="002E1A0D" w:rsidRDefault="002E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0022"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20354 Hamburg | Tel. +49 (0)40/350 80 2-0 | www.grossmann-berger.de</w:t>
    </w:r>
  </w:p>
  <w:p w14:paraId="5E0EDDBC" w14:textId="747FC043"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F969B2">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F969B2">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CEE9" w14:textId="77777777" w:rsidR="008C608D" w:rsidRDefault="008C608D">
    <w:pPr>
      <w:pStyle w:val="Fuzeile"/>
    </w:pPr>
    <w:r>
      <w:rPr>
        <w:noProof/>
        <w:lang w:val="de-DE" w:eastAsia="de-DE"/>
      </w:rPr>
      <w:drawing>
        <wp:anchor distT="0" distB="0" distL="0" distR="0" simplePos="0" relativeHeight="251659264" behindDoc="0" locked="0" layoutInCell="0" allowOverlap="1" wp14:anchorId="648292C5" wp14:editId="00457459">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4D897" w14:textId="77777777" w:rsidR="002E1A0D" w:rsidRDefault="002E1A0D">
      <w:r>
        <w:separator/>
      </w:r>
    </w:p>
  </w:footnote>
  <w:footnote w:type="continuationSeparator" w:id="0">
    <w:p w14:paraId="20A8C15F" w14:textId="77777777" w:rsidR="002E1A0D" w:rsidRDefault="002E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0661" w14:textId="77777777" w:rsidR="006138CB" w:rsidRPr="009E3ADA" w:rsidRDefault="00E5203C"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58C25E6F" wp14:editId="33ADA0D1">
              <wp:simplePos x="0" y="0"/>
              <wp:positionH relativeFrom="column">
                <wp:posOffset>-83516</wp:posOffset>
              </wp:positionH>
              <wp:positionV relativeFrom="paragraph">
                <wp:posOffset>22225</wp:posOffset>
              </wp:positionV>
              <wp:extent cx="457962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3985"/>
                      </a:xfrm>
                      <a:prstGeom prst="rect">
                        <a:avLst/>
                      </a:prstGeom>
                      <a:noFill/>
                      <a:ln w="9525">
                        <a:noFill/>
                        <a:miter lim="800000"/>
                        <a:headEnd/>
                        <a:tailEnd/>
                      </a:ln>
                    </wps:spPr>
                    <wps:txbx>
                      <w:txbxContent>
                        <w:p w14:paraId="038D3993"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8C25E6F" id="_x0000_t202" coordsize="21600,21600" o:spt="202" path="m,l,21600r21600,l21600,xe">
              <v:stroke joinstyle="miter"/>
              <v:path gradientshapeok="t" o:connecttype="rect"/>
            </v:shapetype>
            <v:shape id="Textfeld 2" o:spid="_x0000_s1026" type="#_x0000_t202" style="position:absolute;left:0;text-align:left;margin-left:-6.6pt;margin-top:1.75pt;width:360.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" filled="f" stroked="f">
              <v:textbox style="mso-fit-shape-to-text:t">
                <w:txbxContent>
                  <w:p w14:paraId="038D3993" w14:textId="77777777" w:rsidR="00E5203C" w:rsidRPr="001E3456" w:rsidRDefault="00E5203C" w:rsidP="00E5203C">
                    <w:pPr>
                      <w:spacing w:after="0"/>
                      <w:rPr>
                        <w:sz w:val="16"/>
                        <w:szCs w:val="16"/>
                        <w:rFonts w:ascii="Arial" w:hAnsi="Arial" w:cs="Arial"/>
                      </w:rPr>
                    </w:pPr>
                    <w:r>
                      <w:rPr>
                        <w:sz w:val="16"/>
                        <w:szCs w:val="16"/>
                        <w:b/>
                        <w:rFonts w:ascii="Arial" w:hAnsi="Arial"/>
                      </w:rPr>
                      <w:t xml:space="preserve">Press contact:</w:t>
                    </w:r>
                    <w:r>
                      <w:rPr>
                        <w:sz w:val="16"/>
                        <w:szCs w:val="16"/>
                        <w:rFonts w:ascii="Arial" w:hAnsi="Arial"/>
                      </w:rPr>
                      <w:t xml:space="preserve"> </w:t>
                    </w:r>
                    <w:r>
                      <w:rPr>
                        <w:sz w:val="16"/>
                        <w:szCs w:val="16"/>
                        <w:rFonts w:ascii="Arial" w:hAnsi="Arial"/>
                      </w:rPr>
                      <w:t xml:space="preserve">Britt Finke | Tel.:</w:t>
                    </w:r>
                    <w:r>
                      <w:rPr>
                        <w:sz w:val="16"/>
                        <w:szCs w:val="16"/>
                        <w:rFonts w:ascii="Arial" w:hAnsi="Arial"/>
                      </w:rPr>
                      <w:t xml:space="preserve"> </w:t>
                    </w:r>
                    <w:r>
                      <w:rPr>
                        <w:sz w:val="16"/>
                        <w:szCs w:val="16"/>
                        <w:rFonts w:ascii="Arial" w:hAnsi="Arial"/>
                      </w:rPr>
                      <w:t xml:space="preserve">+49 (0)40/350 802-993 | b.finke@grossmann-berger.de</w:t>
                    </w:r>
                  </w:p>
                </w:txbxContent>
              </v:textbox>
            </v:shape>
          </w:pict>
        </mc:Fallback>
      </mc:AlternateContent>
    </w:r>
    <w:r>
      <w:rPr>
        <w:rFonts w:ascii="Arial" w:hAnsi="Arial"/>
        <w:color w:val="918F90"/>
        <w:sz w:val="28"/>
        <w:szCs w:val="28"/>
      </w:rPr>
      <w:t>Press release</w:t>
    </w:r>
  </w:p>
  <w:p w14:paraId="4672834A"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F632"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26FF3942" wp14:editId="28446FD2">
              <wp:simplePos x="0" y="0"/>
              <wp:positionH relativeFrom="column">
                <wp:posOffset>-80341</wp:posOffset>
              </wp:positionH>
              <wp:positionV relativeFrom="paragraph">
                <wp:posOffset>21590</wp:posOffset>
              </wp:positionV>
              <wp:extent cx="4579952"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2" cy="1403985"/>
                      </a:xfrm>
                      <a:prstGeom prst="rect">
                        <a:avLst/>
                      </a:prstGeom>
                      <a:noFill/>
                      <a:ln w="9525">
                        <a:noFill/>
                        <a:miter lim="800000"/>
                        <a:headEnd/>
                        <a:tailEnd/>
                      </a:ln>
                    </wps:spPr>
                    <wps:txbx>
                      <w:txbxContent>
                        <w:p w14:paraId="341F569C"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6FF3942" id="_x0000_t202" coordsize="21600,21600" o:spt="202" path="m,l,21600r21600,l21600,xe">
              <v:stroke joinstyle="miter"/>
              <v:path gradientshapeok="t" o:connecttype="rect"/>
            </v:shapetype>
            <v:shape id="_x0000_s1027" type="#_x0000_t202" style="position:absolute;left:0;text-align:left;margin-left:-6.35pt;margin-top:1.7pt;width:36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" filled="f" stroked="f">
              <v:textbox style="mso-fit-shape-to-text:t">
                <w:txbxContent>
                  <w:p w14:paraId="341F569C" w14:textId="77777777" w:rsidR="00E5203C" w:rsidRPr="001E3456" w:rsidRDefault="00E5203C" w:rsidP="00E5203C">
                    <w:pPr>
                      <w:spacing w:after="0"/>
                      <w:rPr>
                        <w:sz w:val="16"/>
                        <w:szCs w:val="16"/>
                        <w:rFonts w:ascii="Arial" w:hAnsi="Arial" w:cs="Arial"/>
                      </w:rPr>
                    </w:pPr>
                    <w:r>
                      <w:rPr>
                        <w:sz w:val="16"/>
                        <w:szCs w:val="16"/>
                        <w:b/>
                        <w:rFonts w:ascii="Arial" w:hAnsi="Arial"/>
                      </w:rPr>
                      <w:t xml:space="preserve">Press contact:</w:t>
                    </w:r>
                    <w:r>
                      <w:rPr>
                        <w:sz w:val="16"/>
                        <w:szCs w:val="16"/>
                        <w:rFonts w:ascii="Arial" w:hAnsi="Arial"/>
                      </w:rPr>
                      <w:t xml:space="preserve"> </w:t>
                    </w:r>
                    <w:r>
                      <w:rPr>
                        <w:sz w:val="16"/>
                        <w:szCs w:val="16"/>
                        <w:rFonts w:ascii="Arial" w:hAnsi="Arial"/>
                      </w:rPr>
                      <w:t xml:space="preserve">Britt Finke | Tel.:</w:t>
                    </w:r>
                    <w:r>
                      <w:rPr>
                        <w:sz w:val="16"/>
                        <w:szCs w:val="16"/>
                        <w:rFonts w:ascii="Arial" w:hAnsi="Arial"/>
                      </w:rPr>
                      <w:t xml:space="preserve"> </w:t>
                    </w:r>
                    <w:r>
                      <w:rPr>
                        <w:sz w:val="16"/>
                        <w:szCs w:val="16"/>
                        <w:rFonts w:ascii="Arial" w:hAnsi="Arial"/>
                      </w:rPr>
                      <w:t xml:space="preserve">+49 (0)40/350 802-993 | b.finke@grossmann-berger.de</w:t>
                    </w:r>
                  </w:p>
                </w:txbxContent>
              </v:textbox>
            </v:shape>
          </w:pict>
        </mc:Fallback>
      </mc:AlternateContent>
    </w:r>
    <w:r>
      <w:rPr>
        <w:rFonts w:ascii="Arial" w:hAnsi="Arial"/>
        <w:color w:val="918F90"/>
        <w:sz w:val="28"/>
        <w:szCs w:val="28"/>
      </w:rPr>
      <w:t>Press release</w:t>
    </w:r>
  </w:p>
  <w:p w14:paraId="3FAFB734"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065F13"/>
    <w:multiLevelType w:val="hybridMultilevel"/>
    <w:tmpl w:val="4D16C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1C6700"/>
    <w:multiLevelType w:val="hybridMultilevel"/>
    <w:tmpl w:val="58B0B62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8F830F8"/>
    <w:multiLevelType w:val="hybridMultilevel"/>
    <w:tmpl w:val="CE54F1DE"/>
    <w:lvl w:ilvl="0" w:tplc="41F6EF16">
      <w:start w:val="28"/>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6"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7"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FFF56F7"/>
    <w:multiLevelType w:val="hybridMultilevel"/>
    <w:tmpl w:val="F8825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6"/>
  </w:num>
  <w:num w:numId="15">
    <w:abstractNumId w:val="17"/>
  </w:num>
  <w:num w:numId="16">
    <w:abstractNumId w:val="11"/>
  </w:num>
  <w:num w:numId="17">
    <w:abstractNumId w:val="14"/>
  </w:num>
  <w:num w:numId="18">
    <w:abstractNumId w:val="1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uch" w:val="0"/>
  </w:docVars>
  <w:rsids>
    <w:rsidRoot w:val="004661EE"/>
    <w:rsid w:val="000159FE"/>
    <w:rsid w:val="000202AA"/>
    <w:rsid w:val="00022F16"/>
    <w:rsid w:val="00023D78"/>
    <w:rsid w:val="0003075C"/>
    <w:rsid w:val="00060743"/>
    <w:rsid w:val="00066796"/>
    <w:rsid w:val="00071AB6"/>
    <w:rsid w:val="000766D7"/>
    <w:rsid w:val="000B3315"/>
    <w:rsid w:val="000C770D"/>
    <w:rsid w:val="000E03F3"/>
    <w:rsid w:val="001029C4"/>
    <w:rsid w:val="0011486D"/>
    <w:rsid w:val="00121E33"/>
    <w:rsid w:val="0012484F"/>
    <w:rsid w:val="00126550"/>
    <w:rsid w:val="001324D6"/>
    <w:rsid w:val="00135BD2"/>
    <w:rsid w:val="00142A67"/>
    <w:rsid w:val="00154825"/>
    <w:rsid w:val="00155DAF"/>
    <w:rsid w:val="0017516B"/>
    <w:rsid w:val="00176F1D"/>
    <w:rsid w:val="00190298"/>
    <w:rsid w:val="001922E2"/>
    <w:rsid w:val="001A2ABE"/>
    <w:rsid w:val="001A360C"/>
    <w:rsid w:val="001A5E9E"/>
    <w:rsid w:val="001B3575"/>
    <w:rsid w:val="001D0D74"/>
    <w:rsid w:val="001D14DA"/>
    <w:rsid w:val="001E6995"/>
    <w:rsid w:val="001F1513"/>
    <w:rsid w:val="001F6BCE"/>
    <w:rsid w:val="00205769"/>
    <w:rsid w:val="00212FEC"/>
    <w:rsid w:val="002131BB"/>
    <w:rsid w:val="0022086D"/>
    <w:rsid w:val="002220CB"/>
    <w:rsid w:val="00227E31"/>
    <w:rsid w:val="00230F81"/>
    <w:rsid w:val="002538F8"/>
    <w:rsid w:val="00254C6F"/>
    <w:rsid w:val="0027266B"/>
    <w:rsid w:val="00281E80"/>
    <w:rsid w:val="002834B0"/>
    <w:rsid w:val="00283671"/>
    <w:rsid w:val="00284E27"/>
    <w:rsid w:val="002A028B"/>
    <w:rsid w:val="002A1973"/>
    <w:rsid w:val="002C2392"/>
    <w:rsid w:val="002D1C5C"/>
    <w:rsid w:val="002D1E20"/>
    <w:rsid w:val="002E1A0D"/>
    <w:rsid w:val="002E6860"/>
    <w:rsid w:val="002F0411"/>
    <w:rsid w:val="002F6BEB"/>
    <w:rsid w:val="00325E2A"/>
    <w:rsid w:val="0034786C"/>
    <w:rsid w:val="003517C9"/>
    <w:rsid w:val="0035325B"/>
    <w:rsid w:val="003577ED"/>
    <w:rsid w:val="00370000"/>
    <w:rsid w:val="00373507"/>
    <w:rsid w:val="0038230E"/>
    <w:rsid w:val="00382529"/>
    <w:rsid w:val="003A75E8"/>
    <w:rsid w:val="003B4CCF"/>
    <w:rsid w:val="003C6AB4"/>
    <w:rsid w:val="003E099F"/>
    <w:rsid w:val="003F1645"/>
    <w:rsid w:val="0040086D"/>
    <w:rsid w:val="004017D8"/>
    <w:rsid w:val="00411E03"/>
    <w:rsid w:val="004123B1"/>
    <w:rsid w:val="004303A1"/>
    <w:rsid w:val="004351E4"/>
    <w:rsid w:val="00440DC9"/>
    <w:rsid w:val="004506D2"/>
    <w:rsid w:val="00456F40"/>
    <w:rsid w:val="004609BD"/>
    <w:rsid w:val="004661EE"/>
    <w:rsid w:val="00466741"/>
    <w:rsid w:val="0047591A"/>
    <w:rsid w:val="004839BD"/>
    <w:rsid w:val="004A2BEA"/>
    <w:rsid w:val="004A3C64"/>
    <w:rsid w:val="004A5AEA"/>
    <w:rsid w:val="004B09DE"/>
    <w:rsid w:val="004B2FDA"/>
    <w:rsid w:val="004B480A"/>
    <w:rsid w:val="004E339B"/>
    <w:rsid w:val="004E4562"/>
    <w:rsid w:val="004F077F"/>
    <w:rsid w:val="004F20C7"/>
    <w:rsid w:val="005023DD"/>
    <w:rsid w:val="00503D8C"/>
    <w:rsid w:val="00522B84"/>
    <w:rsid w:val="00531A7F"/>
    <w:rsid w:val="005428C5"/>
    <w:rsid w:val="00543C55"/>
    <w:rsid w:val="00546707"/>
    <w:rsid w:val="005554C7"/>
    <w:rsid w:val="00582B99"/>
    <w:rsid w:val="00590903"/>
    <w:rsid w:val="005B0FC9"/>
    <w:rsid w:val="005B66D3"/>
    <w:rsid w:val="005C4556"/>
    <w:rsid w:val="005C5302"/>
    <w:rsid w:val="005E35CD"/>
    <w:rsid w:val="005E362E"/>
    <w:rsid w:val="005E4B48"/>
    <w:rsid w:val="005F6E2B"/>
    <w:rsid w:val="0061109D"/>
    <w:rsid w:val="00612AA0"/>
    <w:rsid w:val="006138CB"/>
    <w:rsid w:val="006224C4"/>
    <w:rsid w:val="006225EA"/>
    <w:rsid w:val="006261DF"/>
    <w:rsid w:val="00633B9C"/>
    <w:rsid w:val="00642074"/>
    <w:rsid w:val="00656B29"/>
    <w:rsid w:val="00676395"/>
    <w:rsid w:val="0068564B"/>
    <w:rsid w:val="00687D00"/>
    <w:rsid w:val="00695E58"/>
    <w:rsid w:val="006A1329"/>
    <w:rsid w:val="006A66F9"/>
    <w:rsid w:val="006E4CF0"/>
    <w:rsid w:val="006E5F6E"/>
    <w:rsid w:val="00710607"/>
    <w:rsid w:val="00712CE1"/>
    <w:rsid w:val="00720DFF"/>
    <w:rsid w:val="007218C0"/>
    <w:rsid w:val="00762CC5"/>
    <w:rsid w:val="00781CBD"/>
    <w:rsid w:val="00783517"/>
    <w:rsid w:val="007906B4"/>
    <w:rsid w:val="007A4FCB"/>
    <w:rsid w:val="007A7F58"/>
    <w:rsid w:val="007C013D"/>
    <w:rsid w:val="007E759D"/>
    <w:rsid w:val="007F49FD"/>
    <w:rsid w:val="00812471"/>
    <w:rsid w:val="008261A5"/>
    <w:rsid w:val="008314AD"/>
    <w:rsid w:val="0083382E"/>
    <w:rsid w:val="00855325"/>
    <w:rsid w:val="00862E34"/>
    <w:rsid w:val="00865915"/>
    <w:rsid w:val="00871832"/>
    <w:rsid w:val="00886CCE"/>
    <w:rsid w:val="00896B33"/>
    <w:rsid w:val="008A62FB"/>
    <w:rsid w:val="008A77B7"/>
    <w:rsid w:val="008B0F67"/>
    <w:rsid w:val="008C608D"/>
    <w:rsid w:val="008E461D"/>
    <w:rsid w:val="008F08E5"/>
    <w:rsid w:val="008F0EA4"/>
    <w:rsid w:val="008F5213"/>
    <w:rsid w:val="009066C5"/>
    <w:rsid w:val="0090748B"/>
    <w:rsid w:val="00920C9C"/>
    <w:rsid w:val="00922754"/>
    <w:rsid w:val="00925781"/>
    <w:rsid w:val="009258D0"/>
    <w:rsid w:val="00935AB3"/>
    <w:rsid w:val="00937880"/>
    <w:rsid w:val="009734CE"/>
    <w:rsid w:val="00980EDB"/>
    <w:rsid w:val="009864F4"/>
    <w:rsid w:val="0099478D"/>
    <w:rsid w:val="00996E1A"/>
    <w:rsid w:val="009A4414"/>
    <w:rsid w:val="009D24DA"/>
    <w:rsid w:val="009D5738"/>
    <w:rsid w:val="009D5D75"/>
    <w:rsid w:val="009F32A2"/>
    <w:rsid w:val="009F54CE"/>
    <w:rsid w:val="00A06264"/>
    <w:rsid w:val="00A1639A"/>
    <w:rsid w:val="00A202C5"/>
    <w:rsid w:val="00A215C9"/>
    <w:rsid w:val="00A4056C"/>
    <w:rsid w:val="00A5364B"/>
    <w:rsid w:val="00A546DC"/>
    <w:rsid w:val="00A615E0"/>
    <w:rsid w:val="00A65E2B"/>
    <w:rsid w:val="00A74AA0"/>
    <w:rsid w:val="00A7546D"/>
    <w:rsid w:val="00A77100"/>
    <w:rsid w:val="00AA4D97"/>
    <w:rsid w:val="00AD17B7"/>
    <w:rsid w:val="00B077D5"/>
    <w:rsid w:val="00B200E4"/>
    <w:rsid w:val="00B35B6D"/>
    <w:rsid w:val="00B35DC6"/>
    <w:rsid w:val="00B51699"/>
    <w:rsid w:val="00B53FAF"/>
    <w:rsid w:val="00B63153"/>
    <w:rsid w:val="00B6527D"/>
    <w:rsid w:val="00B73B3A"/>
    <w:rsid w:val="00B74507"/>
    <w:rsid w:val="00B747F3"/>
    <w:rsid w:val="00B75718"/>
    <w:rsid w:val="00B75E7E"/>
    <w:rsid w:val="00B92005"/>
    <w:rsid w:val="00B93817"/>
    <w:rsid w:val="00BA0B96"/>
    <w:rsid w:val="00BB15DA"/>
    <w:rsid w:val="00BB340D"/>
    <w:rsid w:val="00BC2A3A"/>
    <w:rsid w:val="00BC43AB"/>
    <w:rsid w:val="00BC64EC"/>
    <w:rsid w:val="00BD073D"/>
    <w:rsid w:val="00BF02E7"/>
    <w:rsid w:val="00BF3AFD"/>
    <w:rsid w:val="00C1606C"/>
    <w:rsid w:val="00C1720E"/>
    <w:rsid w:val="00C20EEA"/>
    <w:rsid w:val="00C23180"/>
    <w:rsid w:val="00C41492"/>
    <w:rsid w:val="00C62773"/>
    <w:rsid w:val="00C702B5"/>
    <w:rsid w:val="00C70389"/>
    <w:rsid w:val="00C7341F"/>
    <w:rsid w:val="00C904B6"/>
    <w:rsid w:val="00C96DF4"/>
    <w:rsid w:val="00C97C2E"/>
    <w:rsid w:val="00CA43E4"/>
    <w:rsid w:val="00CB08A0"/>
    <w:rsid w:val="00CC00BA"/>
    <w:rsid w:val="00CC1337"/>
    <w:rsid w:val="00CC48DF"/>
    <w:rsid w:val="00CD70E7"/>
    <w:rsid w:val="00CD7363"/>
    <w:rsid w:val="00CE0C1F"/>
    <w:rsid w:val="00CE455F"/>
    <w:rsid w:val="00CE687E"/>
    <w:rsid w:val="00CF0163"/>
    <w:rsid w:val="00CF0BF9"/>
    <w:rsid w:val="00CF5957"/>
    <w:rsid w:val="00D04BA2"/>
    <w:rsid w:val="00D077B0"/>
    <w:rsid w:val="00D21234"/>
    <w:rsid w:val="00D22D42"/>
    <w:rsid w:val="00D36D8D"/>
    <w:rsid w:val="00D45711"/>
    <w:rsid w:val="00D500FC"/>
    <w:rsid w:val="00D51597"/>
    <w:rsid w:val="00D5326E"/>
    <w:rsid w:val="00D55867"/>
    <w:rsid w:val="00D634A3"/>
    <w:rsid w:val="00D72339"/>
    <w:rsid w:val="00D73E47"/>
    <w:rsid w:val="00D74ABB"/>
    <w:rsid w:val="00D77211"/>
    <w:rsid w:val="00D83CB7"/>
    <w:rsid w:val="00D97FA8"/>
    <w:rsid w:val="00DB0734"/>
    <w:rsid w:val="00DC7B25"/>
    <w:rsid w:val="00DD6B73"/>
    <w:rsid w:val="00DE6366"/>
    <w:rsid w:val="00E112C9"/>
    <w:rsid w:val="00E158F7"/>
    <w:rsid w:val="00E15A2B"/>
    <w:rsid w:val="00E2087E"/>
    <w:rsid w:val="00E347F2"/>
    <w:rsid w:val="00E36818"/>
    <w:rsid w:val="00E47B97"/>
    <w:rsid w:val="00E5203C"/>
    <w:rsid w:val="00E61C65"/>
    <w:rsid w:val="00E6326D"/>
    <w:rsid w:val="00E634CC"/>
    <w:rsid w:val="00E82F0E"/>
    <w:rsid w:val="00E96FAC"/>
    <w:rsid w:val="00EA129F"/>
    <w:rsid w:val="00ED0582"/>
    <w:rsid w:val="00ED39A3"/>
    <w:rsid w:val="00EE31F6"/>
    <w:rsid w:val="00EE36DC"/>
    <w:rsid w:val="00F044EE"/>
    <w:rsid w:val="00F3320B"/>
    <w:rsid w:val="00F40E92"/>
    <w:rsid w:val="00F41947"/>
    <w:rsid w:val="00F435AA"/>
    <w:rsid w:val="00F76C6A"/>
    <w:rsid w:val="00F8085A"/>
    <w:rsid w:val="00F83BF1"/>
    <w:rsid w:val="00F90CB9"/>
    <w:rsid w:val="00F969B2"/>
    <w:rsid w:val="00F97373"/>
    <w:rsid w:val="00FA6854"/>
    <w:rsid w:val="00FB064F"/>
    <w:rsid w:val="00FB144F"/>
    <w:rsid w:val="00FB159A"/>
    <w:rsid w:val="00FB4D77"/>
    <w:rsid w:val="00FB6E2B"/>
    <w:rsid w:val="00FC497D"/>
    <w:rsid w:val="00FD076B"/>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EE4B44"/>
  <w15:docId w15:val="{3815A484-2858-4D74-AC58-664BB8BF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customStyle="1" w:styleId="TableGrid2">
    <w:name w:val="Table Grid2"/>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locked/>
    <w:rsid w:val="00C7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B09DE"/>
    <w:rPr>
      <w:sz w:val="16"/>
      <w:szCs w:val="16"/>
    </w:rPr>
  </w:style>
  <w:style w:type="paragraph" w:styleId="Kommentartext">
    <w:name w:val="annotation text"/>
    <w:basedOn w:val="Standard"/>
    <w:link w:val="KommentartextZchn"/>
    <w:uiPriority w:val="99"/>
    <w:semiHidden/>
    <w:unhideWhenUsed/>
    <w:rsid w:val="004B09DE"/>
    <w:rPr>
      <w:sz w:val="20"/>
      <w:szCs w:val="20"/>
    </w:rPr>
  </w:style>
  <w:style w:type="character" w:customStyle="1" w:styleId="KommentartextZchn">
    <w:name w:val="Kommentartext Zchn"/>
    <w:basedOn w:val="Absatz-Standardschriftart"/>
    <w:link w:val="Kommentartext"/>
    <w:uiPriority w:val="99"/>
    <w:semiHidden/>
    <w:rsid w:val="004B09DE"/>
    <w:rPr>
      <w:sz w:val="20"/>
      <w:szCs w:val="20"/>
      <w:lang w:eastAsia="en-US"/>
    </w:rPr>
  </w:style>
  <w:style w:type="paragraph" w:styleId="Kommentarthema">
    <w:name w:val="annotation subject"/>
    <w:basedOn w:val="Kommentartext"/>
    <w:next w:val="Kommentartext"/>
    <w:link w:val="KommentarthemaZchn"/>
    <w:uiPriority w:val="99"/>
    <w:semiHidden/>
    <w:unhideWhenUsed/>
    <w:rsid w:val="004B09DE"/>
    <w:rPr>
      <w:b/>
      <w:bCs/>
    </w:rPr>
  </w:style>
  <w:style w:type="character" w:customStyle="1" w:styleId="KommentarthemaZchn">
    <w:name w:val="Kommentarthema Zchn"/>
    <w:basedOn w:val="KommentartextZchn"/>
    <w:link w:val="Kommentarthema"/>
    <w:uiPriority w:val="99"/>
    <w:semiHidden/>
    <w:rsid w:val="004B09D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en/"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grossmann-berger.com/nutzungsbedingungen-pres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com/news/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com/marktbericht/gewerbe/hamburg-investment/" TargetMode="External"/><Relationship Id="rId14" Type="http://schemas.openxmlformats.org/officeDocument/2006/relationships/hyperlink" Target="https://www.grossmann-berger.com/datenschut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A88E-3264-49B0-9D64-8CBCC029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33</cp:revision>
  <cp:lastPrinted>2022-04-04T07:00:00Z</cp:lastPrinted>
  <dcterms:created xsi:type="dcterms:W3CDTF">2022-03-31T12:43:00Z</dcterms:created>
  <dcterms:modified xsi:type="dcterms:W3CDTF">2022-04-04T14:13:00Z</dcterms:modified>
</cp:coreProperties>
</file>