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F9034" w14:textId="686021F0" w:rsidR="000D48D4" w:rsidRPr="00E00C31" w:rsidRDefault="00424033" w:rsidP="00365AF8">
      <w:pPr>
        <w:spacing w:after="0" w:line="360" w:lineRule="auto"/>
        <w:rPr>
          <w:rFonts w:ascii="Arial" w:hAnsi="Arial" w:cs="Arial"/>
          <w:b/>
          <w:sz w:val="28"/>
          <w:szCs w:val="28"/>
        </w:rPr>
      </w:pPr>
      <w:r>
        <w:rPr>
          <w:rFonts w:ascii="Arial" w:hAnsi="Arial"/>
          <w:b/>
        </w:rPr>
        <w:t>Berlin: Investment market 1</w:t>
      </w:r>
      <w:r w:rsidRPr="00E00C31">
        <w:rPr>
          <w:rFonts w:ascii="Arial" w:hAnsi="Arial"/>
          <w:b/>
          <w:vertAlign w:val="superscript"/>
        </w:rPr>
        <w:t>st</w:t>
      </w:r>
      <w:r>
        <w:rPr>
          <w:rFonts w:ascii="Arial" w:hAnsi="Arial"/>
          <w:b/>
        </w:rPr>
        <w:t>-3</w:t>
      </w:r>
      <w:r w:rsidRPr="00E00C31">
        <w:rPr>
          <w:rFonts w:ascii="Arial" w:hAnsi="Arial"/>
          <w:b/>
          <w:vertAlign w:val="superscript"/>
        </w:rPr>
        <w:t>rd</w:t>
      </w:r>
      <w:r>
        <w:rPr>
          <w:rFonts w:ascii="Arial" w:hAnsi="Arial"/>
          <w:b/>
        </w:rPr>
        <w:t xml:space="preserve"> quarters of 2021</w:t>
      </w:r>
      <w:r>
        <w:rPr>
          <w:rFonts w:ascii="Arial" w:hAnsi="Arial"/>
          <w:b/>
        </w:rPr>
        <w:br/>
      </w:r>
      <w:r w:rsidRPr="00E00C31">
        <w:rPr>
          <w:rFonts w:ascii="Arial" w:hAnsi="Arial"/>
          <w:b/>
          <w:sz w:val="28"/>
          <w:szCs w:val="28"/>
        </w:rPr>
        <w:t>Germany’s capital city a magnet for investors in commercial real estate</w:t>
      </w:r>
    </w:p>
    <w:p w14:paraId="5DC3EAC5" w14:textId="29DB094C" w:rsidR="00590903" w:rsidRPr="006C2ABF" w:rsidRDefault="00590903" w:rsidP="00365AF8">
      <w:pPr>
        <w:spacing w:after="0" w:line="360" w:lineRule="auto"/>
        <w:jc w:val="both"/>
        <w:rPr>
          <w:rFonts w:ascii="Arial" w:hAnsi="Arial" w:cs="Arial"/>
          <w:sz w:val="20"/>
          <w:szCs w:val="20"/>
        </w:rPr>
      </w:pPr>
    </w:p>
    <w:p w14:paraId="0F408916" w14:textId="25051662" w:rsidR="00940FBB" w:rsidRPr="00822CF9" w:rsidRDefault="00424033" w:rsidP="00F91D23">
      <w:pPr>
        <w:spacing w:after="0" w:line="360" w:lineRule="auto"/>
        <w:rPr>
          <w:rFonts w:ascii="Arial" w:hAnsi="Arial" w:cs="Arial"/>
          <w:b/>
          <w:sz w:val="20"/>
          <w:szCs w:val="20"/>
        </w:rPr>
      </w:pPr>
      <w:r>
        <w:rPr>
          <w:rFonts w:ascii="Arial" w:hAnsi="Arial"/>
          <w:b/>
          <w:sz w:val="20"/>
          <w:szCs w:val="20"/>
        </w:rPr>
        <w:t>Berlin, 15th October 2021</w:t>
      </w:r>
      <w:r>
        <w:rPr>
          <w:rFonts w:ascii="Arial" w:hAnsi="Arial"/>
          <w:sz w:val="20"/>
          <w:szCs w:val="20"/>
        </w:rPr>
        <w:t xml:space="preserve"> – At the end of September the volume of transactions in Berlin totalled €6.4bn – the second highest result ever noted at this stage of the year. Obviously</w:t>
      </w:r>
      <w:r w:rsidR="00A466D1">
        <w:rPr>
          <w:rFonts w:ascii="Arial" w:hAnsi="Arial"/>
          <w:sz w:val="20"/>
          <w:szCs w:val="20"/>
        </w:rPr>
        <w:t>,</w:t>
      </w:r>
      <w:r>
        <w:rPr>
          <w:rFonts w:ascii="Arial" w:hAnsi="Arial"/>
          <w:sz w:val="20"/>
          <w:szCs w:val="20"/>
        </w:rPr>
        <w:t xml:space="preserve"> this owed much to the sale of the “Fürst”, formerly known as the “Ku’damm Karree”</w:t>
      </w:r>
      <w:r w:rsidR="00DB0BB2">
        <w:rPr>
          <w:rFonts w:ascii="Arial" w:hAnsi="Arial"/>
          <w:sz w:val="20"/>
          <w:szCs w:val="20"/>
        </w:rPr>
        <w:t>,</w:t>
      </w:r>
      <w:r>
        <w:rPr>
          <w:rFonts w:ascii="Arial" w:hAnsi="Arial"/>
          <w:sz w:val="20"/>
          <w:szCs w:val="20"/>
        </w:rPr>
        <w:t xml:space="preserve"> in the preceding quarter for which more than €1.0bn changed hands, and of the “Victoriastadt Lofts” for €425m; these outlier trades impacted all of the categories in this report. Year on year </w:t>
      </w:r>
      <w:r w:rsidR="00E54B85">
        <w:rPr>
          <w:rFonts w:ascii="Arial" w:hAnsi="Arial"/>
          <w:sz w:val="20"/>
          <w:szCs w:val="20"/>
        </w:rPr>
        <w:t>moreo</w:t>
      </w:r>
      <w:r>
        <w:rPr>
          <w:rFonts w:ascii="Arial" w:hAnsi="Arial"/>
          <w:sz w:val="20"/>
          <w:szCs w:val="20"/>
        </w:rPr>
        <w:t>ver, there were also four more trades at prices higher than €100m. Between July and September</w:t>
      </w:r>
      <w:r w:rsidR="00E00C31">
        <w:rPr>
          <w:rFonts w:ascii="Arial" w:hAnsi="Arial"/>
          <w:sz w:val="20"/>
          <w:szCs w:val="20"/>
        </w:rPr>
        <w:t>,</w:t>
      </w:r>
      <w:r>
        <w:rPr>
          <w:rFonts w:ascii="Arial" w:hAnsi="Arial"/>
          <w:sz w:val="20"/>
          <w:szCs w:val="20"/>
        </w:rPr>
        <w:t xml:space="preserve"> commercial properties were traded for a total of €2.1bn. </w:t>
      </w:r>
      <w:r>
        <w:rPr>
          <w:rFonts w:ascii="Arial" w:hAnsi="Arial"/>
          <w:i/>
          <w:sz w:val="20"/>
          <w:szCs w:val="20"/>
        </w:rPr>
        <w:t>“The enormous transaction volume is due to the high capital value of the real estate, not to a higher number of commercial properties sold,”</w:t>
      </w:r>
      <w:r>
        <w:rPr>
          <w:rFonts w:ascii="Arial" w:hAnsi="Arial"/>
          <w:sz w:val="20"/>
          <w:szCs w:val="20"/>
        </w:rPr>
        <w:t xml:space="preserve"> comments </w:t>
      </w:r>
      <w:r>
        <w:rPr>
          <w:rFonts w:ascii="Arial" w:hAnsi="Arial"/>
          <w:b/>
          <w:sz w:val="20"/>
          <w:szCs w:val="20"/>
        </w:rPr>
        <w:t>Holger Michaelis</w:t>
      </w:r>
      <w:r>
        <w:rPr>
          <w:rFonts w:ascii="Arial" w:hAnsi="Arial"/>
          <w:sz w:val="20"/>
          <w:szCs w:val="20"/>
        </w:rPr>
        <w:t xml:space="preserve">, managing director of Grossmann &amp; Berger, a member of German Property Partners (GPP). </w:t>
      </w:r>
      <w:r>
        <w:rPr>
          <w:rFonts w:ascii="Arial" w:hAnsi="Arial"/>
          <w:i/>
          <w:sz w:val="20"/>
          <w:szCs w:val="20"/>
        </w:rPr>
        <w:t>“Since the Berlin market remains highly liquid and talks are already in progress on a large number of big-ticket properties that should be sold by the end of the year, we have increased our forecast for 2021 to 8.5 billion euros.”</w:t>
      </w:r>
      <w:r>
        <w:rPr>
          <w:rFonts w:ascii="Arial" w:hAnsi="Arial"/>
          <w:sz w:val="20"/>
          <w:szCs w:val="20"/>
        </w:rPr>
        <w:t xml:space="preserve"> </w:t>
      </w:r>
    </w:p>
    <w:p w14:paraId="2CE8AC6A" w14:textId="353B035F" w:rsidR="00906FC5" w:rsidRPr="00D35A6D" w:rsidRDefault="00906FC5" w:rsidP="00906FC5">
      <w:pPr>
        <w:spacing w:after="0" w:line="360" w:lineRule="auto"/>
        <w:rPr>
          <w:rFonts w:ascii="Arial" w:hAnsi="Arial" w:cs="Arial"/>
          <w:sz w:val="18"/>
          <w:szCs w:val="20"/>
        </w:rPr>
      </w:pPr>
    </w:p>
    <w:p w14:paraId="79CA357A" w14:textId="58F908D1" w:rsidR="000A5ED1" w:rsidRPr="00D35A6D" w:rsidRDefault="00365AF8" w:rsidP="00365AF8">
      <w:pPr>
        <w:spacing w:after="0" w:line="360" w:lineRule="auto"/>
        <w:textAlignment w:val="baseline"/>
        <w:rPr>
          <w:rFonts w:ascii="Arial" w:hAnsi="Arial" w:cs="Arial"/>
          <w:b/>
          <w:sz w:val="20"/>
          <w:szCs w:val="20"/>
        </w:rPr>
      </w:pPr>
      <w:r>
        <w:rPr>
          <w:rFonts w:ascii="Arial" w:hAnsi="Arial"/>
          <w:b/>
          <w:sz w:val="20"/>
          <w:szCs w:val="20"/>
        </w:rPr>
        <w:t xml:space="preserve">Market details: </w:t>
      </w:r>
    </w:p>
    <w:p w14:paraId="79D59530" w14:textId="20C586BB" w:rsidR="00F97A65" w:rsidRDefault="00903598" w:rsidP="003372CA">
      <w:pPr>
        <w:pStyle w:val="Listenabsatz"/>
        <w:numPr>
          <w:ilvl w:val="0"/>
          <w:numId w:val="20"/>
        </w:numPr>
        <w:spacing w:after="0" w:line="360" w:lineRule="auto"/>
        <w:ind w:left="284" w:hanging="284"/>
        <w:textAlignment w:val="baseline"/>
        <w:rPr>
          <w:rFonts w:ascii="Arial" w:hAnsi="Arial" w:cs="Arial"/>
          <w:sz w:val="20"/>
          <w:szCs w:val="20"/>
        </w:rPr>
      </w:pPr>
      <w:r>
        <w:rPr>
          <w:rFonts w:ascii="Arial" w:hAnsi="Arial"/>
          <w:sz w:val="20"/>
          <w:szCs w:val="20"/>
        </w:rPr>
        <w:t xml:space="preserve">As a result of trades such as the “Fürst” and “Victoriastadt Lofts” the </w:t>
      </w:r>
      <w:r>
        <w:rPr>
          <w:rFonts w:ascii="Arial" w:hAnsi="Arial"/>
          <w:sz w:val="20"/>
          <w:szCs w:val="20"/>
          <w:u w:val="single"/>
        </w:rPr>
        <w:t>price category</w:t>
      </w:r>
      <w:r>
        <w:rPr>
          <w:rFonts w:ascii="Arial" w:hAnsi="Arial"/>
          <w:sz w:val="20"/>
          <w:szCs w:val="20"/>
        </w:rPr>
        <w:t xml:space="preserve"> of €100m or over comprised 69 % of the total (3Q2020: 44 %). The </w:t>
      </w:r>
      <w:r w:rsidR="005D0395">
        <w:rPr>
          <w:rFonts w:ascii="Arial" w:hAnsi="Arial"/>
          <w:sz w:val="20"/>
          <w:szCs w:val="20"/>
        </w:rPr>
        <w:t xml:space="preserve">next </w:t>
      </w:r>
      <w:r>
        <w:rPr>
          <w:rFonts w:ascii="Arial" w:hAnsi="Arial"/>
          <w:sz w:val="20"/>
          <w:szCs w:val="20"/>
        </w:rPr>
        <w:t>two price categories</w:t>
      </w:r>
      <w:r w:rsidR="00E54B85">
        <w:rPr>
          <w:rFonts w:ascii="Arial" w:hAnsi="Arial"/>
          <w:sz w:val="20"/>
          <w:szCs w:val="20"/>
        </w:rPr>
        <w:t>,</w:t>
      </w:r>
      <w:r>
        <w:rPr>
          <w:rFonts w:ascii="Arial" w:hAnsi="Arial"/>
          <w:sz w:val="20"/>
          <w:szCs w:val="20"/>
        </w:rPr>
        <w:t xml:space="preserve"> €51m to €100m and €26m to €50m</w:t>
      </w:r>
      <w:r w:rsidR="00E54B85">
        <w:rPr>
          <w:rFonts w:ascii="Arial" w:hAnsi="Arial"/>
          <w:sz w:val="20"/>
          <w:szCs w:val="20"/>
        </w:rPr>
        <w:t>,</w:t>
      </w:r>
      <w:r>
        <w:rPr>
          <w:rFonts w:ascii="Arial" w:hAnsi="Arial"/>
          <w:sz w:val="20"/>
          <w:szCs w:val="20"/>
        </w:rPr>
        <w:t xml:space="preserve"> played marginal roles only, taking 16 % and 10 % of the market respectively. These figures represent half of their market share in the 3rd quarter of 2020.</w:t>
      </w:r>
    </w:p>
    <w:p w14:paraId="782FBBAE" w14:textId="1CC9619C" w:rsidR="00F04CF3" w:rsidRDefault="00822CF9" w:rsidP="003372CA">
      <w:pPr>
        <w:pStyle w:val="Listenabsatz"/>
        <w:numPr>
          <w:ilvl w:val="0"/>
          <w:numId w:val="20"/>
        </w:numPr>
        <w:spacing w:after="0" w:line="360" w:lineRule="auto"/>
        <w:ind w:left="284" w:hanging="284"/>
        <w:textAlignment w:val="baseline"/>
        <w:rPr>
          <w:rFonts w:ascii="Arial" w:hAnsi="Arial" w:cs="Arial"/>
          <w:sz w:val="20"/>
          <w:szCs w:val="20"/>
        </w:rPr>
      </w:pPr>
      <w:r>
        <w:rPr>
          <w:rFonts w:ascii="Arial" w:hAnsi="Arial"/>
          <w:sz w:val="20"/>
          <w:szCs w:val="20"/>
        </w:rPr>
        <w:t xml:space="preserve">Another effect of the “Fürst” transaction was to reduce the proportion of </w:t>
      </w:r>
      <w:r w:rsidRPr="002C4421">
        <w:rPr>
          <w:rFonts w:ascii="Arial" w:hAnsi="Arial"/>
          <w:sz w:val="20"/>
          <w:szCs w:val="20"/>
          <w:u w:val="single"/>
        </w:rPr>
        <w:t>portfolio transactions</w:t>
      </w:r>
      <w:r>
        <w:rPr>
          <w:rFonts w:ascii="Arial" w:hAnsi="Arial"/>
          <w:sz w:val="20"/>
          <w:szCs w:val="20"/>
        </w:rPr>
        <w:t xml:space="preserve"> from 55 % to 14 % within the space of one year.</w:t>
      </w:r>
    </w:p>
    <w:p w14:paraId="4B552B3F" w14:textId="610D54F4" w:rsidR="00933C0C" w:rsidRDefault="00930E06" w:rsidP="003372CA">
      <w:pPr>
        <w:pStyle w:val="Listenabsatz"/>
        <w:numPr>
          <w:ilvl w:val="0"/>
          <w:numId w:val="20"/>
        </w:numPr>
        <w:spacing w:after="0" w:line="360" w:lineRule="auto"/>
        <w:ind w:left="284" w:hanging="284"/>
        <w:textAlignment w:val="baseline"/>
        <w:rPr>
          <w:rFonts w:ascii="Arial" w:hAnsi="Arial" w:cs="Arial"/>
          <w:sz w:val="20"/>
          <w:szCs w:val="20"/>
        </w:rPr>
      </w:pPr>
      <w:r>
        <w:rPr>
          <w:rFonts w:ascii="Arial" w:hAnsi="Arial"/>
          <w:sz w:val="20"/>
          <w:szCs w:val="20"/>
        </w:rPr>
        <w:t xml:space="preserve">In terms of </w:t>
      </w:r>
      <w:r>
        <w:rPr>
          <w:rFonts w:ascii="Arial" w:hAnsi="Arial"/>
          <w:sz w:val="20"/>
          <w:szCs w:val="20"/>
          <w:u w:val="single"/>
        </w:rPr>
        <w:t>asset classes</w:t>
      </w:r>
      <w:r>
        <w:rPr>
          <w:rFonts w:ascii="Arial" w:hAnsi="Arial"/>
          <w:sz w:val="20"/>
          <w:szCs w:val="20"/>
        </w:rPr>
        <w:t xml:space="preserve">, mixed use accounted for 39 % of the volume of transactions (3Q2020: 17 %), and thus slightly more than office properties, normally the </w:t>
      </w:r>
      <w:r w:rsidR="00A466D1">
        <w:rPr>
          <w:rFonts w:ascii="Arial" w:hAnsi="Arial"/>
          <w:sz w:val="20"/>
          <w:szCs w:val="20"/>
        </w:rPr>
        <w:t>front-runners</w:t>
      </w:r>
      <w:r>
        <w:rPr>
          <w:rFonts w:ascii="Arial" w:hAnsi="Arial"/>
          <w:sz w:val="20"/>
          <w:szCs w:val="20"/>
        </w:rPr>
        <w:t xml:space="preserve">, </w:t>
      </w:r>
      <w:r w:rsidR="005D0395">
        <w:rPr>
          <w:rFonts w:ascii="Arial" w:hAnsi="Arial"/>
          <w:sz w:val="20"/>
          <w:szCs w:val="20"/>
        </w:rPr>
        <w:t>whose</w:t>
      </w:r>
      <w:r w:rsidR="00DB0BB2">
        <w:rPr>
          <w:rFonts w:ascii="Arial" w:hAnsi="Arial"/>
          <w:sz w:val="20"/>
          <w:szCs w:val="20"/>
        </w:rPr>
        <w:t xml:space="preserve"> share </w:t>
      </w:r>
      <w:r w:rsidR="005D0395">
        <w:rPr>
          <w:rFonts w:ascii="Arial" w:hAnsi="Arial"/>
          <w:sz w:val="20"/>
          <w:szCs w:val="20"/>
        </w:rPr>
        <w:t>was</w:t>
      </w:r>
      <w:r w:rsidR="00DB0BB2">
        <w:rPr>
          <w:rFonts w:ascii="Arial" w:hAnsi="Arial"/>
          <w:sz w:val="20"/>
          <w:szCs w:val="20"/>
        </w:rPr>
        <w:t xml:space="preserve"> 38 % (3Q2020: 57 %). T</w:t>
      </w:r>
      <w:r>
        <w:rPr>
          <w:rFonts w:ascii="Arial" w:hAnsi="Arial"/>
          <w:sz w:val="20"/>
          <w:szCs w:val="20"/>
        </w:rPr>
        <w:t>he market share of mixed use buildings would have been higher but for the “Victoriastadt Lofts” trade in the 3rd quarter, the biggest office block sale of the year.</w:t>
      </w:r>
    </w:p>
    <w:p w14:paraId="430BFC54" w14:textId="5CEF1DAD" w:rsidR="00360D71" w:rsidRPr="00E50B1B" w:rsidRDefault="00305A36" w:rsidP="005659DA">
      <w:pPr>
        <w:pStyle w:val="Listenabsatz"/>
        <w:numPr>
          <w:ilvl w:val="0"/>
          <w:numId w:val="20"/>
        </w:numPr>
        <w:spacing w:after="0" w:line="360" w:lineRule="auto"/>
        <w:ind w:left="284" w:hanging="284"/>
        <w:textAlignment w:val="baseline"/>
        <w:rPr>
          <w:rFonts w:ascii="Arial" w:hAnsi="Arial" w:cs="Arial"/>
          <w:sz w:val="20"/>
          <w:szCs w:val="20"/>
        </w:rPr>
      </w:pPr>
      <w:r>
        <w:rPr>
          <w:rFonts w:ascii="Arial" w:hAnsi="Arial"/>
          <w:sz w:val="20"/>
          <w:szCs w:val="20"/>
        </w:rPr>
        <w:t xml:space="preserve">Accounting for 38 % of the market, fund managers were the most prominent group of </w:t>
      </w:r>
      <w:r>
        <w:rPr>
          <w:rFonts w:ascii="Arial" w:hAnsi="Arial"/>
          <w:sz w:val="20"/>
          <w:szCs w:val="20"/>
          <w:u w:val="single"/>
        </w:rPr>
        <w:t>buyers</w:t>
      </w:r>
      <w:r>
        <w:rPr>
          <w:rFonts w:ascii="Arial" w:hAnsi="Arial"/>
          <w:sz w:val="20"/>
          <w:szCs w:val="20"/>
        </w:rPr>
        <w:t xml:space="preserve"> (3Q2020: 9 %), ahead of developers with a share of 18 %, insurance companies with 13 % and specialist funds with 10 %. As </w:t>
      </w:r>
      <w:r>
        <w:rPr>
          <w:rFonts w:ascii="Arial" w:hAnsi="Arial"/>
          <w:sz w:val="20"/>
          <w:szCs w:val="20"/>
          <w:u w:val="single"/>
        </w:rPr>
        <w:t>vendors</w:t>
      </w:r>
      <w:r>
        <w:rPr>
          <w:rFonts w:ascii="Arial" w:hAnsi="Arial"/>
          <w:sz w:val="20"/>
          <w:szCs w:val="20"/>
        </w:rPr>
        <w:t>, both developers and non-listed p</w:t>
      </w:r>
      <w:r w:rsidR="00DB0BB2">
        <w:rPr>
          <w:rFonts w:ascii="Arial" w:hAnsi="Arial"/>
          <w:sz w:val="20"/>
          <w:szCs w:val="20"/>
        </w:rPr>
        <w:t xml:space="preserve">roperty companies were </w:t>
      </w:r>
      <w:r>
        <w:rPr>
          <w:rFonts w:ascii="Arial" w:hAnsi="Arial"/>
          <w:sz w:val="20"/>
          <w:szCs w:val="20"/>
        </w:rPr>
        <w:t>each behind one quarter of the transactions.</w:t>
      </w:r>
    </w:p>
    <w:p w14:paraId="620ADA57" w14:textId="29E81670" w:rsidR="005B2D0D" w:rsidRDefault="009C6CB6" w:rsidP="003372CA">
      <w:pPr>
        <w:pStyle w:val="Listenabsatz"/>
        <w:numPr>
          <w:ilvl w:val="0"/>
          <w:numId w:val="20"/>
        </w:numPr>
        <w:spacing w:after="0" w:line="360" w:lineRule="auto"/>
        <w:ind w:left="284" w:hanging="284"/>
        <w:textAlignment w:val="baseline"/>
        <w:rPr>
          <w:rFonts w:ascii="Arial" w:hAnsi="Arial" w:cs="Arial"/>
          <w:sz w:val="20"/>
          <w:szCs w:val="20"/>
        </w:rPr>
      </w:pPr>
      <w:r>
        <w:rPr>
          <w:rFonts w:ascii="Arial" w:hAnsi="Arial"/>
          <w:sz w:val="20"/>
          <w:szCs w:val="20"/>
          <w:u w:val="single"/>
        </w:rPr>
        <w:t>International investors</w:t>
      </w:r>
      <w:r>
        <w:rPr>
          <w:rFonts w:ascii="Arial" w:hAnsi="Arial"/>
          <w:sz w:val="20"/>
          <w:szCs w:val="20"/>
        </w:rPr>
        <w:t xml:space="preserve"> were less active in Berlin than a year ago, both on the buying side of the equation, (62 % of the market, 3Q2020: 65 %) and on the selling side</w:t>
      </w:r>
      <w:r w:rsidR="00E54B85">
        <w:rPr>
          <w:rFonts w:ascii="Arial" w:hAnsi="Arial"/>
          <w:sz w:val="20"/>
          <w:szCs w:val="20"/>
        </w:rPr>
        <w:t xml:space="preserve"> (52 % share, </w:t>
      </w:r>
      <w:r>
        <w:rPr>
          <w:rFonts w:ascii="Arial" w:hAnsi="Arial"/>
          <w:sz w:val="20"/>
          <w:szCs w:val="20"/>
        </w:rPr>
        <w:t>3Q2020: 66 %).</w:t>
      </w:r>
    </w:p>
    <w:p w14:paraId="7D76FF5E" w14:textId="5E857090" w:rsidR="005B2D0D" w:rsidRDefault="00C003EA" w:rsidP="003372CA">
      <w:pPr>
        <w:pStyle w:val="Listenabsatz"/>
        <w:numPr>
          <w:ilvl w:val="0"/>
          <w:numId w:val="20"/>
        </w:numPr>
        <w:spacing w:after="0" w:line="360" w:lineRule="auto"/>
        <w:ind w:left="284" w:hanging="284"/>
        <w:textAlignment w:val="baseline"/>
        <w:rPr>
          <w:rFonts w:ascii="Arial" w:hAnsi="Arial" w:cs="Arial"/>
          <w:sz w:val="20"/>
          <w:szCs w:val="20"/>
        </w:rPr>
      </w:pPr>
      <w:r>
        <w:rPr>
          <w:rFonts w:ascii="Arial" w:hAnsi="Arial"/>
          <w:sz w:val="20"/>
          <w:szCs w:val="20"/>
        </w:rPr>
        <w:t xml:space="preserve">Long-running leases signed with public institutions continued to keep prices </w:t>
      </w:r>
      <w:r w:rsidR="00DB0BB2">
        <w:rPr>
          <w:rFonts w:ascii="Arial" w:hAnsi="Arial"/>
          <w:sz w:val="20"/>
          <w:szCs w:val="20"/>
        </w:rPr>
        <w:t>at all-time highs</w:t>
      </w:r>
      <w:r>
        <w:rPr>
          <w:rFonts w:ascii="Arial" w:hAnsi="Arial"/>
          <w:sz w:val="20"/>
          <w:szCs w:val="20"/>
        </w:rPr>
        <w:t xml:space="preserve"> and depressed the </w:t>
      </w:r>
      <w:r>
        <w:rPr>
          <w:rFonts w:ascii="Arial" w:hAnsi="Arial"/>
          <w:sz w:val="20"/>
          <w:szCs w:val="20"/>
          <w:u w:val="single"/>
        </w:rPr>
        <w:t>prime yield</w:t>
      </w:r>
      <w:r>
        <w:rPr>
          <w:rFonts w:ascii="Arial" w:hAnsi="Arial"/>
          <w:sz w:val="20"/>
          <w:szCs w:val="20"/>
        </w:rPr>
        <w:t xml:space="preserve"> on office properties to 2.65 %.</w:t>
      </w:r>
    </w:p>
    <w:p w14:paraId="0119A0C6" w14:textId="27E96383" w:rsidR="0086528D" w:rsidRDefault="00C82F1D" w:rsidP="00B35908">
      <w:pPr>
        <w:pStyle w:val="Listenabsatz"/>
        <w:numPr>
          <w:ilvl w:val="0"/>
          <w:numId w:val="20"/>
        </w:numPr>
        <w:spacing w:after="0" w:line="360" w:lineRule="auto"/>
        <w:ind w:left="284" w:hanging="284"/>
        <w:textAlignment w:val="baseline"/>
        <w:rPr>
          <w:rFonts w:ascii="Arial" w:hAnsi="Arial" w:cs="Arial"/>
          <w:sz w:val="20"/>
          <w:szCs w:val="20"/>
        </w:rPr>
      </w:pPr>
      <w:r>
        <w:rPr>
          <w:rFonts w:ascii="Arial" w:hAnsi="Arial"/>
          <w:sz w:val="20"/>
          <w:szCs w:val="20"/>
        </w:rPr>
        <w:t xml:space="preserve">‘Ku’damm plus sides roads’ was the predominant </w:t>
      </w:r>
      <w:r>
        <w:rPr>
          <w:rFonts w:ascii="Arial" w:hAnsi="Arial"/>
          <w:sz w:val="20"/>
          <w:szCs w:val="20"/>
          <w:u w:val="single"/>
        </w:rPr>
        <w:t>sub-market</w:t>
      </w:r>
      <w:r>
        <w:rPr>
          <w:rFonts w:ascii="Arial" w:hAnsi="Arial"/>
          <w:sz w:val="20"/>
          <w:szCs w:val="20"/>
        </w:rPr>
        <w:t xml:space="preserve">, accounting for about a third of the total, ahead of Periphery East and Friedrichshain with 12 % and 10 % respectively. Here too the reason was the sale of the “Fürst”. </w:t>
      </w:r>
    </w:p>
    <w:p w14:paraId="5C79D0FC" w14:textId="2F5B8932" w:rsidR="005E47AA" w:rsidRPr="006476B4" w:rsidRDefault="005E47AA" w:rsidP="005E47AA">
      <w:pPr>
        <w:pStyle w:val="Listenabsatz"/>
        <w:spacing w:after="0" w:line="360" w:lineRule="auto"/>
        <w:ind w:left="284"/>
        <w:textAlignment w:val="baseline"/>
        <w:rPr>
          <w:rFonts w:ascii="Arial" w:hAnsi="Arial" w:cs="Arial"/>
          <w:sz w:val="20"/>
          <w:szCs w:val="20"/>
        </w:rPr>
      </w:pPr>
    </w:p>
    <w:tbl>
      <w:tblPr>
        <w:tblStyle w:val="TableGrid2"/>
        <w:tblpPr w:leftFromText="141" w:rightFromText="141" w:vertAnchor="text" w:horzAnchor="margin" w:tblpY="111"/>
        <w:tblW w:w="0" w:type="auto"/>
        <w:tblLook w:val="04A0" w:firstRow="1" w:lastRow="0" w:firstColumn="1" w:lastColumn="0" w:noHBand="0" w:noVBand="1"/>
      </w:tblPr>
      <w:tblGrid>
        <w:gridCol w:w="3823"/>
        <w:gridCol w:w="1134"/>
      </w:tblGrid>
      <w:tr w:rsidR="00F67EAF" w:rsidRPr="006F49D0" w14:paraId="4C2432D5" w14:textId="77777777" w:rsidTr="00F67EAF">
        <w:trPr>
          <w:trHeight w:val="283"/>
        </w:trPr>
        <w:tc>
          <w:tcPr>
            <w:tcW w:w="0" w:type="auto"/>
            <w:shd w:val="clear" w:color="auto" w:fill="1F242B" w:themeFill="accent2"/>
          </w:tcPr>
          <w:p w14:paraId="4B0553A5" w14:textId="0C2D69E4" w:rsidR="00F67EAF" w:rsidRPr="004712BA" w:rsidRDefault="00F67EAF" w:rsidP="00F67EAF">
            <w:pPr>
              <w:widowControl w:val="0"/>
              <w:spacing w:before="60" w:after="60"/>
              <w:jc w:val="both"/>
              <w:rPr>
                <w:rFonts w:ascii="Arial" w:hAnsi="Arial" w:cs="Arial"/>
                <w:b/>
                <w:sz w:val="18"/>
                <w:szCs w:val="16"/>
              </w:rPr>
            </w:pPr>
            <w:r>
              <w:rPr>
                <w:rFonts w:ascii="Arial" w:hAnsi="Arial"/>
                <w:b/>
                <w:sz w:val="20"/>
                <w:szCs w:val="20"/>
              </w:rPr>
              <w:lastRenderedPageBreak/>
              <w:t>Investment market | Berlin</w:t>
            </w:r>
            <w:r>
              <w:t xml:space="preserve"> </w:t>
            </w:r>
            <w:r>
              <w:rPr>
                <w:rFonts w:ascii="Arial" w:hAnsi="Arial"/>
                <w:b/>
                <w:sz w:val="20"/>
                <w:szCs w:val="20"/>
              </w:rPr>
              <w:t>| 2021</w:t>
            </w:r>
          </w:p>
        </w:tc>
        <w:tc>
          <w:tcPr>
            <w:tcW w:w="1134" w:type="dxa"/>
            <w:shd w:val="clear" w:color="auto" w:fill="1F242B" w:themeFill="accent2"/>
          </w:tcPr>
          <w:p w14:paraId="2666ADBF" w14:textId="382B3481" w:rsidR="00F67EAF" w:rsidRPr="004712BA" w:rsidRDefault="00F67EAF" w:rsidP="00F67EAF">
            <w:pPr>
              <w:widowControl w:val="0"/>
              <w:spacing w:before="60" w:after="60"/>
              <w:jc w:val="center"/>
              <w:rPr>
                <w:rFonts w:ascii="Arial" w:hAnsi="Arial" w:cs="Arial"/>
                <w:b/>
                <w:sz w:val="18"/>
                <w:szCs w:val="16"/>
              </w:rPr>
            </w:pPr>
            <w:r>
              <w:rPr>
                <w:rFonts w:ascii="Arial" w:hAnsi="Arial"/>
                <w:b/>
                <w:sz w:val="18"/>
                <w:szCs w:val="16"/>
              </w:rPr>
              <w:t>Q 1-3</w:t>
            </w:r>
          </w:p>
        </w:tc>
      </w:tr>
      <w:tr w:rsidR="00F67EAF" w:rsidRPr="006F49D0" w14:paraId="4B06E1C6" w14:textId="77777777" w:rsidTr="00F67EAF">
        <w:trPr>
          <w:trHeight w:val="283"/>
        </w:trPr>
        <w:tc>
          <w:tcPr>
            <w:tcW w:w="3823" w:type="dxa"/>
          </w:tcPr>
          <w:p w14:paraId="23BEE2EF" w14:textId="77777777" w:rsidR="00F67EAF" w:rsidRPr="004712BA" w:rsidRDefault="00F67EAF" w:rsidP="00F67EAF">
            <w:pPr>
              <w:widowControl w:val="0"/>
              <w:spacing w:before="40" w:after="40"/>
              <w:jc w:val="both"/>
              <w:rPr>
                <w:rFonts w:ascii="Arial" w:hAnsi="Arial" w:cs="Arial"/>
                <w:b/>
                <w:sz w:val="18"/>
                <w:szCs w:val="16"/>
              </w:rPr>
            </w:pPr>
            <w:r>
              <w:rPr>
                <w:rFonts w:ascii="Arial" w:hAnsi="Arial"/>
                <w:b/>
                <w:sz w:val="18"/>
                <w:szCs w:val="16"/>
              </w:rPr>
              <w:t xml:space="preserve">Transaction volume </w:t>
            </w:r>
            <w:r>
              <w:rPr>
                <w:rFonts w:ascii="Arial" w:hAnsi="Arial"/>
                <w:sz w:val="18"/>
                <w:szCs w:val="16"/>
              </w:rPr>
              <w:t>[€ millions]</w:t>
            </w:r>
          </w:p>
        </w:tc>
        <w:tc>
          <w:tcPr>
            <w:tcW w:w="1134" w:type="dxa"/>
            <w:vAlign w:val="center"/>
          </w:tcPr>
          <w:p w14:paraId="6D149E39" w14:textId="6C76C629" w:rsidR="00F67EAF" w:rsidRPr="000B7D28" w:rsidRDefault="00CD11F5" w:rsidP="00F67EAF">
            <w:pPr>
              <w:widowControl w:val="0"/>
              <w:spacing w:before="40" w:after="40"/>
              <w:jc w:val="right"/>
              <w:rPr>
                <w:rFonts w:ascii="Arial" w:hAnsi="Arial" w:cs="Arial"/>
                <w:sz w:val="18"/>
                <w:szCs w:val="16"/>
              </w:rPr>
            </w:pPr>
            <w:r>
              <w:rPr>
                <w:rFonts w:ascii="Arial" w:hAnsi="Arial"/>
                <w:sz w:val="18"/>
                <w:szCs w:val="16"/>
              </w:rPr>
              <w:t>6,400</w:t>
            </w:r>
          </w:p>
        </w:tc>
      </w:tr>
      <w:tr w:rsidR="00F67EAF" w:rsidRPr="006F49D0" w14:paraId="09A01916" w14:textId="77777777" w:rsidTr="00F67EAF">
        <w:trPr>
          <w:trHeight w:val="283"/>
        </w:trPr>
        <w:tc>
          <w:tcPr>
            <w:tcW w:w="3823" w:type="dxa"/>
          </w:tcPr>
          <w:p w14:paraId="62104683" w14:textId="77777777" w:rsidR="00F67EAF" w:rsidRPr="00A7575D" w:rsidRDefault="00F67EAF" w:rsidP="00F67EAF">
            <w:pPr>
              <w:widowControl w:val="0"/>
              <w:spacing w:before="40" w:after="40"/>
              <w:jc w:val="both"/>
              <w:rPr>
                <w:rFonts w:ascii="Arial" w:hAnsi="Arial" w:cs="Arial"/>
                <w:sz w:val="18"/>
                <w:szCs w:val="16"/>
              </w:rPr>
            </w:pPr>
            <w:r>
              <w:rPr>
                <w:rFonts w:ascii="Arial" w:hAnsi="Arial"/>
                <w:sz w:val="18"/>
                <w:szCs w:val="16"/>
              </w:rPr>
              <w:t>against prior yr [%]</w:t>
            </w:r>
          </w:p>
        </w:tc>
        <w:tc>
          <w:tcPr>
            <w:tcW w:w="1134" w:type="dxa"/>
            <w:vAlign w:val="center"/>
          </w:tcPr>
          <w:p w14:paraId="256E0AC6" w14:textId="48AA3355" w:rsidR="00F67EAF" w:rsidRPr="00BD6652" w:rsidRDefault="008457CE" w:rsidP="00CD11F5">
            <w:pPr>
              <w:widowControl w:val="0"/>
              <w:spacing w:before="40" w:after="40"/>
              <w:jc w:val="right"/>
              <w:rPr>
                <w:rFonts w:ascii="Arial" w:hAnsi="Arial" w:cs="Arial"/>
                <w:sz w:val="18"/>
                <w:szCs w:val="16"/>
              </w:rPr>
            </w:pPr>
            <w:r>
              <w:rPr>
                <w:rFonts w:ascii="Arial" w:hAnsi="Arial"/>
                <w:sz w:val="18"/>
                <w:szCs w:val="16"/>
              </w:rPr>
              <w:t>+35</w:t>
            </w:r>
          </w:p>
        </w:tc>
      </w:tr>
      <w:tr w:rsidR="00F67EAF" w:rsidRPr="006F49D0" w14:paraId="225182B5" w14:textId="77777777" w:rsidTr="00F67EAF">
        <w:trPr>
          <w:trHeight w:val="283"/>
        </w:trPr>
        <w:tc>
          <w:tcPr>
            <w:tcW w:w="3823" w:type="dxa"/>
          </w:tcPr>
          <w:p w14:paraId="5DEF1B96" w14:textId="77777777" w:rsidR="00F67EAF" w:rsidRPr="00A7575D" w:rsidRDefault="00F67EAF" w:rsidP="00F67EAF">
            <w:pPr>
              <w:widowControl w:val="0"/>
              <w:spacing w:before="40" w:after="40"/>
              <w:jc w:val="both"/>
              <w:rPr>
                <w:rFonts w:ascii="Arial" w:hAnsi="Arial" w:cs="Arial"/>
                <w:sz w:val="18"/>
                <w:szCs w:val="16"/>
              </w:rPr>
            </w:pPr>
            <w:r>
              <w:rPr>
                <w:rFonts w:ascii="Arial" w:hAnsi="Arial"/>
                <w:b/>
                <w:sz w:val="18"/>
                <w:szCs w:val="16"/>
              </w:rPr>
              <w:t>Share of trading in CBD</w:t>
            </w:r>
            <w:r>
              <w:rPr>
                <w:rFonts w:ascii="Arial" w:hAnsi="Arial"/>
                <w:sz w:val="18"/>
                <w:szCs w:val="16"/>
              </w:rPr>
              <w:t xml:space="preserve"> [%]</w:t>
            </w:r>
          </w:p>
        </w:tc>
        <w:tc>
          <w:tcPr>
            <w:tcW w:w="1134" w:type="dxa"/>
            <w:vAlign w:val="center"/>
          </w:tcPr>
          <w:p w14:paraId="390224FB" w14:textId="1CD87B1D" w:rsidR="00F67EAF" w:rsidRPr="000B7D28" w:rsidRDefault="00EF69E4" w:rsidP="00EF69E4">
            <w:pPr>
              <w:widowControl w:val="0"/>
              <w:spacing w:before="40" w:after="40"/>
              <w:jc w:val="right"/>
              <w:rPr>
                <w:rFonts w:ascii="Arial" w:hAnsi="Arial" w:cs="Arial"/>
                <w:sz w:val="18"/>
                <w:szCs w:val="16"/>
              </w:rPr>
            </w:pPr>
            <w:r>
              <w:rPr>
                <w:rFonts w:ascii="Arial" w:hAnsi="Arial"/>
                <w:color w:val="FF0000"/>
                <w:sz w:val="18"/>
                <w:szCs w:val="16"/>
              </w:rPr>
              <w:t xml:space="preserve"> </w:t>
            </w:r>
            <w:r>
              <w:rPr>
                <w:rFonts w:ascii="Arial" w:hAnsi="Arial"/>
                <w:sz w:val="18"/>
                <w:szCs w:val="16"/>
              </w:rPr>
              <w:t>39</w:t>
            </w:r>
          </w:p>
        </w:tc>
      </w:tr>
      <w:tr w:rsidR="00F67EAF" w:rsidRPr="006F49D0" w14:paraId="263CDC36" w14:textId="77777777" w:rsidTr="00F67EAF">
        <w:trPr>
          <w:trHeight w:val="283"/>
        </w:trPr>
        <w:tc>
          <w:tcPr>
            <w:tcW w:w="3823" w:type="dxa"/>
          </w:tcPr>
          <w:p w14:paraId="2C102535" w14:textId="77777777" w:rsidR="00F67EAF" w:rsidRPr="00CF57DD" w:rsidRDefault="00F67EAF" w:rsidP="00F67EAF">
            <w:pPr>
              <w:widowControl w:val="0"/>
              <w:spacing w:before="40" w:after="40"/>
              <w:jc w:val="both"/>
              <w:rPr>
                <w:rFonts w:ascii="Arial" w:hAnsi="Arial" w:cs="Arial"/>
                <w:b/>
                <w:sz w:val="18"/>
                <w:szCs w:val="16"/>
              </w:rPr>
            </w:pPr>
            <w:r>
              <w:rPr>
                <w:rFonts w:ascii="Arial" w:hAnsi="Arial"/>
                <w:b/>
                <w:sz w:val="18"/>
                <w:szCs w:val="16"/>
              </w:rPr>
              <w:t>Proportion of international investors</w:t>
            </w:r>
            <w:r>
              <w:rPr>
                <w:rFonts w:ascii="Arial" w:hAnsi="Arial"/>
                <w:sz w:val="18"/>
                <w:szCs w:val="16"/>
              </w:rPr>
              <w:t xml:space="preserve"> [%]</w:t>
            </w:r>
          </w:p>
        </w:tc>
        <w:tc>
          <w:tcPr>
            <w:tcW w:w="1134" w:type="dxa"/>
            <w:vAlign w:val="center"/>
          </w:tcPr>
          <w:p w14:paraId="027038BA" w14:textId="471753C1" w:rsidR="00F67EAF" w:rsidRPr="000B7D28" w:rsidRDefault="00CD11F5" w:rsidP="00F67EAF">
            <w:pPr>
              <w:widowControl w:val="0"/>
              <w:spacing w:before="40" w:after="40"/>
              <w:jc w:val="right"/>
              <w:rPr>
                <w:rFonts w:ascii="Arial" w:hAnsi="Arial" w:cs="Arial"/>
                <w:sz w:val="18"/>
                <w:szCs w:val="16"/>
              </w:rPr>
            </w:pPr>
            <w:r>
              <w:rPr>
                <w:rFonts w:ascii="Arial" w:hAnsi="Arial"/>
                <w:sz w:val="18"/>
                <w:szCs w:val="16"/>
              </w:rPr>
              <w:t>62</w:t>
            </w:r>
          </w:p>
        </w:tc>
      </w:tr>
      <w:tr w:rsidR="00F67EAF" w:rsidRPr="006F49D0" w14:paraId="6E4FA2FB" w14:textId="77777777" w:rsidTr="00F67EAF">
        <w:trPr>
          <w:trHeight w:val="283"/>
        </w:trPr>
        <w:tc>
          <w:tcPr>
            <w:tcW w:w="3823" w:type="dxa"/>
          </w:tcPr>
          <w:p w14:paraId="07D8D6A5" w14:textId="77777777" w:rsidR="00F67EAF" w:rsidRPr="004712BA" w:rsidRDefault="00F67EAF" w:rsidP="00F67EAF">
            <w:pPr>
              <w:widowControl w:val="0"/>
              <w:spacing w:before="40" w:after="40"/>
              <w:jc w:val="both"/>
              <w:rPr>
                <w:rFonts w:ascii="Arial" w:hAnsi="Arial" w:cs="Arial"/>
                <w:b/>
                <w:sz w:val="18"/>
                <w:szCs w:val="16"/>
              </w:rPr>
            </w:pPr>
            <w:r>
              <w:rPr>
                <w:rFonts w:ascii="Arial" w:hAnsi="Arial"/>
                <w:b/>
                <w:sz w:val="18"/>
                <w:szCs w:val="16"/>
              </w:rPr>
              <w:t>Prime net yield, office</w:t>
            </w:r>
            <w:r>
              <w:rPr>
                <w:rFonts w:ascii="Arial" w:hAnsi="Arial"/>
                <w:sz w:val="18"/>
                <w:szCs w:val="16"/>
              </w:rPr>
              <w:t xml:space="preserve"> [%]</w:t>
            </w:r>
          </w:p>
        </w:tc>
        <w:tc>
          <w:tcPr>
            <w:tcW w:w="1134" w:type="dxa"/>
            <w:vAlign w:val="center"/>
          </w:tcPr>
          <w:p w14:paraId="24AF25F3" w14:textId="606E8B81" w:rsidR="00F67EAF" w:rsidRPr="000B7D28" w:rsidRDefault="008457CE" w:rsidP="00F67EAF">
            <w:pPr>
              <w:widowControl w:val="0"/>
              <w:spacing w:before="40" w:after="40"/>
              <w:jc w:val="right"/>
              <w:rPr>
                <w:rFonts w:ascii="Arial" w:hAnsi="Arial" w:cs="Arial"/>
                <w:sz w:val="18"/>
                <w:szCs w:val="16"/>
              </w:rPr>
            </w:pPr>
            <w:r>
              <w:rPr>
                <w:rFonts w:ascii="Arial" w:hAnsi="Arial"/>
                <w:sz w:val="18"/>
                <w:szCs w:val="16"/>
              </w:rPr>
              <w:t>2.65</w:t>
            </w:r>
          </w:p>
        </w:tc>
      </w:tr>
      <w:tr w:rsidR="00F67EAF" w14:paraId="54D1641E" w14:textId="77777777" w:rsidTr="00F67EAF">
        <w:trPr>
          <w:trHeight w:val="283"/>
        </w:trPr>
        <w:tc>
          <w:tcPr>
            <w:tcW w:w="3823" w:type="dxa"/>
          </w:tcPr>
          <w:p w14:paraId="002C70DF" w14:textId="77777777" w:rsidR="00F67EAF" w:rsidRPr="00A7575D" w:rsidRDefault="00F67EAF" w:rsidP="00F67EAF">
            <w:pPr>
              <w:widowControl w:val="0"/>
              <w:spacing w:before="40" w:after="40"/>
              <w:jc w:val="both"/>
              <w:rPr>
                <w:rFonts w:ascii="Arial" w:hAnsi="Arial" w:cs="Arial"/>
                <w:sz w:val="18"/>
                <w:szCs w:val="16"/>
              </w:rPr>
            </w:pPr>
            <w:r>
              <w:rPr>
                <w:rFonts w:ascii="Arial" w:hAnsi="Arial"/>
                <w:sz w:val="18"/>
                <w:szCs w:val="16"/>
              </w:rPr>
              <w:t>against prior yr [percentage points]</w:t>
            </w:r>
          </w:p>
        </w:tc>
        <w:tc>
          <w:tcPr>
            <w:tcW w:w="1134" w:type="dxa"/>
            <w:vAlign w:val="center"/>
          </w:tcPr>
          <w:p w14:paraId="43F2CDE3" w14:textId="1A2D2FC3" w:rsidR="00F67EAF" w:rsidRPr="000B7D28" w:rsidRDefault="00932BAE" w:rsidP="00D67511">
            <w:pPr>
              <w:widowControl w:val="0"/>
              <w:spacing w:before="40" w:after="40"/>
              <w:jc w:val="right"/>
              <w:rPr>
                <w:rFonts w:ascii="Arial" w:hAnsi="Arial" w:cs="Arial"/>
                <w:sz w:val="18"/>
                <w:szCs w:val="16"/>
              </w:rPr>
            </w:pPr>
            <w:r>
              <w:rPr>
                <w:rFonts w:ascii="Arial" w:hAnsi="Arial"/>
                <w:sz w:val="18"/>
                <w:szCs w:val="16"/>
              </w:rPr>
              <w:t>-2.00</w:t>
            </w:r>
          </w:p>
        </w:tc>
      </w:tr>
      <w:tr w:rsidR="00F67EAF" w:rsidRPr="006F49D0" w14:paraId="108BDDCF" w14:textId="77777777" w:rsidTr="00F67EAF">
        <w:trPr>
          <w:trHeight w:val="283"/>
        </w:trPr>
        <w:tc>
          <w:tcPr>
            <w:tcW w:w="3823" w:type="dxa"/>
          </w:tcPr>
          <w:p w14:paraId="7FFAB547" w14:textId="77777777" w:rsidR="00F67EAF" w:rsidRPr="004712BA" w:rsidRDefault="00F67EAF" w:rsidP="00F67EAF">
            <w:pPr>
              <w:widowControl w:val="0"/>
              <w:spacing w:before="40" w:after="40"/>
              <w:jc w:val="both"/>
              <w:rPr>
                <w:rFonts w:ascii="Arial" w:hAnsi="Arial" w:cs="Arial"/>
                <w:b/>
                <w:sz w:val="18"/>
                <w:szCs w:val="16"/>
              </w:rPr>
            </w:pPr>
            <w:r>
              <w:rPr>
                <w:rFonts w:ascii="Arial" w:hAnsi="Arial"/>
                <w:b/>
                <w:sz w:val="18"/>
                <w:szCs w:val="16"/>
              </w:rPr>
              <w:t>Prime net yield, commercial buildings</w:t>
            </w:r>
            <w:r>
              <w:rPr>
                <w:rFonts w:ascii="Arial" w:hAnsi="Arial"/>
                <w:sz w:val="18"/>
                <w:szCs w:val="16"/>
              </w:rPr>
              <w:t xml:space="preserve"> [%]</w:t>
            </w:r>
          </w:p>
        </w:tc>
        <w:tc>
          <w:tcPr>
            <w:tcW w:w="1134" w:type="dxa"/>
            <w:vAlign w:val="center"/>
          </w:tcPr>
          <w:p w14:paraId="50095197" w14:textId="7FA13006" w:rsidR="00F67EAF" w:rsidRPr="000B7D28" w:rsidRDefault="00424033" w:rsidP="00F67EAF">
            <w:pPr>
              <w:widowControl w:val="0"/>
              <w:spacing w:before="40" w:after="40"/>
              <w:jc w:val="right"/>
              <w:rPr>
                <w:rFonts w:ascii="Arial" w:hAnsi="Arial" w:cs="Arial"/>
                <w:sz w:val="18"/>
                <w:szCs w:val="16"/>
              </w:rPr>
            </w:pPr>
            <w:r>
              <w:rPr>
                <w:rFonts w:ascii="Arial" w:hAnsi="Arial"/>
                <w:sz w:val="18"/>
                <w:szCs w:val="16"/>
              </w:rPr>
              <w:t>2.80</w:t>
            </w:r>
          </w:p>
        </w:tc>
      </w:tr>
      <w:tr w:rsidR="00F67EAF" w14:paraId="12487751" w14:textId="77777777" w:rsidTr="00F67EAF">
        <w:trPr>
          <w:trHeight w:val="283"/>
        </w:trPr>
        <w:tc>
          <w:tcPr>
            <w:tcW w:w="3823" w:type="dxa"/>
          </w:tcPr>
          <w:p w14:paraId="60C8FA68" w14:textId="77777777" w:rsidR="00F67EAF" w:rsidRPr="00A7575D" w:rsidRDefault="00F67EAF" w:rsidP="00F67EAF">
            <w:pPr>
              <w:widowControl w:val="0"/>
              <w:spacing w:before="40" w:after="40"/>
              <w:jc w:val="both"/>
              <w:rPr>
                <w:rFonts w:ascii="Arial" w:hAnsi="Arial" w:cs="Arial"/>
                <w:sz w:val="18"/>
                <w:szCs w:val="16"/>
              </w:rPr>
            </w:pPr>
            <w:r>
              <w:rPr>
                <w:rFonts w:ascii="Arial" w:hAnsi="Arial"/>
                <w:sz w:val="18"/>
                <w:szCs w:val="16"/>
              </w:rPr>
              <w:t>against prior yr [percentage points]</w:t>
            </w:r>
          </w:p>
        </w:tc>
        <w:tc>
          <w:tcPr>
            <w:tcW w:w="1134" w:type="dxa"/>
            <w:vAlign w:val="center"/>
          </w:tcPr>
          <w:p w14:paraId="193B4811" w14:textId="77777777" w:rsidR="00F67EAF" w:rsidRPr="000B7D28" w:rsidRDefault="00F67EAF" w:rsidP="00F67EAF">
            <w:pPr>
              <w:widowControl w:val="0"/>
              <w:spacing w:before="40" w:after="40"/>
              <w:jc w:val="right"/>
              <w:rPr>
                <w:rFonts w:ascii="Arial" w:hAnsi="Arial" w:cs="Arial"/>
                <w:sz w:val="18"/>
                <w:szCs w:val="16"/>
              </w:rPr>
            </w:pPr>
            <w:r>
              <w:rPr>
                <w:rFonts w:ascii="Arial" w:hAnsi="Arial"/>
                <w:sz w:val="18"/>
                <w:szCs w:val="16"/>
              </w:rPr>
              <w:t>±0.00</w:t>
            </w:r>
          </w:p>
        </w:tc>
      </w:tr>
      <w:tr w:rsidR="00F67EAF" w:rsidRPr="006F49D0" w14:paraId="3684343E" w14:textId="77777777" w:rsidTr="00F67EAF">
        <w:trPr>
          <w:trHeight w:val="283"/>
        </w:trPr>
        <w:tc>
          <w:tcPr>
            <w:tcW w:w="3823" w:type="dxa"/>
          </w:tcPr>
          <w:p w14:paraId="01160851" w14:textId="77777777" w:rsidR="00F67EAF" w:rsidRPr="004712BA" w:rsidRDefault="00F67EAF" w:rsidP="00F67EAF">
            <w:pPr>
              <w:widowControl w:val="0"/>
              <w:spacing w:before="40" w:after="40"/>
              <w:jc w:val="both"/>
              <w:rPr>
                <w:rFonts w:ascii="Arial" w:hAnsi="Arial" w:cs="Arial"/>
                <w:b/>
                <w:sz w:val="18"/>
                <w:szCs w:val="16"/>
              </w:rPr>
            </w:pPr>
            <w:r>
              <w:rPr>
                <w:rFonts w:ascii="Arial" w:hAnsi="Arial"/>
                <w:b/>
                <w:sz w:val="18"/>
                <w:szCs w:val="16"/>
              </w:rPr>
              <w:t>Prime net yield, logistics properties</w:t>
            </w:r>
            <w:r>
              <w:rPr>
                <w:rFonts w:ascii="Arial" w:hAnsi="Arial"/>
                <w:sz w:val="18"/>
                <w:szCs w:val="16"/>
              </w:rPr>
              <w:t xml:space="preserve"> [%]</w:t>
            </w:r>
          </w:p>
        </w:tc>
        <w:tc>
          <w:tcPr>
            <w:tcW w:w="1134" w:type="dxa"/>
            <w:vAlign w:val="center"/>
          </w:tcPr>
          <w:p w14:paraId="4549AD25" w14:textId="456D3754" w:rsidR="00F67EAF" w:rsidRPr="000B7D28" w:rsidRDefault="00F67EAF" w:rsidP="00F67EAF">
            <w:pPr>
              <w:widowControl w:val="0"/>
              <w:spacing w:before="40" w:after="40"/>
              <w:jc w:val="right"/>
              <w:rPr>
                <w:rFonts w:ascii="Arial" w:hAnsi="Arial" w:cs="Arial"/>
                <w:sz w:val="18"/>
                <w:szCs w:val="16"/>
              </w:rPr>
            </w:pPr>
            <w:r>
              <w:rPr>
                <w:rFonts w:ascii="Arial" w:hAnsi="Arial"/>
                <w:sz w:val="18"/>
                <w:szCs w:val="16"/>
              </w:rPr>
              <w:t>3.5</w:t>
            </w:r>
          </w:p>
        </w:tc>
      </w:tr>
      <w:tr w:rsidR="00F67EAF" w14:paraId="1AE6011C" w14:textId="77777777" w:rsidTr="00F67EAF">
        <w:trPr>
          <w:trHeight w:val="283"/>
        </w:trPr>
        <w:tc>
          <w:tcPr>
            <w:tcW w:w="3823" w:type="dxa"/>
          </w:tcPr>
          <w:p w14:paraId="08D4FEA0" w14:textId="77777777" w:rsidR="00F67EAF" w:rsidRPr="00A7575D" w:rsidRDefault="00F67EAF" w:rsidP="00F67EAF">
            <w:pPr>
              <w:widowControl w:val="0"/>
              <w:spacing w:before="40" w:after="40"/>
              <w:jc w:val="both"/>
              <w:rPr>
                <w:rFonts w:ascii="Arial" w:hAnsi="Arial" w:cs="Arial"/>
                <w:sz w:val="18"/>
                <w:szCs w:val="16"/>
              </w:rPr>
            </w:pPr>
            <w:r>
              <w:rPr>
                <w:rFonts w:ascii="Arial" w:hAnsi="Arial"/>
                <w:sz w:val="18"/>
                <w:szCs w:val="16"/>
              </w:rPr>
              <w:t>against prior yr [percentage points]</w:t>
            </w:r>
          </w:p>
        </w:tc>
        <w:tc>
          <w:tcPr>
            <w:tcW w:w="1134" w:type="dxa"/>
            <w:vAlign w:val="center"/>
          </w:tcPr>
          <w:p w14:paraId="6E38FA44" w14:textId="3B6844BC" w:rsidR="00F67EAF" w:rsidRPr="000B7D28" w:rsidRDefault="00F67EAF" w:rsidP="00D67511">
            <w:pPr>
              <w:widowControl w:val="0"/>
              <w:spacing w:before="40" w:after="40"/>
              <w:jc w:val="right"/>
              <w:rPr>
                <w:rFonts w:ascii="Arial" w:hAnsi="Arial" w:cs="Arial"/>
                <w:sz w:val="18"/>
                <w:szCs w:val="16"/>
              </w:rPr>
            </w:pPr>
            <w:r>
              <w:rPr>
                <w:rFonts w:ascii="Arial" w:hAnsi="Arial"/>
                <w:sz w:val="18"/>
                <w:szCs w:val="16"/>
              </w:rPr>
              <w:t>-8.00</w:t>
            </w:r>
          </w:p>
        </w:tc>
      </w:tr>
      <w:tr w:rsidR="00F67EAF" w:rsidRPr="006F49D0" w14:paraId="73476F27" w14:textId="77777777" w:rsidTr="00F67EAF">
        <w:trPr>
          <w:trHeight w:val="283"/>
        </w:trPr>
        <w:tc>
          <w:tcPr>
            <w:tcW w:w="3823" w:type="dxa"/>
            <w:tcBorders>
              <w:bottom w:val="single" w:sz="4" w:space="0" w:color="auto"/>
            </w:tcBorders>
          </w:tcPr>
          <w:p w14:paraId="04C55323" w14:textId="77777777" w:rsidR="00F67EAF" w:rsidRPr="004712BA" w:rsidRDefault="00F67EAF" w:rsidP="00F67EAF">
            <w:pPr>
              <w:widowControl w:val="0"/>
              <w:spacing w:before="40" w:after="40"/>
              <w:jc w:val="both"/>
              <w:rPr>
                <w:rFonts w:ascii="Arial" w:hAnsi="Arial" w:cs="Arial"/>
                <w:b/>
                <w:sz w:val="18"/>
                <w:szCs w:val="16"/>
              </w:rPr>
            </w:pPr>
            <w:r>
              <w:rPr>
                <w:rFonts w:ascii="Arial" w:hAnsi="Arial"/>
                <w:b/>
                <w:sz w:val="18"/>
                <w:szCs w:val="16"/>
              </w:rPr>
              <w:t>Strongest asset class</w:t>
            </w:r>
          </w:p>
        </w:tc>
        <w:tc>
          <w:tcPr>
            <w:tcW w:w="1134" w:type="dxa"/>
            <w:tcBorders>
              <w:bottom w:val="single" w:sz="4" w:space="0" w:color="auto"/>
            </w:tcBorders>
            <w:vAlign w:val="center"/>
          </w:tcPr>
          <w:p w14:paraId="21130F87" w14:textId="645E2ADB" w:rsidR="00F67EAF" w:rsidRPr="000B7D28" w:rsidRDefault="00932BAE" w:rsidP="00F67EAF">
            <w:pPr>
              <w:widowControl w:val="0"/>
              <w:spacing w:before="40" w:after="40"/>
              <w:jc w:val="right"/>
              <w:rPr>
                <w:rFonts w:ascii="Arial" w:hAnsi="Arial" w:cs="Arial"/>
                <w:sz w:val="18"/>
                <w:szCs w:val="16"/>
              </w:rPr>
            </w:pPr>
            <w:r>
              <w:rPr>
                <w:rFonts w:ascii="Arial" w:hAnsi="Arial"/>
                <w:sz w:val="18"/>
                <w:szCs w:val="16"/>
              </w:rPr>
              <w:t>Mixed use</w:t>
            </w:r>
          </w:p>
        </w:tc>
      </w:tr>
      <w:tr w:rsidR="00F67EAF" w:rsidRPr="006F49D0" w14:paraId="4FA2101A" w14:textId="77777777" w:rsidTr="00F67EAF">
        <w:trPr>
          <w:trHeight w:val="283"/>
        </w:trPr>
        <w:tc>
          <w:tcPr>
            <w:tcW w:w="3823" w:type="dxa"/>
            <w:tcBorders>
              <w:bottom w:val="single" w:sz="4" w:space="0" w:color="auto"/>
            </w:tcBorders>
          </w:tcPr>
          <w:p w14:paraId="16802574" w14:textId="77777777" w:rsidR="00F67EAF" w:rsidRPr="004712BA" w:rsidRDefault="00F67EAF" w:rsidP="00F67EAF">
            <w:pPr>
              <w:widowControl w:val="0"/>
              <w:spacing w:before="40" w:after="40"/>
              <w:jc w:val="both"/>
              <w:rPr>
                <w:rFonts w:ascii="Arial" w:hAnsi="Arial" w:cs="Arial"/>
                <w:b/>
                <w:sz w:val="18"/>
                <w:szCs w:val="16"/>
              </w:rPr>
            </w:pPr>
            <w:r>
              <w:rPr>
                <w:rFonts w:ascii="Arial" w:hAnsi="Arial"/>
                <w:b/>
                <w:sz w:val="18"/>
                <w:szCs w:val="16"/>
              </w:rPr>
              <w:t>Strongest asset class</w:t>
            </w:r>
            <w:r>
              <w:rPr>
                <w:rFonts w:ascii="Arial" w:hAnsi="Arial"/>
                <w:sz w:val="18"/>
                <w:szCs w:val="16"/>
              </w:rPr>
              <w:t xml:space="preserve"> [%]</w:t>
            </w:r>
          </w:p>
        </w:tc>
        <w:tc>
          <w:tcPr>
            <w:tcW w:w="1134" w:type="dxa"/>
            <w:tcBorders>
              <w:bottom w:val="single" w:sz="4" w:space="0" w:color="auto"/>
            </w:tcBorders>
            <w:vAlign w:val="center"/>
          </w:tcPr>
          <w:p w14:paraId="4D299766" w14:textId="19452FCB" w:rsidR="00F67EAF" w:rsidRPr="000B7D28" w:rsidRDefault="00CD11F5" w:rsidP="00F67EAF">
            <w:pPr>
              <w:widowControl w:val="0"/>
              <w:spacing w:before="40" w:after="40"/>
              <w:jc w:val="right"/>
              <w:rPr>
                <w:rFonts w:ascii="Arial" w:hAnsi="Arial" w:cs="Arial"/>
                <w:sz w:val="18"/>
                <w:szCs w:val="16"/>
              </w:rPr>
            </w:pPr>
            <w:r>
              <w:rPr>
                <w:rFonts w:ascii="Arial" w:hAnsi="Arial"/>
                <w:sz w:val="18"/>
                <w:szCs w:val="16"/>
              </w:rPr>
              <w:t>39</w:t>
            </w:r>
          </w:p>
        </w:tc>
      </w:tr>
    </w:tbl>
    <w:p w14:paraId="2C865491" w14:textId="2A262F68" w:rsidR="00CB561C" w:rsidRDefault="002C4421" w:rsidP="002C4421">
      <w:pPr>
        <w:spacing w:after="0" w:line="360" w:lineRule="auto"/>
        <w:ind w:left="68"/>
        <w:textAlignment w:val="baseline"/>
        <w:rPr>
          <w:rFonts w:ascii="Arial" w:eastAsia="Arial" w:hAnsi="Arial" w:cs="Arial"/>
          <w:b/>
          <w:sz w:val="20"/>
          <w:szCs w:val="20"/>
        </w:rPr>
      </w:pPr>
      <w:r>
        <w:rPr>
          <w:rFonts w:ascii="Arial" w:hAnsi="Arial" w:cs="Arial"/>
          <w:noProof/>
          <w:sz w:val="20"/>
          <w:szCs w:val="20"/>
          <w:lang w:val="de-DE" w:eastAsia="de-DE"/>
        </w:rPr>
        <w:drawing>
          <wp:anchor distT="0" distB="0" distL="114300" distR="114300" simplePos="0" relativeHeight="251658240" behindDoc="0" locked="0" layoutInCell="1" allowOverlap="1" wp14:anchorId="49B988F5" wp14:editId="773FA51A">
            <wp:simplePos x="0" y="0"/>
            <wp:positionH relativeFrom="margin">
              <wp:align>right</wp:align>
            </wp:positionH>
            <wp:positionV relativeFrom="paragraph">
              <wp:posOffset>74295</wp:posOffset>
            </wp:positionV>
            <wp:extent cx="2905760" cy="2046605"/>
            <wp:effectExtent l="19050" t="19050" r="27940" b="1079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vestment-market-BER-3Q2021-tav.jpg"/>
                    <pic:cNvPicPr/>
                  </pic:nvPicPr>
                  <pic:blipFill>
                    <a:blip r:embed="rId8">
                      <a:extLst>
                        <a:ext uri="{28A0092B-C50C-407E-A947-70E740481C1C}">
                          <a14:useLocalDpi xmlns:a14="http://schemas.microsoft.com/office/drawing/2010/main" val="0"/>
                        </a:ext>
                      </a:extLst>
                    </a:blip>
                    <a:stretch>
                      <a:fillRect/>
                    </a:stretch>
                  </pic:blipFill>
                  <pic:spPr>
                    <a:xfrm>
                      <a:off x="0" y="0"/>
                      <a:ext cx="2905760" cy="2046605"/>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p>
    <w:p w14:paraId="15F57A62" w14:textId="77777777" w:rsidR="002C4421" w:rsidRDefault="002C4421" w:rsidP="002C4421">
      <w:pPr>
        <w:spacing w:after="0" w:line="360" w:lineRule="auto"/>
        <w:ind w:left="68"/>
        <w:textAlignment w:val="baseline"/>
        <w:rPr>
          <w:rFonts w:ascii="Arial" w:eastAsia="Arial" w:hAnsi="Arial" w:cs="Arial"/>
          <w:b/>
          <w:sz w:val="20"/>
          <w:szCs w:val="20"/>
        </w:rPr>
      </w:pPr>
    </w:p>
    <w:p w14:paraId="2EEA5946" w14:textId="77777777" w:rsidR="0054334C" w:rsidRDefault="0054334C" w:rsidP="004E7F0F">
      <w:pPr>
        <w:rPr>
          <w:rFonts w:ascii="Arial" w:hAnsi="Arial" w:cs="Arial"/>
          <w:b/>
          <w:sz w:val="20"/>
          <w:szCs w:val="20"/>
        </w:rPr>
      </w:pPr>
    </w:p>
    <w:p w14:paraId="513CABD7" w14:textId="06817285" w:rsidR="004E7F0F" w:rsidRPr="0054334C" w:rsidRDefault="004E7F0F" w:rsidP="0054334C">
      <w:pPr>
        <w:rPr>
          <w:rFonts w:ascii="Arial" w:hAnsi="Arial" w:cs="Arial"/>
          <w:b/>
          <w:sz w:val="20"/>
          <w:szCs w:val="20"/>
        </w:rPr>
      </w:pPr>
      <w:r>
        <w:rPr>
          <w:rFonts w:ascii="Arial" w:hAnsi="Arial"/>
          <w:b/>
          <w:sz w:val="20"/>
          <w:szCs w:val="20"/>
        </w:rPr>
        <w:t>Selected top transactions | investments in Berlin | 1</w:t>
      </w:r>
      <w:r w:rsidRPr="002C4421">
        <w:rPr>
          <w:rFonts w:ascii="Arial" w:hAnsi="Arial"/>
          <w:b/>
          <w:sz w:val="20"/>
          <w:szCs w:val="20"/>
          <w:vertAlign w:val="superscript"/>
        </w:rPr>
        <w:t>st</w:t>
      </w:r>
      <w:r>
        <w:rPr>
          <w:rFonts w:ascii="Arial" w:hAnsi="Arial"/>
          <w:b/>
          <w:sz w:val="20"/>
          <w:szCs w:val="20"/>
        </w:rPr>
        <w:t>-3</w:t>
      </w:r>
      <w:r w:rsidRPr="002C4421">
        <w:rPr>
          <w:rFonts w:ascii="Arial" w:hAnsi="Arial"/>
          <w:b/>
          <w:sz w:val="20"/>
          <w:szCs w:val="20"/>
          <w:vertAlign w:val="superscript"/>
        </w:rPr>
        <w:t>rd</w:t>
      </w:r>
      <w:r>
        <w:rPr>
          <w:rFonts w:ascii="Arial" w:hAnsi="Arial"/>
          <w:b/>
          <w:sz w:val="20"/>
          <w:szCs w:val="20"/>
        </w:rPr>
        <w:t xml:space="preserve"> quarters of 2021</w:t>
      </w:r>
    </w:p>
    <w:tbl>
      <w:tblPr>
        <w:tblStyle w:val="TableGrid1"/>
        <w:tblpPr w:leftFromText="141" w:rightFromText="141" w:vertAnchor="text" w:horzAnchor="margin" w:tblpY="71"/>
        <w:tblW w:w="10154" w:type="dxa"/>
        <w:tblLayout w:type="fixed"/>
        <w:tblLook w:val="04A0" w:firstRow="1" w:lastRow="0" w:firstColumn="1" w:lastColumn="0" w:noHBand="0" w:noVBand="1"/>
      </w:tblPr>
      <w:tblGrid>
        <w:gridCol w:w="2405"/>
        <w:gridCol w:w="1418"/>
        <w:gridCol w:w="1134"/>
        <w:gridCol w:w="1842"/>
        <w:gridCol w:w="2221"/>
        <w:gridCol w:w="1134"/>
      </w:tblGrid>
      <w:tr w:rsidR="0054334C" w:rsidRPr="006F49D0" w14:paraId="3052B16C" w14:textId="77777777" w:rsidTr="00CC438D">
        <w:trPr>
          <w:trHeight w:val="567"/>
        </w:trPr>
        <w:tc>
          <w:tcPr>
            <w:tcW w:w="2405" w:type="dxa"/>
            <w:shd w:val="clear" w:color="auto" w:fill="1F242B" w:themeFill="accent2"/>
            <w:vAlign w:val="center"/>
          </w:tcPr>
          <w:p w14:paraId="099BBF07" w14:textId="77777777" w:rsidR="0054334C" w:rsidRDefault="0054334C" w:rsidP="00D67511">
            <w:pPr>
              <w:spacing w:after="0"/>
              <w:jc w:val="center"/>
              <w:rPr>
                <w:rFonts w:ascii="Arial" w:hAnsi="Arial" w:cs="Arial"/>
                <w:b/>
                <w:sz w:val="18"/>
                <w:szCs w:val="16"/>
              </w:rPr>
            </w:pPr>
            <w:r>
              <w:rPr>
                <w:rFonts w:ascii="Arial" w:hAnsi="Arial"/>
                <w:b/>
                <w:sz w:val="18"/>
                <w:szCs w:val="16"/>
              </w:rPr>
              <w:t>Project/property</w:t>
            </w:r>
          </w:p>
          <w:p w14:paraId="36FC1BAD" w14:textId="61C9AF06" w:rsidR="0054334C" w:rsidRPr="00C626E7" w:rsidRDefault="0054334C" w:rsidP="00D67511">
            <w:pPr>
              <w:spacing w:after="0"/>
              <w:jc w:val="center"/>
              <w:rPr>
                <w:rFonts w:ascii="Arial" w:hAnsi="Arial" w:cs="Arial"/>
                <w:b/>
                <w:sz w:val="18"/>
                <w:szCs w:val="16"/>
              </w:rPr>
            </w:pPr>
            <w:r>
              <w:rPr>
                <w:rFonts w:ascii="Arial" w:hAnsi="Arial"/>
                <w:b/>
                <w:sz w:val="18"/>
                <w:szCs w:val="16"/>
              </w:rPr>
              <w:t>Street no.</w:t>
            </w:r>
          </w:p>
        </w:tc>
        <w:tc>
          <w:tcPr>
            <w:tcW w:w="1418" w:type="dxa"/>
            <w:shd w:val="clear" w:color="auto" w:fill="1F242B" w:themeFill="accent2"/>
            <w:vAlign w:val="center"/>
          </w:tcPr>
          <w:p w14:paraId="00BE952B" w14:textId="77777777" w:rsidR="0054334C" w:rsidRPr="009F10F1" w:rsidRDefault="0054334C" w:rsidP="00D67511">
            <w:pPr>
              <w:widowControl w:val="0"/>
              <w:spacing w:before="60" w:afterLines="60" w:after="144"/>
              <w:jc w:val="center"/>
              <w:rPr>
                <w:rFonts w:ascii="Arial" w:hAnsi="Arial" w:cs="Arial"/>
                <w:b/>
                <w:sz w:val="18"/>
                <w:szCs w:val="16"/>
              </w:rPr>
            </w:pPr>
            <w:r>
              <w:rPr>
                <w:rFonts w:ascii="Arial" w:hAnsi="Arial"/>
                <w:b/>
                <w:sz w:val="18"/>
                <w:szCs w:val="16"/>
              </w:rPr>
              <w:t>Sub-market</w:t>
            </w:r>
          </w:p>
        </w:tc>
        <w:tc>
          <w:tcPr>
            <w:tcW w:w="1134" w:type="dxa"/>
            <w:shd w:val="clear" w:color="auto" w:fill="1F242B" w:themeFill="accent2"/>
            <w:vAlign w:val="center"/>
          </w:tcPr>
          <w:p w14:paraId="2A6D3384" w14:textId="77777777" w:rsidR="0054334C" w:rsidRPr="009F10F1" w:rsidRDefault="0054334C" w:rsidP="00D67511">
            <w:pPr>
              <w:widowControl w:val="0"/>
              <w:spacing w:before="60" w:afterLines="60" w:after="144"/>
              <w:jc w:val="center"/>
              <w:rPr>
                <w:rFonts w:ascii="Arial" w:hAnsi="Arial" w:cs="Arial"/>
                <w:b/>
                <w:sz w:val="18"/>
                <w:szCs w:val="16"/>
              </w:rPr>
            </w:pPr>
            <w:r>
              <w:rPr>
                <w:rFonts w:ascii="Arial" w:hAnsi="Arial"/>
                <w:b/>
                <w:sz w:val="18"/>
                <w:szCs w:val="16"/>
              </w:rPr>
              <w:t>Asset class</w:t>
            </w:r>
          </w:p>
        </w:tc>
        <w:tc>
          <w:tcPr>
            <w:tcW w:w="1842" w:type="dxa"/>
            <w:shd w:val="clear" w:color="auto" w:fill="1F242B" w:themeFill="accent2"/>
            <w:vAlign w:val="center"/>
          </w:tcPr>
          <w:p w14:paraId="3A5E1ED4" w14:textId="77777777" w:rsidR="0054334C" w:rsidRPr="00351DE2" w:rsidRDefault="0054334C" w:rsidP="00D67511">
            <w:pPr>
              <w:widowControl w:val="0"/>
              <w:spacing w:before="60" w:afterLines="60" w:after="144"/>
              <w:jc w:val="center"/>
              <w:rPr>
                <w:rFonts w:ascii="Arial" w:hAnsi="Arial" w:cs="Arial"/>
                <w:b/>
                <w:sz w:val="18"/>
                <w:szCs w:val="18"/>
              </w:rPr>
            </w:pPr>
            <w:r>
              <w:rPr>
                <w:rFonts w:ascii="Arial" w:hAnsi="Arial"/>
                <w:b/>
                <w:sz w:val="18"/>
                <w:szCs w:val="18"/>
              </w:rPr>
              <w:t>Buyer/investor</w:t>
            </w:r>
          </w:p>
        </w:tc>
        <w:tc>
          <w:tcPr>
            <w:tcW w:w="2221" w:type="dxa"/>
            <w:shd w:val="clear" w:color="auto" w:fill="1F242B" w:themeFill="accent2"/>
            <w:vAlign w:val="center"/>
          </w:tcPr>
          <w:p w14:paraId="47D1821F" w14:textId="77B3E435" w:rsidR="0054334C" w:rsidRPr="00351DE2" w:rsidRDefault="002C4421" w:rsidP="00D67511">
            <w:pPr>
              <w:widowControl w:val="0"/>
              <w:spacing w:before="60" w:afterLines="60" w:after="144"/>
              <w:jc w:val="center"/>
              <w:rPr>
                <w:rFonts w:ascii="Arial" w:hAnsi="Arial" w:cs="Arial"/>
                <w:b/>
                <w:sz w:val="18"/>
                <w:szCs w:val="18"/>
              </w:rPr>
            </w:pPr>
            <w:r>
              <w:rPr>
                <w:rFonts w:ascii="Arial" w:hAnsi="Arial"/>
                <w:b/>
                <w:sz w:val="18"/>
                <w:szCs w:val="18"/>
              </w:rPr>
              <w:t>Vendor</w:t>
            </w:r>
          </w:p>
        </w:tc>
        <w:tc>
          <w:tcPr>
            <w:tcW w:w="1134" w:type="dxa"/>
            <w:shd w:val="clear" w:color="auto" w:fill="1F242B" w:themeFill="accent2"/>
            <w:vAlign w:val="center"/>
          </w:tcPr>
          <w:p w14:paraId="4B79ABFD" w14:textId="77777777" w:rsidR="0054334C" w:rsidRPr="009F10F1" w:rsidRDefault="0054334C" w:rsidP="00D67511">
            <w:pPr>
              <w:widowControl w:val="0"/>
              <w:spacing w:before="60" w:after="0"/>
              <w:jc w:val="center"/>
              <w:rPr>
                <w:rFonts w:ascii="Arial" w:hAnsi="Arial" w:cs="Arial"/>
                <w:b/>
                <w:sz w:val="18"/>
                <w:szCs w:val="16"/>
              </w:rPr>
            </w:pPr>
            <w:r>
              <w:rPr>
                <w:rFonts w:ascii="Arial" w:hAnsi="Arial"/>
                <w:b/>
                <w:sz w:val="18"/>
                <w:szCs w:val="16"/>
              </w:rPr>
              <w:t>Purchase price*</w:t>
            </w:r>
          </w:p>
          <w:p w14:paraId="15C7E2C1" w14:textId="77777777" w:rsidR="0054334C" w:rsidRPr="009F10F1" w:rsidRDefault="0054334C" w:rsidP="00D67511">
            <w:pPr>
              <w:widowControl w:val="0"/>
              <w:spacing w:before="60" w:after="0"/>
              <w:jc w:val="center"/>
              <w:rPr>
                <w:rFonts w:ascii="Arial" w:hAnsi="Arial" w:cs="Arial"/>
                <w:b/>
                <w:sz w:val="18"/>
                <w:szCs w:val="16"/>
              </w:rPr>
            </w:pPr>
            <w:r>
              <w:rPr>
                <w:rFonts w:ascii="Arial" w:hAnsi="Arial"/>
                <w:sz w:val="18"/>
                <w:szCs w:val="16"/>
              </w:rPr>
              <w:t>[approx. €m]</w:t>
            </w:r>
          </w:p>
        </w:tc>
      </w:tr>
      <w:tr w:rsidR="0054334C" w:rsidRPr="00F2414C" w14:paraId="0D9A236F" w14:textId="77777777" w:rsidTr="00CC438D">
        <w:trPr>
          <w:trHeight w:val="567"/>
        </w:trPr>
        <w:tc>
          <w:tcPr>
            <w:tcW w:w="2405" w:type="dxa"/>
            <w:shd w:val="clear" w:color="auto" w:fill="auto"/>
            <w:vAlign w:val="center"/>
          </w:tcPr>
          <w:p w14:paraId="6F6D559F" w14:textId="3F753F67" w:rsidR="0054334C" w:rsidRPr="002C4584" w:rsidRDefault="0054334C" w:rsidP="0054334C">
            <w:pPr>
              <w:widowControl w:val="0"/>
              <w:spacing w:after="0"/>
              <w:rPr>
                <w:rFonts w:ascii="Arial" w:hAnsi="Arial" w:cs="Arial"/>
                <w:sz w:val="18"/>
                <w:szCs w:val="18"/>
              </w:rPr>
            </w:pPr>
            <w:r>
              <w:rPr>
                <w:rFonts w:ascii="Arial" w:hAnsi="Arial"/>
                <w:sz w:val="18"/>
                <w:szCs w:val="18"/>
              </w:rPr>
              <w:t>“Fürst”</w:t>
            </w:r>
            <w:r w:rsidR="00CC438D">
              <w:rPr>
                <w:rFonts w:ascii="Arial" w:hAnsi="Arial"/>
                <w:sz w:val="18"/>
                <w:szCs w:val="18"/>
              </w:rPr>
              <w:t>,</w:t>
            </w:r>
            <w:r>
              <w:rPr>
                <w:rFonts w:ascii="Arial" w:hAnsi="Arial"/>
                <w:sz w:val="18"/>
                <w:szCs w:val="18"/>
              </w:rPr>
              <w:t xml:space="preserve"> </w:t>
            </w:r>
          </w:p>
          <w:p w14:paraId="507AA959" w14:textId="77777777" w:rsidR="0054334C" w:rsidRPr="002C4584" w:rsidRDefault="0054334C" w:rsidP="0054334C">
            <w:pPr>
              <w:widowControl w:val="0"/>
              <w:spacing w:after="0"/>
              <w:rPr>
                <w:rFonts w:ascii="Arial" w:hAnsi="Arial" w:cs="Arial"/>
                <w:color w:val="000000" w:themeColor="text1"/>
                <w:sz w:val="18"/>
                <w:szCs w:val="18"/>
              </w:rPr>
            </w:pPr>
            <w:r>
              <w:rPr>
                <w:rFonts w:ascii="Arial" w:hAnsi="Arial"/>
                <w:sz w:val="18"/>
                <w:szCs w:val="18"/>
              </w:rPr>
              <w:t>Kurfürstendamm 206-209</w:t>
            </w:r>
          </w:p>
        </w:tc>
        <w:tc>
          <w:tcPr>
            <w:tcW w:w="1418" w:type="dxa"/>
            <w:shd w:val="clear" w:color="auto" w:fill="auto"/>
            <w:vAlign w:val="center"/>
          </w:tcPr>
          <w:p w14:paraId="0CBFAD74" w14:textId="4BADEB89" w:rsidR="0054334C" w:rsidRPr="002C4584" w:rsidRDefault="00D67511" w:rsidP="0054334C">
            <w:pPr>
              <w:widowControl w:val="0"/>
              <w:spacing w:after="0"/>
              <w:rPr>
                <w:rFonts w:ascii="Arial" w:hAnsi="Arial" w:cs="Arial"/>
                <w:color w:val="000000" w:themeColor="text1"/>
                <w:sz w:val="18"/>
                <w:szCs w:val="18"/>
              </w:rPr>
            </w:pPr>
            <w:r>
              <w:rPr>
                <w:rFonts w:ascii="Arial" w:hAnsi="Arial"/>
                <w:color w:val="000000" w:themeColor="text1"/>
                <w:sz w:val="18"/>
                <w:szCs w:val="18"/>
              </w:rPr>
              <w:t>Ku’damm plus side-roads</w:t>
            </w:r>
          </w:p>
        </w:tc>
        <w:tc>
          <w:tcPr>
            <w:tcW w:w="1134" w:type="dxa"/>
            <w:shd w:val="clear" w:color="auto" w:fill="auto"/>
            <w:vAlign w:val="center"/>
          </w:tcPr>
          <w:p w14:paraId="306DE0C2" w14:textId="77777777" w:rsidR="0054334C" w:rsidRPr="002C4584" w:rsidRDefault="0054334C" w:rsidP="0054334C">
            <w:pPr>
              <w:widowControl w:val="0"/>
              <w:spacing w:after="0"/>
              <w:rPr>
                <w:rFonts w:ascii="Arial" w:hAnsi="Arial" w:cs="Arial"/>
                <w:color w:val="000000" w:themeColor="text1"/>
                <w:sz w:val="18"/>
                <w:szCs w:val="18"/>
              </w:rPr>
            </w:pPr>
            <w:r>
              <w:rPr>
                <w:rFonts w:ascii="Arial" w:hAnsi="Arial"/>
                <w:color w:val="000000" w:themeColor="text1"/>
                <w:sz w:val="18"/>
                <w:szCs w:val="18"/>
              </w:rPr>
              <w:t>Mixed use</w:t>
            </w:r>
          </w:p>
        </w:tc>
        <w:tc>
          <w:tcPr>
            <w:tcW w:w="1842" w:type="dxa"/>
            <w:shd w:val="clear" w:color="auto" w:fill="auto"/>
            <w:vAlign w:val="center"/>
          </w:tcPr>
          <w:p w14:paraId="02542D00" w14:textId="77777777" w:rsidR="0054334C" w:rsidRPr="002C4584" w:rsidRDefault="0054334C" w:rsidP="0054334C">
            <w:pPr>
              <w:widowControl w:val="0"/>
              <w:spacing w:after="0"/>
              <w:rPr>
                <w:rFonts w:ascii="Arial" w:hAnsi="Arial" w:cs="Arial"/>
                <w:color w:val="000000" w:themeColor="text1"/>
                <w:sz w:val="18"/>
                <w:szCs w:val="18"/>
              </w:rPr>
            </w:pPr>
            <w:r>
              <w:rPr>
                <w:rFonts w:ascii="Arial" w:hAnsi="Arial"/>
                <w:sz w:val="18"/>
                <w:szCs w:val="18"/>
              </w:rPr>
              <w:t>Aggregate Holdings</w:t>
            </w:r>
          </w:p>
        </w:tc>
        <w:tc>
          <w:tcPr>
            <w:tcW w:w="2221" w:type="dxa"/>
            <w:shd w:val="clear" w:color="auto" w:fill="auto"/>
            <w:vAlign w:val="center"/>
          </w:tcPr>
          <w:p w14:paraId="724F0727" w14:textId="77777777" w:rsidR="0054334C" w:rsidRPr="002C4584" w:rsidRDefault="0054334C" w:rsidP="0054334C">
            <w:pPr>
              <w:widowControl w:val="0"/>
              <w:spacing w:after="0"/>
              <w:rPr>
                <w:rFonts w:ascii="Arial" w:hAnsi="Arial" w:cs="Arial"/>
                <w:color w:val="000000" w:themeColor="text1"/>
                <w:sz w:val="18"/>
                <w:szCs w:val="18"/>
              </w:rPr>
            </w:pPr>
            <w:r>
              <w:rPr>
                <w:rFonts w:ascii="Arial" w:hAnsi="Arial"/>
                <w:sz w:val="18"/>
                <w:szCs w:val="18"/>
              </w:rPr>
              <w:t>Vivion</w:t>
            </w:r>
          </w:p>
        </w:tc>
        <w:tc>
          <w:tcPr>
            <w:tcW w:w="1134" w:type="dxa"/>
            <w:shd w:val="clear" w:color="auto" w:fill="auto"/>
            <w:vAlign w:val="center"/>
          </w:tcPr>
          <w:p w14:paraId="5CD25F2D" w14:textId="77777777" w:rsidR="0054334C" w:rsidRPr="002C4584" w:rsidRDefault="0054334C" w:rsidP="0054334C">
            <w:pPr>
              <w:widowControl w:val="0"/>
              <w:spacing w:after="0"/>
              <w:jc w:val="right"/>
              <w:rPr>
                <w:rFonts w:ascii="Arial" w:hAnsi="Arial" w:cs="Arial"/>
                <w:color w:val="000000" w:themeColor="text1"/>
                <w:sz w:val="18"/>
                <w:szCs w:val="18"/>
              </w:rPr>
            </w:pPr>
            <w:r>
              <w:rPr>
                <w:rFonts w:ascii="Arial" w:hAnsi="Arial"/>
                <w:color w:val="000000" w:themeColor="text1"/>
                <w:sz w:val="18"/>
                <w:szCs w:val="18"/>
              </w:rPr>
              <w:t>&gt; 1,000</w:t>
            </w:r>
          </w:p>
        </w:tc>
      </w:tr>
      <w:tr w:rsidR="00CD11F5" w:rsidRPr="00F2414C" w14:paraId="66E73A80" w14:textId="77777777" w:rsidTr="00CC438D">
        <w:trPr>
          <w:trHeight w:val="567"/>
        </w:trPr>
        <w:tc>
          <w:tcPr>
            <w:tcW w:w="2405" w:type="dxa"/>
            <w:shd w:val="clear" w:color="auto" w:fill="D9D9D9" w:themeFill="background1" w:themeFillShade="D9"/>
            <w:vAlign w:val="center"/>
          </w:tcPr>
          <w:p w14:paraId="0F71253E" w14:textId="475D63F8" w:rsidR="00CD11F5" w:rsidRDefault="00CD11F5" w:rsidP="0054334C">
            <w:pPr>
              <w:widowControl w:val="0"/>
              <w:spacing w:after="0"/>
              <w:rPr>
                <w:rFonts w:ascii="Arial" w:hAnsi="Arial" w:cs="Arial"/>
                <w:sz w:val="18"/>
                <w:szCs w:val="18"/>
              </w:rPr>
            </w:pPr>
            <w:r>
              <w:rPr>
                <w:rFonts w:ascii="Arial" w:hAnsi="Arial"/>
                <w:sz w:val="18"/>
                <w:szCs w:val="18"/>
              </w:rPr>
              <w:t>“Victoriastadt Lofts”</w:t>
            </w:r>
            <w:r w:rsidR="00CC438D">
              <w:rPr>
                <w:rFonts w:ascii="Arial" w:hAnsi="Arial"/>
                <w:sz w:val="18"/>
                <w:szCs w:val="18"/>
              </w:rPr>
              <w:t>,</w:t>
            </w:r>
          </w:p>
          <w:p w14:paraId="5F761859" w14:textId="444AB375" w:rsidR="00CD11F5" w:rsidRPr="002C4584" w:rsidRDefault="00CD11F5" w:rsidP="0054334C">
            <w:pPr>
              <w:widowControl w:val="0"/>
              <w:spacing w:after="0"/>
              <w:rPr>
                <w:rFonts w:ascii="Arial" w:hAnsi="Arial" w:cs="Arial"/>
                <w:sz w:val="18"/>
                <w:szCs w:val="18"/>
              </w:rPr>
            </w:pPr>
            <w:r>
              <w:rPr>
                <w:rFonts w:ascii="Arial" w:hAnsi="Arial"/>
                <w:sz w:val="18"/>
                <w:szCs w:val="18"/>
              </w:rPr>
              <w:t>Schreiberhauerstrasse 30</w:t>
            </w:r>
          </w:p>
        </w:tc>
        <w:tc>
          <w:tcPr>
            <w:tcW w:w="1418" w:type="dxa"/>
            <w:shd w:val="clear" w:color="auto" w:fill="D9D9D9" w:themeFill="background1" w:themeFillShade="D9"/>
            <w:vAlign w:val="center"/>
          </w:tcPr>
          <w:p w14:paraId="509105FE" w14:textId="432CC58D" w:rsidR="00CD11F5" w:rsidRPr="002C4584" w:rsidRDefault="00CD11F5" w:rsidP="0054334C">
            <w:pPr>
              <w:widowControl w:val="0"/>
              <w:spacing w:after="0"/>
              <w:rPr>
                <w:rFonts w:ascii="Arial" w:hAnsi="Arial" w:cs="Arial"/>
                <w:color w:val="000000" w:themeColor="text1"/>
                <w:sz w:val="18"/>
                <w:szCs w:val="18"/>
              </w:rPr>
            </w:pPr>
            <w:r>
              <w:rPr>
                <w:rFonts w:ascii="Arial" w:hAnsi="Arial"/>
                <w:color w:val="000000" w:themeColor="text1"/>
                <w:sz w:val="18"/>
                <w:szCs w:val="18"/>
              </w:rPr>
              <w:t>Periphery East</w:t>
            </w:r>
          </w:p>
        </w:tc>
        <w:tc>
          <w:tcPr>
            <w:tcW w:w="1134" w:type="dxa"/>
            <w:shd w:val="clear" w:color="auto" w:fill="D9D9D9" w:themeFill="background1" w:themeFillShade="D9"/>
            <w:vAlign w:val="center"/>
          </w:tcPr>
          <w:p w14:paraId="669FBE2F" w14:textId="63F628A8" w:rsidR="00CD11F5" w:rsidRPr="002C4584" w:rsidRDefault="00CD11F5" w:rsidP="0054334C">
            <w:pPr>
              <w:widowControl w:val="0"/>
              <w:spacing w:after="0"/>
              <w:rPr>
                <w:rFonts w:ascii="Arial" w:hAnsi="Arial" w:cs="Arial"/>
                <w:color w:val="000000" w:themeColor="text1"/>
                <w:sz w:val="18"/>
                <w:szCs w:val="18"/>
              </w:rPr>
            </w:pPr>
            <w:r>
              <w:rPr>
                <w:rFonts w:ascii="Arial" w:hAnsi="Arial"/>
                <w:color w:val="000000" w:themeColor="text1"/>
                <w:sz w:val="18"/>
                <w:szCs w:val="18"/>
              </w:rPr>
              <w:t>Offices</w:t>
            </w:r>
          </w:p>
        </w:tc>
        <w:tc>
          <w:tcPr>
            <w:tcW w:w="1842" w:type="dxa"/>
            <w:shd w:val="clear" w:color="auto" w:fill="D9D9D9" w:themeFill="background1" w:themeFillShade="D9"/>
            <w:vAlign w:val="center"/>
          </w:tcPr>
          <w:p w14:paraId="194FF3E8" w14:textId="4E30E36D" w:rsidR="00CD11F5" w:rsidRPr="002C4584" w:rsidRDefault="00CD11F5" w:rsidP="0054334C">
            <w:pPr>
              <w:widowControl w:val="0"/>
              <w:spacing w:after="0"/>
              <w:rPr>
                <w:rFonts w:ascii="Arial" w:hAnsi="Arial" w:cs="Arial"/>
                <w:sz w:val="18"/>
                <w:szCs w:val="18"/>
              </w:rPr>
            </w:pPr>
            <w:r>
              <w:rPr>
                <w:rFonts w:ascii="Arial" w:hAnsi="Arial"/>
                <w:sz w:val="18"/>
                <w:szCs w:val="18"/>
              </w:rPr>
              <w:t>Signa Real Estate</w:t>
            </w:r>
          </w:p>
        </w:tc>
        <w:tc>
          <w:tcPr>
            <w:tcW w:w="2221" w:type="dxa"/>
            <w:shd w:val="clear" w:color="auto" w:fill="D9D9D9" w:themeFill="background1" w:themeFillShade="D9"/>
            <w:vAlign w:val="center"/>
          </w:tcPr>
          <w:p w14:paraId="2B4CD52A" w14:textId="36F19065" w:rsidR="00CD11F5" w:rsidRPr="002C4584" w:rsidRDefault="00CD11F5" w:rsidP="0054334C">
            <w:pPr>
              <w:widowControl w:val="0"/>
              <w:spacing w:after="0"/>
              <w:rPr>
                <w:rFonts w:ascii="Arial" w:hAnsi="Arial" w:cs="Arial"/>
                <w:sz w:val="18"/>
                <w:szCs w:val="18"/>
              </w:rPr>
            </w:pPr>
            <w:r>
              <w:rPr>
                <w:rFonts w:ascii="Arial" w:hAnsi="Arial"/>
                <w:sz w:val="18"/>
                <w:szCs w:val="18"/>
              </w:rPr>
              <w:t>Schroder Properties for Illmarinen</w:t>
            </w:r>
          </w:p>
        </w:tc>
        <w:tc>
          <w:tcPr>
            <w:tcW w:w="1134" w:type="dxa"/>
            <w:shd w:val="clear" w:color="auto" w:fill="D9D9D9" w:themeFill="background1" w:themeFillShade="D9"/>
            <w:vAlign w:val="center"/>
          </w:tcPr>
          <w:p w14:paraId="3D9A637B" w14:textId="01127E20" w:rsidR="00CD11F5" w:rsidRPr="002C4584" w:rsidRDefault="00CD11F5" w:rsidP="0054334C">
            <w:pPr>
              <w:widowControl w:val="0"/>
              <w:spacing w:after="0"/>
              <w:jc w:val="right"/>
              <w:rPr>
                <w:rFonts w:ascii="Arial" w:hAnsi="Arial" w:cs="Arial"/>
                <w:color w:val="000000" w:themeColor="text1"/>
                <w:sz w:val="18"/>
                <w:szCs w:val="18"/>
              </w:rPr>
            </w:pPr>
            <w:r>
              <w:rPr>
                <w:rFonts w:ascii="Arial" w:hAnsi="Arial"/>
                <w:color w:val="000000" w:themeColor="text1"/>
                <w:sz w:val="18"/>
                <w:szCs w:val="18"/>
              </w:rPr>
              <w:t>425</w:t>
            </w:r>
          </w:p>
        </w:tc>
      </w:tr>
      <w:tr w:rsidR="0054334C" w:rsidRPr="00F2414C" w14:paraId="06E75E5C" w14:textId="77777777" w:rsidTr="00CC438D">
        <w:trPr>
          <w:trHeight w:val="567"/>
        </w:trPr>
        <w:tc>
          <w:tcPr>
            <w:tcW w:w="2405" w:type="dxa"/>
            <w:shd w:val="clear" w:color="auto" w:fill="auto"/>
            <w:vAlign w:val="center"/>
          </w:tcPr>
          <w:p w14:paraId="6D4E03E2" w14:textId="77777777" w:rsidR="0054334C" w:rsidRPr="002C4584" w:rsidRDefault="0054334C" w:rsidP="0054334C">
            <w:pPr>
              <w:widowControl w:val="0"/>
              <w:spacing w:after="0"/>
              <w:rPr>
                <w:rFonts w:ascii="Arial" w:hAnsi="Arial" w:cs="Arial"/>
                <w:sz w:val="18"/>
                <w:szCs w:val="18"/>
              </w:rPr>
            </w:pPr>
            <w:r>
              <w:rPr>
                <w:rFonts w:ascii="Arial" w:hAnsi="Arial"/>
                <w:sz w:val="18"/>
                <w:szCs w:val="18"/>
              </w:rPr>
              <w:t>“Quartier 206”,</w:t>
            </w:r>
          </w:p>
          <w:p w14:paraId="64F7D588" w14:textId="77777777" w:rsidR="0054334C" w:rsidRPr="002C4584" w:rsidRDefault="0054334C" w:rsidP="0054334C">
            <w:pPr>
              <w:widowControl w:val="0"/>
              <w:spacing w:after="0"/>
              <w:rPr>
                <w:rFonts w:ascii="Arial" w:hAnsi="Arial" w:cs="Arial"/>
                <w:color w:val="000000" w:themeColor="text1"/>
                <w:sz w:val="18"/>
                <w:szCs w:val="18"/>
              </w:rPr>
            </w:pPr>
            <w:r>
              <w:rPr>
                <w:rFonts w:ascii="Arial" w:hAnsi="Arial"/>
                <w:sz w:val="18"/>
                <w:szCs w:val="18"/>
              </w:rPr>
              <w:t>Friedrichstrasse 71</w:t>
            </w:r>
          </w:p>
        </w:tc>
        <w:tc>
          <w:tcPr>
            <w:tcW w:w="1418" w:type="dxa"/>
            <w:shd w:val="clear" w:color="auto" w:fill="auto"/>
            <w:vAlign w:val="center"/>
          </w:tcPr>
          <w:p w14:paraId="12C7B9EC" w14:textId="77777777" w:rsidR="0054334C" w:rsidRPr="002C4584" w:rsidRDefault="0054334C" w:rsidP="0054334C">
            <w:pPr>
              <w:widowControl w:val="0"/>
              <w:spacing w:after="0"/>
              <w:rPr>
                <w:rFonts w:ascii="Arial" w:hAnsi="Arial" w:cs="Arial"/>
                <w:color w:val="000000" w:themeColor="text1"/>
                <w:sz w:val="18"/>
                <w:szCs w:val="18"/>
              </w:rPr>
            </w:pPr>
            <w:r>
              <w:rPr>
                <w:rFonts w:ascii="Arial" w:hAnsi="Arial"/>
                <w:color w:val="000000" w:themeColor="text1"/>
                <w:sz w:val="18"/>
                <w:szCs w:val="18"/>
              </w:rPr>
              <w:t>Mitte 1a</w:t>
            </w:r>
          </w:p>
        </w:tc>
        <w:tc>
          <w:tcPr>
            <w:tcW w:w="1134" w:type="dxa"/>
            <w:shd w:val="clear" w:color="auto" w:fill="auto"/>
            <w:vAlign w:val="center"/>
          </w:tcPr>
          <w:p w14:paraId="13343B59" w14:textId="77777777" w:rsidR="0054334C" w:rsidRPr="002C4584" w:rsidRDefault="0054334C" w:rsidP="0054334C">
            <w:pPr>
              <w:widowControl w:val="0"/>
              <w:spacing w:after="0"/>
              <w:rPr>
                <w:rFonts w:ascii="Arial" w:hAnsi="Arial" w:cs="Arial"/>
                <w:color w:val="000000" w:themeColor="text1"/>
                <w:sz w:val="18"/>
                <w:szCs w:val="18"/>
              </w:rPr>
            </w:pPr>
            <w:r>
              <w:rPr>
                <w:rFonts w:ascii="Arial" w:hAnsi="Arial"/>
                <w:color w:val="000000" w:themeColor="text1"/>
                <w:sz w:val="18"/>
                <w:szCs w:val="18"/>
              </w:rPr>
              <w:t>Mixed use</w:t>
            </w:r>
          </w:p>
        </w:tc>
        <w:tc>
          <w:tcPr>
            <w:tcW w:w="1842" w:type="dxa"/>
            <w:shd w:val="clear" w:color="auto" w:fill="auto"/>
            <w:vAlign w:val="center"/>
          </w:tcPr>
          <w:p w14:paraId="55D58A0A" w14:textId="794034E7" w:rsidR="0054334C" w:rsidRPr="002C4584" w:rsidRDefault="00C529DF" w:rsidP="005E47AA">
            <w:pPr>
              <w:widowControl w:val="0"/>
              <w:spacing w:after="0"/>
              <w:rPr>
                <w:rFonts w:ascii="Arial" w:hAnsi="Arial" w:cs="Arial"/>
                <w:sz w:val="18"/>
                <w:szCs w:val="18"/>
              </w:rPr>
            </w:pPr>
            <w:r>
              <w:rPr>
                <w:rFonts w:ascii="Arial" w:hAnsi="Arial"/>
                <w:sz w:val="18"/>
                <w:szCs w:val="18"/>
              </w:rPr>
              <w:t>Kölnstrasse 89 GmbH &amp; Co. KG (Jagdfeld-Gruppe)</w:t>
            </w:r>
          </w:p>
        </w:tc>
        <w:tc>
          <w:tcPr>
            <w:tcW w:w="2221" w:type="dxa"/>
            <w:shd w:val="clear" w:color="auto" w:fill="auto"/>
            <w:vAlign w:val="center"/>
          </w:tcPr>
          <w:p w14:paraId="7C1D911F" w14:textId="0284C664" w:rsidR="0054334C" w:rsidRPr="002C4584" w:rsidRDefault="0054334C" w:rsidP="0054334C">
            <w:pPr>
              <w:widowControl w:val="0"/>
              <w:spacing w:after="0"/>
              <w:rPr>
                <w:rFonts w:ascii="Arial" w:hAnsi="Arial" w:cs="Arial"/>
                <w:sz w:val="18"/>
                <w:szCs w:val="18"/>
              </w:rPr>
            </w:pPr>
            <w:r>
              <w:rPr>
                <w:rFonts w:ascii="Arial" w:hAnsi="Arial"/>
                <w:sz w:val="18"/>
                <w:szCs w:val="18"/>
              </w:rPr>
              <w:t>Bank consortium headed by Credit Suisse</w:t>
            </w:r>
          </w:p>
        </w:tc>
        <w:tc>
          <w:tcPr>
            <w:tcW w:w="1134" w:type="dxa"/>
            <w:shd w:val="clear" w:color="auto" w:fill="auto"/>
            <w:vAlign w:val="center"/>
          </w:tcPr>
          <w:p w14:paraId="15555D42" w14:textId="323AC12F" w:rsidR="0054334C" w:rsidRPr="002C4584" w:rsidRDefault="00C529DF" w:rsidP="0054334C">
            <w:pPr>
              <w:widowControl w:val="0"/>
              <w:spacing w:after="0"/>
              <w:jc w:val="right"/>
              <w:rPr>
                <w:rFonts w:ascii="Arial" w:hAnsi="Arial" w:cs="Arial"/>
                <w:color w:val="000000" w:themeColor="text1"/>
                <w:sz w:val="18"/>
                <w:szCs w:val="18"/>
              </w:rPr>
            </w:pPr>
            <w:r>
              <w:rPr>
                <w:rFonts w:ascii="Arial" w:hAnsi="Arial"/>
                <w:color w:val="000000" w:themeColor="text1"/>
                <w:sz w:val="18"/>
                <w:szCs w:val="18"/>
              </w:rPr>
              <w:t>225</w:t>
            </w:r>
          </w:p>
        </w:tc>
      </w:tr>
      <w:tr w:rsidR="0054334C" w:rsidRPr="00F2414C" w14:paraId="7098D071" w14:textId="77777777" w:rsidTr="00CC438D">
        <w:trPr>
          <w:trHeight w:val="567"/>
        </w:trPr>
        <w:tc>
          <w:tcPr>
            <w:tcW w:w="2405" w:type="dxa"/>
            <w:shd w:val="clear" w:color="auto" w:fill="auto"/>
            <w:vAlign w:val="center"/>
          </w:tcPr>
          <w:p w14:paraId="751B976E" w14:textId="77777777" w:rsidR="0054334C" w:rsidRPr="002C4584" w:rsidRDefault="0054334C" w:rsidP="0054334C">
            <w:pPr>
              <w:widowControl w:val="0"/>
              <w:spacing w:after="0"/>
              <w:rPr>
                <w:rFonts w:ascii="Arial" w:hAnsi="Arial" w:cs="Arial"/>
                <w:color w:val="000000" w:themeColor="text1"/>
                <w:sz w:val="18"/>
                <w:szCs w:val="18"/>
              </w:rPr>
            </w:pPr>
            <w:r>
              <w:rPr>
                <w:rFonts w:ascii="Arial" w:hAnsi="Arial"/>
                <w:sz w:val="18"/>
                <w:szCs w:val="18"/>
              </w:rPr>
              <w:t>Landsberger Allee 52</w:t>
            </w:r>
          </w:p>
        </w:tc>
        <w:tc>
          <w:tcPr>
            <w:tcW w:w="1418" w:type="dxa"/>
            <w:shd w:val="clear" w:color="auto" w:fill="auto"/>
            <w:vAlign w:val="center"/>
          </w:tcPr>
          <w:p w14:paraId="3E8D5704" w14:textId="77777777" w:rsidR="0054334C" w:rsidRPr="002C4584" w:rsidRDefault="0054334C" w:rsidP="0054334C">
            <w:pPr>
              <w:widowControl w:val="0"/>
              <w:spacing w:after="0"/>
              <w:rPr>
                <w:rFonts w:ascii="Arial" w:hAnsi="Arial" w:cs="Arial"/>
                <w:color w:val="000000" w:themeColor="text1"/>
                <w:sz w:val="18"/>
                <w:szCs w:val="18"/>
              </w:rPr>
            </w:pPr>
            <w:r>
              <w:rPr>
                <w:rFonts w:ascii="Arial" w:hAnsi="Arial"/>
                <w:color w:val="000000" w:themeColor="text1"/>
                <w:sz w:val="18"/>
                <w:szCs w:val="18"/>
              </w:rPr>
              <w:t>Friedrichshain</w:t>
            </w:r>
          </w:p>
        </w:tc>
        <w:tc>
          <w:tcPr>
            <w:tcW w:w="1134" w:type="dxa"/>
            <w:shd w:val="clear" w:color="auto" w:fill="auto"/>
            <w:vAlign w:val="center"/>
          </w:tcPr>
          <w:p w14:paraId="4F4FF843" w14:textId="77777777" w:rsidR="0054334C" w:rsidRPr="002C4584" w:rsidRDefault="0054334C" w:rsidP="0054334C">
            <w:pPr>
              <w:widowControl w:val="0"/>
              <w:spacing w:after="0"/>
              <w:rPr>
                <w:rFonts w:ascii="Arial" w:hAnsi="Arial" w:cs="Arial"/>
                <w:color w:val="000000" w:themeColor="text1"/>
                <w:sz w:val="18"/>
                <w:szCs w:val="18"/>
              </w:rPr>
            </w:pPr>
            <w:r>
              <w:rPr>
                <w:rFonts w:ascii="Arial" w:hAnsi="Arial"/>
                <w:color w:val="000000" w:themeColor="text1"/>
                <w:sz w:val="18"/>
                <w:szCs w:val="18"/>
              </w:rPr>
              <w:t>Offices</w:t>
            </w:r>
          </w:p>
        </w:tc>
        <w:tc>
          <w:tcPr>
            <w:tcW w:w="1842" w:type="dxa"/>
            <w:shd w:val="clear" w:color="auto" w:fill="auto"/>
            <w:vAlign w:val="center"/>
          </w:tcPr>
          <w:p w14:paraId="49F40AF1" w14:textId="77777777" w:rsidR="0054334C" w:rsidRPr="002C4584" w:rsidRDefault="0054334C" w:rsidP="0054334C">
            <w:pPr>
              <w:widowControl w:val="0"/>
              <w:spacing w:after="0"/>
              <w:rPr>
                <w:rFonts w:ascii="Arial" w:hAnsi="Arial" w:cs="Arial"/>
                <w:sz w:val="18"/>
                <w:szCs w:val="18"/>
              </w:rPr>
            </w:pPr>
            <w:r>
              <w:rPr>
                <w:rFonts w:ascii="Arial" w:hAnsi="Arial"/>
                <w:sz w:val="18"/>
                <w:szCs w:val="18"/>
              </w:rPr>
              <w:t>Values</w:t>
            </w:r>
          </w:p>
        </w:tc>
        <w:tc>
          <w:tcPr>
            <w:tcW w:w="2221" w:type="dxa"/>
            <w:shd w:val="clear" w:color="auto" w:fill="auto"/>
            <w:vAlign w:val="center"/>
          </w:tcPr>
          <w:p w14:paraId="325488E8" w14:textId="77777777" w:rsidR="0054334C" w:rsidRPr="002C4584" w:rsidRDefault="0054334C" w:rsidP="0054334C">
            <w:pPr>
              <w:widowControl w:val="0"/>
              <w:spacing w:after="0"/>
              <w:rPr>
                <w:rFonts w:ascii="Arial" w:hAnsi="Arial" w:cs="Arial"/>
                <w:sz w:val="18"/>
                <w:szCs w:val="18"/>
              </w:rPr>
            </w:pPr>
            <w:r>
              <w:rPr>
                <w:rFonts w:ascii="Arial" w:hAnsi="Arial"/>
                <w:sz w:val="18"/>
                <w:szCs w:val="18"/>
              </w:rPr>
              <w:t>Centrum Grundstücksgesellschaft</w:t>
            </w:r>
          </w:p>
        </w:tc>
        <w:tc>
          <w:tcPr>
            <w:tcW w:w="1134" w:type="dxa"/>
            <w:shd w:val="clear" w:color="auto" w:fill="auto"/>
            <w:vAlign w:val="center"/>
          </w:tcPr>
          <w:p w14:paraId="7014FF73" w14:textId="77777777" w:rsidR="0054334C" w:rsidRPr="002C4584" w:rsidRDefault="0054334C" w:rsidP="0054334C">
            <w:pPr>
              <w:widowControl w:val="0"/>
              <w:spacing w:after="0"/>
              <w:jc w:val="right"/>
              <w:rPr>
                <w:rFonts w:ascii="Arial" w:hAnsi="Arial" w:cs="Arial"/>
                <w:color w:val="000000" w:themeColor="text1"/>
                <w:sz w:val="18"/>
                <w:szCs w:val="18"/>
              </w:rPr>
            </w:pPr>
            <w:r>
              <w:rPr>
                <w:rFonts w:ascii="Arial" w:hAnsi="Arial"/>
                <w:color w:val="000000" w:themeColor="text1"/>
                <w:sz w:val="18"/>
                <w:szCs w:val="18"/>
              </w:rPr>
              <w:t>200</w:t>
            </w:r>
          </w:p>
        </w:tc>
      </w:tr>
      <w:tr w:rsidR="0054334C" w:rsidRPr="00F2414C" w14:paraId="77A060C7" w14:textId="77777777" w:rsidTr="00CC438D">
        <w:trPr>
          <w:trHeight w:val="567"/>
        </w:trPr>
        <w:tc>
          <w:tcPr>
            <w:tcW w:w="2405" w:type="dxa"/>
            <w:shd w:val="clear" w:color="auto" w:fill="auto"/>
            <w:vAlign w:val="center"/>
          </w:tcPr>
          <w:p w14:paraId="31816E05" w14:textId="77777777" w:rsidR="0054334C" w:rsidRDefault="0054334C" w:rsidP="0054334C">
            <w:pPr>
              <w:widowControl w:val="0"/>
              <w:spacing w:after="0"/>
              <w:rPr>
                <w:rFonts w:ascii="Arial" w:hAnsi="Arial" w:cs="Arial"/>
                <w:color w:val="000000" w:themeColor="text1"/>
                <w:sz w:val="18"/>
                <w:szCs w:val="18"/>
              </w:rPr>
            </w:pPr>
            <w:r>
              <w:rPr>
                <w:rFonts w:ascii="Arial" w:hAnsi="Arial"/>
                <w:color w:val="000000" w:themeColor="text1"/>
                <w:sz w:val="18"/>
                <w:szCs w:val="18"/>
              </w:rPr>
              <w:t>“Alte Post”,</w:t>
            </w:r>
          </w:p>
          <w:p w14:paraId="4D66901B" w14:textId="77777777" w:rsidR="0054334C" w:rsidRDefault="0054334C" w:rsidP="0054334C">
            <w:pPr>
              <w:widowControl w:val="0"/>
              <w:spacing w:after="0"/>
              <w:rPr>
                <w:rFonts w:ascii="Arial" w:hAnsi="Arial" w:cs="Arial"/>
                <w:color w:val="000000" w:themeColor="text1"/>
                <w:sz w:val="18"/>
                <w:szCs w:val="18"/>
              </w:rPr>
            </w:pPr>
            <w:r>
              <w:rPr>
                <w:rFonts w:ascii="Arial" w:hAnsi="Arial"/>
                <w:color w:val="000000" w:themeColor="text1"/>
                <w:sz w:val="18"/>
                <w:szCs w:val="18"/>
              </w:rPr>
              <w:t>Karl-Marx-Strasse 97-99</w:t>
            </w:r>
          </w:p>
        </w:tc>
        <w:tc>
          <w:tcPr>
            <w:tcW w:w="1418" w:type="dxa"/>
            <w:shd w:val="clear" w:color="auto" w:fill="auto"/>
            <w:vAlign w:val="center"/>
          </w:tcPr>
          <w:p w14:paraId="72B330ED" w14:textId="77777777" w:rsidR="0054334C" w:rsidRDefault="0054334C" w:rsidP="0054334C">
            <w:pPr>
              <w:widowControl w:val="0"/>
              <w:spacing w:after="0"/>
              <w:rPr>
                <w:rFonts w:ascii="Arial" w:hAnsi="Arial" w:cs="Arial"/>
                <w:color w:val="000000" w:themeColor="text1"/>
                <w:sz w:val="18"/>
                <w:szCs w:val="18"/>
              </w:rPr>
            </w:pPr>
            <w:r>
              <w:rPr>
                <w:rFonts w:ascii="Arial" w:hAnsi="Arial"/>
                <w:color w:val="000000" w:themeColor="text1"/>
                <w:sz w:val="18"/>
                <w:szCs w:val="18"/>
              </w:rPr>
              <w:t>Periphery south</w:t>
            </w:r>
          </w:p>
        </w:tc>
        <w:tc>
          <w:tcPr>
            <w:tcW w:w="1134" w:type="dxa"/>
            <w:shd w:val="clear" w:color="auto" w:fill="auto"/>
            <w:vAlign w:val="center"/>
          </w:tcPr>
          <w:p w14:paraId="5F68DB1F" w14:textId="7FE81365" w:rsidR="0054334C" w:rsidRDefault="0054334C" w:rsidP="0054334C">
            <w:pPr>
              <w:widowControl w:val="0"/>
              <w:spacing w:after="0"/>
              <w:rPr>
                <w:rFonts w:ascii="Arial" w:hAnsi="Arial" w:cs="Arial"/>
                <w:color w:val="000000" w:themeColor="text1"/>
                <w:sz w:val="18"/>
                <w:szCs w:val="18"/>
              </w:rPr>
            </w:pPr>
            <w:r>
              <w:rPr>
                <w:rFonts w:ascii="Arial" w:hAnsi="Arial"/>
                <w:color w:val="000000" w:themeColor="text1"/>
                <w:sz w:val="18"/>
                <w:szCs w:val="18"/>
              </w:rPr>
              <w:t>Industry/</w:t>
            </w:r>
            <w:r w:rsidR="00041151">
              <w:rPr>
                <w:rFonts w:ascii="Arial" w:hAnsi="Arial"/>
                <w:color w:val="000000" w:themeColor="text1"/>
                <w:sz w:val="18"/>
                <w:szCs w:val="18"/>
              </w:rPr>
              <w:t xml:space="preserve"> </w:t>
            </w:r>
            <w:r>
              <w:rPr>
                <w:rFonts w:ascii="Arial" w:hAnsi="Arial"/>
                <w:color w:val="000000" w:themeColor="text1"/>
                <w:sz w:val="18"/>
                <w:szCs w:val="18"/>
              </w:rPr>
              <w:t>commerce</w:t>
            </w:r>
          </w:p>
        </w:tc>
        <w:tc>
          <w:tcPr>
            <w:tcW w:w="1842" w:type="dxa"/>
            <w:shd w:val="clear" w:color="auto" w:fill="auto"/>
            <w:vAlign w:val="center"/>
          </w:tcPr>
          <w:p w14:paraId="54AB2B2C" w14:textId="77777777" w:rsidR="0054334C" w:rsidRPr="00351DE2" w:rsidRDefault="0054334C" w:rsidP="0054334C">
            <w:pPr>
              <w:widowControl w:val="0"/>
              <w:spacing w:after="0"/>
              <w:rPr>
                <w:rFonts w:ascii="Arial" w:hAnsi="Arial" w:cs="Arial"/>
                <w:sz w:val="18"/>
                <w:szCs w:val="18"/>
              </w:rPr>
            </w:pPr>
            <w:r>
              <w:rPr>
                <w:rFonts w:ascii="Arial" w:hAnsi="Arial"/>
                <w:sz w:val="18"/>
                <w:szCs w:val="18"/>
              </w:rPr>
              <w:t>Ivanhoé Cambridge</w:t>
            </w:r>
          </w:p>
        </w:tc>
        <w:tc>
          <w:tcPr>
            <w:tcW w:w="2221" w:type="dxa"/>
            <w:shd w:val="clear" w:color="auto" w:fill="auto"/>
            <w:vAlign w:val="center"/>
          </w:tcPr>
          <w:p w14:paraId="45A41AF0" w14:textId="77777777" w:rsidR="0054334C" w:rsidRPr="00351DE2" w:rsidRDefault="0054334C" w:rsidP="0054334C">
            <w:pPr>
              <w:widowControl w:val="0"/>
              <w:spacing w:after="0"/>
              <w:rPr>
                <w:rFonts w:ascii="Arial" w:hAnsi="Arial" w:cs="Arial"/>
                <w:sz w:val="18"/>
                <w:szCs w:val="18"/>
              </w:rPr>
            </w:pPr>
            <w:r>
              <w:rPr>
                <w:rFonts w:ascii="Arial" w:hAnsi="Arial"/>
                <w:sz w:val="18"/>
                <w:szCs w:val="18"/>
              </w:rPr>
              <w:t>Commodus Real Estate</w:t>
            </w:r>
          </w:p>
        </w:tc>
        <w:tc>
          <w:tcPr>
            <w:tcW w:w="1134" w:type="dxa"/>
            <w:shd w:val="clear" w:color="auto" w:fill="auto"/>
            <w:vAlign w:val="center"/>
          </w:tcPr>
          <w:p w14:paraId="43AA4EDE" w14:textId="77777777" w:rsidR="0054334C" w:rsidRDefault="0054334C" w:rsidP="0054334C">
            <w:pPr>
              <w:widowControl w:val="0"/>
              <w:spacing w:after="0"/>
              <w:jc w:val="right"/>
              <w:rPr>
                <w:rFonts w:ascii="Arial" w:hAnsi="Arial" w:cs="Arial"/>
                <w:color w:val="000000" w:themeColor="text1"/>
                <w:sz w:val="18"/>
                <w:szCs w:val="18"/>
              </w:rPr>
            </w:pPr>
            <w:r>
              <w:rPr>
                <w:rFonts w:ascii="Arial" w:hAnsi="Arial"/>
                <w:color w:val="000000" w:themeColor="text1"/>
                <w:sz w:val="18"/>
                <w:szCs w:val="18"/>
              </w:rPr>
              <w:t>confidential</w:t>
            </w:r>
          </w:p>
        </w:tc>
      </w:tr>
    </w:tbl>
    <w:p w14:paraId="16439DC7" w14:textId="3C4CF709" w:rsidR="0054334C" w:rsidRDefault="0054334C" w:rsidP="0054334C">
      <w:pPr>
        <w:spacing w:after="0"/>
        <w:rPr>
          <w:rFonts w:ascii="Arial" w:eastAsia="Arial" w:hAnsi="Arial" w:cs="Arial"/>
          <w:color w:val="000000" w:themeColor="text1"/>
          <w:sz w:val="20"/>
          <w:szCs w:val="20"/>
        </w:rPr>
      </w:pPr>
      <w:r>
        <w:rPr>
          <w:rFonts w:ascii="Arial" w:hAnsi="Arial"/>
          <w:sz w:val="16"/>
          <w:szCs w:val="16"/>
        </w:rPr>
        <w:t>*The purchase prices stated are based on publicly available data, where none is available an estimate is made; transactions occurring in the quarter dealt with</w:t>
      </w:r>
      <w:r w:rsidR="00CC438D">
        <w:rPr>
          <w:rFonts w:ascii="Arial" w:hAnsi="Arial"/>
          <w:sz w:val="16"/>
          <w:szCs w:val="16"/>
        </w:rPr>
        <w:t xml:space="preserve"> in this report are shaded grey</w:t>
      </w:r>
    </w:p>
    <w:p w14:paraId="1D1DA908" w14:textId="77777777" w:rsidR="0054334C" w:rsidRDefault="0054334C" w:rsidP="004E7F0F">
      <w:pPr>
        <w:spacing w:after="0" w:line="360" w:lineRule="auto"/>
        <w:rPr>
          <w:rFonts w:ascii="Arial" w:eastAsia="Arial" w:hAnsi="Arial" w:cs="Arial"/>
          <w:color w:val="000000" w:themeColor="text1"/>
          <w:sz w:val="20"/>
          <w:szCs w:val="20"/>
        </w:rPr>
      </w:pPr>
    </w:p>
    <w:p w14:paraId="1F993A3D" w14:textId="155F85A6" w:rsidR="004E7F0F" w:rsidRPr="00A466D1" w:rsidRDefault="004E7F0F" w:rsidP="004E7F0F">
      <w:pPr>
        <w:spacing w:after="0" w:line="360" w:lineRule="auto"/>
        <w:rPr>
          <w:rFonts w:ascii="Arial" w:hAnsi="Arial" w:cs="Arial"/>
          <w:sz w:val="18"/>
          <w:szCs w:val="18"/>
        </w:rPr>
      </w:pPr>
      <w:r w:rsidRPr="00A466D1">
        <w:rPr>
          <w:rFonts w:ascii="Arial" w:hAnsi="Arial" w:cs="Arial"/>
          <w:color w:val="000000" w:themeColor="text1"/>
          <w:sz w:val="18"/>
          <w:szCs w:val="18"/>
        </w:rPr>
        <w:t xml:space="preserve">The complete </w:t>
      </w:r>
      <w:hyperlink r:id="rId9" w:history="1">
        <w:r w:rsidR="007A652D">
          <w:rPr>
            <w:rStyle w:val="Hyperlink"/>
            <w:rFonts w:ascii="Arial" w:hAnsi="Arial" w:cs="Arial"/>
            <w:sz w:val="18"/>
            <w:szCs w:val="18"/>
          </w:rPr>
          <w:t>investment</w:t>
        </w:r>
        <w:bookmarkStart w:id="0" w:name="_GoBack"/>
        <w:bookmarkEnd w:id="0"/>
        <w:r w:rsidRPr="00A466D1">
          <w:rPr>
            <w:rStyle w:val="Hyperlink"/>
            <w:rFonts w:ascii="Arial" w:hAnsi="Arial" w:cs="Arial"/>
            <w:sz w:val="18"/>
            <w:szCs w:val="18"/>
          </w:rPr>
          <w:t xml:space="preserve"> market survey Berlin</w:t>
        </w:r>
      </w:hyperlink>
      <w:r w:rsidRPr="00A466D1">
        <w:rPr>
          <w:rFonts w:ascii="Arial" w:hAnsi="Arial" w:cs="Arial"/>
          <w:color w:val="000000" w:themeColor="text1"/>
          <w:sz w:val="18"/>
          <w:szCs w:val="18"/>
        </w:rPr>
        <w:t xml:space="preserve"> will soon be available and can be downloaded from our website.</w:t>
      </w:r>
    </w:p>
    <w:p w14:paraId="545BF58C" w14:textId="77777777" w:rsidR="004E7F0F" w:rsidRDefault="004E7F0F" w:rsidP="004E7F0F">
      <w:pPr>
        <w:spacing w:after="0" w:line="360" w:lineRule="auto"/>
        <w:rPr>
          <w:rFonts w:ascii="Arial" w:hAnsi="Arial" w:cs="Arial"/>
          <w:b/>
          <w:sz w:val="16"/>
          <w:szCs w:val="16"/>
        </w:rPr>
      </w:pPr>
    </w:p>
    <w:p w14:paraId="716DD88D" w14:textId="77777777" w:rsidR="00CB00A5" w:rsidRPr="0090748B" w:rsidRDefault="00CB00A5" w:rsidP="00CB00A5">
      <w:pPr>
        <w:spacing w:after="0" w:line="360" w:lineRule="auto"/>
        <w:rPr>
          <w:rFonts w:ascii="Arial" w:hAnsi="Arial" w:cs="Arial"/>
          <w:b/>
          <w:sz w:val="16"/>
          <w:szCs w:val="16"/>
        </w:rPr>
      </w:pPr>
      <w:r>
        <w:rPr>
          <w:rFonts w:ascii="Arial" w:hAnsi="Arial"/>
          <w:b/>
          <w:sz w:val="16"/>
          <w:szCs w:val="16"/>
        </w:rPr>
        <w:t>About Grossmann &amp; Berger</w:t>
      </w:r>
    </w:p>
    <w:p w14:paraId="1E199D66" w14:textId="77777777" w:rsidR="00CB00A5" w:rsidRPr="004A6CA8" w:rsidRDefault="007A652D" w:rsidP="00CB00A5">
      <w:pPr>
        <w:spacing w:after="0" w:line="360" w:lineRule="auto"/>
        <w:rPr>
          <w:rFonts w:ascii="Arial" w:hAnsi="Arial" w:cs="Arial"/>
          <w:vanish/>
          <w:sz w:val="16"/>
          <w:szCs w:val="16"/>
          <w:specVanish/>
        </w:rPr>
      </w:pPr>
      <w:hyperlink r:id="rId10" w:history="1">
        <w:r w:rsidR="00CB00A5">
          <w:rPr>
            <w:rStyle w:val="Hyperlink"/>
            <w:rFonts w:ascii="Arial" w:hAnsi="Arial"/>
            <w:snapToGrid w:val="0"/>
            <w:sz w:val="16"/>
            <w:szCs w:val="16"/>
          </w:rPr>
          <w:t>Grossmann &amp; Berger GmbH</w:t>
        </w:r>
      </w:hyperlink>
      <w:r w:rsidR="00CB00A5">
        <w:rPr>
          <w:rFonts w:ascii="Arial" w:hAnsi="Arial"/>
          <w:snapToGrid w:val="0"/>
          <w:sz w:val="16"/>
          <w:szCs w:val="16"/>
        </w:rPr>
        <w:t xml:space="preserve"> is one of the leading service providers in the business of selling and letting commercial and residential properties in North Germany. In addition to its main office in Hamburg, the company has 20 local offices. This allows Grossmann &amp; Berger to cover the entire North German market. In May 2021 the company was augmented by </w:t>
      </w:r>
      <w:hyperlink r:id="rId11" w:history="1">
        <w:r w:rsidR="00CB00A5">
          <w:rPr>
            <w:rStyle w:val="Hyperlink"/>
            <w:rFonts w:ascii="Arial" w:hAnsi="Arial"/>
            <w:snapToGrid w:val="0"/>
            <w:sz w:val="16"/>
            <w:szCs w:val="16"/>
          </w:rPr>
          <w:t>E &amp; G Real Estate</w:t>
        </w:r>
      </w:hyperlink>
      <w:r w:rsidR="00CB00A5">
        <w:rPr>
          <w:rFonts w:ascii="Arial" w:hAnsi="Arial"/>
          <w:snapToGrid w:val="0"/>
          <w:sz w:val="16"/>
          <w:szCs w:val="16"/>
        </w:rPr>
        <w:t xml:space="preserve"> and</w:t>
      </w:r>
      <w:r w:rsidR="00CB00A5">
        <w:rPr>
          <w:rFonts w:ascii="Arial" w:hAnsi="Arial"/>
          <w:snapToGrid w:val="0"/>
          <w:sz w:val="16"/>
          <w:szCs w:val="16"/>
        </w:rPr>
        <w:br/>
      </w:r>
      <w:hyperlink r:id="rId12" w:history="1">
        <w:r w:rsidR="00CB00A5">
          <w:rPr>
            <w:rStyle w:val="Hyperlink"/>
            <w:rFonts w:ascii="Arial" w:hAnsi="Arial"/>
            <w:snapToGrid w:val="0"/>
            <w:sz w:val="16"/>
            <w:szCs w:val="16"/>
          </w:rPr>
          <w:t>E &amp; G Private Immobilien</w:t>
        </w:r>
      </w:hyperlink>
      <w:r w:rsidR="00CB00A5">
        <w:rPr>
          <w:rFonts w:ascii="Arial" w:hAnsi="Arial"/>
          <w:snapToGrid w:val="0"/>
          <w:sz w:val="16"/>
          <w:szCs w:val="16"/>
        </w:rPr>
        <w:t xml:space="preserve">, so that Grossmann &amp; Berger also operates in the two South German metropolitan areas of Stuttgart and Munich. Drawing on their comprehensive expertise in the real estate business, some 250 employees provide the full range of relevant services. They also benefit from the company’s more than 85 years standing in the industry. </w:t>
      </w:r>
      <w:r w:rsidR="00CB00A5">
        <w:rPr>
          <w:rFonts w:ascii="Arial" w:hAnsi="Arial"/>
          <w:sz w:val="16"/>
          <w:szCs w:val="16"/>
        </w:rPr>
        <w:t xml:space="preserve">Grossmann &amp; Berger belongs to the HASPA Group and is a founding member of the national commercial real estate network </w:t>
      </w:r>
      <w:hyperlink r:id="rId13" w:history="1">
        <w:r w:rsidR="00CB00A5">
          <w:rPr>
            <w:rStyle w:val="Hyperlink"/>
            <w:rFonts w:ascii="Arial" w:hAnsi="Arial"/>
            <w:sz w:val="16"/>
            <w:szCs w:val="16"/>
          </w:rPr>
          <w:t>German Property Partners</w:t>
        </w:r>
      </w:hyperlink>
      <w:r w:rsidR="00CB00A5">
        <w:rPr>
          <w:rFonts w:ascii="Arial" w:hAnsi="Arial"/>
          <w:sz w:val="16"/>
          <w:szCs w:val="16"/>
        </w:rPr>
        <w:t xml:space="preserve"> (GPP).</w:t>
      </w:r>
    </w:p>
    <w:p w14:paraId="57B8156A" w14:textId="77777777" w:rsidR="00CB00A5" w:rsidRPr="004A6CA8" w:rsidRDefault="00CB00A5" w:rsidP="00CB00A5">
      <w:pPr>
        <w:spacing w:after="0" w:line="360" w:lineRule="auto"/>
        <w:rPr>
          <w:rFonts w:ascii="Arial" w:hAnsi="Arial" w:cs="Arial"/>
          <w:sz w:val="16"/>
          <w:szCs w:val="16"/>
        </w:rPr>
      </w:pPr>
      <w:r>
        <w:rPr>
          <w:rFonts w:ascii="Arial" w:hAnsi="Arial"/>
          <w:sz w:val="16"/>
          <w:szCs w:val="16"/>
        </w:rPr>
        <w:t xml:space="preserve"> </w:t>
      </w:r>
    </w:p>
    <w:p w14:paraId="4C1A68A9" w14:textId="77777777" w:rsidR="00CB00A5" w:rsidRPr="00583E25" w:rsidRDefault="00CB00A5" w:rsidP="00CB00A5">
      <w:pPr>
        <w:spacing w:after="0" w:line="360" w:lineRule="auto"/>
        <w:rPr>
          <w:rFonts w:ascii="Arial" w:hAnsi="Arial" w:cs="Arial"/>
          <w:sz w:val="16"/>
          <w:szCs w:val="16"/>
        </w:rPr>
      </w:pPr>
    </w:p>
    <w:p w14:paraId="51C1AA4D" w14:textId="7E140211" w:rsidR="00046FEC" w:rsidRPr="00FD140F" w:rsidRDefault="00CB00A5" w:rsidP="00CB561C">
      <w:pPr>
        <w:spacing w:after="0" w:line="360" w:lineRule="auto"/>
        <w:rPr>
          <w:rFonts w:ascii="Arial" w:hAnsi="Arial" w:cs="Arial"/>
          <w:bCs/>
          <w:color w:val="000000" w:themeColor="text1"/>
          <w:sz w:val="20"/>
          <w:szCs w:val="20"/>
        </w:rPr>
      </w:pPr>
      <w:r>
        <w:rPr>
          <w:rFonts w:ascii="Arial" w:hAnsi="Arial"/>
          <w:sz w:val="16"/>
          <w:szCs w:val="16"/>
        </w:rPr>
        <w:t>Please consult our website for Grossmann &amp; Berger’s</w:t>
      </w:r>
      <w:hyperlink r:id="rId14" w:history="1">
        <w:r>
          <w:rPr>
            <w:rStyle w:val="Hyperlink"/>
            <w:rFonts w:ascii="Arial" w:hAnsi="Arial"/>
            <w:sz w:val="16"/>
            <w:szCs w:val="16"/>
          </w:rPr>
          <w:t xml:space="preserve"> data privacy policy.</w:t>
        </w:r>
      </w:hyperlink>
      <w:r>
        <w:rPr>
          <w:rFonts w:ascii="Arial" w:hAnsi="Arial"/>
          <w:sz w:val="16"/>
          <w:szCs w:val="16"/>
        </w:rPr>
        <w:t xml:space="preserve">  Here you will also be able to access our </w:t>
      </w:r>
      <w:hyperlink r:id="rId15" w:history="1">
        <w:r>
          <w:rPr>
            <w:rStyle w:val="Hyperlink"/>
            <w:rFonts w:ascii="Arial" w:hAnsi="Arial"/>
            <w:sz w:val="16"/>
            <w:szCs w:val="16"/>
          </w:rPr>
          <w:t xml:space="preserve"> press kit </w:t>
        </w:r>
      </w:hyperlink>
      <w:r>
        <w:rPr>
          <w:rFonts w:ascii="Arial" w:hAnsi="Arial"/>
          <w:sz w:val="16"/>
          <w:szCs w:val="16"/>
        </w:rPr>
        <w:t xml:space="preserve"> and the associated </w:t>
      </w:r>
      <w:hyperlink r:id="rId16" w:history="1">
        <w:r>
          <w:rPr>
            <w:rStyle w:val="Hyperlink"/>
            <w:rFonts w:ascii="Arial" w:hAnsi="Arial"/>
            <w:sz w:val="16"/>
            <w:szCs w:val="16"/>
          </w:rPr>
          <w:t>Terms of Use</w:t>
        </w:r>
      </w:hyperlink>
      <w:r>
        <w:rPr>
          <w:rFonts w:ascii="Arial" w:hAnsi="Arial"/>
          <w:sz w:val="16"/>
          <w:szCs w:val="16"/>
        </w:rPr>
        <w:t xml:space="preserve">. If in future you would prefer not to receive any more information from our press office, please e-mail us at </w:t>
      </w:r>
      <w:hyperlink r:id="rId17" w:history="1">
        <w:r>
          <w:rPr>
            <w:rStyle w:val="Hyperlink"/>
            <w:rFonts w:ascii="Arial" w:hAnsi="Arial"/>
            <w:sz w:val="16"/>
            <w:szCs w:val="16"/>
          </w:rPr>
          <w:t>presse@grossmann-berger.de</w:t>
        </w:r>
      </w:hyperlink>
      <w:r>
        <w:rPr>
          <w:rFonts w:ascii="Arial" w:hAnsi="Arial"/>
          <w:sz w:val="16"/>
          <w:szCs w:val="16"/>
        </w:rPr>
        <w:t xml:space="preserve"> quoting as reference "Abmeldung aus Presseverteiler” / “Unsubscribe from press mailing list”.</w:t>
      </w:r>
    </w:p>
    <w:sectPr w:rsidR="00046FEC" w:rsidRPr="00FD140F" w:rsidSect="00D83CB7">
      <w:headerReference w:type="default" r:id="rId18"/>
      <w:footerReference w:type="default" r:id="rId19"/>
      <w:headerReference w:type="first" r:id="rId20"/>
      <w:footerReference w:type="first" r:id="rId21"/>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906F8" w14:textId="77777777" w:rsidR="00701E5A" w:rsidRDefault="00701E5A">
      <w:r>
        <w:separator/>
      </w:r>
    </w:p>
  </w:endnote>
  <w:endnote w:type="continuationSeparator" w:id="0">
    <w:p w14:paraId="6FBF9D30" w14:textId="77777777" w:rsidR="00701E5A" w:rsidRDefault="0070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ark OT Light">
    <w:panose1 w:val="020B0504020201010104"/>
    <w:charset w:val="00"/>
    <w:family w:val="swiss"/>
    <w:notTrueType/>
    <w:pitch w:val="variable"/>
    <w:sig w:usb0="A00000EF" w:usb1="5000FCFB" w:usb2="00000000" w:usb3="00000000" w:csb0="00000001" w:csb1="00000000"/>
  </w:font>
  <w:font w:name="Mark OT">
    <w:panose1 w:val="020B0504020201010104"/>
    <w:charset w:val="00"/>
    <w:family w:val="swiss"/>
    <w:notTrueType/>
    <w:pitch w:val="variable"/>
    <w:sig w:usb0="A00000EF" w:usb1="5000FC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E402D" w14:textId="7A14304B"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Pr>
        <w:rFonts w:ascii="Arial" w:hAnsi="Arial"/>
        <w:b/>
        <w:bCs/>
        <w:color w:val="918F90"/>
        <w:sz w:val="18"/>
        <w:szCs w:val="18"/>
      </w:rPr>
      <w:t xml:space="preserve">Grossmann &amp; Berger GmbH </w:t>
    </w:r>
    <w:r>
      <w:rPr>
        <w:rFonts w:ascii="Arial" w:hAnsi="Arial"/>
        <w:color w:val="918F90"/>
        <w:sz w:val="18"/>
        <w:szCs w:val="18"/>
      </w:rPr>
      <w:t>| Bleichenbrücke 9 | 20354 Hamburg | Tel. +49 (0)40/350 80 2-0 | www.grossmann-berger.de</w:t>
    </w:r>
  </w:p>
  <w:p w14:paraId="5440A7EF" w14:textId="653B64F9"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7A652D">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7A652D">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709B1" w14:textId="77777777" w:rsidR="008C608D" w:rsidRDefault="008C608D">
    <w:pPr>
      <w:pStyle w:val="Fuzeile"/>
    </w:pPr>
    <w:r>
      <w:rPr>
        <w:noProof/>
        <w:lang w:val="de-DE" w:eastAsia="de-DE"/>
      </w:rPr>
      <w:drawing>
        <wp:anchor distT="0" distB="0" distL="0" distR="0" simplePos="0" relativeHeight="251659264" behindDoc="0" locked="0" layoutInCell="0" allowOverlap="1" wp14:anchorId="3C8AE65D" wp14:editId="37B4444B">
          <wp:simplePos x="0" y="0"/>
          <wp:positionH relativeFrom="column">
            <wp:posOffset>-617220</wp:posOffset>
          </wp:positionH>
          <wp:positionV relativeFrom="page">
            <wp:posOffset>9429750</wp:posOffset>
          </wp:positionV>
          <wp:extent cx="7346950" cy="1197610"/>
          <wp:effectExtent l="0" t="0" r="6350" b="2540"/>
          <wp:wrapThrough wrapText="bothSides">
            <wp:wrapPolygon edited="0">
              <wp:start x="19322" y="0"/>
              <wp:lineTo x="19322" y="5497"/>
              <wp:lineTo x="0" y="5841"/>
              <wp:lineTo x="0" y="21302"/>
              <wp:lineTo x="21563" y="21302"/>
              <wp:lineTo x="21563" y="5841"/>
              <wp:lineTo x="20723" y="5497"/>
              <wp:lineTo x="20723" y="0"/>
              <wp:lineTo x="19322"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97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8B159" w14:textId="77777777" w:rsidR="00701E5A" w:rsidRDefault="00701E5A">
      <w:r>
        <w:separator/>
      </w:r>
    </w:p>
  </w:footnote>
  <w:footnote w:type="continuationSeparator" w:id="0">
    <w:p w14:paraId="7D3E7FA9" w14:textId="77777777" w:rsidR="00701E5A" w:rsidRDefault="00701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A270" w14:textId="1353DA7E" w:rsidR="006138CB" w:rsidRPr="009E3ADA" w:rsidRDefault="003E27B4" w:rsidP="006138CB">
    <w:pPr>
      <w:jc w:val="right"/>
      <w:rPr>
        <w:rFonts w:ascii="Arial" w:hAnsi="Arial" w:cs="Arial"/>
        <w:color w:val="918F90"/>
        <w:sz w:val="28"/>
        <w:szCs w:val="28"/>
      </w:rPr>
    </w:pPr>
    <w:r>
      <w:rPr>
        <w:rFonts w:ascii="Times New Roman" w:hAnsi="Times New Roman"/>
        <w:noProof/>
        <w:lang w:val="de-DE" w:eastAsia="de-DE"/>
      </w:rPr>
      <mc:AlternateContent>
        <mc:Choice Requires="wps">
          <w:drawing>
            <wp:anchor distT="0" distB="0" distL="114300" distR="114300" simplePos="0" relativeHeight="251667456" behindDoc="0" locked="0" layoutInCell="1" allowOverlap="1" wp14:anchorId="12F1C8E7" wp14:editId="1C633746">
              <wp:simplePos x="0" y="0"/>
              <wp:positionH relativeFrom="margin">
                <wp:posOffset>-74930</wp:posOffset>
              </wp:positionH>
              <wp:positionV relativeFrom="paragraph">
                <wp:posOffset>30585</wp:posOffset>
              </wp:positionV>
              <wp:extent cx="4779010" cy="281940"/>
              <wp:effectExtent l="0" t="0" r="0" b="381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281940"/>
                      </a:xfrm>
                      <a:prstGeom prst="rect">
                        <a:avLst/>
                      </a:prstGeom>
                      <a:noFill/>
                      <a:ln w="9525">
                        <a:noFill/>
                        <a:miter lim="800000"/>
                        <a:headEnd/>
                        <a:tailEnd/>
                      </a:ln>
                    </wps:spPr>
                    <wps:txbx>
                      <w:txbxContent>
                        <w:p w14:paraId="49DF3728" w14:textId="30E3C749" w:rsidR="003E27B4" w:rsidRDefault="003E27B4" w:rsidP="003E27B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F1C8E7" id="_x0000_t202" coordsize="21600,21600" o:spt="202" path="m,l,21600r21600,l21600,xe">
              <v:stroke joinstyle="miter"/>
              <v:path gradientshapeok="t" o:connecttype="rect"/>
            </v:shapetype>
            <v:shape id="Textfeld 1" o:spid="_x0000_s1026" type="#_x0000_t202" style="position:absolute;left:0;text-align:left;margin-left:-5.9pt;margin-top:2.4pt;width:376.3pt;height:22.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AZCwIAAPIDAAAOAAAAZHJzL2Uyb0RvYy54bWysU9tu2zAMfR+wfxD0vtgJkiUx4hRduw4D&#10;ugvQ7gMUXWJhkqhJSuzs60fJaRZsb8P8IIgmechzSG1uBmvIUYaowbV0OqkpkY6D0G7f0m/PD29W&#10;lMTEnGAGnGzpSUZ6s339atP7Rs6gAyNkIAjiYtP7lnYp+aaqIu+kZXECXjp0KgiWJTTDvhKB9Yhu&#10;TTWr67dVD0H4AFzGiH/vRyfdFnylJE9flIoyEdNS7C2VM5Rzl89qu2HNPjDfaX5ug/1DF5Zph0Uv&#10;UPcsMXII+i8oq3mACCpNONgKlNJcFg7IZlr/weapY14WLihO9BeZ4v+D5Z+PXwPRAmdHiWMWR/Qs&#10;h6SkEWSa1el9bDDoyWNYGt7BkCMz0+gfgX+PxMFdx9xe3oYAfSeZwO5KZnWVOuLEDLLrP4HAMuyQ&#10;oAANKtgMiGIQRMcpnS6TwVYIx5/z5XKN+lDC0TdbTdfzMrqKNS/ZPsT0QYIl+dLSgJMv6Oz4GBPy&#10;wNCXkFzMwYM2pkzfONK3dL2YLUrClcfqhMtptG3pqs7fuC6Z5HsnSnJi2ox3LGAc1smsM9GRchp2&#10;w1nFHYgT8g8wLiE+Grx0EH5S0uMCtjT+OLAgKTEfHWq4ns6RJEnFmC+WMzTCtWd37WGOI1RLEyXj&#10;9S6VLR+53qLWShcZcntjJ+decbGKOudHkDf32i5Rv5/q9hcAAAD//wMAUEsDBBQABgAIAAAAIQCI&#10;y8W43AAAAAgBAAAPAAAAZHJzL2Rvd25yZXYueG1sTI9LT8MwEITvSPwHa5G4tXaq8GiIUyEQVxDl&#10;IXHbxtskIl5HsduEf89yoqfd0axmvyk3s+/VkcbYBbaQLQ0o4jq4jhsL729Pi1tQMSE77AOThR+K&#10;sKnOz0osXJj4lY7b1CgJ4VighTalodA61i15jMswEIu3D6PHJHJstBtxknDf65Ux19pjx/KhxYEe&#10;Wqq/twdv4eN5//WZm5fm0V8NU5iNZr/W1l5ezPd3oBLN6f8Y/vAFHSph2oUDu6h6C4ssE/RkIZch&#10;/k1uZNmJXq9AV6U+LVD9AgAA//8DAFBLAQItABQABgAIAAAAIQC2gziS/gAAAOEBAAATAAAAAAAA&#10;AAAAAAAAAAAAAABbQ29udGVudF9UeXBlc10ueG1sUEsBAi0AFAAGAAgAAAAhADj9If/WAAAAlAEA&#10;AAsAAAAAAAAAAAAAAAAALwEAAF9yZWxzLy5yZWxzUEsBAi0AFAAGAAgAAAAhAJwekBkLAgAA8gMA&#10;AA4AAAAAAAAAAAAAAAAALgIAAGRycy9lMm9Eb2MueG1sUEsBAi0AFAAGAAgAAAAhAIjLxbjcAAAA&#10;CAEAAA8AAAAAAAAAAAAAAAAAZQQAAGRycy9kb3ducmV2LnhtbFBLBQYAAAAABAAEAPMAAABuBQAA&#10;AAA=&#10;" filled="f" stroked="f">
              <v:textbox>
                <w:txbxContent>
                  <w:p w14:paraId="49DF3728" w14:textId="30E3C749" w:rsidR="003E27B4" w:rsidRDefault="003E27B4" w:rsidP="003E27B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v:textbox>
              <w10:wrap anchorx="margin"/>
            </v:shape>
          </w:pict>
        </mc:Fallback>
      </mc:AlternateContent>
    </w:r>
    <w:r>
      <w:rPr>
        <w:rFonts w:ascii="Arial" w:hAnsi="Arial"/>
        <w:color w:val="918F90"/>
        <w:sz w:val="28"/>
        <w:szCs w:val="28"/>
      </w:rPr>
      <w:t>Press release</w:t>
    </w:r>
  </w:p>
  <w:p w14:paraId="25B9848C"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58FA" w14:textId="61381213" w:rsidR="00D83CB7" w:rsidRDefault="00CE7D16" w:rsidP="000C770D">
    <w:pPr>
      <w:jc w:val="right"/>
      <w:rPr>
        <w:rFonts w:ascii="Arial" w:hAnsi="Arial" w:cs="Arial"/>
        <w:color w:val="918F90"/>
        <w:sz w:val="28"/>
        <w:szCs w:val="28"/>
      </w:rPr>
    </w:pPr>
    <w:r>
      <w:rPr>
        <w:rFonts w:ascii="Times New Roman" w:hAnsi="Times New Roman"/>
        <w:noProof/>
        <w:lang w:val="de-DE" w:eastAsia="de-DE"/>
      </w:rPr>
      <mc:AlternateContent>
        <mc:Choice Requires="wps">
          <w:drawing>
            <wp:anchor distT="0" distB="0" distL="114300" distR="114300" simplePos="0" relativeHeight="251665408" behindDoc="0" locked="0" layoutInCell="1" allowOverlap="1" wp14:anchorId="452EA495" wp14:editId="1097FE5F">
              <wp:simplePos x="0" y="0"/>
              <wp:positionH relativeFrom="margin">
                <wp:posOffset>-75035</wp:posOffset>
              </wp:positionH>
              <wp:positionV relativeFrom="paragraph">
                <wp:posOffset>25400</wp:posOffset>
              </wp:positionV>
              <wp:extent cx="4779010" cy="281940"/>
              <wp:effectExtent l="0" t="0" r="0" b="381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281940"/>
                      </a:xfrm>
                      <a:prstGeom prst="rect">
                        <a:avLst/>
                      </a:prstGeom>
                      <a:noFill/>
                      <a:ln w="9525">
                        <a:noFill/>
                        <a:miter lim="800000"/>
                        <a:headEnd/>
                        <a:tailEnd/>
                      </a:ln>
                    </wps:spPr>
                    <wps:txbx>
                      <w:txbxContent>
                        <w:p w14:paraId="296CAEDD" w14:textId="55D10CED" w:rsidR="00CE7D16" w:rsidRDefault="00CE7D16" w:rsidP="00CE7D16">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2EA495" id="_x0000_t202" coordsize="21600,21600" o:spt="202" path="m,l,21600r21600,l21600,xe">
              <v:stroke joinstyle="miter"/>
              <v:path gradientshapeok="t" o:connecttype="rect"/>
            </v:shapetype>
            <v:shape id="Textfeld 3" o:spid="_x0000_s1027" type="#_x0000_t202" style="position:absolute;left:0;text-align:left;margin-left:-5.9pt;margin-top:2pt;width:376.3pt;height:2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G/3DgIAAPkDAAAOAAAAZHJzL2Uyb0RvYy54bWysU9tu2zAMfR+wfxD0vjhJkyUx4hRduw4D&#10;ugvQ7gMUXWJhkqhJSuzs60vJaRpsb8P8IIgmechzSK2ve2vIQYaowTV0MhpTIh0Hod2uoT+e7t8t&#10;KYmJOcEMONnQo4z0evP2zbrztZxCC0bIQBDExbrzDW1T8nVVRd5Ky+IIvHToVBAsS2iGXSUC6xDd&#10;mmo6Hr+vOgjCB+AyRvx7NzjppuArJXn6plSUiZiGYm+pnKGc23xWmzWrd4H5VvNTG+wfurBMOyx6&#10;hrpjiZF90H9BWc0DRFBpxMFWoJTmsnBANpPxH2weW+Zl4YLiRH+WKf4/WP718D0QLRp6RYljFkf0&#10;JPukpBHkKqvT+Vhj0KPHsNR/gB6nXJhG/wD8ZyQOblvmdvImBOhayQR2N8mZ1UXqgBMzyLb7AgLL&#10;sH2CAtSrYLN0KAZBdJzS8TwZbIVw/DlbLFaoDyUcfdPlZDUro6tY/ZLtQ0yfJFiSLw0NOPmCzg4P&#10;MeVuWP0Skos5uNfGlOkbR7qGrubTeUm48FidcDmNtg1djvM3rEsm+dGJkpyYNsMdCxh3Yp2JDpRT&#10;v+2LvEWSrMgWxBFlCDDsIr4dvLQQflPS4R42NP7asyApMZ8dSrmazJArScWYzRdTNMKlZ3vpYY4j&#10;VEMTJcP1NpVlHyjfoORKFzVeOzm1jPtVRDq9hbzAl3aJen2xm2cAAAD//wMAUEsDBBQABgAIAAAA&#10;IQDzSt4w2wAAAAgBAAAPAAAAZHJzL2Rvd25yZXYueG1sTI/LTsMwEEX3SPyDNUjs2nFQgDbEqRCI&#10;LYjykLpz42kSEY+j2G3C3zOsYHl0R3fOLTez79WJxtgFNpAtNSjiOriOGwPvb0+LFaiYLDvbByYD&#10;3xRhU52flbZwYeJXOm1To6SEY2ENtCkNBWKsW/I2LsNALNkhjN4mwbFBN9pJyn2PV1rfoLcdy4fW&#10;DvTQUv21PXoDH8+H3WeuX5pHfz1MYdbIfo3GXF7M93egEs3p7xh+9UUdKnHahyO7qHoDiywT9WQg&#10;l0mS3+ZaeC+8ygGrEv8PqH4AAAD//wMAUEsBAi0AFAAGAAgAAAAhALaDOJL+AAAA4QEAABMAAAAA&#10;AAAAAAAAAAAAAAAAAFtDb250ZW50X1R5cGVzXS54bWxQSwECLQAUAAYACAAAACEAOP0h/9YAAACU&#10;AQAACwAAAAAAAAAAAAAAAAAvAQAAX3JlbHMvLnJlbHNQSwECLQAUAAYACAAAACEAtIhv9w4CAAD5&#10;AwAADgAAAAAAAAAAAAAAAAAuAgAAZHJzL2Uyb0RvYy54bWxQSwECLQAUAAYACAAAACEA80reMNsA&#10;AAAIAQAADwAAAAAAAAAAAAAAAABoBAAAZHJzL2Rvd25yZXYueG1sUEsFBgAAAAAEAAQA8wAAAHAF&#10;AAAAAA==&#10;" filled="f" stroked="f">
              <v:textbox>
                <w:txbxContent>
                  <w:p w14:paraId="296CAEDD" w14:textId="55D10CED" w:rsidR="00CE7D16" w:rsidRDefault="00CE7D16" w:rsidP="00CE7D16">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v:textbox>
              <w10:wrap anchorx="margin"/>
            </v:shape>
          </w:pict>
        </mc:Fallback>
      </mc:AlternateContent>
    </w:r>
    <w:r>
      <w:rPr>
        <w:rFonts w:ascii="Arial" w:hAnsi="Arial"/>
        <w:color w:val="918F90"/>
        <w:sz w:val="28"/>
        <w:szCs w:val="28"/>
      </w:rPr>
      <w:t>Press release</w:t>
    </w:r>
  </w:p>
  <w:p w14:paraId="47ED31F5"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F305C1"/>
    <w:multiLevelType w:val="hybridMultilevel"/>
    <w:tmpl w:val="BD4E0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8A2E2B"/>
    <w:multiLevelType w:val="hybridMultilevel"/>
    <w:tmpl w:val="8C66C3F0"/>
    <w:lvl w:ilvl="0" w:tplc="B84AA822">
      <w:start w:val="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296C5D"/>
    <w:multiLevelType w:val="hybridMultilevel"/>
    <w:tmpl w:val="0FA2F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5"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6"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FFF56F7"/>
    <w:multiLevelType w:val="hybridMultilevel"/>
    <w:tmpl w:val="F8825B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8"/>
  </w:num>
  <w:num w:numId="14">
    <w:abstractNumId w:val="15"/>
  </w:num>
  <w:num w:numId="15">
    <w:abstractNumId w:val="16"/>
  </w:num>
  <w:num w:numId="16">
    <w:abstractNumId w:val="11"/>
  </w:num>
  <w:num w:numId="17">
    <w:abstractNumId w:val="13"/>
  </w:num>
  <w:num w:numId="18">
    <w:abstractNumId w:val="17"/>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00AEB"/>
    <w:rsid w:val="0000392D"/>
    <w:rsid w:val="000159FE"/>
    <w:rsid w:val="00022F16"/>
    <w:rsid w:val="00023D78"/>
    <w:rsid w:val="00027644"/>
    <w:rsid w:val="0003075C"/>
    <w:rsid w:val="00034842"/>
    <w:rsid w:val="00041151"/>
    <w:rsid w:val="000418C7"/>
    <w:rsid w:val="00046FEC"/>
    <w:rsid w:val="00060743"/>
    <w:rsid w:val="000615E2"/>
    <w:rsid w:val="000623C0"/>
    <w:rsid w:val="00064A03"/>
    <w:rsid w:val="00064CAC"/>
    <w:rsid w:val="00066796"/>
    <w:rsid w:val="0006773E"/>
    <w:rsid w:val="00075002"/>
    <w:rsid w:val="000766D7"/>
    <w:rsid w:val="0007670A"/>
    <w:rsid w:val="00080F27"/>
    <w:rsid w:val="00081461"/>
    <w:rsid w:val="000834E2"/>
    <w:rsid w:val="00087A17"/>
    <w:rsid w:val="000A4113"/>
    <w:rsid w:val="000A517C"/>
    <w:rsid w:val="000A5ED1"/>
    <w:rsid w:val="000A6AE3"/>
    <w:rsid w:val="000A72C3"/>
    <w:rsid w:val="000B0335"/>
    <w:rsid w:val="000B1606"/>
    <w:rsid w:val="000B3315"/>
    <w:rsid w:val="000B3A6C"/>
    <w:rsid w:val="000B7D28"/>
    <w:rsid w:val="000C3A7A"/>
    <w:rsid w:val="000C74B2"/>
    <w:rsid w:val="000C770D"/>
    <w:rsid w:val="000D48D4"/>
    <w:rsid w:val="000D7F9A"/>
    <w:rsid w:val="000E03F3"/>
    <w:rsid w:val="000E49CB"/>
    <w:rsid w:val="000E7BC7"/>
    <w:rsid w:val="000F5742"/>
    <w:rsid w:val="0010158E"/>
    <w:rsid w:val="001029C4"/>
    <w:rsid w:val="00111400"/>
    <w:rsid w:val="0011486D"/>
    <w:rsid w:val="00114D2A"/>
    <w:rsid w:val="00117D5D"/>
    <w:rsid w:val="00117EF7"/>
    <w:rsid w:val="00121E33"/>
    <w:rsid w:val="00126550"/>
    <w:rsid w:val="00127DF7"/>
    <w:rsid w:val="001324D6"/>
    <w:rsid w:val="00132522"/>
    <w:rsid w:val="00135BD2"/>
    <w:rsid w:val="00135E09"/>
    <w:rsid w:val="00143320"/>
    <w:rsid w:val="00154825"/>
    <w:rsid w:val="001548AF"/>
    <w:rsid w:val="0017364E"/>
    <w:rsid w:val="0017516B"/>
    <w:rsid w:val="00176F1D"/>
    <w:rsid w:val="0018068D"/>
    <w:rsid w:val="00180801"/>
    <w:rsid w:val="001871BC"/>
    <w:rsid w:val="001A2ABE"/>
    <w:rsid w:val="001A360C"/>
    <w:rsid w:val="001B577C"/>
    <w:rsid w:val="001B7F04"/>
    <w:rsid w:val="001C0A59"/>
    <w:rsid w:val="001D0F68"/>
    <w:rsid w:val="001D14DA"/>
    <w:rsid w:val="001D43BB"/>
    <w:rsid w:val="001D645F"/>
    <w:rsid w:val="001D64B8"/>
    <w:rsid w:val="001E1172"/>
    <w:rsid w:val="001E6995"/>
    <w:rsid w:val="001F1513"/>
    <w:rsid w:val="001F1ECE"/>
    <w:rsid w:val="001F3C3A"/>
    <w:rsid w:val="0020062D"/>
    <w:rsid w:val="00201E4A"/>
    <w:rsid w:val="00205769"/>
    <w:rsid w:val="00212FEC"/>
    <w:rsid w:val="002131BB"/>
    <w:rsid w:val="00213F07"/>
    <w:rsid w:val="00214952"/>
    <w:rsid w:val="00217C46"/>
    <w:rsid w:val="0022086D"/>
    <w:rsid w:val="00227E31"/>
    <w:rsid w:val="00230F81"/>
    <w:rsid w:val="002341EE"/>
    <w:rsid w:val="002353AA"/>
    <w:rsid w:val="00237341"/>
    <w:rsid w:val="00241526"/>
    <w:rsid w:val="00242D24"/>
    <w:rsid w:val="002462B6"/>
    <w:rsid w:val="00251FC5"/>
    <w:rsid w:val="00252F40"/>
    <w:rsid w:val="00253412"/>
    <w:rsid w:val="00254C6F"/>
    <w:rsid w:val="002550BA"/>
    <w:rsid w:val="00255679"/>
    <w:rsid w:val="0027266B"/>
    <w:rsid w:val="00274734"/>
    <w:rsid w:val="00277361"/>
    <w:rsid w:val="00281E80"/>
    <w:rsid w:val="002834B0"/>
    <w:rsid w:val="00283671"/>
    <w:rsid w:val="00284A5D"/>
    <w:rsid w:val="00284E27"/>
    <w:rsid w:val="00294B7D"/>
    <w:rsid w:val="002A1973"/>
    <w:rsid w:val="002A59CD"/>
    <w:rsid w:val="002B14F6"/>
    <w:rsid w:val="002B7C7F"/>
    <w:rsid w:val="002C055A"/>
    <w:rsid w:val="002C2392"/>
    <w:rsid w:val="002C4421"/>
    <w:rsid w:val="002C450A"/>
    <w:rsid w:val="002C4584"/>
    <w:rsid w:val="002D19FA"/>
    <w:rsid w:val="002D1C5C"/>
    <w:rsid w:val="002D1E20"/>
    <w:rsid w:val="002E2A92"/>
    <w:rsid w:val="002E6860"/>
    <w:rsid w:val="002F0411"/>
    <w:rsid w:val="002F767E"/>
    <w:rsid w:val="00301F3A"/>
    <w:rsid w:val="003044F7"/>
    <w:rsid w:val="00304D7A"/>
    <w:rsid w:val="00305A36"/>
    <w:rsid w:val="003079E3"/>
    <w:rsid w:val="00313876"/>
    <w:rsid w:val="003246F0"/>
    <w:rsid w:val="00325E2A"/>
    <w:rsid w:val="00326066"/>
    <w:rsid w:val="00326349"/>
    <w:rsid w:val="003272F3"/>
    <w:rsid w:val="003372CA"/>
    <w:rsid w:val="0034064A"/>
    <w:rsid w:val="00345716"/>
    <w:rsid w:val="00346814"/>
    <w:rsid w:val="0034786C"/>
    <w:rsid w:val="00347A18"/>
    <w:rsid w:val="00350D85"/>
    <w:rsid w:val="00351477"/>
    <w:rsid w:val="003517C9"/>
    <w:rsid w:val="00351DCD"/>
    <w:rsid w:val="00351DE2"/>
    <w:rsid w:val="0035408E"/>
    <w:rsid w:val="00357EC4"/>
    <w:rsid w:val="00360D71"/>
    <w:rsid w:val="003627E1"/>
    <w:rsid w:val="00365AF8"/>
    <w:rsid w:val="00370000"/>
    <w:rsid w:val="00373507"/>
    <w:rsid w:val="0038230E"/>
    <w:rsid w:val="00382529"/>
    <w:rsid w:val="0038350F"/>
    <w:rsid w:val="00396CE0"/>
    <w:rsid w:val="003A00C9"/>
    <w:rsid w:val="003A25A4"/>
    <w:rsid w:val="003B19F4"/>
    <w:rsid w:val="003B49E4"/>
    <w:rsid w:val="003B4CCF"/>
    <w:rsid w:val="003B6CD4"/>
    <w:rsid w:val="003C1693"/>
    <w:rsid w:val="003C5218"/>
    <w:rsid w:val="003C6AB4"/>
    <w:rsid w:val="003E099F"/>
    <w:rsid w:val="003E27B4"/>
    <w:rsid w:val="003E4DF9"/>
    <w:rsid w:val="003F1A91"/>
    <w:rsid w:val="003F4D62"/>
    <w:rsid w:val="003F665D"/>
    <w:rsid w:val="003F7E7E"/>
    <w:rsid w:val="0040086D"/>
    <w:rsid w:val="004017D8"/>
    <w:rsid w:val="00405D59"/>
    <w:rsid w:val="00411E03"/>
    <w:rsid w:val="004123B1"/>
    <w:rsid w:val="00417F4D"/>
    <w:rsid w:val="00424033"/>
    <w:rsid w:val="004269AC"/>
    <w:rsid w:val="00426E13"/>
    <w:rsid w:val="004303A1"/>
    <w:rsid w:val="00440DC9"/>
    <w:rsid w:val="004450C4"/>
    <w:rsid w:val="00445DF9"/>
    <w:rsid w:val="004506D2"/>
    <w:rsid w:val="00456F40"/>
    <w:rsid w:val="004609BD"/>
    <w:rsid w:val="004661EE"/>
    <w:rsid w:val="00466741"/>
    <w:rsid w:val="00470064"/>
    <w:rsid w:val="0047198B"/>
    <w:rsid w:val="004818CE"/>
    <w:rsid w:val="00484D17"/>
    <w:rsid w:val="004966E3"/>
    <w:rsid w:val="004A2BEA"/>
    <w:rsid w:val="004A3C64"/>
    <w:rsid w:val="004A5AEA"/>
    <w:rsid w:val="004B2694"/>
    <w:rsid w:val="004B2FDA"/>
    <w:rsid w:val="004B480A"/>
    <w:rsid w:val="004B5A6D"/>
    <w:rsid w:val="004C0CA2"/>
    <w:rsid w:val="004D50C0"/>
    <w:rsid w:val="004D772A"/>
    <w:rsid w:val="004E339B"/>
    <w:rsid w:val="004E4273"/>
    <w:rsid w:val="004E4562"/>
    <w:rsid w:val="004E7F0F"/>
    <w:rsid w:val="004F077F"/>
    <w:rsid w:val="004F78B4"/>
    <w:rsid w:val="005023DD"/>
    <w:rsid w:val="00503D8C"/>
    <w:rsid w:val="00511179"/>
    <w:rsid w:val="0051170E"/>
    <w:rsid w:val="00511F14"/>
    <w:rsid w:val="00512BAE"/>
    <w:rsid w:val="0051485A"/>
    <w:rsid w:val="005148A7"/>
    <w:rsid w:val="00522B84"/>
    <w:rsid w:val="00527C3F"/>
    <w:rsid w:val="00531A7F"/>
    <w:rsid w:val="00534BAD"/>
    <w:rsid w:val="005360E8"/>
    <w:rsid w:val="005412D0"/>
    <w:rsid w:val="005428C5"/>
    <w:rsid w:val="0054334C"/>
    <w:rsid w:val="00543C55"/>
    <w:rsid w:val="0054412E"/>
    <w:rsid w:val="0055393B"/>
    <w:rsid w:val="005554C7"/>
    <w:rsid w:val="00556F58"/>
    <w:rsid w:val="0055704F"/>
    <w:rsid w:val="00564EDE"/>
    <w:rsid w:val="00567D57"/>
    <w:rsid w:val="005703C3"/>
    <w:rsid w:val="00571004"/>
    <w:rsid w:val="0057685F"/>
    <w:rsid w:val="00577B63"/>
    <w:rsid w:val="00581A6D"/>
    <w:rsid w:val="00582B99"/>
    <w:rsid w:val="00590903"/>
    <w:rsid w:val="005A617A"/>
    <w:rsid w:val="005B0FC9"/>
    <w:rsid w:val="005B24B2"/>
    <w:rsid w:val="005B2D0D"/>
    <w:rsid w:val="005B66D3"/>
    <w:rsid w:val="005B7D91"/>
    <w:rsid w:val="005C422A"/>
    <w:rsid w:val="005C4556"/>
    <w:rsid w:val="005C5302"/>
    <w:rsid w:val="005D0395"/>
    <w:rsid w:val="005D307B"/>
    <w:rsid w:val="005E362E"/>
    <w:rsid w:val="005E43B3"/>
    <w:rsid w:val="005E47AA"/>
    <w:rsid w:val="005F2195"/>
    <w:rsid w:val="005F69D4"/>
    <w:rsid w:val="005F7593"/>
    <w:rsid w:val="006029D7"/>
    <w:rsid w:val="00606BFF"/>
    <w:rsid w:val="00606E35"/>
    <w:rsid w:val="0061109D"/>
    <w:rsid w:val="0061138B"/>
    <w:rsid w:val="00612AA0"/>
    <w:rsid w:val="006138CB"/>
    <w:rsid w:val="006142A4"/>
    <w:rsid w:val="0062200D"/>
    <w:rsid w:val="006224C4"/>
    <w:rsid w:val="006225EA"/>
    <w:rsid w:val="006261DF"/>
    <w:rsid w:val="00631936"/>
    <w:rsid w:val="006321DC"/>
    <w:rsid w:val="00635762"/>
    <w:rsid w:val="00641270"/>
    <w:rsid w:val="00642074"/>
    <w:rsid w:val="006424F8"/>
    <w:rsid w:val="006476B4"/>
    <w:rsid w:val="00656049"/>
    <w:rsid w:val="0065675C"/>
    <w:rsid w:val="0066730C"/>
    <w:rsid w:val="00672C84"/>
    <w:rsid w:val="00681CAB"/>
    <w:rsid w:val="00682CFC"/>
    <w:rsid w:val="006842EF"/>
    <w:rsid w:val="00685030"/>
    <w:rsid w:val="00692D4F"/>
    <w:rsid w:val="00693E35"/>
    <w:rsid w:val="0069559B"/>
    <w:rsid w:val="00695E58"/>
    <w:rsid w:val="0069613C"/>
    <w:rsid w:val="0069757D"/>
    <w:rsid w:val="006A1329"/>
    <w:rsid w:val="006A66F9"/>
    <w:rsid w:val="006B4303"/>
    <w:rsid w:val="006C2ABF"/>
    <w:rsid w:val="006C5A77"/>
    <w:rsid w:val="006D024C"/>
    <w:rsid w:val="006E3B3D"/>
    <w:rsid w:val="006E5C9C"/>
    <w:rsid w:val="006E7424"/>
    <w:rsid w:val="006F00F2"/>
    <w:rsid w:val="006F1774"/>
    <w:rsid w:val="006F292B"/>
    <w:rsid w:val="006F6A03"/>
    <w:rsid w:val="00700DB0"/>
    <w:rsid w:val="00701E5A"/>
    <w:rsid w:val="00713D81"/>
    <w:rsid w:val="00717A20"/>
    <w:rsid w:val="00720DFF"/>
    <w:rsid w:val="007265F3"/>
    <w:rsid w:val="00730E23"/>
    <w:rsid w:val="00753311"/>
    <w:rsid w:val="00754513"/>
    <w:rsid w:val="00762CC5"/>
    <w:rsid w:val="00762F85"/>
    <w:rsid w:val="00767063"/>
    <w:rsid w:val="007771A5"/>
    <w:rsid w:val="007802B6"/>
    <w:rsid w:val="007906B4"/>
    <w:rsid w:val="0079178A"/>
    <w:rsid w:val="007970A0"/>
    <w:rsid w:val="00797E4F"/>
    <w:rsid w:val="007A314C"/>
    <w:rsid w:val="007A3CB9"/>
    <w:rsid w:val="007A652D"/>
    <w:rsid w:val="007B215B"/>
    <w:rsid w:val="007B4617"/>
    <w:rsid w:val="007C19A8"/>
    <w:rsid w:val="007C26B6"/>
    <w:rsid w:val="007C2D96"/>
    <w:rsid w:val="007E0FB6"/>
    <w:rsid w:val="007E759D"/>
    <w:rsid w:val="007F2DBE"/>
    <w:rsid w:val="007F33B6"/>
    <w:rsid w:val="007F642D"/>
    <w:rsid w:val="007F756A"/>
    <w:rsid w:val="00800E2C"/>
    <w:rsid w:val="0080214D"/>
    <w:rsid w:val="00812471"/>
    <w:rsid w:val="00822CF9"/>
    <w:rsid w:val="008261A5"/>
    <w:rsid w:val="008327E5"/>
    <w:rsid w:val="0083382E"/>
    <w:rsid w:val="00844AAC"/>
    <w:rsid w:val="00844D14"/>
    <w:rsid w:val="008457CE"/>
    <w:rsid w:val="0085354A"/>
    <w:rsid w:val="00855325"/>
    <w:rsid w:val="00855669"/>
    <w:rsid w:val="00862E34"/>
    <w:rsid w:val="008634F3"/>
    <w:rsid w:val="0086528D"/>
    <w:rsid w:val="008652FA"/>
    <w:rsid w:val="00865915"/>
    <w:rsid w:val="008661AA"/>
    <w:rsid w:val="00871832"/>
    <w:rsid w:val="00874821"/>
    <w:rsid w:val="00875E9B"/>
    <w:rsid w:val="00876FCA"/>
    <w:rsid w:val="008830F9"/>
    <w:rsid w:val="00886CCE"/>
    <w:rsid w:val="008942C6"/>
    <w:rsid w:val="00896B33"/>
    <w:rsid w:val="00897DBE"/>
    <w:rsid w:val="008A2995"/>
    <w:rsid w:val="008A2BA4"/>
    <w:rsid w:val="008A62FB"/>
    <w:rsid w:val="008A77B7"/>
    <w:rsid w:val="008B0F67"/>
    <w:rsid w:val="008B297B"/>
    <w:rsid w:val="008B3833"/>
    <w:rsid w:val="008C0535"/>
    <w:rsid w:val="008C0BCD"/>
    <w:rsid w:val="008C0BD9"/>
    <w:rsid w:val="008C608D"/>
    <w:rsid w:val="008D1F37"/>
    <w:rsid w:val="008E14BE"/>
    <w:rsid w:val="008E461D"/>
    <w:rsid w:val="008E5520"/>
    <w:rsid w:val="008F08E5"/>
    <w:rsid w:val="008F097F"/>
    <w:rsid w:val="008F0EA4"/>
    <w:rsid w:val="008F10B9"/>
    <w:rsid w:val="008F38F6"/>
    <w:rsid w:val="008F5213"/>
    <w:rsid w:val="008F67E7"/>
    <w:rsid w:val="008F6B2D"/>
    <w:rsid w:val="009000CF"/>
    <w:rsid w:val="00903598"/>
    <w:rsid w:val="009050B3"/>
    <w:rsid w:val="00906FC5"/>
    <w:rsid w:val="0090748B"/>
    <w:rsid w:val="00914C4C"/>
    <w:rsid w:val="00920C9C"/>
    <w:rsid w:val="00922754"/>
    <w:rsid w:val="00925781"/>
    <w:rsid w:val="009258D0"/>
    <w:rsid w:val="00930E06"/>
    <w:rsid w:val="00932BAE"/>
    <w:rsid w:val="00933C0C"/>
    <w:rsid w:val="00934D87"/>
    <w:rsid w:val="00935AB3"/>
    <w:rsid w:val="00940FBB"/>
    <w:rsid w:val="009635CF"/>
    <w:rsid w:val="009646C4"/>
    <w:rsid w:val="009668BB"/>
    <w:rsid w:val="009734CE"/>
    <w:rsid w:val="00974CB0"/>
    <w:rsid w:val="00975085"/>
    <w:rsid w:val="009750A4"/>
    <w:rsid w:val="0098460C"/>
    <w:rsid w:val="00991976"/>
    <w:rsid w:val="0099413E"/>
    <w:rsid w:val="00996E1A"/>
    <w:rsid w:val="009B1E02"/>
    <w:rsid w:val="009B4392"/>
    <w:rsid w:val="009B51DA"/>
    <w:rsid w:val="009B7D09"/>
    <w:rsid w:val="009C0784"/>
    <w:rsid w:val="009C2CB9"/>
    <w:rsid w:val="009C51DF"/>
    <w:rsid w:val="009C6CB6"/>
    <w:rsid w:val="009D24DA"/>
    <w:rsid w:val="009D5D75"/>
    <w:rsid w:val="009E0C0B"/>
    <w:rsid w:val="009E572D"/>
    <w:rsid w:val="009F1A62"/>
    <w:rsid w:val="009F32A2"/>
    <w:rsid w:val="009F54CE"/>
    <w:rsid w:val="009F70FE"/>
    <w:rsid w:val="00A0600B"/>
    <w:rsid w:val="00A06264"/>
    <w:rsid w:val="00A1639A"/>
    <w:rsid w:val="00A215C9"/>
    <w:rsid w:val="00A25474"/>
    <w:rsid w:val="00A25CF0"/>
    <w:rsid w:val="00A31468"/>
    <w:rsid w:val="00A344DD"/>
    <w:rsid w:val="00A466D1"/>
    <w:rsid w:val="00A5364B"/>
    <w:rsid w:val="00A615E0"/>
    <w:rsid w:val="00A65E2B"/>
    <w:rsid w:val="00A70878"/>
    <w:rsid w:val="00A70C9E"/>
    <w:rsid w:val="00A73C12"/>
    <w:rsid w:val="00A74AA0"/>
    <w:rsid w:val="00A7546D"/>
    <w:rsid w:val="00A7613D"/>
    <w:rsid w:val="00A77100"/>
    <w:rsid w:val="00A81626"/>
    <w:rsid w:val="00A8357B"/>
    <w:rsid w:val="00A848FC"/>
    <w:rsid w:val="00A92943"/>
    <w:rsid w:val="00A92A96"/>
    <w:rsid w:val="00A975B1"/>
    <w:rsid w:val="00AA4D97"/>
    <w:rsid w:val="00AB424B"/>
    <w:rsid w:val="00AD17B7"/>
    <w:rsid w:val="00AF08D2"/>
    <w:rsid w:val="00B01A1B"/>
    <w:rsid w:val="00B02242"/>
    <w:rsid w:val="00B069C5"/>
    <w:rsid w:val="00B06D1B"/>
    <w:rsid w:val="00B077D5"/>
    <w:rsid w:val="00B16A78"/>
    <w:rsid w:val="00B200E4"/>
    <w:rsid w:val="00B26FFD"/>
    <w:rsid w:val="00B31E12"/>
    <w:rsid w:val="00B31F77"/>
    <w:rsid w:val="00B3325C"/>
    <w:rsid w:val="00B35B6D"/>
    <w:rsid w:val="00B35DC6"/>
    <w:rsid w:val="00B35DD7"/>
    <w:rsid w:val="00B51699"/>
    <w:rsid w:val="00B53FAF"/>
    <w:rsid w:val="00B55D98"/>
    <w:rsid w:val="00B63153"/>
    <w:rsid w:val="00B6527D"/>
    <w:rsid w:val="00B73B3A"/>
    <w:rsid w:val="00B74507"/>
    <w:rsid w:val="00B75718"/>
    <w:rsid w:val="00B75E7E"/>
    <w:rsid w:val="00B81257"/>
    <w:rsid w:val="00B9324B"/>
    <w:rsid w:val="00B93817"/>
    <w:rsid w:val="00B9391B"/>
    <w:rsid w:val="00B9682D"/>
    <w:rsid w:val="00BA0B96"/>
    <w:rsid w:val="00BA52C9"/>
    <w:rsid w:val="00BB15DA"/>
    <w:rsid w:val="00BB340D"/>
    <w:rsid w:val="00BB6626"/>
    <w:rsid w:val="00BC2A3A"/>
    <w:rsid w:val="00BC5A68"/>
    <w:rsid w:val="00BC64EC"/>
    <w:rsid w:val="00BC7971"/>
    <w:rsid w:val="00BC7BF3"/>
    <w:rsid w:val="00BD073D"/>
    <w:rsid w:val="00BD6001"/>
    <w:rsid w:val="00BD6652"/>
    <w:rsid w:val="00BD75E0"/>
    <w:rsid w:val="00BE10CC"/>
    <w:rsid w:val="00BE4198"/>
    <w:rsid w:val="00BF029A"/>
    <w:rsid w:val="00BF3AFD"/>
    <w:rsid w:val="00BF5FE7"/>
    <w:rsid w:val="00C003EA"/>
    <w:rsid w:val="00C1606C"/>
    <w:rsid w:val="00C16E16"/>
    <w:rsid w:val="00C23180"/>
    <w:rsid w:val="00C26F94"/>
    <w:rsid w:val="00C31A72"/>
    <w:rsid w:val="00C348CA"/>
    <w:rsid w:val="00C41492"/>
    <w:rsid w:val="00C502EC"/>
    <w:rsid w:val="00C50874"/>
    <w:rsid w:val="00C529DF"/>
    <w:rsid w:val="00C702B5"/>
    <w:rsid w:val="00C70389"/>
    <w:rsid w:val="00C82F1D"/>
    <w:rsid w:val="00C904B6"/>
    <w:rsid w:val="00C90A75"/>
    <w:rsid w:val="00C96DF4"/>
    <w:rsid w:val="00CA0F2C"/>
    <w:rsid w:val="00CA6A66"/>
    <w:rsid w:val="00CB00A5"/>
    <w:rsid w:val="00CB317E"/>
    <w:rsid w:val="00CB561C"/>
    <w:rsid w:val="00CC1337"/>
    <w:rsid w:val="00CC2514"/>
    <w:rsid w:val="00CC438D"/>
    <w:rsid w:val="00CC48DF"/>
    <w:rsid w:val="00CC6FB9"/>
    <w:rsid w:val="00CD11F5"/>
    <w:rsid w:val="00CD4A91"/>
    <w:rsid w:val="00CD5CAB"/>
    <w:rsid w:val="00CD5FA7"/>
    <w:rsid w:val="00CD6BD0"/>
    <w:rsid w:val="00CD70E7"/>
    <w:rsid w:val="00CD7363"/>
    <w:rsid w:val="00CE0964"/>
    <w:rsid w:val="00CE0C1F"/>
    <w:rsid w:val="00CE3191"/>
    <w:rsid w:val="00CE455F"/>
    <w:rsid w:val="00CE4A15"/>
    <w:rsid w:val="00CE5195"/>
    <w:rsid w:val="00CE6B63"/>
    <w:rsid w:val="00CE74B4"/>
    <w:rsid w:val="00CE7D16"/>
    <w:rsid w:val="00CF0BF9"/>
    <w:rsid w:val="00CF2E86"/>
    <w:rsid w:val="00CF5957"/>
    <w:rsid w:val="00CF6C58"/>
    <w:rsid w:val="00D0004A"/>
    <w:rsid w:val="00D04BA2"/>
    <w:rsid w:val="00D077B0"/>
    <w:rsid w:val="00D157A0"/>
    <w:rsid w:val="00D22D42"/>
    <w:rsid w:val="00D24AF1"/>
    <w:rsid w:val="00D31447"/>
    <w:rsid w:val="00D35A6D"/>
    <w:rsid w:val="00D36D8D"/>
    <w:rsid w:val="00D45711"/>
    <w:rsid w:val="00D47190"/>
    <w:rsid w:val="00D500FC"/>
    <w:rsid w:val="00D50EC4"/>
    <w:rsid w:val="00D51597"/>
    <w:rsid w:val="00D5326E"/>
    <w:rsid w:val="00D55867"/>
    <w:rsid w:val="00D56A5A"/>
    <w:rsid w:val="00D57410"/>
    <w:rsid w:val="00D634A3"/>
    <w:rsid w:val="00D67511"/>
    <w:rsid w:val="00D72339"/>
    <w:rsid w:val="00D73E47"/>
    <w:rsid w:val="00D74ABB"/>
    <w:rsid w:val="00D83CB7"/>
    <w:rsid w:val="00D93B80"/>
    <w:rsid w:val="00D976B3"/>
    <w:rsid w:val="00D97FA8"/>
    <w:rsid w:val="00DB0BB2"/>
    <w:rsid w:val="00DB289A"/>
    <w:rsid w:val="00DB4363"/>
    <w:rsid w:val="00DB66BD"/>
    <w:rsid w:val="00DC07C5"/>
    <w:rsid w:val="00DC46A8"/>
    <w:rsid w:val="00DC7B25"/>
    <w:rsid w:val="00DD340F"/>
    <w:rsid w:val="00DD39EA"/>
    <w:rsid w:val="00DD6B73"/>
    <w:rsid w:val="00DE23F8"/>
    <w:rsid w:val="00DE2988"/>
    <w:rsid w:val="00DE7CC2"/>
    <w:rsid w:val="00E007DD"/>
    <w:rsid w:val="00E00C31"/>
    <w:rsid w:val="00E04392"/>
    <w:rsid w:val="00E05CF6"/>
    <w:rsid w:val="00E077DE"/>
    <w:rsid w:val="00E112C9"/>
    <w:rsid w:val="00E1314C"/>
    <w:rsid w:val="00E158F7"/>
    <w:rsid w:val="00E16ABE"/>
    <w:rsid w:val="00E2087E"/>
    <w:rsid w:val="00E2356E"/>
    <w:rsid w:val="00E23C81"/>
    <w:rsid w:val="00E2636D"/>
    <w:rsid w:val="00E34976"/>
    <w:rsid w:val="00E36818"/>
    <w:rsid w:val="00E47B97"/>
    <w:rsid w:val="00E50B1B"/>
    <w:rsid w:val="00E5203C"/>
    <w:rsid w:val="00E53DC5"/>
    <w:rsid w:val="00E54B85"/>
    <w:rsid w:val="00E603A4"/>
    <w:rsid w:val="00E634CC"/>
    <w:rsid w:val="00E81727"/>
    <w:rsid w:val="00E82F0E"/>
    <w:rsid w:val="00E84DFB"/>
    <w:rsid w:val="00E90673"/>
    <w:rsid w:val="00E95ABF"/>
    <w:rsid w:val="00E95F89"/>
    <w:rsid w:val="00E96FAC"/>
    <w:rsid w:val="00EA0382"/>
    <w:rsid w:val="00EA129F"/>
    <w:rsid w:val="00EB7A31"/>
    <w:rsid w:val="00EC08DC"/>
    <w:rsid w:val="00ED0582"/>
    <w:rsid w:val="00ED1262"/>
    <w:rsid w:val="00ED7374"/>
    <w:rsid w:val="00EE31F6"/>
    <w:rsid w:val="00EE36DC"/>
    <w:rsid w:val="00EE6896"/>
    <w:rsid w:val="00EF06B5"/>
    <w:rsid w:val="00EF69E4"/>
    <w:rsid w:val="00F044EE"/>
    <w:rsid w:val="00F04CF3"/>
    <w:rsid w:val="00F04DEB"/>
    <w:rsid w:val="00F20069"/>
    <w:rsid w:val="00F20AAA"/>
    <w:rsid w:val="00F21201"/>
    <w:rsid w:val="00F2414C"/>
    <w:rsid w:val="00F3320B"/>
    <w:rsid w:val="00F40E92"/>
    <w:rsid w:val="00F41947"/>
    <w:rsid w:val="00F435AA"/>
    <w:rsid w:val="00F45370"/>
    <w:rsid w:val="00F511B7"/>
    <w:rsid w:val="00F56D0A"/>
    <w:rsid w:val="00F605AF"/>
    <w:rsid w:val="00F60A04"/>
    <w:rsid w:val="00F63C5D"/>
    <w:rsid w:val="00F67EAF"/>
    <w:rsid w:val="00F7191D"/>
    <w:rsid w:val="00F72E52"/>
    <w:rsid w:val="00F730FC"/>
    <w:rsid w:val="00F76C6A"/>
    <w:rsid w:val="00F83BF1"/>
    <w:rsid w:val="00F84E8C"/>
    <w:rsid w:val="00F90CB9"/>
    <w:rsid w:val="00F91D23"/>
    <w:rsid w:val="00F91DD8"/>
    <w:rsid w:val="00F97373"/>
    <w:rsid w:val="00F97A65"/>
    <w:rsid w:val="00FA0254"/>
    <w:rsid w:val="00FA59F1"/>
    <w:rsid w:val="00FA6129"/>
    <w:rsid w:val="00FA6854"/>
    <w:rsid w:val="00FB064F"/>
    <w:rsid w:val="00FB0F6B"/>
    <w:rsid w:val="00FB144F"/>
    <w:rsid w:val="00FB159A"/>
    <w:rsid w:val="00FB4D77"/>
    <w:rsid w:val="00FC40F0"/>
    <w:rsid w:val="00FC497D"/>
    <w:rsid w:val="00FD076B"/>
    <w:rsid w:val="00FD140F"/>
    <w:rsid w:val="00FD39DE"/>
    <w:rsid w:val="00FE1A6B"/>
    <w:rsid w:val="00FE4B61"/>
    <w:rsid w:val="00FF3782"/>
    <w:rsid w:val="00FF6957"/>
    <w:rsid w:val="00FF6F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CF9775E"/>
  <w15:docId w15:val="{6E4B4082-2A59-4AD6-8CD5-3E1635F7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paragraph" w:styleId="berschrift1">
    <w:name w:val="heading 1"/>
    <w:basedOn w:val="Standard"/>
    <w:next w:val="Standard"/>
    <w:link w:val="berschrift1Zchn"/>
    <w:qFormat/>
    <w:locked/>
    <w:rsid w:val="00767063"/>
    <w:pPr>
      <w:keepNext/>
      <w:keepLines/>
      <w:spacing w:before="240" w:after="0"/>
      <w:outlineLvl w:val="0"/>
    </w:pPr>
    <w:rPr>
      <w:rFonts w:asciiTheme="majorHAnsi" w:eastAsiaTheme="majorEastAsia" w:hAnsiTheme="majorHAnsi" w:cstheme="majorBidi"/>
      <w:color w:val="BD9100" w:themeColor="accent1" w:themeShade="BF"/>
      <w:sz w:val="32"/>
      <w:szCs w:val="32"/>
    </w:rPr>
  </w:style>
  <w:style w:type="paragraph" w:styleId="berschrift3">
    <w:name w:val="heading 3"/>
    <w:basedOn w:val="Standard"/>
    <w:next w:val="Standard"/>
    <w:link w:val="berschrift3Zchn"/>
    <w:unhideWhenUsed/>
    <w:qFormat/>
    <w:locked/>
    <w:rsid w:val="00767063"/>
    <w:pPr>
      <w:keepNext/>
      <w:keepLines/>
      <w:spacing w:before="40" w:after="0"/>
      <w:outlineLvl w:val="2"/>
    </w:pPr>
    <w:rPr>
      <w:rFonts w:asciiTheme="majorHAnsi" w:eastAsiaTheme="majorEastAsia" w:hAnsiTheme="majorHAnsi" w:cstheme="majorBidi"/>
      <w:color w:val="7E600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92A4C2"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locked/>
    <w:rsid w:val="00382529"/>
    <w:rPr>
      <w:b/>
      <w:bCs/>
    </w:rPr>
  </w:style>
  <w:style w:type="table" w:styleId="Tabellenraster">
    <w:name w:val="Table Grid"/>
    <w:basedOn w:val="NormaleTabelle"/>
    <w:uiPriority w:val="59"/>
    <w:locked/>
    <w:rsid w:val="002C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NL">
    <w:name w:val="Fliesstext NL"/>
    <w:basedOn w:val="Standard"/>
    <w:uiPriority w:val="99"/>
    <w:rsid w:val="002C055A"/>
    <w:pPr>
      <w:autoSpaceDE w:val="0"/>
      <w:autoSpaceDN w:val="0"/>
      <w:adjustRightInd w:val="0"/>
      <w:spacing w:after="0" w:line="220" w:lineRule="atLeast"/>
      <w:jc w:val="both"/>
      <w:textAlignment w:val="center"/>
    </w:pPr>
    <w:rPr>
      <w:rFonts w:ascii="Mark OT Light" w:hAnsi="Mark OT Light" w:cs="Mark OT Light"/>
      <w:color w:val="000000"/>
      <w:spacing w:val="-4"/>
      <w:sz w:val="18"/>
      <w:szCs w:val="18"/>
      <w:lang w:eastAsia="de-DE"/>
    </w:rPr>
  </w:style>
  <w:style w:type="paragraph" w:customStyle="1" w:styleId="GrafikHeadlineNL">
    <w:name w:val="Grafik Headline NL"/>
    <w:basedOn w:val="FliesstextNL"/>
    <w:uiPriority w:val="99"/>
    <w:rsid w:val="002C055A"/>
    <w:rPr>
      <w:rFonts w:ascii="Mark OT" w:hAnsi="Mark OT" w:cs="Mark OT"/>
      <w:b/>
      <w:bCs/>
    </w:rPr>
  </w:style>
  <w:style w:type="paragraph" w:customStyle="1" w:styleId="HeadlineNL">
    <w:name w:val="Headline NL"/>
    <w:basedOn w:val="FliesstextNL"/>
    <w:uiPriority w:val="99"/>
    <w:rsid w:val="002C055A"/>
    <w:pPr>
      <w:spacing w:line="400" w:lineRule="atLeast"/>
    </w:pPr>
    <w:rPr>
      <w:rFonts w:ascii="Mark OT" w:hAnsi="Mark OT" w:cs="Mark OT"/>
      <w:b/>
      <w:bCs/>
      <w:spacing w:val="0"/>
      <w:sz w:val="28"/>
      <w:szCs w:val="28"/>
    </w:rPr>
  </w:style>
  <w:style w:type="paragraph" w:customStyle="1" w:styleId="SublineNL">
    <w:name w:val="Subline NL"/>
    <w:basedOn w:val="FliesstextNL"/>
    <w:uiPriority w:val="99"/>
    <w:rsid w:val="002C055A"/>
    <w:pPr>
      <w:spacing w:line="320" w:lineRule="atLeast"/>
    </w:pPr>
    <w:rPr>
      <w:spacing w:val="0"/>
      <w:sz w:val="28"/>
      <w:szCs w:val="28"/>
    </w:rPr>
  </w:style>
  <w:style w:type="character" w:styleId="Kommentarzeichen">
    <w:name w:val="annotation reference"/>
    <w:basedOn w:val="Absatz-Standardschriftart"/>
    <w:uiPriority w:val="99"/>
    <w:semiHidden/>
    <w:unhideWhenUsed/>
    <w:rsid w:val="00567D57"/>
    <w:rPr>
      <w:sz w:val="16"/>
      <w:szCs w:val="16"/>
    </w:rPr>
  </w:style>
  <w:style w:type="paragraph" w:styleId="Kommentartext">
    <w:name w:val="annotation text"/>
    <w:basedOn w:val="Standard"/>
    <w:link w:val="KommentartextZchn"/>
    <w:uiPriority w:val="99"/>
    <w:semiHidden/>
    <w:unhideWhenUsed/>
    <w:rsid w:val="00567D57"/>
    <w:rPr>
      <w:sz w:val="20"/>
      <w:szCs w:val="20"/>
    </w:rPr>
  </w:style>
  <w:style w:type="character" w:customStyle="1" w:styleId="KommentartextZchn">
    <w:name w:val="Kommentartext Zchn"/>
    <w:basedOn w:val="Absatz-Standardschriftart"/>
    <w:link w:val="Kommentartext"/>
    <w:uiPriority w:val="99"/>
    <w:semiHidden/>
    <w:rsid w:val="00567D57"/>
    <w:rPr>
      <w:sz w:val="20"/>
      <w:szCs w:val="20"/>
      <w:lang w:eastAsia="en-US"/>
    </w:rPr>
  </w:style>
  <w:style w:type="paragraph" w:styleId="Kommentarthema">
    <w:name w:val="annotation subject"/>
    <w:basedOn w:val="Kommentartext"/>
    <w:next w:val="Kommentartext"/>
    <w:link w:val="KommentarthemaZchn"/>
    <w:uiPriority w:val="99"/>
    <w:semiHidden/>
    <w:unhideWhenUsed/>
    <w:rsid w:val="00567D57"/>
    <w:rPr>
      <w:b/>
      <w:bCs/>
    </w:rPr>
  </w:style>
  <w:style w:type="character" w:customStyle="1" w:styleId="KommentarthemaZchn">
    <w:name w:val="Kommentarthema Zchn"/>
    <w:basedOn w:val="KommentartextZchn"/>
    <w:link w:val="Kommentarthema"/>
    <w:uiPriority w:val="99"/>
    <w:semiHidden/>
    <w:rsid w:val="00567D57"/>
    <w:rPr>
      <w:b/>
      <w:bCs/>
      <w:sz w:val="20"/>
      <w:szCs w:val="20"/>
      <w:lang w:eastAsia="en-US"/>
    </w:rPr>
  </w:style>
  <w:style w:type="table" w:customStyle="1" w:styleId="TableGrid1">
    <w:name w:val="Table Grid1"/>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767063"/>
    <w:rPr>
      <w:rFonts w:asciiTheme="majorHAnsi" w:eastAsiaTheme="majorEastAsia" w:hAnsiTheme="majorHAnsi" w:cstheme="majorBidi"/>
      <w:color w:val="BD9100" w:themeColor="accent1" w:themeShade="BF"/>
      <w:sz w:val="32"/>
      <w:szCs w:val="32"/>
      <w:lang w:eastAsia="en-US"/>
    </w:rPr>
  </w:style>
  <w:style w:type="character" w:customStyle="1" w:styleId="berschrift3Zchn">
    <w:name w:val="Überschrift 3 Zchn"/>
    <w:basedOn w:val="Absatz-Standardschriftart"/>
    <w:link w:val="berschrift3"/>
    <w:rsid w:val="00767063"/>
    <w:rPr>
      <w:rFonts w:asciiTheme="majorHAnsi" w:eastAsiaTheme="majorEastAsia" w:hAnsiTheme="majorHAnsi" w:cstheme="majorBidi"/>
      <w:color w:val="7E600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8995">
      <w:bodyDiv w:val="1"/>
      <w:marLeft w:val="0"/>
      <w:marRight w:val="0"/>
      <w:marTop w:val="0"/>
      <w:marBottom w:val="0"/>
      <w:divBdr>
        <w:top w:val="none" w:sz="0" w:space="0" w:color="auto"/>
        <w:left w:val="none" w:sz="0" w:space="0" w:color="auto"/>
        <w:bottom w:val="none" w:sz="0" w:space="0" w:color="auto"/>
        <w:right w:val="none" w:sz="0" w:space="0" w:color="auto"/>
      </w:divBdr>
    </w:div>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165246966">
      <w:bodyDiv w:val="1"/>
      <w:marLeft w:val="0"/>
      <w:marRight w:val="0"/>
      <w:marTop w:val="0"/>
      <w:marBottom w:val="0"/>
      <w:divBdr>
        <w:top w:val="none" w:sz="0" w:space="0" w:color="auto"/>
        <w:left w:val="none" w:sz="0" w:space="0" w:color="auto"/>
        <w:bottom w:val="none" w:sz="0" w:space="0" w:color="auto"/>
        <w:right w:val="none" w:sz="0" w:space="0" w:color="auto"/>
      </w:divBdr>
    </w:div>
    <w:div w:id="168377120">
      <w:bodyDiv w:val="1"/>
      <w:marLeft w:val="0"/>
      <w:marRight w:val="0"/>
      <w:marTop w:val="0"/>
      <w:marBottom w:val="0"/>
      <w:divBdr>
        <w:top w:val="none" w:sz="0" w:space="0" w:color="auto"/>
        <w:left w:val="none" w:sz="0" w:space="0" w:color="auto"/>
        <w:bottom w:val="none" w:sz="0" w:space="0" w:color="auto"/>
        <w:right w:val="none" w:sz="0" w:space="0" w:color="auto"/>
      </w:divBdr>
    </w:div>
    <w:div w:id="228268108">
      <w:bodyDiv w:val="1"/>
      <w:marLeft w:val="0"/>
      <w:marRight w:val="0"/>
      <w:marTop w:val="0"/>
      <w:marBottom w:val="0"/>
      <w:divBdr>
        <w:top w:val="none" w:sz="0" w:space="0" w:color="auto"/>
        <w:left w:val="none" w:sz="0" w:space="0" w:color="auto"/>
        <w:bottom w:val="none" w:sz="0" w:space="0" w:color="auto"/>
        <w:right w:val="none" w:sz="0" w:space="0" w:color="auto"/>
      </w:divBdr>
    </w:div>
    <w:div w:id="308095336">
      <w:bodyDiv w:val="1"/>
      <w:marLeft w:val="0"/>
      <w:marRight w:val="0"/>
      <w:marTop w:val="0"/>
      <w:marBottom w:val="0"/>
      <w:divBdr>
        <w:top w:val="none" w:sz="0" w:space="0" w:color="auto"/>
        <w:left w:val="none" w:sz="0" w:space="0" w:color="auto"/>
        <w:bottom w:val="none" w:sz="0" w:space="0" w:color="auto"/>
        <w:right w:val="none" w:sz="0" w:space="0" w:color="auto"/>
      </w:divBdr>
    </w:div>
    <w:div w:id="341660978">
      <w:bodyDiv w:val="1"/>
      <w:marLeft w:val="0"/>
      <w:marRight w:val="0"/>
      <w:marTop w:val="0"/>
      <w:marBottom w:val="0"/>
      <w:divBdr>
        <w:top w:val="none" w:sz="0" w:space="0" w:color="auto"/>
        <w:left w:val="none" w:sz="0" w:space="0" w:color="auto"/>
        <w:bottom w:val="none" w:sz="0" w:space="0" w:color="auto"/>
        <w:right w:val="none" w:sz="0" w:space="0" w:color="auto"/>
      </w:divBdr>
    </w:div>
    <w:div w:id="369644447">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2897037">
      <w:bodyDiv w:val="1"/>
      <w:marLeft w:val="0"/>
      <w:marRight w:val="0"/>
      <w:marTop w:val="0"/>
      <w:marBottom w:val="0"/>
      <w:divBdr>
        <w:top w:val="none" w:sz="0" w:space="0" w:color="auto"/>
        <w:left w:val="none" w:sz="0" w:space="0" w:color="auto"/>
        <w:bottom w:val="none" w:sz="0" w:space="0" w:color="auto"/>
        <w:right w:val="none" w:sz="0" w:space="0" w:color="auto"/>
      </w:divBdr>
    </w:div>
    <w:div w:id="462619305">
      <w:bodyDiv w:val="1"/>
      <w:marLeft w:val="0"/>
      <w:marRight w:val="0"/>
      <w:marTop w:val="0"/>
      <w:marBottom w:val="0"/>
      <w:divBdr>
        <w:top w:val="none" w:sz="0" w:space="0" w:color="auto"/>
        <w:left w:val="none" w:sz="0" w:space="0" w:color="auto"/>
        <w:bottom w:val="none" w:sz="0" w:space="0" w:color="auto"/>
        <w:right w:val="none" w:sz="0" w:space="0" w:color="auto"/>
      </w:divBdr>
    </w:div>
    <w:div w:id="485703102">
      <w:bodyDiv w:val="1"/>
      <w:marLeft w:val="0"/>
      <w:marRight w:val="0"/>
      <w:marTop w:val="0"/>
      <w:marBottom w:val="0"/>
      <w:divBdr>
        <w:top w:val="none" w:sz="0" w:space="0" w:color="auto"/>
        <w:left w:val="none" w:sz="0" w:space="0" w:color="auto"/>
        <w:bottom w:val="none" w:sz="0" w:space="0" w:color="auto"/>
        <w:right w:val="none" w:sz="0" w:space="0" w:color="auto"/>
      </w:divBdr>
    </w:div>
    <w:div w:id="658462484">
      <w:bodyDiv w:val="1"/>
      <w:marLeft w:val="0"/>
      <w:marRight w:val="0"/>
      <w:marTop w:val="0"/>
      <w:marBottom w:val="0"/>
      <w:divBdr>
        <w:top w:val="none" w:sz="0" w:space="0" w:color="auto"/>
        <w:left w:val="none" w:sz="0" w:space="0" w:color="auto"/>
        <w:bottom w:val="none" w:sz="0" w:space="0" w:color="auto"/>
        <w:right w:val="none" w:sz="0" w:space="0" w:color="auto"/>
      </w:divBdr>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477752">
      <w:bodyDiv w:val="1"/>
      <w:marLeft w:val="0"/>
      <w:marRight w:val="0"/>
      <w:marTop w:val="0"/>
      <w:marBottom w:val="0"/>
      <w:divBdr>
        <w:top w:val="none" w:sz="0" w:space="0" w:color="auto"/>
        <w:left w:val="none" w:sz="0" w:space="0" w:color="auto"/>
        <w:bottom w:val="none" w:sz="0" w:space="0" w:color="auto"/>
        <w:right w:val="none" w:sz="0" w:space="0" w:color="auto"/>
      </w:divBdr>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2845888">
      <w:bodyDiv w:val="1"/>
      <w:marLeft w:val="0"/>
      <w:marRight w:val="0"/>
      <w:marTop w:val="0"/>
      <w:marBottom w:val="0"/>
      <w:divBdr>
        <w:top w:val="none" w:sz="0" w:space="0" w:color="auto"/>
        <w:left w:val="none" w:sz="0" w:space="0" w:color="auto"/>
        <w:bottom w:val="none" w:sz="0" w:space="0" w:color="auto"/>
        <w:right w:val="none" w:sz="0" w:space="0" w:color="auto"/>
      </w:divBdr>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048457314">
      <w:bodyDiv w:val="1"/>
      <w:marLeft w:val="0"/>
      <w:marRight w:val="0"/>
      <w:marTop w:val="0"/>
      <w:marBottom w:val="0"/>
      <w:divBdr>
        <w:top w:val="none" w:sz="0" w:space="0" w:color="auto"/>
        <w:left w:val="none" w:sz="0" w:space="0" w:color="auto"/>
        <w:bottom w:val="none" w:sz="0" w:space="0" w:color="auto"/>
        <w:right w:val="none" w:sz="0" w:space="0" w:color="auto"/>
      </w:divBdr>
    </w:div>
    <w:div w:id="1151870192">
      <w:bodyDiv w:val="1"/>
      <w:marLeft w:val="0"/>
      <w:marRight w:val="0"/>
      <w:marTop w:val="0"/>
      <w:marBottom w:val="0"/>
      <w:divBdr>
        <w:top w:val="none" w:sz="0" w:space="0" w:color="auto"/>
        <w:left w:val="none" w:sz="0" w:space="0" w:color="auto"/>
        <w:bottom w:val="none" w:sz="0" w:space="0" w:color="auto"/>
        <w:right w:val="none" w:sz="0" w:space="0" w:color="auto"/>
      </w:divBdr>
    </w:div>
    <w:div w:id="1165510627">
      <w:bodyDiv w:val="1"/>
      <w:marLeft w:val="0"/>
      <w:marRight w:val="0"/>
      <w:marTop w:val="0"/>
      <w:marBottom w:val="0"/>
      <w:divBdr>
        <w:top w:val="none" w:sz="0" w:space="0" w:color="auto"/>
        <w:left w:val="none" w:sz="0" w:space="0" w:color="auto"/>
        <w:bottom w:val="none" w:sz="0" w:space="0" w:color="auto"/>
        <w:right w:val="none" w:sz="0" w:space="0" w:color="auto"/>
      </w:divBdr>
    </w:div>
    <w:div w:id="1315061569">
      <w:bodyDiv w:val="1"/>
      <w:marLeft w:val="0"/>
      <w:marRight w:val="0"/>
      <w:marTop w:val="0"/>
      <w:marBottom w:val="0"/>
      <w:divBdr>
        <w:top w:val="none" w:sz="0" w:space="0" w:color="auto"/>
        <w:left w:val="none" w:sz="0" w:space="0" w:color="auto"/>
        <w:bottom w:val="none" w:sz="0" w:space="0" w:color="auto"/>
        <w:right w:val="none" w:sz="0" w:space="0" w:color="auto"/>
      </w:divBdr>
    </w:div>
    <w:div w:id="1455558272">
      <w:bodyDiv w:val="1"/>
      <w:marLeft w:val="0"/>
      <w:marRight w:val="0"/>
      <w:marTop w:val="0"/>
      <w:marBottom w:val="0"/>
      <w:divBdr>
        <w:top w:val="none" w:sz="0" w:space="0" w:color="auto"/>
        <w:left w:val="none" w:sz="0" w:space="0" w:color="auto"/>
        <w:bottom w:val="none" w:sz="0" w:space="0" w:color="auto"/>
        <w:right w:val="none" w:sz="0" w:space="0" w:color="auto"/>
      </w:divBdr>
    </w:div>
    <w:div w:id="1463500317">
      <w:bodyDiv w:val="1"/>
      <w:marLeft w:val="0"/>
      <w:marRight w:val="0"/>
      <w:marTop w:val="0"/>
      <w:marBottom w:val="0"/>
      <w:divBdr>
        <w:top w:val="none" w:sz="0" w:space="0" w:color="auto"/>
        <w:left w:val="none" w:sz="0" w:space="0" w:color="auto"/>
        <w:bottom w:val="none" w:sz="0" w:space="0" w:color="auto"/>
        <w:right w:val="none" w:sz="0" w:space="0" w:color="auto"/>
      </w:divBdr>
    </w:div>
    <w:div w:id="1465586959">
      <w:bodyDiv w:val="1"/>
      <w:marLeft w:val="0"/>
      <w:marRight w:val="0"/>
      <w:marTop w:val="0"/>
      <w:marBottom w:val="0"/>
      <w:divBdr>
        <w:top w:val="none" w:sz="0" w:space="0" w:color="auto"/>
        <w:left w:val="none" w:sz="0" w:space="0" w:color="auto"/>
        <w:bottom w:val="none" w:sz="0" w:space="0" w:color="auto"/>
        <w:right w:val="none" w:sz="0" w:space="0" w:color="auto"/>
      </w:divBdr>
    </w:div>
    <w:div w:id="1483696168">
      <w:bodyDiv w:val="1"/>
      <w:marLeft w:val="0"/>
      <w:marRight w:val="0"/>
      <w:marTop w:val="0"/>
      <w:marBottom w:val="0"/>
      <w:divBdr>
        <w:top w:val="none" w:sz="0" w:space="0" w:color="auto"/>
        <w:left w:val="none" w:sz="0" w:space="0" w:color="auto"/>
        <w:bottom w:val="none" w:sz="0" w:space="0" w:color="auto"/>
        <w:right w:val="none" w:sz="0" w:space="0" w:color="auto"/>
      </w:divBdr>
    </w:div>
    <w:div w:id="1622608427">
      <w:bodyDiv w:val="1"/>
      <w:marLeft w:val="0"/>
      <w:marRight w:val="0"/>
      <w:marTop w:val="0"/>
      <w:marBottom w:val="0"/>
      <w:divBdr>
        <w:top w:val="none" w:sz="0" w:space="0" w:color="auto"/>
        <w:left w:val="none" w:sz="0" w:space="0" w:color="auto"/>
        <w:bottom w:val="none" w:sz="0" w:space="0" w:color="auto"/>
        <w:right w:val="none" w:sz="0" w:space="0" w:color="auto"/>
      </w:divBdr>
    </w:div>
    <w:div w:id="1796024579">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1882474938">
      <w:bodyDiv w:val="1"/>
      <w:marLeft w:val="0"/>
      <w:marRight w:val="0"/>
      <w:marTop w:val="0"/>
      <w:marBottom w:val="0"/>
      <w:divBdr>
        <w:top w:val="none" w:sz="0" w:space="0" w:color="auto"/>
        <w:left w:val="none" w:sz="0" w:space="0" w:color="auto"/>
        <w:bottom w:val="none" w:sz="0" w:space="0" w:color="auto"/>
        <w:right w:val="none" w:sz="0" w:space="0" w:color="auto"/>
      </w:divBdr>
    </w:div>
    <w:div w:id="2014411746">
      <w:bodyDiv w:val="1"/>
      <w:marLeft w:val="0"/>
      <w:marRight w:val="0"/>
      <w:marTop w:val="0"/>
      <w:marBottom w:val="0"/>
      <w:divBdr>
        <w:top w:val="none" w:sz="0" w:space="0" w:color="auto"/>
        <w:left w:val="none" w:sz="0" w:space="0" w:color="auto"/>
        <w:bottom w:val="none" w:sz="0" w:space="0" w:color="auto"/>
        <w:right w:val="none" w:sz="0" w:space="0" w:color="auto"/>
      </w:divBdr>
    </w:div>
    <w:div w:id="2089377147">
      <w:bodyDiv w:val="1"/>
      <w:marLeft w:val="0"/>
      <w:marRight w:val="0"/>
      <w:marTop w:val="0"/>
      <w:marBottom w:val="0"/>
      <w:divBdr>
        <w:top w:val="none" w:sz="0" w:space="0" w:color="auto"/>
        <w:left w:val="none" w:sz="0" w:space="0" w:color="auto"/>
        <w:bottom w:val="none" w:sz="0" w:space="0" w:color="auto"/>
        <w:right w:val="none" w:sz="0" w:space="0" w:color="auto"/>
      </w:divBdr>
    </w:div>
    <w:div w:id="2095739872">
      <w:bodyDiv w:val="1"/>
      <w:marLeft w:val="0"/>
      <w:marRight w:val="0"/>
      <w:marTop w:val="0"/>
      <w:marBottom w:val="0"/>
      <w:divBdr>
        <w:top w:val="none" w:sz="0" w:space="0" w:color="auto"/>
        <w:left w:val="none" w:sz="0" w:space="0" w:color="auto"/>
        <w:bottom w:val="none" w:sz="0" w:space="0" w:color="auto"/>
        <w:right w:val="none" w:sz="0" w:space="0" w:color="auto"/>
      </w:divBdr>
    </w:div>
    <w:div w:id="2108572068">
      <w:bodyDiv w:val="1"/>
      <w:marLeft w:val="0"/>
      <w:marRight w:val="0"/>
      <w:marTop w:val="0"/>
      <w:marBottom w:val="0"/>
      <w:divBdr>
        <w:top w:val="none" w:sz="0" w:space="0" w:color="auto"/>
        <w:left w:val="none" w:sz="0" w:space="0" w:color="auto"/>
        <w:bottom w:val="none" w:sz="0" w:space="0" w:color="auto"/>
        <w:right w:val="none" w:sz="0" w:space="0" w:color="auto"/>
      </w:divBdr>
      <w:divsChild>
        <w:div w:id="348677127">
          <w:marLeft w:val="0"/>
          <w:marRight w:val="0"/>
          <w:marTop w:val="90"/>
          <w:marBottom w:val="0"/>
          <w:divBdr>
            <w:top w:val="none" w:sz="0" w:space="0" w:color="auto"/>
            <w:left w:val="none" w:sz="0" w:space="0" w:color="auto"/>
            <w:bottom w:val="none" w:sz="0" w:space="0" w:color="auto"/>
            <w:right w:val="none" w:sz="0" w:space="0" w:color="auto"/>
          </w:divBdr>
          <w:divsChild>
            <w:div w:id="139273232">
              <w:marLeft w:val="0"/>
              <w:marRight w:val="0"/>
              <w:marTop w:val="0"/>
              <w:marBottom w:val="405"/>
              <w:divBdr>
                <w:top w:val="none" w:sz="0" w:space="0" w:color="auto"/>
                <w:left w:val="none" w:sz="0" w:space="0" w:color="auto"/>
                <w:bottom w:val="none" w:sz="0" w:space="0" w:color="auto"/>
                <w:right w:val="none" w:sz="0" w:space="0" w:color="auto"/>
              </w:divBdr>
              <w:divsChild>
                <w:div w:id="2000306464">
                  <w:marLeft w:val="0"/>
                  <w:marRight w:val="0"/>
                  <w:marTop w:val="0"/>
                  <w:marBottom w:val="0"/>
                  <w:divBdr>
                    <w:top w:val="none" w:sz="0" w:space="0" w:color="auto"/>
                    <w:left w:val="none" w:sz="0" w:space="0" w:color="auto"/>
                    <w:bottom w:val="none" w:sz="0" w:space="0" w:color="auto"/>
                    <w:right w:val="none" w:sz="0" w:space="0" w:color="auto"/>
                  </w:divBdr>
                  <w:divsChild>
                    <w:div w:id="138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ermanpropertypartners.de/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ug-immobilien.de/privat-immobilien" TargetMode="External"/><Relationship Id="rId17" Type="http://schemas.openxmlformats.org/officeDocument/2006/relationships/hyperlink" Target="mailto:presse@grossmann-berger.de" TargetMode="External"/><Relationship Id="rId2" Type="http://schemas.openxmlformats.org/officeDocument/2006/relationships/numbering" Target="numbering.xml"/><Relationship Id="rId16" Type="http://schemas.openxmlformats.org/officeDocument/2006/relationships/hyperlink" Target="file:///\\file01\Marketing\Presse\5_PresseMITTEILUNGEN\Marktbericht%20B&#252;ro\2020\2020%20Q2\20180517_Dokumentation%20der%20Verarbeitungstaetigkeit%20nach%20DSGVO_Presse.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g-immobilien.de/gewerbe-immobilien" TargetMode="External"/><Relationship Id="rId5" Type="http://schemas.openxmlformats.org/officeDocument/2006/relationships/webSettings" Target="webSettings.xml"/><Relationship Id="rId15" Type="http://schemas.openxmlformats.org/officeDocument/2006/relationships/hyperlink" Target="https://www.grossmann-berger.de/news/pressemappe/" TargetMode="External"/><Relationship Id="rId23" Type="http://schemas.openxmlformats.org/officeDocument/2006/relationships/theme" Target="theme/theme1.xml"/><Relationship Id="rId10" Type="http://schemas.openxmlformats.org/officeDocument/2006/relationships/hyperlink" Target="https://www.grossmann-berger.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rossmann-berger.com/marktbericht/gewerbe/berlin-investment/" TargetMode="External"/><Relationship Id="rId14" Type="http://schemas.openxmlformats.org/officeDocument/2006/relationships/hyperlink" Target="https://www.grossmann-berger.de/datenschutz/"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G&amp;B Farben für Word_2019">
  <a:themeElements>
    <a:clrScheme name="G&amp;B Farben">
      <a:dk1>
        <a:srgbClr val="000000"/>
      </a:dk1>
      <a:lt1>
        <a:sysClr val="window" lastClr="FFFFFF"/>
      </a:lt1>
      <a:dk2>
        <a:srgbClr val="1F242B"/>
      </a:dk2>
      <a:lt2>
        <a:srgbClr val="E4E2E4"/>
      </a:lt2>
      <a:accent1>
        <a:srgbClr val="FDC300"/>
      </a:accent1>
      <a:accent2>
        <a:srgbClr val="1F242B"/>
      </a:accent2>
      <a:accent3>
        <a:srgbClr val="FFD444"/>
      </a:accent3>
      <a:accent4>
        <a:srgbClr val="FFE17E"/>
      </a:accent4>
      <a:accent5>
        <a:srgbClr val="838490"/>
      </a:accent5>
      <a:accent6>
        <a:srgbClr val="E4E2E4"/>
      </a:accent6>
      <a:hlink>
        <a:srgbClr val="4A5A73"/>
      </a:hlink>
      <a:folHlink>
        <a:srgbClr val="92A4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78DFE-9822-4C51-8B0A-CAF93A08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5703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Britt Finke</cp:lastModifiedBy>
  <cp:revision>6</cp:revision>
  <cp:lastPrinted>2021-10-21T12:56:00Z</cp:lastPrinted>
  <dcterms:created xsi:type="dcterms:W3CDTF">2021-10-21T13:29:00Z</dcterms:created>
  <dcterms:modified xsi:type="dcterms:W3CDTF">2021-10-25T07:32:00Z</dcterms:modified>
</cp:coreProperties>
</file>