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E2CD1" w14:textId="4F7E8264" w:rsidR="00C7341F" w:rsidRDefault="00C86C02" w:rsidP="000C770D">
      <w:pPr>
        <w:spacing w:after="0" w:line="360" w:lineRule="auto"/>
        <w:rPr>
          <w:rFonts w:ascii="Arial" w:hAnsi="Arial" w:cs="Arial"/>
          <w:b/>
        </w:rPr>
      </w:pPr>
      <w:r>
        <w:rPr>
          <w:rFonts w:ascii="Arial" w:hAnsi="Arial"/>
          <w:b/>
        </w:rPr>
        <w:t>Berlin: Investment Market, 1st Quarter of 2022</w:t>
      </w:r>
    </w:p>
    <w:p w14:paraId="71D11671" w14:textId="44388E45" w:rsidR="00E47C25" w:rsidRDefault="00CC6AC4" w:rsidP="000C770D">
      <w:pPr>
        <w:spacing w:after="0" w:line="360" w:lineRule="auto"/>
        <w:rPr>
          <w:rFonts w:ascii="Arial" w:hAnsi="Arial" w:cs="Arial"/>
          <w:b/>
          <w:sz w:val="28"/>
          <w:szCs w:val="28"/>
        </w:rPr>
      </w:pPr>
      <w:r>
        <w:rPr>
          <w:rFonts w:ascii="Arial" w:hAnsi="Arial"/>
          <w:b/>
          <w:sz w:val="28"/>
          <w:szCs w:val="28"/>
        </w:rPr>
        <w:t xml:space="preserve">German capital remains a magnet for investment </w:t>
      </w:r>
    </w:p>
    <w:p w14:paraId="23842E4F" w14:textId="77777777" w:rsidR="00590903" w:rsidRPr="0090748B" w:rsidRDefault="00590903" w:rsidP="00590903">
      <w:pPr>
        <w:spacing w:after="0" w:line="360" w:lineRule="auto"/>
        <w:jc w:val="both"/>
        <w:rPr>
          <w:rFonts w:ascii="Arial" w:hAnsi="Arial" w:cs="Arial"/>
          <w:b/>
          <w:sz w:val="20"/>
          <w:szCs w:val="20"/>
        </w:rPr>
      </w:pPr>
    </w:p>
    <w:p w14:paraId="14E4CEFB" w14:textId="4D08863E" w:rsidR="00FF5F5A" w:rsidRDefault="00C7341F" w:rsidP="000C770D">
      <w:pPr>
        <w:spacing w:after="0" w:line="360" w:lineRule="auto"/>
        <w:rPr>
          <w:rFonts w:ascii="Arial" w:hAnsi="Arial" w:cs="Arial"/>
          <w:sz w:val="20"/>
          <w:szCs w:val="20"/>
        </w:rPr>
      </w:pPr>
      <w:r>
        <w:rPr>
          <w:rFonts w:ascii="Arial" w:hAnsi="Arial"/>
          <w:b/>
          <w:sz w:val="20"/>
          <w:szCs w:val="20"/>
        </w:rPr>
        <w:t>Hamburg, 7 April 2022</w:t>
      </w:r>
      <w:r>
        <w:rPr>
          <w:rFonts w:ascii="Arial" w:hAnsi="Arial"/>
          <w:sz w:val="20"/>
          <w:szCs w:val="20"/>
        </w:rPr>
        <w:t xml:space="preserve"> – Having closed the year 2021 with strong trading in commercial properties, the market in Berlin continued on its upward trajectory in the new year. At €2.3bn the volume of transactions was 171 % higher than in the same quarter of the prior year (€850m). This is the second-highest figure for the first three months of a year that Grossmann &amp; Berger (G&amp;B) has ever recorded in Berlin. Eight trades priced at more than €100m each played a role in boosting the result, as did the take-over of the </w:t>
      </w:r>
      <w:proofErr w:type="spellStart"/>
      <w:r>
        <w:rPr>
          <w:rFonts w:ascii="Arial" w:hAnsi="Arial"/>
          <w:sz w:val="20"/>
          <w:szCs w:val="20"/>
        </w:rPr>
        <w:t>alstria</w:t>
      </w:r>
      <w:proofErr w:type="spellEnd"/>
      <w:r>
        <w:rPr>
          <w:rFonts w:ascii="Arial" w:hAnsi="Arial"/>
          <w:sz w:val="20"/>
          <w:szCs w:val="20"/>
        </w:rPr>
        <w:t xml:space="preserve"> office REIT by Brookfield Properties, an asset management firm from Canada. The sale of this portfolio containing numerous properties around Germany added some €400m to the total in Berlin. However, the war in Ukraine, rising inflation, volatile interest rates and the ongoing </w:t>
      </w:r>
      <w:proofErr w:type="spellStart"/>
      <w:r>
        <w:rPr>
          <w:rFonts w:ascii="Arial" w:hAnsi="Arial"/>
          <w:sz w:val="20"/>
          <w:szCs w:val="20"/>
        </w:rPr>
        <w:t>Covid</w:t>
      </w:r>
      <w:proofErr w:type="spellEnd"/>
      <w:r>
        <w:rPr>
          <w:rFonts w:ascii="Arial" w:hAnsi="Arial"/>
          <w:sz w:val="20"/>
          <w:szCs w:val="20"/>
        </w:rPr>
        <w:t xml:space="preserve"> pandemic are all destabilizing market factors. G&amp;B experts are already seeing the effects: </w:t>
      </w:r>
      <w:r>
        <w:rPr>
          <w:rFonts w:ascii="Arial" w:hAnsi="Arial"/>
          <w:i/>
          <w:sz w:val="20"/>
          <w:szCs w:val="20"/>
        </w:rPr>
        <w:t>“Loans, especially for forward deals, are already more expensive than four months ago because banks have started to charge risk premiums,”</w:t>
      </w:r>
      <w:r>
        <w:rPr>
          <w:rFonts w:ascii="Arial" w:hAnsi="Arial"/>
          <w:sz w:val="20"/>
          <w:szCs w:val="20"/>
        </w:rPr>
        <w:t xml:space="preserve"> explains </w:t>
      </w:r>
      <w:r>
        <w:rPr>
          <w:rFonts w:ascii="Arial" w:hAnsi="Arial"/>
          <w:b/>
          <w:sz w:val="20"/>
          <w:szCs w:val="20"/>
        </w:rPr>
        <w:t xml:space="preserve">Holger </w:t>
      </w:r>
      <w:proofErr w:type="spellStart"/>
      <w:r>
        <w:rPr>
          <w:rFonts w:ascii="Arial" w:hAnsi="Arial"/>
          <w:b/>
          <w:sz w:val="20"/>
          <w:szCs w:val="20"/>
        </w:rPr>
        <w:t>Michaelis</w:t>
      </w:r>
      <w:proofErr w:type="spellEnd"/>
      <w:r>
        <w:rPr>
          <w:rFonts w:ascii="Arial" w:hAnsi="Arial"/>
          <w:sz w:val="20"/>
          <w:szCs w:val="20"/>
        </w:rPr>
        <w:t xml:space="preserve">, managing director of Grossmann &amp; Berger, a member of German Property Partners (GPP). He predicts that, </w:t>
      </w:r>
      <w:r>
        <w:rPr>
          <w:rFonts w:ascii="Arial" w:hAnsi="Arial"/>
          <w:i/>
          <w:sz w:val="20"/>
          <w:szCs w:val="20"/>
        </w:rPr>
        <w:t>“When central banks raise interest rates as anticipated, investors will increasingly reconsider their alternatives. This will affect selling prices and curb further increases.”</w:t>
      </w:r>
      <w:r>
        <w:rPr>
          <w:rFonts w:ascii="Arial" w:hAnsi="Arial"/>
          <w:sz w:val="20"/>
          <w:szCs w:val="20"/>
        </w:rPr>
        <w:t xml:space="preserve"> </w:t>
      </w:r>
    </w:p>
    <w:p w14:paraId="6517AEE9" w14:textId="77777777" w:rsidR="00ED39A3" w:rsidRDefault="00ED39A3" w:rsidP="000C770D">
      <w:pPr>
        <w:spacing w:after="0" w:line="360" w:lineRule="auto"/>
        <w:rPr>
          <w:rFonts w:ascii="Arial" w:hAnsi="Arial" w:cs="Arial"/>
          <w:sz w:val="20"/>
          <w:szCs w:val="20"/>
        </w:rPr>
      </w:pPr>
    </w:p>
    <w:p w14:paraId="589E0D37" w14:textId="77777777" w:rsidR="00710607" w:rsidRPr="00D35A6D" w:rsidRDefault="00710607" w:rsidP="00710607">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59552E79" w14:textId="2433F0EC" w:rsidR="00384022" w:rsidRDefault="00384022" w:rsidP="00384022">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Accounting for 59 % of the volume, office p</w:t>
      </w:r>
      <w:r w:rsidR="00A42074">
        <w:rPr>
          <w:rFonts w:ascii="Arial" w:hAnsi="Arial"/>
          <w:sz w:val="20"/>
          <w:szCs w:val="20"/>
        </w:rPr>
        <w:t xml:space="preserve">roperties were the most traded </w:t>
      </w:r>
      <w:r>
        <w:rPr>
          <w:rFonts w:ascii="Arial" w:hAnsi="Arial"/>
          <w:sz w:val="20"/>
          <w:szCs w:val="20"/>
        </w:rPr>
        <w:t xml:space="preserve">class of commercial property </w:t>
      </w:r>
      <w:r>
        <w:rPr>
          <w:rFonts w:ascii="Arial" w:hAnsi="Arial"/>
          <w:sz w:val="20"/>
          <w:szCs w:val="20"/>
          <w:u w:val="single"/>
        </w:rPr>
        <w:t>asset.</w:t>
      </w:r>
      <w:r>
        <w:rPr>
          <w:rFonts w:ascii="Arial" w:hAnsi="Arial"/>
          <w:sz w:val="20"/>
          <w:szCs w:val="20"/>
        </w:rPr>
        <w:t xml:space="preserve"> Four of the eight trades costing more than €100m were in this segment. Second and third places went to mixed-use properties (17 %) and hotels (13 %).</w:t>
      </w:r>
    </w:p>
    <w:p w14:paraId="7CA80851" w14:textId="108ACA03" w:rsidR="00AF7477" w:rsidRDefault="00AF7477" w:rsidP="00384022">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When sorting transactions by </w:t>
      </w:r>
      <w:r>
        <w:rPr>
          <w:rFonts w:ascii="Arial" w:hAnsi="Arial"/>
          <w:sz w:val="20"/>
          <w:szCs w:val="20"/>
          <w:u w:val="single"/>
        </w:rPr>
        <w:t>size,</w:t>
      </w:r>
      <w:r>
        <w:rPr>
          <w:rFonts w:ascii="Arial" w:hAnsi="Arial"/>
          <w:sz w:val="20"/>
          <w:szCs w:val="20"/>
        </w:rPr>
        <w:t xml:space="preserve"> the dominance of large-volume trades in the €100m-plus bracket is apparent (67 % of total). In the same quarter of 2021 this category accounted for only 31 % of total trading.   </w:t>
      </w:r>
    </w:p>
    <w:p w14:paraId="02BC9173" w14:textId="2BADC469" w:rsidR="00F91F76" w:rsidRDefault="00384022" w:rsidP="00C7341F">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Accounting for 45 % of the volume traded, fund managers were the biggest single </w:t>
      </w:r>
      <w:r>
        <w:rPr>
          <w:rFonts w:ascii="Arial" w:hAnsi="Arial"/>
          <w:sz w:val="20"/>
          <w:szCs w:val="20"/>
          <w:u w:val="single"/>
        </w:rPr>
        <w:t>group of buyers</w:t>
      </w:r>
      <w:r>
        <w:rPr>
          <w:rFonts w:ascii="Arial" w:hAnsi="Arial"/>
          <w:sz w:val="20"/>
          <w:szCs w:val="20"/>
        </w:rPr>
        <w:t xml:space="preserve">. This unusual circumstance is due to the </w:t>
      </w:r>
      <w:proofErr w:type="spellStart"/>
      <w:r>
        <w:rPr>
          <w:rFonts w:ascii="Arial" w:hAnsi="Arial"/>
          <w:sz w:val="20"/>
          <w:szCs w:val="20"/>
        </w:rPr>
        <w:t>alstria</w:t>
      </w:r>
      <w:proofErr w:type="spellEnd"/>
      <w:r>
        <w:rPr>
          <w:rFonts w:ascii="Arial" w:hAnsi="Arial"/>
          <w:sz w:val="20"/>
          <w:szCs w:val="20"/>
        </w:rPr>
        <w:t xml:space="preserve"> portfolio sale.</w:t>
      </w:r>
    </w:p>
    <w:p w14:paraId="5BDEA611" w14:textId="4E75D2A2" w:rsidR="00C7341F" w:rsidRDefault="00F91F76" w:rsidP="00C7341F">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On the </w:t>
      </w:r>
      <w:r>
        <w:rPr>
          <w:rFonts w:ascii="Arial" w:hAnsi="Arial"/>
          <w:sz w:val="20"/>
          <w:szCs w:val="20"/>
          <w:u w:val="single"/>
        </w:rPr>
        <w:t>selling side</w:t>
      </w:r>
      <w:r>
        <w:rPr>
          <w:rFonts w:ascii="Arial" w:hAnsi="Arial"/>
          <w:sz w:val="20"/>
          <w:szCs w:val="20"/>
        </w:rPr>
        <w:t xml:space="preserve"> of the equation</w:t>
      </w:r>
      <w:r w:rsidR="00A0112E">
        <w:rPr>
          <w:rFonts w:ascii="Arial" w:hAnsi="Arial"/>
          <w:sz w:val="20"/>
          <w:szCs w:val="20"/>
        </w:rPr>
        <w:t>,</w:t>
      </w:r>
      <w:r>
        <w:rPr>
          <w:rFonts w:ascii="Arial" w:hAnsi="Arial"/>
          <w:sz w:val="20"/>
          <w:szCs w:val="20"/>
        </w:rPr>
        <w:t xml:space="preserve"> listed real estate investment AGs/REITs formed the biggest group with 27 % - likewise a result of the </w:t>
      </w:r>
      <w:proofErr w:type="spellStart"/>
      <w:r>
        <w:rPr>
          <w:rFonts w:ascii="Arial" w:hAnsi="Arial"/>
          <w:sz w:val="20"/>
          <w:szCs w:val="20"/>
        </w:rPr>
        <w:t>alstria</w:t>
      </w:r>
      <w:proofErr w:type="spellEnd"/>
      <w:r>
        <w:rPr>
          <w:rFonts w:ascii="Arial" w:hAnsi="Arial"/>
          <w:sz w:val="20"/>
          <w:szCs w:val="20"/>
        </w:rPr>
        <w:t xml:space="preserve"> trade. Developers (20 %) and insurance companies (14 ) followed. </w:t>
      </w:r>
    </w:p>
    <w:p w14:paraId="0E49DD8B" w14:textId="7041D492" w:rsidR="00F91F76" w:rsidRDefault="00F91F76" w:rsidP="00C7341F">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u w:val="single"/>
        </w:rPr>
        <w:t>International buyers</w:t>
      </w:r>
      <w:r>
        <w:rPr>
          <w:rFonts w:ascii="Arial" w:hAnsi="Arial"/>
          <w:sz w:val="20"/>
          <w:szCs w:val="20"/>
        </w:rPr>
        <w:t xml:space="preserve"> were strikingly active investors in Berlin, taking 83 % of the total volume traded (Q1 2021: 29 %). </w:t>
      </w:r>
    </w:p>
    <w:p w14:paraId="3344B014" w14:textId="77777777" w:rsidR="00E22D9B" w:rsidRPr="00E22D9B" w:rsidRDefault="00F91F76" w:rsidP="00FE6B84">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u w:val="single"/>
        </w:rPr>
        <w:t>Prime yields</w:t>
      </w:r>
      <w:r>
        <w:rPr>
          <w:rFonts w:ascii="Arial" w:hAnsi="Arial"/>
          <w:sz w:val="20"/>
          <w:szCs w:val="20"/>
        </w:rPr>
        <w:t xml:space="preserve"> remained low because investors have so few alternatives. On commercial buildings it remained unchanged at 2.8 %. The prime yield on offices slipped back 0.10 percentage points year on year to 2.6 %, on logistics properties it contracted by 0.35 percentage points to 3.4 %.  </w:t>
      </w:r>
    </w:p>
    <w:p w14:paraId="5684C98D" w14:textId="77777777" w:rsidR="00E22D9B" w:rsidRDefault="00E22D9B" w:rsidP="00E22D9B">
      <w:pPr>
        <w:spacing w:after="0" w:line="360" w:lineRule="auto"/>
        <w:textAlignment w:val="baseline"/>
        <w:rPr>
          <w:rFonts w:ascii="Arial" w:hAnsi="Arial"/>
          <w:sz w:val="20"/>
          <w:szCs w:val="20"/>
        </w:rPr>
      </w:pPr>
    </w:p>
    <w:p w14:paraId="6DA769F7" w14:textId="4FFA75C4" w:rsidR="008F0C4C" w:rsidRPr="00E22D9B" w:rsidRDefault="00F91F76" w:rsidP="00E22D9B">
      <w:pPr>
        <w:spacing w:after="0" w:line="360" w:lineRule="auto"/>
        <w:textAlignment w:val="baseline"/>
        <w:rPr>
          <w:rFonts w:ascii="Arial" w:hAnsi="Arial" w:cs="Arial"/>
          <w:sz w:val="20"/>
          <w:szCs w:val="20"/>
        </w:rPr>
      </w:pPr>
      <w:r w:rsidRPr="00E22D9B">
        <w:rPr>
          <w:rFonts w:ascii="Arial" w:hAnsi="Arial"/>
          <w:sz w:val="20"/>
          <w:szCs w:val="20"/>
        </w:rPr>
        <w:t xml:space="preserve">   </w:t>
      </w:r>
    </w:p>
    <w:p w14:paraId="0795C973" w14:textId="2756AF0E" w:rsidR="00C7341F" w:rsidRPr="008F0C4C" w:rsidRDefault="00C7341F" w:rsidP="008F0C4C">
      <w:pPr>
        <w:spacing w:after="0" w:line="360" w:lineRule="auto"/>
        <w:textAlignment w:val="baseline"/>
        <w:rPr>
          <w:rFonts w:ascii="Arial" w:hAnsi="Arial" w:cs="Arial"/>
          <w:sz w:val="20"/>
          <w:szCs w:val="20"/>
        </w:rPr>
      </w:pPr>
    </w:p>
    <w:tbl>
      <w:tblPr>
        <w:tblStyle w:val="TableGrid2"/>
        <w:tblpPr w:leftFromText="141" w:rightFromText="141" w:vertAnchor="text" w:horzAnchor="margin" w:tblpY="45"/>
        <w:tblW w:w="0" w:type="auto"/>
        <w:tblLook w:val="04A0" w:firstRow="1" w:lastRow="0" w:firstColumn="1" w:lastColumn="0" w:noHBand="0" w:noVBand="1"/>
      </w:tblPr>
      <w:tblGrid>
        <w:gridCol w:w="3964"/>
        <w:gridCol w:w="993"/>
      </w:tblGrid>
      <w:tr w:rsidR="00C7341F" w:rsidRPr="006F49D0" w14:paraId="2F4A79AC" w14:textId="77777777" w:rsidTr="00CF0163">
        <w:trPr>
          <w:trHeight w:val="283"/>
        </w:trPr>
        <w:tc>
          <w:tcPr>
            <w:tcW w:w="3964" w:type="dxa"/>
            <w:shd w:val="clear" w:color="auto" w:fill="000000" w:themeFill="text1"/>
          </w:tcPr>
          <w:p w14:paraId="185DEA24" w14:textId="1BB84E6A" w:rsidR="00C7341F" w:rsidRPr="004712BA" w:rsidRDefault="00C7341F" w:rsidP="00C86C02">
            <w:pPr>
              <w:widowControl w:val="0"/>
              <w:spacing w:before="60" w:after="60"/>
              <w:jc w:val="both"/>
              <w:rPr>
                <w:rFonts w:ascii="Arial" w:hAnsi="Arial" w:cs="Arial"/>
                <w:b/>
                <w:sz w:val="18"/>
                <w:szCs w:val="16"/>
              </w:rPr>
            </w:pPr>
            <w:r>
              <w:rPr>
                <w:rFonts w:ascii="Arial" w:hAnsi="Arial"/>
                <w:b/>
                <w:sz w:val="20"/>
                <w:szCs w:val="20"/>
              </w:rPr>
              <w:t>Investment market | Berlin</w:t>
            </w:r>
            <w:r>
              <w:t xml:space="preserve"> </w:t>
            </w:r>
            <w:r>
              <w:rPr>
                <w:rFonts w:ascii="Arial" w:hAnsi="Arial"/>
                <w:b/>
                <w:sz w:val="20"/>
                <w:szCs w:val="20"/>
              </w:rPr>
              <w:t>| 2022</w:t>
            </w:r>
          </w:p>
        </w:tc>
        <w:tc>
          <w:tcPr>
            <w:tcW w:w="993" w:type="dxa"/>
            <w:shd w:val="clear" w:color="auto" w:fill="000000" w:themeFill="text1"/>
          </w:tcPr>
          <w:p w14:paraId="65EC24BE" w14:textId="77777777" w:rsidR="00C7341F" w:rsidRPr="004712BA" w:rsidRDefault="00C7341F" w:rsidP="00927886">
            <w:pPr>
              <w:widowControl w:val="0"/>
              <w:spacing w:before="60" w:after="60"/>
              <w:jc w:val="center"/>
              <w:rPr>
                <w:rFonts w:ascii="Arial" w:hAnsi="Arial" w:cs="Arial"/>
                <w:b/>
                <w:sz w:val="18"/>
                <w:szCs w:val="16"/>
              </w:rPr>
            </w:pPr>
            <w:r>
              <w:rPr>
                <w:rFonts w:ascii="Arial" w:hAnsi="Arial"/>
                <w:b/>
                <w:sz w:val="18"/>
                <w:szCs w:val="16"/>
              </w:rPr>
              <w:t>Q1</w:t>
            </w:r>
          </w:p>
        </w:tc>
      </w:tr>
      <w:tr w:rsidR="00C7341F" w:rsidRPr="006F49D0" w14:paraId="42F788D0" w14:textId="77777777" w:rsidTr="00CF0163">
        <w:trPr>
          <w:trHeight w:val="193"/>
        </w:trPr>
        <w:tc>
          <w:tcPr>
            <w:tcW w:w="3964" w:type="dxa"/>
          </w:tcPr>
          <w:p w14:paraId="572A7D7F"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 xml:space="preserve">Transaction volume </w:t>
            </w:r>
            <w:r>
              <w:rPr>
                <w:rFonts w:ascii="Arial" w:hAnsi="Arial"/>
                <w:sz w:val="18"/>
                <w:szCs w:val="16"/>
              </w:rPr>
              <w:t>[€ millions]</w:t>
            </w:r>
          </w:p>
        </w:tc>
        <w:tc>
          <w:tcPr>
            <w:tcW w:w="993" w:type="dxa"/>
            <w:vAlign w:val="center"/>
          </w:tcPr>
          <w:p w14:paraId="141D4BF4" w14:textId="55318BF5" w:rsidR="00C7341F" w:rsidRPr="00E771E0" w:rsidRDefault="00384022" w:rsidP="00927886">
            <w:pPr>
              <w:widowControl w:val="0"/>
              <w:spacing w:before="40" w:after="40"/>
              <w:jc w:val="right"/>
              <w:rPr>
                <w:rFonts w:ascii="Arial" w:hAnsi="Arial" w:cs="Arial"/>
                <w:sz w:val="18"/>
                <w:szCs w:val="16"/>
              </w:rPr>
            </w:pPr>
            <w:r>
              <w:rPr>
                <w:rFonts w:ascii="Arial" w:hAnsi="Arial"/>
                <w:sz w:val="18"/>
                <w:szCs w:val="16"/>
              </w:rPr>
              <w:t>2,300</w:t>
            </w:r>
          </w:p>
        </w:tc>
      </w:tr>
      <w:tr w:rsidR="00C7341F" w:rsidRPr="006F49D0" w14:paraId="77D40A98" w14:textId="77777777" w:rsidTr="00CF0163">
        <w:trPr>
          <w:trHeight w:val="283"/>
        </w:trPr>
        <w:tc>
          <w:tcPr>
            <w:tcW w:w="3964" w:type="dxa"/>
          </w:tcPr>
          <w:p w14:paraId="2D485DBE" w14:textId="77777777" w:rsidR="00C7341F" w:rsidRPr="00A7575D" w:rsidRDefault="00C7341F" w:rsidP="00927886">
            <w:pPr>
              <w:widowControl w:val="0"/>
              <w:spacing w:before="40" w:after="40"/>
              <w:jc w:val="both"/>
              <w:rPr>
                <w:rFonts w:ascii="Arial" w:hAnsi="Arial" w:cs="Arial"/>
                <w:sz w:val="18"/>
                <w:szCs w:val="16"/>
              </w:rPr>
            </w:pPr>
            <w:r>
              <w:rPr>
                <w:rFonts w:ascii="Arial" w:hAnsi="Arial"/>
                <w:sz w:val="18"/>
                <w:szCs w:val="16"/>
              </w:rPr>
              <w:lastRenderedPageBreak/>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993" w:type="dxa"/>
            <w:vAlign w:val="center"/>
          </w:tcPr>
          <w:p w14:paraId="4C41151E" w14:textId="280A77AC" w:rsidR="00C7341F" w:rsidRPr="00E771E0" w:rsidRDefault="00384022" w:rsidP="00927886">
            <w:pPr>
              <w:widowControl w:val="0"/>
              <w:spacing w:before="40" w:after="40"/>
              <w:jc w:val="right"/>
              <w:rPr>
                <w:rFonts w:ascii="Arial" w:hAnsi="Arial" w:cs="Arial"/>
                <w:sz w:val="18"/>
                <w:szCs w:val="16"/>
              </w:rPr>
            </w:pPr>
            <w:r>
              <w:rPr>
                <w:rFonts w:ascii="Arial" w:hAnsi="Arial"/>
                <w:sz w:val="18"/>
                <w:szCs w:val="16"/>
              </w:rPr>
              <w:t>+171</w:t>
            </w:r>
          </w:p>
        </w:tc>
      </w:tr>
      <w:tr w:rsidR="00C7341F" w:rsidRPr="006F49D0" w14:paraId="297EB5D3" w14:textId="77777777" w:rsidTr="00CF0163">
        <w:trPr>
          <w:trHeight w:val="283"/>
        </w:trPr>
        <w:tc>
          <w:tcPr>
            <w:tcW w:w="3964" w:type="dxa"/>
          </w:tcPr>
          <w:p w14:paraId="4DA1F0EA" w14:textId="77777777" w:rsidR="00C7341F" w:rsidRPr="00CF57DD" w:rsidRDefault="00C7341F" w:rsidP="00927886">
            <w:pPr>
              <w:widowControl w:val="0"/>
              <w:spacing w:before="40" w:after="40"/>
              <w:jc w:val="both"/>
              <w:rPr>
                <w:rFonts w:ascii="Arial" w:hAnsi="Arial" w:cs="Arial"/>
                <w:b/>
                <w:sz w:val="18"/>
                <w:szCs w:val="16"/>
              </w:rPr>
            </w:pPr>
            <w:r>
              <w:rPr>
                <w:rFonts w:ascii="Arial" w:hAnsi="Arial"/>
                <w:b/>
                <w:sz w:val="18"/>
                <w:szCs w:val="16"/>
              </w:rPr>
              <w:t>Proportion of international investors</w:t>
            </w:r>
            <w:r>
              <w:rPr>
                <w:rFonts w:ascii="Arial" w:hAnsi="Arial"/>
                <w:sz w:val="18"/>
                <w:szCs w:val="16"/>
              </w:rPr>
              <w:t xml:space="preserve"> [%]</w:t>
            </w:r>
          </w:p>
        </w:tc>
        <w:tc>
          <w:tcPr>
            <w:tcW w:w="993" w:type="dxa"/>
            <w:vAlign w:val="center"/>
          </w:tcPr>
          <w:p w14:paraId="58A41321" w14:textId="22C3A111" w:rsidR="00C7341F" w:rsidRPr="00E771E0" w:rsidRDefault="00384022" w:rsidP="00927886">
            <w:pPr>
              <w:widowControl w:val="0"/>
              <w:spacing w:before="40" w:after="40"/>
              <w:jc w:val="right"/>
              <w:rPr>
                <w:rFonts w:ascii="Arial" w:hAnsi="Arial" w:cs="Arial"/>
                <w:sz w:val="18"/>
                <w:szCs w:val="16"/>
              </w:rPr>
            </w:pPr>
            <w:r>
              <w:rPr>
                <w:rFonts w:ascii="Arial" w:hAnsi="Arial"/>
                <w:sz w:val="18"/>
                <w:szCs w:val="16"/>
              </w:rPr>
              <w:t>83</w:t>
            </w:r>
          </w:p>
        </w:tc>
      </w:tr>
      <w:tr w:rsidR="00C7341F" w:rsidRPr="006F49D0" w14:paraId="7A04E1EC" w14:textId="77777777" w:rsidTr="00CF0163">
        <w:trPr>
          <w:trHeight w:val="283"/>
        </w:trPr>
        <w:tc>
          <w:tcPr>
            <w:tcW w:w="3964" w:type="dxa"/>
          </w:tcPr>
          <w:p w14:paraId="7D123B83"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Prime net yield, office</w:t>
            </w:r>
            <w:r>
              <w:rPr>
                <w:rFonts w:ascii="Arial" w:hAnsi="Arial"/>
                <w:sz w:val="18"/>
                <w:szCs w:val="16"/>
              </w:rPr>
              <w:t xml:space="preserve"> [%]</w:t>
            </w:r>
          </w:p>
        </w:tc>
        <w:tc>
          <w:tcPr>
            <w:tcW w:w="993" w:type="dxa"/>
            <w:vAlign w:val="center"/>
          </w:tcPr>
          <w:p w14:paraId="3F8204F4" w14:textId="4BF8F5D3" w:rsidR="00C7341F" w:rsidRPr="00E771E0" w:rsidRDefault="00384022" w:rsidP="00927886">
            <w:pPr>
              <w:widowControl w:val="0"/>
              <w:spacing w:before="40" w:after="40"/>
              <w:jc w:val="right"/>
              <w:rPr>
                <w:rFonts w:ascii="Arial" w:hAnsi="Arial" w:cs="Arial"/>
                <w:sz w:val="18"/>
                <w:szCs w:val="16"/>
              </w:rPr>
            </w:pPr>
            <w:r>
              <w:rPr>
                <w:rFonts w:ascii="Arial" w:hAnsi="Arial"/>
                <w:sz w:val="18"/>
                <w:szCs w:val="16"/>
              </w:rPr>
              <w:t>2.6</w:t>
            </w:r>
          </w:p>
        </w:tc>
      </w:tr>
      <w:tr w:rsidR="00C7341F" w14:paraId="412D1554" w14:textId="77777777" w:rsidTr="00CF0163">
        <w:trPr>
          <w:trHeight w:val="283"/>
        </w:trPr>
        <w:tc>
          <w:tcPr>
            <w:tcW w:w="3964" w:type="dxa"/>
          </w:tcPr>
          <w:p w14:paraId="285C2069" w14:textId="77777777" w:rsidR="00C7341F" w:rsidRPr="00A7575D"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7154116A" w14:textId="560AE5EA" w:rsidR="00C7341F" w:rsidRPr="00E771E0" w:rsidRDefault="00384022" w:rsidP="00927886">
            <w:pPr>
              <w:widowControl w:val="0"/>
              <w:spacing w:before="40" w:after="40"/>
              <w:jc w:val="right"/>
              <w:rPr>
                <w:rFonts w:ascii="Arial" w:hAnsi="Arial" w:cs="Arial"/>
                <w:sz w:val="18"/>
                <w:szCs w:val="16"/>
              </w:rPr>
            </w:pPr>
            <w:r>
              <w:rPr>
                <w:rFonts w:ascii="Arial" w:hAnsi="Arial"/>
                <w:sz w:val="18"/>
                <w:szCs w:val="16"/>
              </w:rPr>
              <w:t>-0.10</w:t>
            </w:r>
          </w:p>
        </w:tc>
      </w:tr>
      <w:tr w:rsidR="00C7341F" w:rsidRPr="006F49D0" w14:paraId="1F3F0D4C" w14:textId="77777777" w:rsidTr="00CF0163">
        <w:trPr>
          <w:trHeight w:val="283"/>
        </w:trPr>
        <w:tc>
          <w:tcPr>
            <w:tcW w:w="3964" w:type="dxa"/>
          </w:tcPr>
          <w:p w14:paraId="7998213C"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Prime net yield, commercial buildings</w:t>
            </w:r>
            <w:r>
              <w:rPr>
                <w:rFonts w:ascii="Arial" w:hAnsi="Arial"/>
                <w:sz w:val="18"/>
                <w:szCs w:val="16"/>
              </w:rPr>
              <w:t xml:space="preserve"> [%]</w:t>
            </w:r>
          </w:p>
        </w:tc>
        <w:tc>
          <w:tcPr>
            <w:tcW w:w="993" w:type="dxa"/>
            <w:vAlign w:val="center"/>
          </w:tcPr>
          <w:p w14:paraId="5C400650" w14:textId="0312BFEB" w:rsidR="00C7341F" w:rsidRPr="00F67E03" w:rsidRDefault="00384022" w:rsidP="00927886">
            <w:pPr>
              <w:widowControl w:val="0"/>
              <w:spacing w:before="40" w:after="40"/>
              <w:jc w:val="right"/>
              <w:rPr>
                <w:rFonts w:ascii="Arial" w:hAnsi="Arial" w:cs="Arial"/>
                <w:sz w:val="18"/>
                <w:szCs w:val="16"/>
              </w:rPr>
            </w:pPr>
            <w:r>
              <w:rPr>
                <w:rFonts w:ascii="Arial" w:hAnsi="Arial"/>
                <w:sz w:val="18"/>
                <w:szCs w:val="16"/>
              </w:rPr>
              <w:t>2.8</w:t>
            </w:r>
          </w:p>
        </w:tc>
      </w:tr>
      <w:tr w:rsidR="00C7341F" w14:paraId="7E04E2D1" w14:textId="77777777" w:rsidTr="00CF0163">
        <w:trPr>
          <w:trHeight w:val="283"/>
        </w:trPr>
        <w:tc>
          <w:tcPr>
            <w:tcW w:w="3964" w:type="dxa"/>
          </w:tcPr>
          <w:p w14:paraId="50EDD51B" w14:textId="77777777" w:rsidR="00C7341F" w:rsidRPr="00A7575D"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4F154500" w14:textId="2572155C" w:rsidR="00C7341F" w:rsidRPr="00F67E03" w:rsidRDefault="00384022" w:rsidP="00927886">
            <w:pPr>
              <w:widowControl w:val="0"/>
              <w:spacing w:before="40" w:after="40"/>
              <w:jc w:val="right"/>
              <w:rPr>
                <w:rFonts w:ascii="Arial" w:hAnsi="Arial" w:cs="Arial"/>
                <w:sz w:val="18"/>
                <w:szCs w:val="16"/>
              </w:rPr>
            </w:pPr>
            <w:r>
              <w:rPr>
                <w:rFonts w:ascii="Arial" w:hAnsi="Arial"/>
                <w:sz w:val="18"/>
                <w:szCs w:val="16"/>
              </w:rPr>
              <w:t>±0.00</w:t>
            </w:r>
          </w:p>
        </w:tc>
      </w:tr>
      <w:tr w:rsidR="00C7341F" w:rsidRPr="006F49D0" w14:paraId="661023F9" w14:textId="77777777" w:rsidTr="00CF0163">
        <w:trPr>
          <w:trHeight w:val="283"/>
        </w:trPr>
        <w:tc>
          <w:tcPr>
            <w:tcW w:w="3964" w:type="dxa"/>
          </w:tcPr>
          <w:p w14:paraId="1C7E799E"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Prime net yield, logistics properties</w:t>
            </w:r>
            <w:r>
              <w:rPr>
                <w:rFonts w:ascii="Arial" w:hAnsi="Arial"/>
                <w:sz w:val="18"/>
                <w:szCs w:val="16"/>
              </w:rPr>
              <w:t xml:space="preserve"> [%]</w:t>
            </w:r>
          </w:p>
        </w:tc>
        <w:tc>
          <w:tcPr>
            <w:tcW w:w="993" w:type="dxa"/>
            <w:vAlign w:val="center"/>
          </w:tcPr>
          <w:p w14:paraId="3B0C6875" w14:textId="62485217" w:rsidR="00C7341F" w:rsidRPr="00F67E03" w:rsidRDefault="00384022" w:rsidP="00927886">
            <w:pPr>
              <w:widowControl w:val="0"/>
              <w:spacing w:before="40" w:after="40"/>
              <w:jc w:val="right"/>
              <w:rPr>
                <w:rFonts w:ascii="Arial" w:hAnsi="Arial" w:cs="Arial"/>
                <w:sz w:val="18"/>
                <w:szCs w:val="16"/>
              </w:rPr>
            </w:pPr>
            <w:r>
              <w:rPr>
                <w:rFonts w:ascii="Arial" w:hAnsi="Arial"/>
                <w:sz w:val="18"/>
                <w:szCs w:val="16"/>
              </w:rPr>
              <w:t>3.4</w:t>
            </w:r>
          </w:p>
        </w:tc>
      </w:tr>
      <w:tr w:rsidR="00C7341F" w14:paraId="63C42E15" w14:textId="77777777" w:rsidTr="00CF0163">
        <w:trPr>
          <w:trHeight w:val="283"/>
        </w:trPr>
        <w:tc>
          <w:tcPr>
            <w:tcW w:w="3964" w:type="dxa"/>
          </w:tcPr>
          <w:p w14:paraId="1440EEA3" w14:textId="77777777" w:rsidR="00C7341F" w:rsidRPr="00A7575D"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1A0F9B44" w14:textId="6668166D" w:rsidR="00C7341F" w:rsidRPr="00F67E03" w:rsidRDefault="00384022" w:rsidP="00927886">
            <w:pPr>
              <w:widowControl w:val="0"/>
              <w:spacing w:before="40" w:after="40"/>
              <w:jc w:val="right"/>
              <w:rPr>
                <w:rFonts w:ascii="Arial" w:hAnsi="Arial" w:cs="Arial"/>
                <w:sz w:val="18"/>
                <w:szCs w:val="16"/>
              </w:rPr>
            </w:pPr>
            <w:r>
              <w:rPr>
                <w:rFonts w:ascii="Arial" w:hAnsi="Arial"/>
                <w:sz w:val="18"/>
                <w:szCs w:val="16"/>
              </w:rPr>
              <w:t>-0.35</w:t>
            </w:r>
          </w:p>
        </w:tc>
      </w:tr>
      <w:tr w:rsidR="00C7341F" w:rsidRPr="006F49D0" w14:paraId="07A2DDCA" w14:textId="77777777" w:rsidTr="00CF0163">
        <w:trPr>
          <w:trHeight w:val="283"/>
        </w:trPr>
        <w:tc>
          <w:tcPr>
            <w:tcW w:w="3964" w:type="dxa"/>
            <w:tcBorders>
              <w:bottom w:val="single" w:sz="4" w:space="0" w:color="auto"/>
            </w:tcBorders>
          </w:tcPr>
          <w:p w14:paraId="7828C62D"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Strongest asset class</w:t>
            </w:r>
          </w:p>
        </w:tc>
        <w:tc>
          <w:tcPr>
            <w:tcW w:w="993" w:type="dxa"/>
            <w:tcBorders>
              <w:bottom w:val="single" w:sz="4" w:space="0" w:color="auto"/>
            </w:tcBorders>
            <w:vAlign w:val="center"/>
          </w:tcPr>
          <w:p w14:paraId="4F47916D" w14:textId="305F0C6A" w:rsidR="00C7341F" w:rsidRPr="00F67E03" w:rsidRDefault="00384022" w:rsidP="00927886">
            <w:pPr>
              <w:widowControl w:val="0"/>
              <w:spacing w:before="40" w:after="40"/>
              <w:jc w:val="right"/>
              <w:rPr>
                <w:rFonts w:ascii="Arial" w:hAnsi="Arial" w:cs="Arial"/>
                <w:sz w:val="18"/>
                <w:szCs w:val="16"/>
              </w:rPr>
            </w:pPr>
            <w:r>
              <w:rPr>
                <w:rFonts w:ascii="Arial" w:hAnsi="Arial"/>
                <w:sz w:val="18"/>
                <w:szCs w:val="16"/>
              </w:rPr>
              <w:t>Offices</w:t>
            </w:r>
          </w:p>
        </w:tc>
      </w:tr>
      <w:tr w:rsidR="00C7341F" w:rsidRPr="006F49D0" w14:paraId="6440AD70" w14:textId="77777777" w:rsidTr="00CF0163">
        <w:trPr>
          <w:trHeight w:val="283"/>
        </w:trPr>
        <w:tc>
          <w:tcPr>
            <w:tcW w:w="3964" w:type="dxa"/>
            <w:tcBorders>
              <w:bottom w:val="single" w:sz="4" w:space="0" w:color="auto"/>
            </w:tcBorders>
          </w:tcPr>
          <w:p w14:paraId="0E234409"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Strongest asset class</w:t>
            </w:r>
            <w:r>
              <w:rPr>
                <w:rFonts w:ascii="Arial" w:hAnsi="Arial"/>
                <w:sz w:val="18"/>
                <w:szCs w:val="16"/>
              </w:rPr>
              <w:t xml:space="preserve"> [%]</w:t>
            </w:r>
          </w:p>
        </w:tc>
        <w:tc>
          <w:tcPr>
            <w:tcW w:w="993" w:type="dxa"/>
            <w:tcBorders>
              <w:bottom w:val="single" w:sz="4" w:space="0" w:color="auto"/>
            </w:tcBorders>
            <w:vAlign w:val="center"/>
          </w:tcPr>
          <w:p w14:paraId="79F5C2D7" w14:textId="51149558" w:rsidR="00C7341F" w:rsidRPr="00F67E03" w:rsidRDefault="00384022" w:rsidP="00927886">
            <w:pPr>
              <w:widowControl w:val="0"/>
              <w:spacing w:before="40" w:after="40"/>
              <w:jc w:val="right"/>
              <w:rPr>
                <w:rFonts w:ascii="Arial" w:hAnsi="Arial" w:cs="Arial"/>
                <w:sz w:val="18"/>
                <w:szCs w:val="16"/>
              </w:rPr>
            </w:pPr>
            <w:r>
              <w:rPr>
                <w:rFonts w:ascii="Arial" w:hAnsi="Arial"/>
                <w:sz w:val="18"/>
                <w:szCs w:val="16"/>
              </w:rPr>
              <w:t>59</w:t>
            </w:r>
          </w:p>
        </w:tc>
      </w:tr>
    </w:tbl>
    <w:p w14:paraId="3310AD6B" w14:textId="6329C6D5" w:rsidR="00E22D9B" w:rsidRPr="00E22D9B" w:rsidRDefault="00E22D9B" w:rsidP="00E22D9B">
      <w:pPr>
        <w:spacing w:after="0" w:line="360" w:lineRule="auto"/>
        <w:textAlignment w:val="baseline"/>
        <w:rPr>
          <w:rFonts w:ascii="Arial" w:eastAsia="Arial" w:hAnsi="Arial" w:cs="Arial"/>
          <w:color w:val="000000" w:themeColor="text1"/>
          <w:sz w:val="20"/>
          <w:szCs w:val="20"/>
        </w:rPr>
      </w:pPr>
      <w:r w:rsidRPr="00E22D9B">
        <w:rPr>
          <w:rFonts w:ascii="Arial" w:eastAsia="Arial" w:hAnsi="Arial" w:cs="Arial"/>
          <w:noProof/>
          <w:color w:val="000000" w:themeColor="text1"/>
          <w:sz w:val="20"/>
          <w:szCs w:val="20"/>
          <w:lang w:val="de-DE" w:eastAsia="de-DE"/>
        </w:rPr>
        <w:drawing>
          <wp:inline distT="0" distB="0" distL="0" distR="0" wp14:anchorId="1F8CFC55" wp14:editId="4DA948A3">
            <wp:extent cx="2830664" cy="2016582"/>
            <wp:effectExtent l="0" t="0" r="8255" b="3175"/>
            <wp:docPr id="3" name="Grafik 3" descr="N:\Presse\5_PresseMITTEILUNGEN\Marktbericht Investment BERLIN\2022\2022 Q1\Grafiken\TAV_Berlin_2022Q1_P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e\5_PresseMITTEILUNGEN\Marktbericht Investment BERLIN\2022\2022 Q1\Grafiken\TAV_Berlin_2022Q1_PM_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8593" cy="2029355"/>
                    </a:xfrm>
                    <a:prstGeom prst="rect">
                      <a:avLst/>
                    </a:prstGeom>
                    <a:noFill/>
                    <a:ln>
                      <a:noFill/>
                    </a:ln>
                  </pic:spPr>
                </pic:pic>
              </a:graphicData>
            </a:graphic>
          </wp:inline>
        </w:drawing>
      </w:r>
      <w:bookmarkStart w:id="0" w:name="_GoBack"/>
      <w:bookmarkEnd w:id="0"/>
    </w:p>
    <w:p w14:paraId="27AFED95" w14:textId="77777777" w:rsidR="00E22D9B" w:rsidRDefault="00E22D9B" w:rsidP="00C7341F">
      <w:pPr>
        <w:rPr>
          <w:rFonts w:ascii="Arial" w:hAnsi="Arial"/>
          <w:b/>
          <w:sz w:val="20"/>
          <w:szCs w:val="20"/>
        </w:rPr>
      </w:pPr>
    </w:p>
    <w:p w14:paraId="56113726" w14:textId="77777777" w:rsidR="00E22D9B" w:rsidRDefault="00E22D9B" w:rsidP="00C7341F">
      <w:pPr>
        <w:rPr>
          <w:rFonts w:ascii="Arial" w:hAnsi="Arial"/>
          <w:b/>
          <w:sz w:val="20"/>
          <w:szCs w:val="20"/>
        </w:rPr>
      </w:pPr>
    </w:p>
    <w:p w14:paraId="4582D23C" w14:textId="7C5B4FCC" w:rsidR="00C7341F" w:rsidRPr="00A0600B" w:rsidRDefault="00C7341F" w:rsidP="00C7341F">
      <w:pPr>
        <w:rPr>
          <w:rFonts w:ascii="Arial" w:hAnsi="Arial" w:cs="Arial"/>
          <w:b/>
          <w:sz w:val="20"/>
          <w:szCs w:val="20"/>
        </w:rPr>
      </w:pPr>
      <w:r>
        <w:rPr>
          <w:rFonts w:ascii="Arial" w:hAnsi="Arial"/>
          <w:b/>
          <w:sz w:val="20"/>
          <w:szCs w:val="20"/>
        </w:rPr>
        <w:t>Selected top transactions | investments in Berlin | 1st quarter of 2022</w:t>
      </w:r>
    </w:p>
    <w:tbl>
      <w:tblPr>
        <w:tblStyle w:val="TableGrid1"/>
        <w:tblpPr w:leftFromText="141" w:rightFromText="141" w:vertAnchor="text" w:horzAnchor="margin" w:tblpY="61"/>
        <w:tblW w:w="9776" w:type="dxa"/>
        <w:tblLayout w:type="fixed"/>
        <w:tblLook w:val="04A0" w:firstRow="1" w:lastRow="0" w:firstColumn="1" w:lastColumn="0" w:noHBand="0" w:noVBand="1"/>
      </w:tblPr>
      <w:tblGrid>
        <w:gridCol w:w="2830"/>
        <w:gridCol w:w="1418"/>
        <w:gridCol w:w="992"/>
        <w:gridCol w:w="1985"/>
        <w:gridCol w:w="1417"/>
        <w:gridCol w:w="1134"/>
      </w:tblGrid>
      <w:tr w:rsidR="00C7341F" w:rsidRPr="006F49D0" w14:paraId="4F21D6DF" w14:textId="77777777" w:rsidTr="00210B56">
        <w:trPr>
          <w:trHeight w:val="567"/>
        </w:trPr>
        <w:tc>
          <w:tcPr>
            <w:tcW w:w="2830" w:type="dxa"/>
            <w:shd w:val="clear" w:color="auto" w:fill="000000" w:themeFill="text1"/>
            <w:vAlign w:val="center"/>
          </w:tcPr>
          <w:p w14:paraId="46C82216" w14:textId="77777777" w:rsidR="00C7341F" w:rsidRPr="00C7341F" w:rsidRDefault="00C7341F" w:rsidP="0012484F">
            <w:pPr>
              <w:spacing w:after="0"/>
              <w:jc w:val="center"/>
              <w:rPr>
                <w:rFonts w:ascii="Arial" w:hAnsi="Arial" w:cs="Arial"/>
                <w:b/>
                <w:color w:val="FFFFFF" w:themeColor="background1"/>
                <w:sz w:val="18"/>
                <w:szCs w:val="16"/>
              </w:rPr>
            </w:pPr>
            <w:r>
              <w:rPr>
                <w:rFonts w:ascii="Arial" w:hAnsi="Arial"/>
                <w:b/>
                <w:color w:val="FFFFFF" w:themeColor="background1"/>
                <w:sz w:val="18"/>
                <w:szCs w:val="16"/>
              </w:rPr>
              <w:t>Project/property</w:t>
            </w:r>
          </w:p>
          <w:p w14:paraId="06D07B1D" w14:textId="77777777" w:rsidR="00C7341F" w:rsidRPr="00C7341F" w:rsidRDefault="00C7341F" w:rsidP="0012484F">
            <w:pPr>
              <w:spacing w:after="0"/>
              <w:jc w:val="center"/>
              <w:rPr>
                <w:rFonts w:ascii="Arial" w:hAnsi="Arial" w:cs="Arial"/>
                <w:b/>
                <w:color w:val="FFFFFF" w:themeColor="background1"/>
                <w:sz w:val="18"/>
                <w:szCs w:val="16"/>
              </w:rPr>
            </w:pPr>
            <w:r>
              <w:rPr>
                <w:rFonts w:ascii="Arial" w:hAnsi="Arial"/>
                <w:b/>
                <w:color w:val="FFFFFF" w:themeColor="background1"/>
                <w:sz w:val="18"/>
                <w:szCs w:val="16"/>
              </w:rPr>
              <w:t>Street no.</w:t>
            </w:r>
          </w:p>
        </w:tc>
        <w:tc>
          <w:tcPr>
            <w:tcW w:w="1418" w:type="dxa"/>
            <w:shd w:val="clear" w:color="auto" w:fill="000000" w:themeFill="text1"/>
          </w:tcPr>
          <w:p w14:paraId="070FC834" w14:textId="62260587" w:rsidR="00C7341F" w:rsidRPr="00C7341F" w:rsidRDefault="0012484F" w:rsidP="0012484F">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br/>
              <w:t>Sub-market</w:t>
            </w:r>
          </w:p>
        </w:tc>
        <w:tc>
          <w:tcPr>
            <w:tcW w:w="992" w:type="dxa"/>
            <w:shd w:val="clear" w:color="auto" w:fill="000000" w:themeFill="text1"/>
          </w:tcPr>
          <w:p w14:paraId="03801D01" w14:textId="1EDECB39" w:rsidR="00C7341F" w:rsidRPr="00C7341F" w:rsidRDefault="0012484F" w:rsidP="0012484F">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br/>
              <w:t>Asset class</w:t>
            </w:r>
          </w:p>
        </w:tc>
        <w:tc>
          <w:tcPr>
            <w:tcW w:w="1985" w:type="dxa"/>
            <w:shd w:val="clear" w:color="auto" w:fill="000000" w:themeFill="text1"/>
            <w:vAlign w:val="center"/>
          </w:tcPr>
          <w:p w14:paraId="64E565FC" w14:textId="77777777" w:rsidR="00C7341F" w:rsidRPr="00C7341F" w:rsidRDefault="00C7341F" w:rsidP="0012484F">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t>Buyer/investor</w:t>
            </w:r>
          </w:p>
        </w:tc>
        <w:tc>
          <w:tcPr>
            <w:tcW w:w="1417" w:type="dxa"/>
            <w:shd w:val="clear" w:color="auto" w:fill="000000" w:themeFill="text1"/>
            <w:vAlign w:val="center"/>
          </w:tcPr>
          <w:p w14:paraId="4F865E58" w14:textId="77777777" w:rsidR="00C7341F" w:rsidRPr="00C7341F" w:rsidRDefault="00C7341F" w:rsidP="0012484F">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t>Vendor</w:t>
            </w:r>
          </w:p>
        </w:tc>
        <w:tc>
          <w:tcPr>
            <w:tcW w:w="1134" w:type="dxa"/>
            <w:shd w:val="clear" w:color="auto" w:fill="000000" w:themeFill="text1"/>
            <w:vAlign w:val="center"/>
          </w:tcPr>
          <w:p w14:paraId="70DE4216" w14:textId="39935B56" w:rsidR="00C7341F" w:rsidRPr="00C7341F" w:rsidRDefault="00C7341F" w:rsidP="0012484F">
            <w:pPr>
              <w:widowControl w:val="0"/>
              <w:spacing w:before="60" w:after="0"/>
              <w:jc w:val="center"/>
              <w:rPr>
                <w:rFonts w:ascii="Arial" w:hAnsi="Arial" w:cs="Arial"/>
                <w:b/>
                <w:color w:val="FFFFFF" w:themeColor="background1"/>
                <w:sz w:val="18"/>
                <w:szCs w:val="16"/>
              </w:rPr>
            </w:pPr>
            <w:r>
              <w:rPr>
                <w:rFonts w:ascii="Arial" w:hAnsi="Arial"/>
                <w:b/>
                <w:color w:val="FFFFFF" w:themeColor="background1"/>
                <w:sz w:val="18"/>
                <w:szCs w:val="16"/>
              </w:rPr>
              <w:t>Purchase price*</w:t>
            </w:r>
          </w:p>
          <w:p w14:paraId="199A4A51" w14:textId="77777777" w:rsidR="00C7341F" w:rsidRPr="00C7341F" w:rsidRDefault="00C7341F" w:rsidP="0012484F">
            <w:pPr>
              <w:widowControl w:val="0"/>
              <w:spacing w:before="60" w:after="0"/>
              <w:jc w:val="center"/>
              <w:rPr>
                <w:rFonts w:ascii="Arial" w:hAnsi="Arial" w:cs="Arial"/>
                <w:b/>
                <w:color w:val="FFFFFF" w:themeColor="background1"/>
                <w:sz w:val="18"/>
                <w:szCs w:val="16"/>
              </w:rPr>
            </w:pPr>
            <w:r>
              <w:rPr>
                <w:rFonts w:ascii="Arial" w:hAnsi="Arial"/>
                <w:color w:val="FFFFFF" w:themeColor="background1"/>
                <w:sz w:val="18"/>
                <w:szCs w:val="16"/>
              </w:rPr>
              <w:t>[approx. €m]</w:t>
            </w:r>
          </w:p>
        </w:tc>
      </w:tr>
      <w:tr w:rsidR="00C7341F" w:rsidRPr="00F2414C" w14:paraId="4DEF231D" w14:textId="77777777" w:rsidTr="00210B56">
        <w:trPr>
          <w:trHeight w:val="567"/>
        </w:trPr>
        <w:tc>
          <w:tcPr>
            <w:tcW w:w="2830" w:type="dxa"/>
            <w:shd w:val="clear" w:color="auto" w:fill="auto"/>
            <w:vAlign w:val="center"/>
          </w:tcPr>
          <w:p w14:paraId="58E408B5" w14:textId="61CB8016" w:rsidR="00C7341F" w:rsidRPr="00CA462D" w:rsidRDefault="00210B56" w:rsidP="00210B56">
            <w:pPr>
              <w:widowControl w:val="0"/>
              <w:spacing w:after="0"/>
              <w:rPr>
                <w:rFonts w:ascii="Arial" w:hAnsi="Arial" w:cs="Arial"/>
                <w:color w:val="000000" w:themeColor="text1"/>
                <w:sz w:val="18"/>
                <w:szCs w:val="18"/>
              </w:rPr>
            </w:pPr>
            <w:r>
              <w:rPr>
                <w:rFonts w:ascii="Arial" w:hAnsi="Arial"/>
                <w:color w:val="000000" w:themeColor="text1"/>
                <w:sz w:val="18"/>
                <w:szCs w:val="18"/>
              </w:rPr>
              <w:t>“Sheraton Berlin Grand Hotel”,</w:t>
            </w:r>
            <w:r>
              <w:t xml:space="preserve"> </w:t>
            </w:r>
            <w:proofErr w:type="spellStart"/>
            <w:r>
              <w:rPr>
                <w:rFonts w:ascii="Arial" w:hAnsi="Arial"/>
                <w:color w:val="000000" w:themeColor="text1"/>
                <w:sz w:val="18"/>
                <w:szCs w:val="18"/>
              </w:rPr>
              <w:t>Lützowufer</w:t>
            </w:r>
            <w:proofErr w:type="spellEnd"/>
            <w:r>
              <w:rPr>
                <w:rFonts w:ascii="Arial" w:hAnsi="Arial"/>
                <w:color w:val="000000" w:themeColor="text1"/>
                <w:sz w:val="18"/>
                <w:szCs w:val="18"/>
              </w:rPr>
              <w:t xml:space="preserve"> 15</w:t>
            </w:r>
          </w:p>
        </w:tc>
        <w:tc>
          <w:tcPr>
            <w:tcW w:w="1418" w:type="dxa"/>
            <w:shd w:val="clear" w:color="auto" w:fill="auto"/>
            <w:vAlign w:val="center"/>
          </w:tcPr>
          <w:p w14:paraId="3F2EE2F1" w14:textId="55379127" w:rsidR="00C7341F" w:rsidRPr="00CA462D" w:rsidRDefault="00210B56" w:rsidP="00927886">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Kreuzberg</w:t>
            </w:r>
            <w:proofErr w:type="spellEnd"/>
          </w:p>
        </w:tc>
        <w:tc>
          <w:tcPr>
            <w:tcW w:w="992" w:type="dxa"/>
            <w:shd w:val="clear" w:color="auto" w:fill="auto"/>
            <w:vAlign w:val="center"/>
          </w:tcPr>
          <w:p w14:paraId="04C51391" w14:textId="57ACD260" w:rsidR="00C7341F" w:rsidRPr="00CA462D" w:rsidRDefault="00210B56" w:rsidP="00927886">
            <w:pPr>
              <w:widowControl w:val="0"/>
              <w:spacing w:after="0"/>
              <w:rPr>
                <w:rFonts w:ascii="Arial" w:hAnsi="Arial" w:cs="Arial"/>
                <w:color w:val="000000" w:themeColor="text1"/>
                <w:sz w:val="18"/>
                <w:szCs w:val="18"/>
              </w:rPr>
            </w:pPr>
            <w:r>
              <w:rPr>
                <w:rFonts w:ascii="Arial" w:hAnsi="Arial"/>
                <w:color w:val="000000" w:themeColor="text1"/>
                <w:sz w:val="18"/>
                <w:szCs w:val="18"/>
              </w:rPr>
              <w:t>Hotel</w:t>
            </w:r>
          </w:p>
        </w:tc>
        <w:tc>
          <w:tcPr>
            <w:tcW w:w="1985" w:type="dxa"/>
            <w:shd w:val="clear" w:color="auto" w:fill="auto"/>
            <w:vAlign w:val="center"/>
          </w:tcPr>
          <w:p w14:paraId="178C5741" w14:textId="4056DF4D" w:rsidR="00C7341F" w:rsidRPr="00CA462D" w:rsidRDefault="00210B56" w:rsidP="0012484F">
            <w:pPr>
              <w:widowControl w:val="0"/>
              <w:spacing w:after="0"/>
              <w:rPr>
                <w:rFonts w:ascii="Arial" w:hAnsi="Arial" w:cs="Arial"/>
                <w:sz w:val="18"/>
                <w:szCs w:val="18"/>
              </w:rPr>
            </w:pPr>
            <w:r>
              <w:rPr>
                <w:rFonts w:ascii="Arial" w:hAnsi="Arial"/>
                <w:sz w:val="18"/>
                <w:szCs w:val="18"/>
              </w:rPr>
              <w:t>Deutsche Finance International (DFI)</w:t>
            </w:r>
          </w:p>
        </w:tc>
        <w:tc>
          <w:tcPr>
            <w:tcW w:w="1417" w:type="dxa"/>
            <w:shd w:val="clear" w:color="auto" w:fill="auto"/>
            <w:vAlign w:val="center"/>
          </w:tcPr>
          <w:p w14:paraId="7DFC0737" w14:textId="033C4751" w:rsidR="00C7341F" w:rsidRPr="00CA462D" w:rsidRDefault="00210B56" w:rsidP="00927886">
            <w:pPr>
              <w:widowControl w:val="0"/>
              <w:spacing w:after="0"/>
              <w:rPr>
                <w:rFonts w:ascii="Arial" w:hAnsi="Arial" w:cs="Arial"/>
                <w:color w:val="000000" w:themeColor="text1"/>
                <w:sz w:val="18"/>
                <w:szCs w:val="18"/>
              </w:rPr>
            </w:pPr>
            <w:r>
              <w:rPr>
                <w:rFonts w:ascii="Arial" w:hAnsi="Arial"/>
                <w:color w:val="000000" w:themeColor="text1"/>
                <w:sz w:val="18"/>
                <w:szCs w:val="18"/>
              </w:rPr>
              <w:t>Archer Hotel Capital</w:t>
            </w:r>
          </w:p>
        </w:tc>
        <w:tc>
          <w:tcPr>
            <w:tcW w:w="1134" w:type="dxa"/>
            <w:shd w:val="clear" w:color="auto" w:fill="auto"/>
            <w:vAlign w:val="center"/>
          </w:tcPr>
          <w:p w14:paraId="48ADC86F" w14:textId="11DA8590" w:rsidR="00C7341F" w:rsidRPr="00CA462D" w:rsidRDefault="00210B56" w:rsidP="00927886">
            <w:pPr>
              <w:widowControl w:val="0"/>
              <w:spacing w:after="0"/>
              <w:jc w:val="right"/>
              <w:rPr>
                <w:rFonts w:ascii="Arial" w:hAnsi="Arial" w:cs="Arial"/>
                <w:color w:val="000000" w:themeColor="text1"/>
                <w:sz w:val="18"/>
                <w:szCs w:val="18"/>
              </w:rPr>
            </w:pPr>
            <w:r>
              <w:rPr>
                <w:rFonts w:ascii="Arial" w:hAnsi="Arial"/>
                <w:color w:val="000000" w:themeColor="text1"/>
                <w:sz w:val="18"/>
                <w:szCs w:val="18"/>
              </w:rPr>
              <w:t>116</w:t>
            </w:r>
          </w:p>
        </w:tc>
      </w:tr>
      <w:tr w:rsidR="00210B56" w:rsidRPr="006F49D0" w14:paraId="499B715B" w14:textId="77777777" w:rsidTr="00210B56">
        <w:trPr>
          <w:trHeight w:val="94"/>
        </w:trPr>
        <w:tc>
          <w:tcPr>
            <w:tcW w:w="2830" w:type="dxa"/>
            <w:shd w:val="clear" w:color="auto" w:fill="808080" w:themeFill="background1" w:themeFillShade="80"/>
            <w:vAlign w:val="center"/>
          </w:tcPr>
          <w:p w14:paraId="4AFE41F1" w14:textId="77777777" w:rsidR="00210B56" w:rsidRPr="00210B56" w:rsidRDefault="00210B56" w:rsidP="00210B56">
            <w:pPr>
              <w:widowControl w:val="0"/>
              <w:spacing w:after="0"/>
              <w:rPr>
                <w:rFonts w:ascii="Arial" w:hAnsi="Arial" w:cs="Arial"/>
                <w:sz w:val="18"/>
                <w:szCs w:val="18"/>
              </w:rPr>
            </w:pPr>
          </w:p>
        </w:tc>
        <w:tc>
          <w:tcPr>
            <w:tcW w:w="1418" w:type="dxa"/>
            <w:shd w:val="clear" w:color="auto" w:fill="808080" w:themeFill="background1" w:themeFillShade="80"/>
            <w:vAlign w:val="center"/>
          </w:tcPr>
          <w:p w14:paraId="17349092" w14:textId="77777777" w:rsidR="00210B56" w:rsidRDefault="00210B56" w:rsidP="00210B56">
            <w:pPr>
              <w:widowControl w:val="0"/>
              <w:spacing w:after="0"/>
              <w:rPr>
                <w:rFonts w:ascii="Arial" w:hAnsi="Arial" w:cs="Arial"/>
                <w:sz w:val="18"/>
                <w:szCs w:val="18"/>
              </w:rPr>
            </w:pPr>
          </w:p>
        </w:tc>
        <w:tc>
          <w:tcPr>
            <w:tcW w:w="992" w:type="dxa"/>
            <w:shd w:val="clear" w:color="auto" w:fill="808080" w:themeFill="background1" w:themeFillShade="80"/>
            <w:vAlign w:val="center"/>
          </w:tcPr>
          <w:p w14:paraId="569AF898" w14:textId="77777777" w:rsidR="00210B56" w:rsidRDefault="00210B56" w:rsidP="00210B56">
            <w:pPr>
              <w:widowControl w:val="0"/>
              <w:spacing w:after="0"/>
              <w:rPr>
                <w:rFonts w:ascii="Arial" w:hAnsi="Arial" w:cs="Arial"/>
                <w:sz w:val="18"/>
                <w:szCs w:val="18"/>
              </w:rPr>
            </w:pPr>
          </w:p>
        </w:tc>
        <w:tc>
          <w:tcPr>
            <w:tcW w:w="1985" w:type="dxa"/>
            <w:shd w:val="clear" w:color="auto" w:fill="808080" w:themeFill="background1" w:themeFillShade="80"/>
            <w:vAlign w:val="center"/>
          </w:tcPr>
          <w:p w14:paraId="123FCAF8" w14:textId="77777777" w:rsidR="00210B56" w:rsidRPr="00210B56" w:rsidRDefault="00210B56" w:rsidP="00210B56">
            <w:pPr>
              <w:widowControl w:val="0"/>
              <w:spacing w:after="0"/>
              <w:rPr>
                <w:rFonts w:ascii="Arial" w:hAnsi="Arial" w:cs="Arial"/>
                <w:sz w:val="18"/>
                <w:szCs w:val="18"/>
              </w:rPr>
            </w:pPr>
          </w:p>
        </w:tc>
        <w:tc>
          <w:tcPr>
            <w:tcW w:w="1417" w:type="dxa"/>
            <w:shd w:val="clear" w:color="auto" w:fill="808080" w:themeFill="background1" w:themeFillShade="80"/>
            <w:vAlign w:val="center"/>
          </w:tcPr>
          <w:p w14:paraId="345A4737" w14:textId="77777777" w:rsidR="00210B56" w:rsidRPr="00712CE1" w:rsidRDefault="00210B56" w:rsidP="00210B56">
            <w:pPr>
              <w:widowControl w:val="0"/>
              <w:spacing w:after="0"/>
              <w:rPr>
                <w:rFonts w:ascii="Arial" w:hAnsi="Arial" w:cs="Arial"/>
                <w:color w:val="000000" w:themeColor="text1"/>
                <w:sz w:val="18"/>
                <w:szCs w:val="18"/>
              </w:rPr>
            </w:pPr>
          </w:p>
        </w:tc>
        <w:tc>
          <w:tcPr>
            <w:tcW w:w="1134" w:type="dxa"/>
            <w:shd w:val="clear" w:color="auto" w:fill="808080" w:themeFill="background1" w:themeFillShade="80"/>
            <w:vAlign w:val="center"/>
          </w:tcPr>
          <w:p w14:paraId="066AC886" w14:textId="77777777" w:rsidR="00210B56" w:rsidRDefault="00210B56" w:rsidP="00210B56">
            <w:pPr>
              <w:widowControl w:val="0"/>
              <w:spacing w:after="0"/>
              <w:jc w:val="right"/>
              <w:rPr>
                <w:rFonts w:ascii="Arial" w:hAnsi="Arial" w:cs="Arial"/>
                <w:sz w:val="18"/>
                <w:szCs w:val="18"/>
              </w:rPr>
            </w:pPr>
          </w:p>
        </w:tc>
      </w:tr>
      <w:tr w:rsidR="00210B56" w:rsidRPr="006F49D0" w14:paraId="0EE85ED5" w14:textId="77777777" w:rsidTr="00210B56">
        <w:trPr>
          <w:trHeight w:val="567"/>
        </w:trPr>
        <w:tc>
          <w:tcPr>
            <w:tcW w:w="2830" w:type="dxa"/>
            <w:shd w:val="clear" w:color="auto" w:fill="auto"/>
            <w:vAlign w:val="center"/>
          </w:tcPr>
          <w:p w14:paraId="6B587E22" w14:textId="19CF3372" w:rsidR="00210B56" w:rsidRPr="00210B56" w:rsidRDefault="00210B56" w:rsidP="00210B56">
            <w:pPr>
              <w:widowControl w:val="0"/>
              <w:spacing w:after="0"/>
              <w:rPr>
                <w:rFonts w:ascii="Arial" w:hAnsi="Arial" w:cs="Arial"/>
                <w:sz w:val="18"/>
                <w:szCs w:val="18"/>
              </w:rPr>
            </w:pPr>
            <w:r>
              <w:rPr>
                <w:rFonts w:ascii="Arial" w:hAnsi="Arial"/>
                <w:color w:val="000000" w:themeColor="text1"/>
                <w:sz w:val="18"/>
                <w:szCs w:val="18"/>
              </w:rPr>
              <w:t>“</w:t>
            </w:r>
            <w:proofErr w:type="spellStart"/>
            <w:r>
              <w:rPr>
                <w:rFonts w:ascii="Arial" w:hAnsi="Arial"/>
                <w:color w:val="000000" w:themeColor="text1"/>
                <w:sz w:val="18"/>
                <w:szCs w:val="18"/>
              </w:rPr>
              <w:t>Galerie</w:t>
            </w:r>
            <w:proofErr w:type="spellEnd"/>
            <w:r>
              <w:rPr>
                <w:rFonts w:ascii="Arial" w:hAnsi="Arial"/>
                <w:color w:val="000000" w:themeColor="text1"/>
                <w:sz w:val="18"/>
                <w:szCs w:val="18"/>
              </w:rPr>
              <w:t xml:space="preserve"> Lafayette Quartier 207”, </w:t>
            </w:r>
            <w:r>
              <w:t xml:space="preserve"> </w:t>
            </w:r>
            <w:proofErr w:type="spellStart"/>
            <w:r>
              <w:rPr>
                <w:rFonts w:ascii="Arial" w:hAnsi="Arial"/>
                <w:color w:val="000000" w:themeColor="text1"/>
                <w:sz w:val="18"/>
                <w:szCs w:val="18"/>
              </w:rPr>
              <w:t>Friedrichstraße</w:t>
            </w:r>
            <w:proofErr w:type="spellEnd"/>
            <w:r>
              <w:rPr>
                <w:rFonts w:ascii="Arial" w:hAnsi="Arial"/>
                <w:color w:val="000000" w:themeColor="text1"/>
                <w:sz w:val="18"/>
                <w:szCs w:val="18"/>
              </w:rPr>
              <w:t xml:space="preserve"> 76, 78</w:t>
            </w:r>
          </w:p>
        </w:tc>
        <w:tc>
          <w:tcPr>
            <w:tcW w:w="1418" w:type="dxa"/>
            <w:shd w:val="clear" w:color="auto" w:fill="auto"/>
            <w:vAlign w:val="center"/>
          </w:tcPr>
          <w:p w14:paraId="3CEBC288" w14:textId="743D429B" w:rsidR="00210B56" w:rsidRDefault="00210B56" w:rsidP="00DF0AB8">
            <w:pPr>
              <w:widowControl w:val="0"/>
              <w:spacing w:after="0"/>
              <w:rPr>
                <w:rFonts w:ascii="Arial" w:hAnsi="Arial" w:cs="Arial"/>
                <w:sz w:val="18"/>
                <w:szCs w:val="18"/>
              </w:rPr>
            </w:pPr>
            <w:r>
              <w:rPr>
                <w:rFonts w:ascii="Arial" w:hAnsi="Arial"/>
                <w:color w:val="000000" w:themeColor="text1"/>
                <w:sz w:val="18"/>
                <w:szCs w:val="18"/>
              </w:rPr>
              <w:t>Berlin-</w:t>
            </w:r>
            <w:proofErr w:type="spellStart"/>
            <w:r>
              <w:rPr>
                <w:rFonts w:ascii="Arial" w:hAnsi="Arial"/>
                <w:color w:val="000000" w:themeColor="text1"/>
                <w:sz w:val="18"/>
                <w:szCs w:val="18"/>
              </w:rPr>
              <w:t>Mitte</w:t>
            </w:r>
            <w:proofErr w:type="spellEnd"/>
          </w:p>
        </w:tc>
        <w:tc>
          <w:tcPr>
            <w:tcW w:w="992" w:type="dxa"/>
            <w:shd w:val="clear" w:color="auto" w:fill="auto"/>
            <w:vAlign w:val="center"/>
          </w:tcPr>
          <w:p w14:paraId="3B92AFB4" w14:textId="2A5FD6FE" w:rsidR="00210B56" w:rsidRDefault="00210B56" w:rsidP="00210B56">
            <w:pPr>
              <w:widowControl w:val="0"/>
              <w:spacing w:after="0"/>
              <w:rPr>
                <w:rFonts w:ascii="Arial" w:hAnsi="Arial" w:cs="Arial"/>
                <w:sz w:val="18"/>
                <w:szCs w:val="18"/>
              </w:rPr>
            </w:pPr>
            <w:r>
              <w:rPr>
                <w:rFonts w:ascii="Arial" w:hAnsi="Arial"/>
                <w:color w:val="000000" w:themeColor="text1"/>
                <w:sz w:val="18"/>
                <w:szCs w:val="18"/>
              </w:rPr>
              <w:t>Offices</w:t>
            </w:r>
          </w:p>
        </w:tc>
        <w:tc>
          <w:tcPr>
            <w:tcW w:w="1985" w:type="dxa"/>
            <w:shd w:val="clear" w:color="auto" w:fill="auto"/>
            <w:vAlign w:val="center"/>
          </w:tcPr>
          <w:p w14:paraId="056B4D22" w14:textId="39C7A9B0" w:rsidR="00210B56" w:rsidRPr="00210B56" w:rsidRDefault="00210B56" w:rsidP="00210B56">
            <w:pPr>
              <w:widowControl w:val="0"/>
              <w:spacing w:after="0"/>
              <w:rPr>
                <w:rFonts w:ascii="Arial" w:hAnsi="Arial" w:cs="Arial"/>
                <w:sz w:val="18"/>
                <w:szCs w:val="18"/>
              </w:rPr>
            </w:pPr>
            <w:proofErr w:type="spellStart"/>
            <w:r>
              <w:rPr>
                <w:rFonts w:ascii="Arial" w:hAnsi="Arial"/>
                <w:color w:val="000000" w:themeColor="text1"/>
                <w:sz w:val="18"/>
                <w:szCs w:val="18"/>
              </w:rPr>
              <w:t>Tishman</w:t>
            </w:r>
            <w:proofErr w:type="spellEnd"/>
            <w:r>
              <w:rPr>
                <w:rFonts w:ascii="Arial" w:hAnsi="Arial"/>
                <w:color w:val="000000" w:themeColor="text1"/>
                <w:sz w:val="18"/>
                <w:szCs w:val="18"/>
              </w:rPr>
              <w:t xml:space="preserve"> Speyer</w:t>
            </w:r>
          </w:p>
        </w:tc>
        <w:tc>
          <w:tcPr>
            <w:tcW w:w="1417" w:type="dxa"/>
            <w:shd w:val="clear" w:color="auto" w:fill="auto"/>
            <w:vAlign w:val="center"/>
          </w:tcPr>
          <w:p w14:paraId="007AC26F" w14:textId="3BC58F7E" w:rsidR="00210B56" w:rsidRPr="00712CE1" w:rsidRDefault="00210B56" w:rsidP="00210B56">
            <w:pPr>
              <w:widowControl w:val="0"/>
              <w:spacing w:after="0"/>
              <w:rPr>
                <w:rFonts w:ascii="Arial" w:hAnsi="Arial" w:cs="Arial"/>
                <w:color w:val="000000" w:themeColor="text1"/>
                <w:sz w:val="18"/>
                <w:szCs w:val="18"/>
              </w:rPr>
            </w:pPr>
            <w:r>
              <w:rPr>
                <w:rFonts w:ascii="Arial" w:hAnsi="Arial"/>
                <w:color w:val="000000" w:themeColor="text1"/>
                <w:sz w:val="18"/>
                <w:szCs w:val="18"/>
              </w:rPr>
              <w:t>Allianz Real Estate</w:t>
            </w:r>
          </w:p>
        </w:tc>
        <w:tc>
          <w:tcPr>
            <w:tcW w:w="1134" w:type="dxa"/>
            <w:shd w:val="clear" w:color="auto" w:fill="auto"/>
            <w:vAlign w:val="center"/>
          </w:tcPr>
          <w:p w14:paraId="0081CED5" w14:textId="251EA459" w:rsidR="00210B56" w:rsidRDefault="00210B56" w:rsidP="00210B56">
            <w:pPr>
              <w:widowControl w:val="0"/>
              <w:spacing w:after="0"/>
              <w:jc w:val="right"/>
              <w:rPr>
                <w:rFonts w:ascii="Arial" w:hAnsi="Arial" w:cs="Arial"/>
                <w:sz w:val="18"/>
                <w:szCs w:val="18"/>
              </w:rPr>
            </w:pPr>
            <w:r>
              <w:rPr>
                <w:rFonts w:ascii="Arial" w:hAnsi="Arial"/>
                <w:color w:val="000000" w:themeColor="text1"/>
                <w:sz w:val="18"/>
                <w:szCs w:val="18"/>
              </w:rPr>
              <w:t>confidential</w:t>
            </w:r>
          </w:p>
        </w:tc>
      </w:tr>
      <w:tr w:rsidR="00210B56" w:rsidRPr="006F49D0" w14:paraId="5AD234B7" w14:textId="77777777" w:rsidTr="00210B56">
        <w:trPr>
          <w:trHeight w:val="567"/>
        </w:trPr>
        <w:tc>
          <w:tcPr>
            <w:tcW w:w="2830" w:type="dxa"/>
            <w:shd w:val="clear" w:color="auto" w:fill="auto"/>
            <w:vAlign w:val="center"/>
          </w:tcPr>
          <w:p w14:paraId="038AB8C1" w14:textId="53D9CF61" w:rsidR="00210B56" w:rsidRPr="00210B56" w:rsidRDefault="00210B56" w:rsidP="00210B56">
            <w:pPr>
              <w:widowControl w:val="0"/>
              <w:spacing w:after="0"/>
              <w:rPr>
                <w:rFonts w:ascii="Arial" w:hAnsi="Arial" w:cs="Arial"/>
                <w:sz w:val="18"/>
                <w:szCs w:val="18"/>
              </w:rPr>
            </w:pPr>
            <w:r>
              <w:rPr>
                <w:rFonts w:ascii="Arial" w:hAnsi="Arial"/>
                <w:color w:val="000000" w:themeColor="text1"/>
                <w:sz w:val="18"/>
                <w:szCs w:val="18"/>
              </w:rPr>
              <w:t>“</w:t>
            </w:r>
            <w:proofErr w:type="spellStart"/>
            <w:r>
              <w:rPr>
                <w:rFonts w:ascii="Arial" w:hAnsi="Arial"/>
                <w:color w:val="000000" w:themeColor="text1"/>
                <w:sz w:val="18"/>
                <w:szCs w:val="18"/>
              </w:rPr>
              <w:t>Rosi</w:t>
            </w:r>
            <w:proofErr w:type="spellEnd"/>
            <w:r>
              <w:rPr>
                <w:rFonts w:ascii="Arial" w:hAnsi="Arial"/>
                <w:color w:val="000000" w:themeColor="text1"/>
                <w:sz w:val="18"/>
                <w:szCs w:val="18"/>
              </w:rPr>
              <w:t xml:space="preserve">”, </w:t>
            </w:r>
            <w:r>
              <w:t xml:space="preserve"> </w:t>
            </w:r>
            <w:r>
              <w:br/>
            </w:r>
            <w:proofErr w:type="spellStart"/>
            <w:r>
              <w:rPr>
                <w:rFonts w:ascii="Arial" w:hAnsi="Arial"/>
                <w:color w:val="000000" w:themeColor="text1"/>
                <w:sz w:val="18"/>
                <w:szCs w:val="18"/>
              </w:rPr>
              <w:t>Rosenthaler</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Straße</w:t>
            </w:r>
            <w:proofErr w:type="spellEnd"/>
            <w:r>
              <w:rPr>
                <w:rFonts w:ascii="Arial" w:hAnsi="Arial"/>
                <w:color w:val="000000" w:themeColor="text1"/>
                <w:sz w:val="18"/>
                <w:szCs w:val="18"/>
              </w:rPr>
              <w:t xml:space="preserve"> 44</w:t>
            </w:r>
          </w:p>
        </w:tc>
        <w:tc>
          <w:tcPr>
            <w:tcW w:w="1418" w:type="dxa"/>
            <w:shd w:val="clear" w:color="auto" w:fill="auto"/>
            <w:vAlign w:val="center"/>
          </w:tcPr>
          <w:p w14:paraId="7BDE851C" w14:textId="4F6290EE" w:rsidR="00210B56" w:rsidRDefault="00210B56" w:rsidP="00DF0AB8">
            <w:pPr>
              <w:widowControl w:val="0"/>
              <w:spacing w:after="0"/>
              <w:rPr>
                <w:rFonts w:ascii="Arial" w:hAnsi="Arial" w:cs="Arial"/>
                <w:sz w:val="18"/>
                <w:szCs w:val="18"/>
              </w:rPr>
            </w:pPr>
            <w:r>
              <w:rPr>
                <w:rFonts w:ascii="Arial" w:hAnsi="Arial"/>
                <w:color w:val="000000" w:themeColor="text1"/>
                <w:sz w:val="18"/>
                <w:szCs w:val="18"/>
              </w:rPr>
              <w:t>Berlin-</w:t>
            </w:r>
            <w:proofErr w:type="spellStart"/>
            <w:r>
              <w:rPr>
                <w:rFonts w:ascii="Arial" w:hAnsi="Arial"/>
                <w:color w:val="000000" w:themeColor="text1"/>
                <w:sz w:val="18"/>
                <w:szCs w:val="18"/>
              </w:rPr>
              <w:t>Mitte</w:t>
            </w:r>
            <w:proofErr w:type="spellEnd"/>
          </w:p>
        </w:tc>
        <w:tc>
          <w:tcPr>
            <w:tcW w:w="992" w:type="dxa"/>
            <w:shd w:val="clear" w:color="auto" w:fill="auto"/>
            <w:vAlign w:val="center"/>
          </w:tcPr>
          <w:p w14:paraId="22A58630" w14:textId="214A921D" w:rsidR="00210B56" w:rsidRDefault="00210B56" w:rsidP="00210B56">
            <w:pPr>
              <w:widowControl w:val="0"/>
              <w:spacing w:after="0"/>
              <w:rPr>
                <w:rFonts w:ascii="Arial" w:hAnsi="Arial" w:cs="Arial"/>
                <w:sz w:val="18"/>
                <w:szCs w:val="18"/>
              </w:rPr>
            </w:pPr>
            <w:r>
              <w:rPr>
                <w:rFonts w:ascii="Arial" w:hAnsi="Arial"/>
                <w:color w:val="000000" w:themeColor="text1"/>
                <w:sz w:val="18"/>
                <w:szCs w:val="18"/>
              </w:rPr>
              <w:t>Mixed use</w:t>
            </w:r>
          </w:p>
        </w:tc>
        <w:tc>
          <w:tcPr>
            <w:tcW w:w="1985" w:type="dxa"/>
            <w:shd w:val="clear" w:color="auto" w:fill="auto"/>
            <w:vAlign w:val="center"/>
          </w:tcPr>
          <w:p w14:paraId="431996CF" w14:textId="44D4309C" w:rsidR="00210B56" w:rsidRPr="00210B56" w:rsidRDefault="00210B56" w:rsidP="00210B56">
            <w:pPr>
              <w:widowControl w:val="0"/>
              <w:spacing w:after="0"/>
              <w:rPr>
                <w:rFonts w:ascii="Arial" w:hAnsi="Arial" w:cs="Arial"/>
                <w:sz w:val="18"/>
                <w:szCs w:val="18"/>
              </w:rPr>
            </w:pPr>
            <w:r>
              <w:rPr>
                <w:rFonts w:ascii="Arial" w:hAnsi="Arial"/>
                <w:color w:val="000000" w:themeColor="text1"/>
                <w:sz w:val="18"/>
                <w:szCs w:val="18"/>
              </w:rPr>
              <w:t>BVK-Values-</w:t>
            </w:r>
            <w:proofErr w:type="spellStart"/>
            <w:r>
              <w:rPr>
                <w:rFonts w:ascii="Arial" w:hAnsi="Arial"/>
                <w:color w:val="000000" w:themeColor="text1"/>
                <w:sz w:val="18"/>
                <w:szCs w:val="18"/>
              </w:rPr>
              <w:t>Immobilienfonds</w:t>
            </w:r>
            <w:proofErr w:type="spellEnd"/>
            <w:r>
              <w:rPr>
                <w:rFonts w:ascii="Arial" w:hAnsi="Arial"/>
                <w:color w:val="000000" w:themeColor="text1"/>
                <w:sz w:val="18"/>
                <w:szCs w:val="18"/>
              </w:rPr>
              <w:t>-CBD</w:t>
            </w:r>
          </w:p>
        </w:tc>
        <w:tc>
          <w:tcPr>
            <w:tcW w:w="1417" w:type="dxa"/>
            <w:shd w:val="clear" w:color="auto" w:fill="auto"/>
            <w:vAlign w:val="center"/>
          </w:tcPr>
          <w:p w14:paraId="47BB65F4" w14:textId="1B59B4DB" w:rsidR="00210B56" w:rsidRPr="00712CE1" w:rsidRDefault="00210B56" w:rsidP="00210B56">
            <w:pPr>
              <w:widowControl w:val="0"/>
              <w:spacing w:after="0"/>
              <w:rPr>
                <w:rFonts w:ascii="Arial" w:hAnsi="Arial" w:cs="Arial"/>
                <w:color w:val="000000" w:themeColor="text1"/>
                <w:sz w:val="18"/>
                <w:szCs w:val="18"/>
              </w:rPr>
            </w:pPr>
            <w:r>
              <w:rPr>
                <w:rFonts w:ascii="Arial" w:hAnsi="Arial"/>
                <w:color w:val="000000" w:themeColor="text1"/>
                <w:sz w:val="18"/>
                <w:szCs w:val="18"/>
              </w:rPr>
              <w:t>Values Real Estate</w:t>
            </w:r>
          </w:p>
        </w:tc>
        <w:tc>
          <w:tcPr>
            <w:tcW w:w="1134" w:type="dxa"/>
            <w:shd w:val="clear" w:color="auto" w:fill="auto"/>
            <w:vAlign w:val="center"/>
          </w:tcPr>
          <w:p w14:paraId="7B432AE9" w14:textId="5B7BE36A" w:rsidR="00210B56" w:rsidRDefault="00210B56" w:rsidP="00210B56">
            <w:pPr>
              <w:widowControl w:val="0"/>
              <w:spacing w:after="0"/>
              <w:jc w:val="right"/>
              <w:rPr>
                <w:rFonts w:ascii="Arial" w:hAnsi="Arial" w:cs="Arial"/>
                <w:sz w:val="18"/>
                <w:szCs w:val="18"/>
              </w:rPr>
            </w:pPr>
            <w:r>
              <w:rPr>
                <w:rFonts w:ascii="Arial" w:hAnsi="Arial"/>
                <w:color w:val="000000" w:themeColor="text1"/>
                <w:sz w:val="18"/>
                <w:szCs w:val="18"/>
              </w:rPr>
              <w:t>confidential</w:t>
            </w:r>
          </w:p>
        </w:tc>
      </w:tr>
      <w:tr w:rsidR="00210B56" w:rsidRPr="006F49D0" w14:paraId="1FF59F01" w14:textId="77777777" w:rsidTr="00210B56">
        <w:trPr>
          <w:trHeight w:val="567"/>
        </w:trPr>
        <w:tc>
          <w:tcPr>
            <w:tcW w:w="2830" w:type="dxa"/>
            <w:shd w:val="clear" w:color="auto" w:fill="auto"/>
            <w:vAlign w:val="center"/>
          </w:tcPr>
          <w:p w14:paraId="4D3D24ED" w14:textId="2175EC4C" w:rsidR="00210B56" w:rsidRPr="00210B56" w:rsidRDefault="00210B56" w:rsidP="00210B56">
            <w:pPr>
              <w:widowControl w:val="0"/>
              <w:spacing w:after="0"/>
              <w:rPr>
                <w:rFonts w:ascii="Arial" w:hAnsi="Arial" w:cs="Arial"/>
                <w:sz w:val="18"/>
                <w:szCs w:val="18"/>
              </w:rPr>
            </w:pPr>
            <w:proofErr w:type="spellStart"/>
            <w:r>
              <w:rPr>
                <w:rFonts w:ascii="Arial" w:hAnsi="Arial"/>
                <w:sz w:val="18"/>
                <w:szCs w:val="18"/>
              </w:rPr>
              <w:t>Darwinstrasse</w:t>
            </w:r>
            <w:proofErr w:type="spellEnd"/>
            <w:r>
              <w:rPr>
                <w:rFonts w:ascii="Arial" w:hAnsi="Arial"/>
                <w:sz w:val="18"/>
                <w:szCs w:val="18"/>
              </w:rPr>
              <w:t xml:space="preserve"> 14 - 18</w:t>
            </w:r>
          </w:p>
        </w:tc>
        <w:tc>
          <w:tcPr>
            <w:tcW w:w="1418" w:type="dxa"/>
            <w:shd w:val="clear" w:color="auto" w:fill="auto"/>
            <w:vAlign w:val="center"/>
          </w:tcPr>
          <w:p w14:paraId="3DBE66C6" w14:textId="43F6E2F8" w:rsidR="00210B56" w:rsidRDefault="00210B56" w:rsidP="00210B56">
            <w:pPr>
              <w:widowControl w:val="0"/>
              <w:spacing w:after="0"/>
              <w:rPr>
                <w:rFonts w:ascii="Arial" w:hAnsi="Arial" w:cs="Arial"/>
                <w:sz w:val="18"/>
                <w:szCs w:val="18"/>
              </w:rPr>
            </w:pPr>
            <w:proofErr w:type="spellStart"/>
            <w:r>
              <w:rPr>
                <w:rFonts w:ascii="Arial" w:hAnsi="Arial"/>
                <w:sz w:val="18"/>
                <w:szCs w:val="18"/>
              </w:rPr>
              <w:t>Charlottenburg</w:t>
            </w:r>
            <w:proofErr w:type="spellEnd"/>
          </w:p>
        </w:tc>
        <w:tc>
          <w:tcPr>
            <w:tcW w:w="992" w:type="dxa"/>
            <w:shd w:val="clear" w:color="auto" w:fill="auto"/>
            <w:vAlign w:val="center"/>
          </w:tcPr>
          <w:p w14:paraId="4C798921" w14:textId="716E293F" w:rsidR="00210B56" w:rsidRDefault="00210B56" w:rsidP="00210B56">
            <w:pPr>
              <w:widowControl w:val="0"/>
              <w:spacing w:after="0"/>
              <w:rPr>
                <w:rFonts w:ascii="Arial" w:hAnsi="Arial" w:cs="Arial"/>
                <w:sz w:val="18"/>
                <w:szCs w:val="18"/>
              </w:rPr>
            </w:pPr>
            <w:r>
              <w:rPr>
                <w:rFonts w:ascii="Arial" w:hAnsi="Arial"/>
                <w:sz w:val="18"/>
                <w:szCs w:val="18"/>
              </w:rPr>
              <w:t>Offices</w:t>
            </w:r>
          </w:p>
        </w:tc>
        <w:tc>
          <w:tcPr>
            <w:tcW w:w="1985" w:type="dxa"/>
            <w:shd w:val="clear" w:color="auto" w:fill="auto"/>
            <w:vAlign w:val="center"/>
          </w:tcPr>
          <w:p w14:paraId="6D8E909A" w14:textId="2A3137F8" w:rsidR="00210B56" w:rsidRPr="00210B56" w:rsidRDefault="00210B56" w:rsidP="00210B56">
            <w:pPr>
              <w:widowControl w:val="0"/>
              <w:spacing w:after="0"/>
              <w:rPr>
                <w:rFonts w:ascii="Arial" w:hAnsi="Arial" w:cs="Arial"/>
                <w:sz w:val="18"/>
                <w:szCs w:val="18"/>
              </w:rPr>
            </w:pPr>
            <w:r>
              <w:rPr>
                <w:rFonts w:ascii="Arial" w:hAnsi="Arial"/>
                <w:sz w:val="18"/>
                <w:szCs w:val="18"/>
              </w:rPr>
              <w:t>Brookfield Properties</w:t>
            </w:r>
          </w:p>
        </w:tc>
        <w:tc>
          <w:tcPr>
            <w:tcW w:w="1417" w:type="dxa"/>
            <w:shd w:val="clear" w:color="auto" w:fill="auto"/>
            <w:vAlign w:val="center"/>
          </w:tcPr>
          <w:p w14:paraId="114E4714" w14:textId="3D3CF617" w:rsidR="00210B56" w:rsidRPr="00712CE1" w:rsidRDefault="00210B56" w:rsidP="00210B56">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alstria</w:t>
            </w:r>
            <w:proofErr w:type="spellEnd"/>
            <w:r>
              <w:rPr>
                <w:rFonts w:ascii="Arial" w:hAnsi="Arial"/>
                <w:color w:val="000000" w:themeColor="text1"/>
                <w:sz w:val="18"/>
                <w:szCs w:val="18"/>
              </w:rPr>
              <w:t xml:space="preserve"> office REIT</w:t>
            </w:r>
          </w:p>
        </w:tc>
        <w:tc>
          <w:tcPr>
            <w:tcW w:w="1134" w:type="dxa"/>
            <w:shd w:val="clear" w:color="auto" w:fill="auto"/>
            <w:vAlign w:val="center"/>
          </w:tcPr>
          <w:p w14:paraId="030989BC" w14:textId="66B9B7C1" w:rsidR="00210B56" w:rsidRDefault="00210B56" w:rsidP="00210B56">
            <w:pPr>
              <w:widowControl w:val="0"/>
              <w:spacing w:after="0"/>
              <w:jc w:val="right"/>
              <w:rPr>
                <w:rFonts w:ascii="Arial" w:hAnsi="Arial" w:cs="Arial"/>
                <w:sz w:val="18"/>
                <w:szCs w:val="18"/>
              </w:rPr>
            </w:pPr>
            <w:r>
              <w:rPr>
                <w:rFonts w:ascii="Arial" w:hAnsi="Arial"/>
                <w:sz w:val="18"/>
                <w:szCs w:val="18"/>
              </w:rPr>
              <w:t>confidential</w:t>
            </w:r>
          </w:p>
        </w:tc>
      </w:tr>
      <w:tr w:rsidR="00210B56" w:rsidRPr="006F49D0" w14:paraId="660E85F4" w14:textId="77777777" w:rsidTr="00210B56">
        <w:trPr>
          <w:trHeight w:val="567"/>
        </w:trPr>
        <w:tc>
          <w:tcPr>
            <w:tcW w:w="2830" w:type="dxa"/>
            <w:shd w:val="clear" w:color="auto" w:fill="auto"/>
            <w:vAlign w:val="center"/>
          </w:tcPr>
          <w:p w14:paraId="6E827322" w14:textId="62025ADF" w:rsidR="00210B56" w:rsidRPr="00210B56" w:rsidRDefault="00210B56" w:rsidP="00210B56">
            <w:pPr>
              <w:widowControl w:val="0"/>
              <w:spacing w:after="0"/>
              <w:rPr>
                <w:rFonts w:ascii="Arial" w:hAnsi="Arial" w:cs="Arial"/>
                <w:sz w:val="18"/>
                <w:szCs w:val="18"/>
              </w:rPr>
            </w:pPr>
            <w:proofErr w:type="spellStart"/>
            <w:r>
              <w:rPr>
                <w:rFonts w:ascii="Arial" w:hAnsi="Arial"/>
                <w:sz w:val="18"/>
                <w:szCs w:val="18"/>
              </w:rPr>
              <w:t>Mehringdamm</w:t>
            </w:r>
            <w:proofErr w:type="spellEnd"/>
            <w:r>
              <w:rPr>
                <w:rFonts w:ascii="Arial" w:hAnsi="Arial"/>
                <w:sz w:val="18"/>
                <w:szCs w:val="18"/>
              </w:rPr>
              <w:t xml:space="preserve"> 32-34</w:t>
            </w:r>
          </w:p>
        </w:tc>
        <w:tc>
          <w:tcPr>
            <w:tcW w:w="1418" w:type="dxa"/>
            <w:shd w:val="clear" w:color="auto" w:fill="auto"/>
            <w:vAlign w:val="center"/>
          </w:tcPr>
          <w:p w14:paraId="1D87C508" w14:textId="0F651979" w:rsidR="00210B56" w:rsidRDefault="00210B56" w:rsidP="00210B56">
            <w:pPr>
              <w:widowControl w:val="0"/>
              <w:spacing w:after="0"/>
              <w:rPr>
                <w:rFonts w:ascii="Arial" w:hAnsi="Arial" w:cs="Arial"/>
                <w:sz w:val="18"/>
                <w:szCs w:val="18"/>
              </w:rPr>
            </w:pPr>
            <w:proofErr w:type="spellStart"/>
            <w:r>
              <w:rPr>
                <w:rFonts w:ascii="Arial" w:hAnsi="Arial"/>
                <w:color w:val="000000" w:themeColor="text1"/>
                <w:sz w:val="18"/>
                <w:szCs w:val="18"/>
              </w:rPr>
              <w:t>Kreuzberg</w:t>
            </w:r>
            <w:proofErr w:type="spellEnd"/>
          </w:p>
        </w:tc>
        <w:tc>
          <w:tcPr>
            <w:tcW w:w="992" w:type="dxa"/>
            <w:shd w:val="clear" w:color="auto" w:fill="auto"/>
            <w:vAlign w:val="center"/>
          </w:tcPr>
          <w:p w14:paraId="7C9E8A1C" w14:textId="348EDF1F" w:rsidR="00210B56" w:rsidRDefault="00210B56" w:rsidP="00210B56">
            <w:pPr>
              <w:widowControl w:val="0"/>
              <w:spacing w:after="0"/>
              <w:rPr>
                <w:rFonts w:ascii="Arial" w:hAnsi="Arial" w:cs="Arial"/>
                <w:sz w:val="18"/>
                <w:szCs w:val="18"/>
              </w:rPr>
            </w:pPr>
            <w:r>
              <w:rPr>
                <w:rFonts w:ascii="Arial" w:hAnsi="Arial"/>
                <w:sz w:val="18"/>
                <w:szCs w:val="18"/>
              </w:rPr>
              <w:t>Offices</w:t>
            </w:r>
          </w:p>
        </w:tc>
        <w:tc>
          <w:tcPr>
            <w:tcW w:w="1985" w:type="dxa"/>
            <w:shd w:val="clear" w:color="auto" w:fill="auto"/>
            <w:vAlign w:val="center"/>
          </w:tcPr>
          <w:p w14:paraId="69255BF1" w14:textId="68126986" w:rsidR="00210B56" w:rsidRPr="00210B56" w:rsidRDefault="00210B56" w:rsidP="00210B56">
            <w:pPr>
              <w:widowControl w:val="0"/>
              <w:spacing w:after="0"/>
              <w:rPr>
                <w:rFonts w:ascii="Arial" w:hAnsi="Arial" w:cs="Arial"/>
                <w:sz w:val="18"/>
                <w:szCs w:val="18"/>
              </w:rPr>
            </w:pPr>
            <w:r>
              <w:rPr>
                <w:rFonts w:ascii="Arial" w:hAnsi="Arial"/>
                <w:sz w:val="18"/>
                <w:szCs w:val="18"/>
              </w:rPr>
              <w:t>Brookfield Properties</w:t>
            </w:r>
          </w:p>
        </w:tc>
        <w:tc>
          <w:tcPr>
            <w:tcW w:w="1417" w:type="dxa"/>
            <w:shd w:val="clear" w:color="auto" w:fill="auto"/>
            <w:vAlign w:val="center"/>
          </w:tcPr>
          <w:p w14:paraId="59450B7C" w14:textId="25671B8A" w:rsidR="00210B56" w:rsidRPr="00712CE1" w:rsidRDefault="00210B56" w:rsidP="00210B56">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alstria</w:t>
            </w:r>
            <w:proofErr w:type="spellEnd"/>
            <w:r>
              <w:rPr>
                <w:rFonts w:ascii="Arial" w:hAnsi="Arial"/>
                <w:color w:val="000000" w:themeColor="text1"/>
                <w:sz w:val="18"/>
                <w:szCs w:val="18"/>
              </w:rPr>
              <w:t xml:space="preserve"> office REIT</w:t>
            </w:r>
          </w:p>
        </w:tc>
        <w:tc>
          <w:tcPr>
            <w:tcW w:w="1134" w:type="dxa"/>
            <w:shd w:val="clear" w:color="auto" w:fill="auto"/>
            <w:vAlign w:val="center"/>
          </w:tcPr>
          <w:p w14:paraId="48D67335" w14:textId="7F983926" w:rsidR="00210B56" w:rsidRDefault="00210B56" w:rsidP="00210B56">
            <w:pPr>
              <w:widowControl w:val="0"/>
              <w:spacing w:after="0"/>
              <w:jc w:val="right"/>
              <w:rPr>
                <w:rFonts w:ascii="Arial" w:hAnsi="Arial" w:cs="Arial"/>
                <w:sz w:val="18"/>
                <w:szCs w:val="18"/>
              </w:rPr>
            </w:pPr>
            <w:r>
              <w:rPr>
                <w:rFonts w:ascii="Arial" w:hAnsi="Arial"/>
                <w:sz w:val="18"/>
                <w:szCs w:val="18"/>
              </w:rPr>
              <w:t>confidential</w:t>
            </w:r>
          </w:p>
        </w:tc>
      </w:tr>
    </w:tbl>
    <w:p w14:paraId="38EB286B" w14:textId="108EF0DE" w:rsidR="00C7341F" w:rsidRDefault="00C7341F" w:rsidP="00C7341F">
      <w:pPr>
        <w:widowControl w:val="0"/>
        <w:spacing w:after="0"/>
        <w:rPr>
          <w:rFonts w:ascii="Arial" w:hAnsi="Arial" w:cs="Arial"/>
          <w:sz w:val="16"/>
          <w:szCs w:val="16"/>
        </w:rPr>
      </w:pPr>
      <w:r>
        <w:rPr>
          <w:rFonts w:ascii="Arial" w:hAnsi="Arial"/>
          <w:sz w:val="16"/>
          <w:szCs w:val="16"/>
        </w:rPr>
        <w:t>* The purchase prices stated are based on publicly available data, where none is available an estimate is used instead</w:t>
      </w:r>
    </w:p>
    <w:p w14:paraId="307A702E" w14:textId="77777777" w:rsidR="00C7341F" w:rsidRDefault="00C7341F" w:rsidP="0090748B">
      <w:pPr>
        <w:spacing w:after="0" w:line="360" w:lineRule="auto"/>
        <w:textAlignment w:val="baseline"/>
        <w:rPr>
          <w:rFonts w:ascii="Arial" w:eastAsia="Arial" w:hAnsi="Arial" w:cs="Arial"/>
          <w:color w:val="000000" w:themeColor="text1"/>
          <w:sz w:val="20"/>
          <w:szCs w:val="20"/>
        </w:rPr>
      </w:pPr>
    </w:p>
    <w:p w14:paraId="642E7059" w14:textId="7DA2FA1E" w:rsidR="0090748B" w:rsidRPr="00A0112E" w:rsidRDefault="0090748B" w:rsidP="0090748B">
      <w:pPr>
        <w:spacing w:after="0" w:line="360" w:lineRule="auto"/>
        <w:textAlignment w:val="baseline"/>
        <w:rPr>
          <w:rFonts w:ascii="Arial" w:eastAsia="Arial" w:hAnsi="Arial" w:cs="Arial"/>
          <w:color w:val="000000" w:themeColor="text1"/>
          <w:sz w:val="18"/>
          <w:szCs w:val="18"/>
        </w:rPr>
      </w:pPr>
      <w:r w:rsidRPr="00A0112E">
        <w:rPr>
          <w:rFonts w:ascii="Arial" w:hAnsi="Arial" w:cs="Arial"/>
          <w:sz w:val="18"/>
          <w:szCs w:val="18"/>
        </w:rPr>
        <w:t>The</w:t>
      </w:r>
      <w:hyperlink r:id="rId9" w:history="1">
        <w:r w:rsidRPr="00A0112E">
          <w:rPr>
            <w:rStyle w:val="Hyperlink"/>
            <w:rFonts w:ascii="Arial" w:hAnsi="Arial" w:cs="Arial"/>
            <w:snapToGrid w:val="0"/>
            <w:sz w:val="18"/>
            <w:szCs w:val="18"/>
            <w:u w:val="none"/>
          </w:rPr>
          <w:t xml:space="preserve"> </w:t>
        </w:r>
        <w:r w:rsidRPr="00A0112E">
          <w:rPr>
            <w:rStyle w:val="Hyperlink"/>
            <w:rFonts w:ascii="Arial" w:hAnsi="Arial" w:cs="Arial"/>
            <w:snapToGrid w:val="0"/>
            <w:sz w:val="18"/>
            <w:szCs w:val="18"/>
          </w:rPr>
          <w:t>market survey property investment in Berlin  2022/Q1</w:t>
        </w:r>
      </w:hyperlink>
      <w:r w:rsidRPr="00A0112E">
        <w:rPr>
          <w:rFonts w:ascii="Arial" w:hAnsi="Arial" w:cs="Arial"/>
          <w:color w:val="000000" w:themeColor="text1"/>
          <w:sz w:val="18"/>
          <w:szCs w:val="18"/>
        </w:rPr>
        <w:t xml:space="preserve"> will soon be available to download from our website.</w:t>
      </w:r>
    </w:p>
    <w:p w14:paraId="6498E5CA" w14:textId="77777777" w:rsidR="0090748B" w:rsidRDefault="0090748B" w:rsidP="000C770D">
      <w:pPr>
        <w:spacing w:after="0" w:line="360" w:lineRule="auto"/>
        <w:rPr>
          <w:rFonts w:ascii="Arial" w:hAnsi="Arial" w:cs="Arial"/>
          <w:sz w:val="20"/>
          <w:szCs w:val="20"/>
        </w:rPr>
      </w:pPr>
    </w:p>
    <w:p w14:paraId="542EEB00" w14:textId="77777777" w:rsidR="00B747F3" w:rsidRPr="0090748B" w:rsidRDefault="00B747F3" w:rsidP="00B747F3">
      <w:pPr>
        <w:spacing w:after="0" w:line="360" w:lineRule="auto"/>
        <w:rPr>
          <w:rFonts w:ascii="Arial" w:hAnsi="Arial" w:cs="Arial"/>
          <w:b/>
          <w:sz w:val="16"/>
          <w:szCs w:val="16"/>
        </w:rPr>
      </w:pPr>
      <w:r>
        <w:rPr>
          <w:rFonts w:ascii="Arial" w:hAnsi="Arial"/>
          <w:b/>
          <w:sz w:val="16"/>
          <w:szCs w:val="16"/>
        </w:rPr>
        <w:t>About Grossmann &amp; Berger</w:t>
      </w:r>
    </w:p>
    <w:p w14:paraId="26FA39E4" w14:textId="77777777" w:rsidR="00B747F3" w:rsidRPr="004A6CA8" w:rsidRDefault="00E22D9B" w:rsidP="00B747F3">
      <w:pPr>
        <w:spacing w:after="0" w:line="360" w:lineRule="auto"/>
        <w:rPr>
          <w:rFonts w:ascii="Arial" w:hAnsi="Arial" w:cs="Arial"/>
          <w:vanish/>
          <w:sz w:val="16"/>
          <w:szCs w:val="16"/>
          <w:specVanish/>
        </w:rPr>
      </w:pPr>
      <w:hyperlink r:id="rId10" w:history="1">
        <w:r w:rsidR="00B747F3">
          <w:rPr>
            <w:rStyle w:val="Hyperlink"/>
            <w:rFonts w:ascii="Arial" w:hAnsi="Arial"/>
            <w:snapToGrid w:val="0"/>
            <w:sz w:val="16"/>
            <w:szCs w:val="16"/>
          </w:rPr>
          <w:t>Grossmann &amp; Berger GmbH</w:t>
        </w:r>
      </w:hyperlink>
      <w:r w:rsidR="00B747F3">
        <w:rPr>
          <w:rFonts w:ascii="Arial" w:hAnsi="Arial"/>
          <w:snapToGrid w:val="0"/>
          <w:sz w:val="16"/>
          <w:szCs w:val="16"/>
        </w:rPr>
        <w:t xml:space="preserve"> is one of the leading service providers in the business of selling and letting commercial and residential properties in North Germany. In addition to its main office in Hamburg, the company has 20 local offices. This allows Grossmann &amp; Berger to cover the entire North German market. In May 2021 the company was augmented by </w:t>
      </w:r>
      <w:hyperlink r:id="rId11" w:history="1">
        <w:r w:rsidR="00B747F3">
          <w:rPr>
            <w:rStyle w:val="Hyperlink"/>
            <w:rFonts w:ascii="Arial" w:hAnsi="Arial"/>
            <w:snapToGrid w:val="0"/>
            <w:sz w:val="16"/>
            <w:szCs w:val="16"/>
          </w:rPr>
          <w:t>E &amp; G Real Estate</w:t>
        </w:r>
      </w:hyperlink>
      <w:r w:rsidR="00B747F3">
        <w:rPr>
          <w:rFonts w:ascii="Arial" w:hAnsi="Arial"/>
          <w:snapToGrid w:val="0"/>
          <w:sz w:val="16"/>
          <w:szCs w:val="16"/>
        </w:rPr>
        <w:t xml:space="preserve"> and</w:t>
      </w:r>
      <w:r w:rsidR="00B747F3">
        <w:rPr>
          <w:rFonts w:ascii="Arial" w:hAnsi="Arial"/>
          <w:snapToGrid w:val="0"/>
          <w:sz w:val="16"/>
          <w:szCs w:val="16"/>
        </w:rPr>
        <w:br/>
      </w:r>
      <w:hyperlink r:id="rId12" w:history="1">
        <w:r w:rsidR="00B747F3">
          <w:rPr>
            <w:rStyle w:val="Hyperlink"/>
            <w:rFonts w:ascii="Arial" w:hAnsi="Arial"/>
            <w:snapToGrid w:val="0"/>
            <w:sz w:val="16"/>
            <w:szCs w:val="16"/>
          </w:rPr>
          <w:t xml:space="preserve">E &amp; G Private </w:t>
        </w:r>
        <w:proofErr w:type="spellStart"/>
        <w:r w:rsidR="00B747F3">
          <w:rPr>
            <w:rStyle w:val="Hyperlink"/>
            <w:rFonts w:ascii="Arial" w:hAnsi="Arial"/>
            <w:snapToGrid w:val="0"/>
            <w:sz w:val="16"/>
            <w:szCs w:val="16"/>
          </w:rPr>
          <w:t>Immobilien</w:t>
        </w:r>
        <w:proofErr w:type="spellEnd"/>
      </w:hyperlink>
      <w:r w:rsidR="00B747F3">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250 employees provide the full range of relevant services. They also benefit from the company’s more than 85 years standing in the industry. </w:t>
      </w:r>
      <w:r w:rsidR="00B747F3">
        <w:rPr>
          <w:rFonts w:ascii="Arial" w:hAnsi="Arial"/>
          <w:sz w:val="16"/>
          <w:szCs w:val="16"/>
        </w:rPr>
        <w:t xml:space="preserve">Grossmann &amp; Berger belongs to the HASPA Group and is a founding member of the national commercial real estate network </w:t>
      </w:r>
      <w:hyperlink r:id="rId13" w:history="1">
        <w:r w:rsidR="00B747F3">
          <w:rPr>
            <w:rStyle w:val="Hyperlink"/>
            <w:rFonts w:ascii="Arial" w:hAnsi="Arial"/>
            <w:sz w:val="16"/>
            <w:szCs w:val="16"/>
          </w:rPr>
          <w:t>German Property Partners</w:t>
        </w:r>
      </w:hyperlink>
      <w:r w:rsidR="00B747F3">
        <w:rPr>
          <w:rFonts w:ascii="Arial" w:hAnsi="Arial"/>
          <w:sz w:val="16"/>
          <w:szCs w:val="16"/>
        </w:rPr>
        <w:t xml:space="preserve"> (GPP).</w:t>
      </w:r>
    </w:p>
    <w:p w14:paraId="688B9FF7" w14:textId="77777777" w:rsidR="00B747F3" w:rsidRPr="004A6CA8" w:rsidRDefault="00B747F3" w:rsidP="00B747F3">
      <w:pPr>
        <w:spacing w:after="0" w:line="360" w:lineRule="auto"/>
        <w:rPr>
          <w:rFonts w:ascii="Arial" w:hAnsi="Arial" w:cs="Arial"/>
          <w:sz w:val="16"/>
          <w:szCs w:val="16"/>
        </w:rPr>
      </w:pPr>
      <w:r>
        <w:rPr>
          <w:rFonts w:ascii="Arial" w:hAnsi="Arial"/>
          <w:sz w:val="16"/>
          <w:szCs w:val="16"/>
        </w:rPr>
        <w:t xml:space="preserve"> </w:t>
      </w:r>
    </w:p>
    <w:p w14:paraId="4F84B327" w14:textId="77777777" w:rsidR="00B747F3" w:rsidRPr="00583E25" w:rsidRDefault="00B747F3" w:rsidP="00B747F3">
      <w:pPr>
        <w:spacing w:after="0" w:line="360" w:lineRule="auto"/>
        <w:rPr>
          <w:rFonts w:ascii="Arial" w:hAnsi="Arial" w:cs="Arial"/>
          <w:sz w:val="16"/>
          <w:szCs w:val="16"/>
        </w:rPr>
      </w:pPr>
    </w:p>
    <w:p w14:paraId="4CECEBB6" w14:textId="7527D848" w:rsidR="00503D8C" w:rsidRPr="00712CE1" w:rsidRDefault="00B747F3" w:rsidP="00B747F3">
      <w:pPr>
        <w:spacing w:after="0" w:line="360" w:lineRule="auto"/>
        <w:rPr>
          <w:rFonts w:ascii="Arial" w:hAnsi="Arial" w:cs="Arial"/>
          <w:sz w:val="16"/>
          <w:szCs w:val="16"/>
        </w:rPr>
      </w:pPr>
      <w:r>
        <w:rPr>
          <w:rFonts w:ascii="Arial" w:hAnsi="Arial"/>
          <w:sz w:val="16"/>
          <w:szCs w:val="16"/>
        </w:rPr>
        <w:t>Please consult our website for Grossmann &amp; Berger’s</w:t>
      </w:r>
      <w:hyperlink r:id="rId14" w:history="1">
        <w:r>
          <w:rPr>
            <w:rStyle w:val="Hyperlink"/>
            <w:rFonts w:ascii="Arial" w:hAnsi="Arial"/>
            <w:sz w:val="16"/>
            <w:szCs w:val="16"/>
          </w:rPr>
          <w:t xml:space="preserve"> data privacy policy.</w:t>
        </w:r>
      </w:hyperlink>
      <w:r>
        <w:rPr>
          <w:rFonts w:ascii="Arial" w:hAnsi="Arial"/>
          <w:sz w:val="16"/>
          <w:szCs w:val="16"/>
        </w:rPr>
        <w:t xml:space="preserve">  Here you will also be able to access our </w:t>
      </w:r>
      <w:hyperlink r:id="rId15" w:history="1">
        <w:r>
          <w:rPr>
            <w:rStyle w:val="Hyperlink"/>
            <w:rFonts w:ascii="Arial" w:hAnsi="Arial"/>
            <w:sz w:val="16"/>
            <w:szCs w:val="16"/>
          </w:rPr>
          <w:t xml:space="preserve"> press kit </w:t>
        </w:r>
      </w:hyperlink>
      <w:r>
        <w:rPr>
          <w:rFonts w:ascii="Arial" w:hAnsi="Arial"/>
          <w:sz w:val="16"/>
          <w:szCs w:val="16"/>
        </w:rPr>
        <w:t xml:space="preserve"> and the associated </w:t>
      </w:r>
      <w:hyperlink r:id="rId16"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7"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503D8C" w:rsidRPr="00712CE1"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391B" w16cex:dateUtc="2022-03-31T12:28:00Z"/>
  <w16cex:commentExtensible w16cex:durableId="25F0394C" w16cex:dateUtc="2022-03-31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77545" w16cid:durableId="25F0391B"/>
  <w16cid:commentId w16cid:paraId="4A657374" w16cid:durableId="25F039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5F45" w14:textId="77777777" w:rsidR="00325D00" w:rsidRDefault="00325D00">
      <w:r>
        <w:separator/>
      </w:r>
    </w:p>
  </w:endnote>
  <w:endnote w:type="continuationSeparator" w:id="0">
    <w:p w14:paraId="17FBBD07" w14:textId="77777777" w:rsidR="00325D00" w:rsidRDefault="0032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0022"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Pr>
        <w:rFonts w:ascii="Arial" w:hAnsi="Arial"/>
        <w:b/>
        <w:bCs/>
        <w:color w:val="918F90"/>
        <w:sz w:val="18"/>
        <w:szCs w:val="18"/>
      </w:rPr>
      <w:t xml:space="preserve">Grossmann &amp; Berger GmbH </w:t>
    </w:r>
    <w:r>
      <w:rPr>
        <w:rFonts w:ascii="Arial" w:hAnsi="Arial"/>
        <w:color w:val="918F90"/>
        <w:sz w:val="18"/>
        <w:szCs w:val="18"/>
      </w:rPr>
      <w:t xml:space="preserve">| </w:t>
    </w:r>
    <w:proofErr w:type="spellStart"/>
    <w:r>
      <w:rPr>
        <w:rFonts w:ascii="Arial" w:hAnsi="Arial"/>
        <w:color w:val="918F90"/>
        <w:sz w:val="18"/>
        <w:szCs w:val="18"/>
      </w:rPr>
      <w:t>Bleichenbrücke</w:t>
    </w:r>
    <w:proofErr w:type="spellEnd"/>
    <w:r>
      <w:rPr>
        <w:rFonts w:ascii="Arial" w:hAnsi="Arial"/>
        <w:color w:val="918F90"/>
        <w:sz w:val="18"/>
        <w:szCs w:val="18"/>
      </w:rPr>
      <w:t xml:space="preserve"> 9 | 20354 Hamburg | Tel. +49 (0)40/350 80 2-0 | www.grossmann-berger.de</w:t>
    </w:r>
  </w:p>
  <w:p w14:paraId="5E0EDDBC" w14:textId="6382C7C1"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E22D9B">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E22D9B">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CEE9" w14:textId="77777777" w:rsidR="008C608D" w:rsidRDefault="008C608D">
    <w:pPr>
      <w:pStyle w:val="Fuzeile"/>
    </w:pPr>
    <w:r>
      <w:rPr>
        <w:noProof/>
        <w:lang w:val="de-DE" w:eastAsia="de-DE"/>
      </w:rPr>
      <w:drawing>
        <wp:anchor distT="0" distB="0" distL="0" distR="0" simplePos="0" relativeHeight="251659264" behindDoc="0" locked="0" layoutInCell="0" allowOverlap="1" wp14:anchorId="648292C5" wp14:editId="00457459">
          <wp:simplePos x="0" y="0"/>
          <wp:positionH relativeFrom="column">
            <wp:posOffset>-615315</wp:posOffset>
          </wp:positionH>
          <wp:positionV relativeFrom="page">
            <wp:posOffset>9457690</wp:posOffset>
          </wp:positionV>
          <wp:extent cx="7346950" cy="1140460"/>
          <wp:effectExtent l="0" t="0" r="6350" b="2540"/>
          <wp:wrapThrough wrapText="bothSides">
            <wp:wrapPolygon edited="0">
              <wp:start x="0" y="0"/>
              <wp:lineTo x="0" y="21287"/>
              <wp:lineTo x="21563" y="21287"/>
              <wp:lineTo x="21563" y="0"/>
              <wp:lineTo x="0"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40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67575" w14:textId="77777777" w:rsidR="00325D00" w:rsidRDefault="00325D00">
      <w:r>
        <w:separator/>
      </w:r>
    </w:p>
  </w:footnote>
  <w:footnote w:type="continuationSeparator" w:id="0">
    <w:p w14:paraId="616E29C8" w14:textId="77777777" w:rsidR="00325D00" w:rsidRDefault="00325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50661" w14:textId="77777777" w:rsidR="006138CB" w:rsidRPr="009E3ADA" w:rsidRDefault="00E5203C"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58C25E6F" wp14:editId="5792C0A6">
              <wp:simplePos x="0" y="0"/>
              <wp:positionH relativeFrom="column">
                <wp:posOffset>-83986</wp:posOffset>
              </wp:positionH>
              <wp:positionV relativeFrom="paragraph">
                <wp:posOffset>21618</wp:posOffset>
              </wp:positionV>
              <wp:extent cx="5104738"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38" cy="1403985"/>
                      </a:xfrm>
                      <a:prstGeom prst="rect">
                        <a:avLst/>
                      </a:prstGeom>
                      <a:noFill/>
                      <a:ln w="9525">
                        <a:noFill/>
                        <a:miter lim="800000"/>
                        <a:headEnd/>
                        <a:tailEnd/>
                      </a:ln>
                    </wps:spPr>
                    <wps:txbx>
                      <w:txbxContent>
                        <w:p w14:paraId="038D3993" w14:textId="470F6001"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Telephone: +49 (0)40/350 80 2-588 | c.fuehner@grossmann-berger.de.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C25E6F" id="_x0000_t202" coordsize="21600,21600" o:spt="202" path="m,l,21600r21600,l21600,xe">
              <v:stroke joinstyle="miter"/>
              <v:path gradientshapeok="t" o:connecttype="rect"/>
            </v:shapetype>
            <v:shape id="Textfeld 2" o:spid="_x0000_s1026" type="#_x0000_t202" style="position:absolute;left:0;text-align:left;margin-left:-6.6pt;margin-top:1.7pt;width:401.9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" filled="f" stroked="f">
              <v:textbox style="mso-fit-shape-to-text:t">
                <w:txbxContent>
                  <w:p w14:paraId="038D3993" w14:textId="470F6001"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Telephone: +49 (0)40/350 80 2-588 | c.fuehner@grossmann-berger.de.</w:t>
                    </w:r>
                  </w:p>
                </w:txbxContent>
              </v:textbox>
            </v:shape>
          </w:pict>
        </mc:Fallback>
      </mc:AlternateContent>
    </w:r>
    <w:r>
      <w:rPr>
        <w:rFonts w:ascii="Arial" w:hAnsi="Arial"/>
        <w:color w:val="918F90"/>
        <w:sz w:val="28"/>
        <w:szCs w:val="28"/>
      </w:rPr>
      <w:t>Press release</w:t>
    </w:r>
  </w:p>
  <w:p w14:paraId="4672834A"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6F632" w14:textId="77777777" w:rsidR="00D83CB7" w:rsidRDefault="00E5203C"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26FF3942" wp14:editId="1F9AD08A">
              <wp:simplePos x="0" y="0"/>
              <wp:positionH relativeFrom="column">
                <wp:posOffset>-78646</wp:posOffset>
              </wp:positionH>
              <wp:positionV relativeFrom="paragraph">
                <wp:posOffset>22092</wp:posOffset>
              </wp:positionV>
              <wp:extent cx="4947313"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313" cy="1403985"/>
                      </a:xfrm>
                      <a:prstGeom prst="rect">
                        <a:avLst/>
                      </a:prstGeom>
                      <a:noFill/>
                      <a:ln w="9525">
                        <a:noFill/>
                        <a:miter lim="800000"/>
                        <a:headEnd/>
                        <a:tailEnd/>
                      </a:ln>
                    </wps:spPr>
                    <wps:txbx>
                      <w:txbxContent>
                        <w:p w14:paraId="341F569C" w14:textId="1C6A6DDD"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Telephone: +49 (0)40/350 80 2-588 | c.fuehner@grossmann-berger.de.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F3942" id="_x0000_t202" coordsize="21600,21600" o:spt="202" path="m,l,21600r21600,l21600,xe">
              <v:stroke joinstyle="miter"/>
              <v:path gradientshapeok="t" o:connecttype="rect"/>
            </v:shapetype>
            <v:shape id="_x0000_s1027" type="#_x0000_t202" style="position:absolute;left:0;text-align:left;margin-left:-6.2pt;margin-top:1.75pt;width:389.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" filled="f" stroked="f">
              <v:textbox style="mso-fit-shape-to-text:t">
                <w:txbxContent>
                  <w:p w14:paraId="341F569C" w14:textId="1C6A6DDD"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Telephone: +49 (0)40/350 80 2-588 | c.fuehner@grossmann-berger.de.</w:t>
                    </w:r>
                  </w:p>
                </w:txbxContent>
              </v:textbox>
            </v:shape>
          </w:pict>
        </mc:Fallback>
      </mc:AlternateContent>
    </w:r>
    <w:r>
      <w:rPr>
        <w:rFonts w:ascii="Arial" w:hAnsi="Arial"/>
        <w:color w:val="918F90"/>
        <w:sz w:val="28"/>
        <w:szCs w:val="28"/>
      </w:rPr>
      <w:t>Press release</w:t>
    </w:r>
  </w:p>
  <w:p w14:paraId="3FAFB734"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065F13"/>
    <w:multiLevelType w:val="hybridMultilevel"/>
    <w:tmpl w:val="4D16C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1C6700"/>
    <w:multiLevelType w:val="hybridMultilevel"/>
    <w:tmpl w:val="58B0B62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8F830F8"/>
    <w:multiLevelType w:val="hybridMultilevel"/>
    <w:tmpl w:val="CE54F1DE"/>
    <w:lvl w:ilvl="0" w:tplc="41F6EF16">
      <w:start w:val="28"/>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6"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7"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FFF56F7"/>
    <w:multiLevelType w:val="hybridMultilevel"/>
    <w:tmpl w:val="F8825B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6"/>
  </w:num>
  <w:num w:numId="15">
    <w:abstractNumId w:val="17"/>
  </w:num>
  <w:num w:numId="16">
    <w:abstractNumId w:val="11"/>
  </w:num>
  <w:num w:numId="17">
    <w:abstractNumId w:val="14"/>
  </w:num>
  <w:num w:numId="18">
    <w:abstractNumId w:val="12"/>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598D"/>
    <w:rsid w:val="000159FE"/>
    <w:rsid w:val="000202AA"/>
    <w:rsid w:val="00022F16"/>
    <w:rsid w:val="00023D78"/>
    <w:rsid w:val="0003075C"/>
    <w:rsid w:val="00060743"/>
    <w:rsid w:val="00066796"/>
    <w:rsid w:val="000766D7"/>
    <w:rsid w:val="000B3315"/>
    <w:rsid w:val="000C770D"/>
    <w:rsid w:val="000D774D"/>
    <w:rsid w:val="000E03F3"/>
    <w:rsid w:val="000F1B26"/>
    <w:rsid w:val="001029C4"/>
    <w:rsid w:val="00106F37"/>
    <w:rsid w:val="0011486D"/>
    <w:rsid w:val="00121E33"/>
    <w:rsid w:val="0012484F"/>
    <w:rsid w:val="00126550"/>
    <w:rsid w:val="001324D6"/>
    <w:rsid w:val="00135BD2"/>
    <w:rsid w:val="00142A67"/>
    <w:rsid w:val="00154825"/>
    <w:rsid w:val="00155DAF"/>
    <w:rsid w:val="0017516B"/>
    <w:rsid w:val="00176F1D"/>
    <w:rsid w:val="00190298"/>
    <w:rsid w:val="001922E2"/>
    <w:rsid w:val="001A2ABE"/>
    <w:rsid w:val="001A360C"/>
    <w:rsid w:val="001A5E9E"/>
    <w:rsid w:val="001B3575"/>
    <w:rsid w:val="001D0D74"/>
    <w:rsid w:val="001D14DA"/>
    <w:rsid w:val="001E6995"/>
    <w:rsid w:val="001F1513"/>
    <w:rsid w:val="001F6BCE"/>
    <w:rsid w:val="00202AE4"/>
    <w:rsid w:val="00205769"/>
    <w:rsid w:val="00210B56"/>
    <w:rsid w:val="00212FEC"/>
    <w:rsid w:val="002131BB"/>
    <w:rsid w:val="0022086D"/>
    <w:rsid w:val="002220CB"/>
    <w:rsid w:val="00227E31"/>
    <w:rsid w:val="00230F81"/>
    <w:rsid w:val="002538F8"/>
    <w:rsid w:val="00254C6F"/>
    <w:rsid w:val="00267947"/>
    <w:rsid w:val="00267E4A"/>
    <w:rsid w:val="0027266B"/>
    <w:rsid w:val="00281E80"/>
    <w:rsid w:val="002834B0"/>
    <w:rsid w:val="00283671"/>
    <w:rsid w:val="00284E27"/>
    <w:rsid w:val="002A028B"/>
    <w:rsid w:val="002A1973"/>
    <w:rsid w:val="002B1F33"/>
    <w:rsid w:val="002C2392"/>
    <w:rsid w:val="002D1C5C"/>
    <w:rsid w:val="002D1E20"/>
    <w:rsid w:val="002E6860"/>
    <w:rsid w:val="002F0411"/>
    <w:rsid w:val="00325D00"/>
    <w:rsid w:val="00325E2A"/>
    <w:rsid w:val="0034786C"/>
    <w:rsid w:val="003517C9"/>
    <w:rsid w:val="0035325B"/>
    <w:rsid w:val="003559FF"/>
    <w:rsid w:val="003577ED"/>
    <w:rsid w:val="00370000"/>
    <w:rsid w:val="00373507"/>
    <w:rsid w:val="0038230E"/>
    <w:rsid w:val="00382529"/>
    <w:rsid w:val="00384022"/>
    <w:rsid w:val="003A75E8"/>
    <w:rsid w:val="003B4CCF"/>
    <w:rsid w:val="003C6AB4"/>
    <w:rsid w:val="003D69DE"/>
    <w:rsid w:val="003E099F"/>
    <w:rsid w:val="003F1645"/>
    <w:rsid w:val="0040086D"/>
    <w:rsid w:val="004017D8"/>
    <w:rsid w:val="00406121"/>
    <w:rsid w:val="00411E03"/>
    <w:rsid w:val="004123B1"/>
    <w:rsid w:val="004303A1"/>
    <w:rsid w:val="004351E4"/>
    <w:rsid w:val="00440DC9"/>
    <w:rsid w:val="0044622D"/>
    <w:rsid w:val="004506D2"/>
    <w:rsid w:val="00456F40"/>
    <w:rsid w:val="004609BD"/>
    <w:rsid w:val="004661EE"/>
    <w:rsid w:val="00466741"/>
    <w:rsid w:val="0047591A"/>
    <w:rsid w:val="004839BD"/>
    <w:rsid w:val="004A2BEA"/>
    <w:rsid w:val="004A3C64"/>
    <w:rsid w:val="004A5AEA"/>
    <w:rsid w:val="004B09DE"/>
    <w:rsid w:val="004B2FDA"/>
    <w:rsid w:val="004B480A"/>
    <w:rsid w:val="004E339B"/>
    <w:rsid w:val="004E4562"/>
    <w:rsid w:val="004F077F"/>
    <w:rsid w:val="004F139A"/>
    <w:rsid w:val="005023DD"/>
    <w:rsid w:val="00503D8C"/>
    <w:rsid w:val="00522B84"/>
    <w:rsid w:val="00531A7F"/>
    <w:rsid w:val="005428C5"/>
    <w:rsid w:val="00543C55"/>
    <w:rsid w:val="00546707"/>
    <w:rsid w:val="005554C7"/>
    <w:rsid w:val="00582B99"/>
    <w:rsid w:val="00590903"/>
    <w:rsid w:val="00593B27"/>
    <w:rsid w:val="005B0FC9"/>
    <w:rsid w:val="005B66D3"/>
    <w:rsid w:val="005C4556"/>
    <w:rsid w:val="005C5302"/>
    <w:rsid w:val="005E35CD"/>
    <w:rsid w:val="005E362E"/>
    <w:rsid w:val="005E4B48"/>
    <w:rsid w:val="005F6E2B"/>
    <w:rsid w:val="0061109D"/>
    <w:rsid w:val="00612AA0"/>
    <w:rsid w:val="006138CB"/>
    <w:rsid w:val="006224C4"/>
    <w:rsid w:val="006225EA"/>
    <w:rsid w:val="006261DF"/>
    <w:rsid w:val="00633B9C"/>
    <w:rsid w:val="00642074"/>
    <w:rsid w:val="00656B29"/>
    <w:rsid w:val="00687D00"/>
    <w:rsid w:val="00695E58"/>
    <w:rsid w:val="006A1329"/>
    <w:rsid w:val="006A66F9"/>
    <w:rsid w:val="006E4CF0"/>
    <w:rsid w:val="006E5F6E"/>
    <w:rsid w:val="00710607"/>
    <w:rsid w:val="00712CE1"/>
    <w:rsid w:val="00720DFF"/>
    <w:rsid w:val="007218C0"/>
    <w:rsid w:val="00762CC5"/>
    <w:rsid w:val="00781CBD"/>
    <w:rsid w:val="00783517"/>
    <w:rsid w:val="007906B4"/>
    <w:rsid w:val="007A4FCB"/>
    <w:rsid w:val="007A7F58"/>
    <w:rsid w:val="007C013D"/>
    <w:rsid w:val="007E759D"/>
    <w:rsid w:val="007F49FD"/>
    <w:rsid w:val="00812471"/>
    <w:rsid w:val="008261A5"/>
    <w:rsid w:val="00827409"/>
    <w:rsid w:val="008314AD"/>
    <w:rsid w:val="0083382E"/>
    <w:rsid w:val="00855325"/>
    <w:rsid w:val="00862E34"/>
    <w:rsid w:val="00865915"/>
    <w:rsid w:val="00871832"/>
    <w:rsid w:val="00886CCE"/>
    <w:rsid w:val="00896B33"/>
    <w:rsid w:val="008A62FB"/>
    <w:rsid w:val="008A77B7"/>
    <w:rsid w:val="008B0F67"/>
    <w:rsid w:val="008C608D"/>
    <w:rsid w:val="008E461D"/>
    <w:rsid w:val="008F08E5"/>
    <w:rsid w:val="008F0C4C"/>
    <w:rsid w:val="008F0EA4"/>
    <w:rsid w:val="008F5213"/>
    <w:rsid w:val="009066C5"/>
    <w:rsid w:val="0090748B"/>
    <w:rsid w:val="00920C9C"/>
    <w:rsid w:val="00922754"/>
    <w:rsid w:val="00925781"/>
    <w:rsid w:val="009258D0"/>
    <w:rsid w:val="00935AB3"/>
    <w:rsid w:val="009734CE"/>
    <w:rsid w:val="00980EDB"/>
    <w:rsid w:val="009864F4"/>
    <w:rsid w:val="0099478D"/>
    <w:rsid w:val="00996E1A"/>
    <w:rsid w:val="009A4414"/>
    <w:rsid w:val="009D24DA"/>
    <w:rsid w:val="009D5738"/>
    <w:rsid w:val="009D5D75"/>
    <w:rsid w:val="009F32A2"/>
    <w:rsid w:val="009F54CE"/>
    <w:rsid w:val="00A00F36"/>
    <w:rsid w:val="00A0112E"/>
    <w:rsid w:val="00A06264"/>
    <w:rsid w:val="00A1639A"/>
    <w:rsid w:val="00A202C5"/>
    <w:rsid w:val="00A215C9"/>
    <w:rsid w:val="00A4056C"/>
    <w:rsid w:val="00A42074"/>
    <w:rsid w:val="00A5364B"/>
    <w:rsid w:val="00A546DC"/>
    <w:rsid w:val="00A615E0"/>
    <w:rsid w:val="00A65E2B"/>
    <w:rsid w:val="00A74AA0"/>
    <w:rsid w:val="00A7546D"/>
    <w:rsid w:val="00A77100"/>
    <w:rsid w:val="00A97481"/>
    <w:rsid w:val="00AA4D97"/>
    <w:rsid w:val="00AD17B7"/>
    <w:rsid w:val="00AF7477"/>
    <w:rsid w:val="00B077D5"/>
    <w:rsid w:val="00B200E4"/>
    <w:rsid w:val="00B356BB"/>
    <w:rsid w:val="00B35B6D"/>
    <w:rsid w:val="00B35DC6"/>
    <w:rsid w:val="00B51699"/>
    <w:rsid w:val="00B53FAF"/>
    <w:rsid w:val="00B63153"/>
    <w:rsid w:val="00B6527D"/>
    <w:rsid w:val="00B70B17"/>
    <w:rsid w:val="00B73B3A"/>
    <w:rsid w:val="00B74507"/>
    <w:rsid w:val="00B747F3"/>
    <w:rsid w:val="00B75718"/>
    <w:rsid w:val="00B75E7E"/>
    <w:rsid w:val="00B92005"/>
    <w:rsid w:val="00B93817"/>
    <w:rsid w:val="00BA0B96"/>
    <w:rsid w:val="00BB15DA"/>
    <w:rsid w:val="00BB340D"/>
    <w:rsid w:val="00BC2A3A"/>
    <w:rsid w:val="00BC43AB"/>
    <w:rsid w:val="00BC64EC"/>
    <w:rsid w:val="00BD073D"/>
    <w:rsid w:val="00BF02E7"/>
    <w:rsid w:val="00BF3AFD"/>
    <w:rsid w:val="00C1606C"/>
    <w:rsid w:val="00C1720E"/>
    <w:rsid w:val="00C20EEA"/>
    <w:rsid w:val="00C23180"/>
    <w:rsid w:val="00C41492"/>
    <w:rsid w:val="00C702B5"/>
    <w:rsid w:val="00C70389"/>
    <w:rsid w:val="00C7341F"/>
    <w:rsid w:val="00C86C02"/>
    <w:rsid w:val="00C904B6"/>
    <w:rsid w:val="00C96DF4"/>
    <w:rsid w:val="00C97C2E"/>
    <w:rsid w:val="00CA43E4"/>
    <w:rsid w:val="00CB08A0"/>
    <w:rsid w:val="00CC00BA"/>
    <w:rsid w:val="00CC051D"/>
    <w:rsid w:val="00CC1337"/>
    <w:rsid w:val="00CC48DF"/>
    <w:rsid w:val="00CC6AC4"/>
    <w:rsid w:val="00CD70E7"/>
    <w:rsid w:val="00CD7363"/>
    <w:rsid w:val="00CE0C1F"/>
    <w:rsid w:val="00CE455F"/>
    <w:rsid w:val="00CE687E"/>
    <w:rsid w:val="00CF0163"/>
    <w:rsid w:val="00CF0BF9"/>
    <w:rsid w:val="00CF5957"/>
    <w:rsid w:val="00D04BA2"/>
    <w:rsid w:val="00D077B0"/>
    <w:rsid w:val="00D21234"/>
    <w:rsid w:val="00D22D42"/>
    <w:rsid w:val="00D36D8D"/>
    <w:rsid w:val="00D45711"/>
    <w:rsid w:val="00D500FC"/>
    <w:rsid w:val="00D51597"/>
    <w:rsid w:val="00D5326E"/>
    <w:rsid w:val="00D55867"/>
    <w:rsid w:val="00D634A3"/>
    <w:rsid w:val="00D72339"/>
    <w:rsid w:val="00D73E47"/>
    <w:rsid w:val="00D74ABB"/>
    <w:rsid w:val="00D8108D"/>
    <w:rsid w:val="00D83CB7"/>
    <w:rsid w:val="00D87371"/>
    <w:rsid w:val="00D97FA8"/>
    <w:rsid w:val="00DC7B25"/>
    <w:rsid w:val="00DD6B73"/>
    <w:rsid w:val="00DE6366"/>
    <w:rsid w:val="00DF0AB8"/>
    <w:rsid w:val="00E112C9"/>
    <w:rsid w:val="00E158F7"/>
    <w:rsid w:val="00E2087E"/>
    <w:rsid w:val="00E2237A"/>
    <w:rsid w:val="00E22D9B"/>
    <w:rsid w:val="00E347F2"/>
    <w:rsid w:val="00E36818"/>
    <w:rsid w:val="00E47B97"/>
    <w:rsid w:val="00E47C25"/>
    <w:rsid w:val="00E5203C"/>
    <w:rsid w:val="00E61C65"/>
    <w:rsid w:val="00E6326D"/>
    <w:rsid w:val="00E634CC"/>
    <w:rsid w:val="00E82F0E"/>
    <w:rsid w:val="00E96FAC"/>
    <w:rsid w:val="00EA129F"/>
    <w:rsid w:val="00EA1FCC"/>
    <w:rsid w:val="00ED0582"/>
    <w:rsid w:val="00ED39A3"/>
    <w:rsid w:val="00EE31F6"/>
    <w:rsid w:val="00EE36DC"/>
    <w:rsid w:val="00F044EE"/>
    <w:rsid w:val="00F15839"/>
    <w:rsid w:val="00F3320B"/>
    <w:rsid w:val="00F40E92"/>
    <w:rsid w:val="00F41947"/>
    <w:rsid w:val="00F435AA"/>
    <w:rsid w:val="00F76C6A"/>
    <w:rsid w:val="00F83BF1"/>
    <w:rsid w:val="00F90CB9"/>
    <w:rsid w:val="00F91F76"/>
    <w:rsid w:val="00F97373"/>
    <w:rsid w:val="00FA6854"/>
    <w:rsid w:val="00FB064F"/>
    <w:rsid w:val="00FB144F"/>
    <w:rsid w:val="00FB159A"/>
    <w:rsid w:val="00FB4D77"/>
    <w:rsid w:val="00FB6E2B"/>
    <w:rsid w:val="00FC497D"/>
    <w:rsid w:val="00FD076B"/>
    <w:rsid w:val="00FF3782"/>
    <w:rsid w:val="00FF5F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EE4B44"/>
  <w15:docId w15:val="{6928BD7D-BBE6-4377-9A2F-C754A419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qFormat/>
    <w:locked/>
    <w:rsid w:val="00382529"/>
    <w:rPr>
      <w:b/>
      <w:bCs/>
    </w:rPr>
  </w:style>
  <w:style w:type="table" w:customStyle="1" w:styleId="TableGrid2">
    <w:name w:val="Table Grid2"/>
    <w:basedOn w:val="NormaleTabelle"/>
    <w:next w:val="Tabellenraster"/>
    <w:uiPriority w:val="59"/>
    <w:rsid w:val="00C7341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locked/>
    <w:rsid w:val="00C7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uiPriority w:val="59"/>
    <w:rsid w:val="00C7341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B09DE"/>
    <w:rPr>
      <w:sz w:val="16"/>
      <w:szCs w:val="16"/>
    </w:rPr>
  </w:style>
  <w:style w:type="paragraph" w:styleId="Kommentartext">
    <w:name w:val="annotation text"/>
    <w:basedOn w:val="Standard"/>
    <w:link w:val="KommentartextZchn"/>
    <w:uiPriority w:val="99"/>
    <w:semiHidden/>
    <w:unhideWhenUsed/>
    <w:rsid w:val="004B09DE"/>
    <w:rPr>
      <w:sz w:val="20"/>
      <w:szCs w:val="20"/>
    </w:rPr>
  </w:style>
  <w:style w:type="character" w:customStyle="1" w:styleId="KommentartextZchn">
    <w:name w:val="Kommentartext Zchn"/>
    <w:basedOn w:val="Absatz-Standardschriftart"/>
    <w:link w:val="Kommentartext"/>
    <w:uiPriority w:val="99"/>
    <w:semiHidden/>
    <w:rsid w:val="004B09DE"/>
    <w:rPr>
      <w:sz w:val="20"/>
      <w:szCs w:val="20"/>
      <w:lang w:eastAsia="en-US"/>
    </w:rPr>
  </w:style>
  <w:style w:type="paragraph" w:styleId="Kommentarthema">
    <w:name w:val="annotation subject"/>
    <w:basedOn w:val="Kommentartext"/>
    <w:next w:val="Kommentartext"/>
    <w:link w:val="KommentarthemaZchn"/>
    <w:uiPriority w:val="99"/>
    <w:semiHidden/>
    <w:unhideWhenUsed/>
    <w:rsid w:val="004B09DE"/>
    <w:rPr>
      <w:b/>
      <w:bCs/>
    </w:rPr>
  </w:style>
  <w:style w:type="character" w:customStyle="1" w:styleId="KommentarthemaZchn">
    <w:name w:val="Kommentarthema Zchn"/>
    <w:basedOn w:val="KommentartextZchn"/>
    <w:link w:val="Kommentarthema"/>
    <w:uiPriority w:val="99"/>
    <w:semiHidden/>
    <w:rsid w:val="004B09DE"/>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ermanpropertypartners.de/de/"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ug-immobilien.de/privat-immobilien" TargetMode="External"/><Relationship Id="rId17" Type="http://schemas.openxmlformats.org/officeDocument/2006/relationships/hyperlink" Target="mailto:presse@grossmann-berger.de" TargetMode="External"/><Relationship Id="rId2" Type="http://schemas.openxmlformats.org/officeDocument/2006/relationships/numbering" Target="numbering.xml"/><Relationship Id="rId16" Type="http://schemas.openxmlformats.org/officeDocument/2006/relationships/hyperlink" Target="file:///\\file01\Marketing\Presse\5_PresseMITTEILUNGEN\Marktbericht%20B&#252;ro\2020\2020%20Q2\20180517_Dokumentation%20der%20Verarbeitungstaetigkeit%20nach%20DSGVO_Presse.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de/news/pressemappe/" TargetMode="External"/><Relationship Id="rId23" Type="http://schemas.openxmlformats.org/officeDocument/2006/relationships/theme" Target="theme/theme1.xml"/><Relationship Id="rId10" Type="http://schemas.openxmlformats.org/officeDocument/2006/relationships/hyperlink" Target="https://www.grossmann-berge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ssmann-berger.de/marktbericht/gewerbe" TargetMode="External"/><Relationship Id="rId14" Type="http://schemas.openxmlformats.org/officeDocument/2006/relationships/hyperlink" Target="https://www.grossmann-berger.de/datenschutz/"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244E-26DC-4299-A1F3-3EE3479C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5293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Corinna Fühner</cp:lastModifiedBy>
  <cp:revision>3</cp:revision>
  <cp:lastPrinted>2022-04-07T08:57:00Z</cp:lastPrinted>
  <dcterms:created xsi:type="dcterms:W3CDTF">2022-04-12T08:03:00Z</dcterms:created>
  <dcterms:modified xsi:type="dcterms:W3CDTF">2022-04-12T08:08:00Z</dcterms:modified>
</cp:coreProperties>
</file>