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C1F02" w14:textId="4E45FD94" w:rsidR="0020161B" w:rsidRDefault="0020161B" w:rsidP="0020161B">
      <w:pPr>
        <w:spacing w:after="0" w:line="360" w:lineRule="auto"/>
        <w:rPr>
          <w:rFonts w:ascii="Arial" w:hAnsi="Arial" w:cs="Arial"/>
          <w:b/>
          <w:sz w:val="28"/>
          <w:szCs w:val="28"/>
        </w:rPr>
      </w:pPr>
      <w:r>
        <w:rPr>
          <w:rFonts w:ascii="Arial" w:hAnsi="Arial"/>
          <w:b/>
        </w:rPr>
        <w:t>Berlin: Investment market 1st-3rd quarters of 2020</w:t>
      </w:r>
      <w:r>
        <w:rPr>
          <w:rFonts w:ascii="Arial" w:hAnsi="Arial"/>
          <w:b/>
        </w:rPr>
        <w:br/>
        <w:t>Investors choose core real estate</w:t>
      </w:r>
      <w:r>
        <w:rPr>
          <w:rFonts w:ascii="Arial" w:hAnsi="Arial"/>
          <w:b/>
          <w:sz w:val="28"/>
          <w:szCs w:val="28"/>
        </w:rPr>
        <w:t xml:space="preserve"> </w:t>
      </w:r>
    </w:p>
    <w:p w14:paraId="41FE8D9B" w14:textId="62E96A5C" w:rsidR="0020161B" w:rsidRDefault="0020161B" w:rsidP="0020161B">
      <w:pPr>
        <w:spacing w:after="0" w:line="360" w:lineRule="auto"/>
        <w:rPr>
          <w:rFonts w:ascii="Arial" w:hAnsi="Arial" w:cs="Arial"/>
          <w:sz w:val="20"/>
          <w:szCs w:val="20"/>
        </w:rPr>
      </w:pPr>
      <w:r>
        <w:rPr>
          <w:rFonts w:ascii="Arial" w:hAnsi="Arial"/>
          <w:b/>
          <w:sz w:val="28"/>
          <w:szCs w:val="28"/>
        </w:rPr>
        <w:br/>
      </w:r>
      <w:r>
        <w:rPr>
          <w:rFonts w:ascii="Arial" w:hAnsi="Arial"/>
          <w:b/>
          <w:sz w:val="20"/>
          <w:szCs w:val="20"/>
        </w:rPr>
        <w:t xml:space="preserve">Berlin, 5 October 2020 </w:t>
      </w:r>
      <w:r>
        <w:rPr>
          <w:rFonts w:ascii="Arial" w:hAnsi="Arial"/>
          <w:sz w:val="20"/>
          <w:szCs w:val="20"/>
        </w:rPr>
        <w:t xml:space="preserve">– By the end of the 3rd quarter commercial properties with a total value of €4.75bn had been traded in Berlin, a year on year decline of 42 %. However, this massive change owes much to the exceptionally high trading volume in 2019. Nevertheless, </w:t>
      </w:r>
      <w:r>
        <w:rPr>
          <w:rFonts w:ascii="Arial" w:hAnsi="Arial"/>
          <w:i/>
          <w:sz w:val="20"/>
          <w:szCs w:val="20"/>
        </w:rPr>
        <w:t xml:space="preserve">“Investors are more hesitant and are especially wary of assets that </w:t>
      </w:r>
      <w:r w:rsidR="00132A56">
        <w:rPr>
          <w:rFonts w:ascii="Arial" w:hAnsi="Arial"/>
          <w:i/>
          <w:sz w:val="20"/>
          <w:szCs w:val="20"/>
        </w:rPr>
        <w:t>have been</w:t>
      </w:r>
      <w:r>
        <w:rPr>
          <w:rFonts w:ascii="Arial" w:hAnsi="Arial"/>
          <w:i/>
          <w:sz w:val="20"/>
          <w:szCs w:val="20"/>
        </w:rPr>
        <w:t xml:space="preserve"> badly affected by the pandemic such as hotels and certain properties in the retail sector. A large number of risk-averse investors are seeking offices that have been let long-term to highly credit-worthy tenants</w:t>
      </w:r>
      <w:r w:rsidR="00132A56">
        <w:rPr>
          <w:rFonts w:ascii="Arial" w:hAnsi="Arial"/>
          <w:i/>
          <w:sz w:val="20"/>
          <w:szCs w:val="20"/>
        </w:rPr>
        <w:t>,</w:t>
      </w:r>
      <w:r>
        <w:rPr>
          <w:rFonts w:ascii="Arial" w:hAnsi="Arial"/>
          <w:i/>
          <w:sz w:val="20"/>
          <w:szCs w:val="20"/>
        </w:rPr>
        <w:t xml:space="preserve"> and these properties are selling at high prices,”</w:t>
      </w:r>
      <w:r>
        <w:rPr>
          <w:rFonts w:ascii="Arial" w:hAnsi="Arial"/>
          <w:sz w:val="20"/>
          <w:szCs w:val="20"/>
        </w:rPr>
        <w:t xml:space="preserve"> notes </w:t>
      </w:r>
      <w:r>
        <w:rPr>
          <w:rFonts w:ascii="Arial" w:hAnsi="Arial"/>
          <w:b/>
          <w:sz w:val="20"/>
          <w:szCs w:val="20"/>
        </w:rPr>
        <w:t xml:space="preserve">Holger </w:t>
      </w:r>
      <w:proofErr w:type="spellStart"/>
      <w:r>
        <w:rPr>
          <w:rFonts w:ascii="Arial" w:hAnsi="Arial"/>
          <w:b/>
          <w:sz w:val="20"/>
          <w:szCs w:val="20"/>
        </w:rPr>
        <w:t>Michaelis</w:t>
      </w:r>
      <w:proofErr w:type="spellEnd"/>
      <w:r>
        <w:rPr>
          <w:rFonts w:ascii="Arial" w:hAnsi="Arial"/>
          <w:b/>
          <w:sz w:val="20"/>
          <w:szCs w:val="20"/>
        </w:rPr>
        <w:t>,</w:t>
      </w:r>
      <w:r>
        <w:rPr>
          <w:rFonts w:ascii="Arial" w:hAnsi="Arial"/>
          <w:sz w:val="20"/>
          <w:szCs w:val="20"/>
        </w:rPr>
        <w:t xml:space="preserve"> managing director of Grossmann &amp; Berger, a member of German Property Partners (GPP).  He is optimistic about</w:t>
      </w:r>
      <w:r w:rsidR="00626FB7">
        <w:rPr>
          <w:rFonts w:ascii="Arial" w:hAnsi="Arial"/>
          <w:sz w:val="20"/>
          <w:szCs w:val="20"/>
        </w:rPr>
        <w:t xml:space="preserve"> the further course of the year, saying</w:t>
      </w:r>
      <w:r>
        <w:rPr>
          <w:rFonts w:ascii="Arial" w:hAnsi="Arial"/>
          <w:sz w:val="20"/>
          <w:szCs w:val="20"/>
        </w:rPr>
        <w:t xml:space="preserve"> </w:t>
      </w:r>
      <w:r>
        <w:rPr>
          <w:rFonts w:ascii="Arial" w:hAnsi="Arial"/>
          <w:i/>
          <w:sz w:val="20"/>
          <w:szCs w:val="20"/>
        </w:rPr>
        <w:t>“Between July and September spending was around 230 million euros higher than in the second quarter, so the market is moving in the right direction. Since investors are under pressure to acquire investments and several large transactions are close to completion we expect the year to end well.”</w:t>
      </w:r>
      <w:r>
        <w:rPr>
          <w:rFonts w:ascii="Arial" w:hAnsi="Arial"/>
          <w:sz w:val="20"/>
          <w:szCs w:val="20"/>
        </w:rPr>
        <w:t xml:space="preserve">  </w:t>
      </w:r>
    </w:p>
    <w:p w14:paraId="5D8B5324" w14:textId="77777777" w:rsidR="0020161B" w:rsidRDefault="0020161B" w:rsidP="0020161B">
      <w:pPr>
        <w:spacing w:after="0" w:line="360" w:lineRule="auto"/>
        <w:textAlignment w:val="baseline"/>
        <w:rPr>
          <w:rFonts w:ascii="Arial" w:hAnsi="Arial" w:cs="Arial"/>
          <w:sz w:val="20"/>
          <w:szCs w:val="20"/>
        </w:rPr>
      </w:pPr>
    </w:p>
    <w:p w14:paraId="2F5D3F2D" w14:textId="60A47D23" w:rsidR="005A6B93" w:rsidRDefault="0020161B" w:rsidP="005A6B93">
      <w:pPr>
        <w:spacing w:line="360" w:lineRule="auto"/>
        <w:rPr>
          <w:rFonts w:ascii="Arial" w:hAnsi="Arial" w:cs="Arial"/>
          <w:sz w:val="20"/>
          <w:szCs w:val="20"/>
        </w:rPr>
      </w:pPr>
      <w:r>
        <w:rPr>
          <w:rFonts w:ascii="Arial" w:hAnsi="Arial"/>
          <w:b/>
          <w:sz w:val="20"/>
          <w:szCs w:val="20"/>
        </w:rPr>
        <w:t xml:space="preserve">Market details: </w:t>
      </w:r>
    </w:p>
    <w:p w14:paraId="45DDA881" w14:textId="6CAD5546" w:rsidR="005A6B93" w:rsidRDefault="00825E2A" w:rsidP="005A6B93">
      <w:pPr>
        <w:pStyle w:val="Listenabsatz"/>
        <w:numPr>
          <w:ilvl w:val="0"/>
          <w:numId w:val="16"/>
        </w:numPr>
        <w:spacing w:line="360" w:lineRule="auto"/>
        <w:rPr>
          <w:rFonts w:ascii="Arial" w:hAnsi="Arial" w:cs="Arial"/>
          <w:sz w:val="20"/>
          <w:szCs w:val="20"/>
        </w:rPr>
      </w:pPr>
      <w:r>
        <w:rPr>
          <w:rFonts w:ascii="Arial" w:hAnsi="Arial"/>
          <w:sz w:val="20"/>
          <w:szCs w:val="20"/>
        </w:rPr>
        <w:t xml:space="preserve">In the first nine months of 2020 there were “only” twelve trades with price tags of more than €100m. A year before, 22 transactions had involved such sums.  </w:t>
      </w:r>
    </w:p>
    <w:p w14:paraId="63963281" w14:textId="7A9F5525" w:rsidR="005A6B93" w:rsidRDefault="005A6B93" w:rsidP="005A6B93">
      <w:pPr>
        <w:pStyle w:val="Listenabsatz"/>
        <w:numPr>
          <w:ilvl w:val="0"/>
          <w:numId w:val="16"/>
        </w:numPr>
        <w:spacing w:line="360" w:lineRule="auto"/>
        <w:rPr>
          <w:rFonts w:ascii="Arial" w:hAnsi="Arial" w:cs="Arial"/>
          <w:sz w:val="20"/>
          <w:szCs w:val="20"/>
        </w:rPr>
      </w:pPr>
      <w:r>
        <w:rPr>
          <w:rFonts w:ascii="Arial" w:hAnsi="Arial"/>
          <w:sz w:val="20"/>
          <w:szCs w:val="20"/>
        </w:rPr>
        <w:t>Offices, the most sought-after asset class, accounted for 57 % of total trading (Q3 2019: 68 %).</w:t>
      </w:r>
    </w:p>
    <w:p w14:paraId="141C704F" w14:textId="77777777" w:rsidR="005A6B93" w:rsidRPr="004E07BE" w:rsidRDefault="005A6B93" w:rsidP="005A6B93">
      <w:pPr>
        <w:pStyle w:val="Listenabsatz"/>
        <w:numPr>
          <w:ilvl w:val="0"/>
          <w:numId w:val="16"/>
        </w:numPr>
        <w:spacing w:after="0" w:line="360" w:lineRule="auto"/>
        <w:textAlignment w:val="baseline"/>
        <w:rPr>
          <w:rFonts w:ascii="Arial" w:hAnsi="Arial" w:cs="Arial"/>
          <w:sz w:val="20"/>
          <w:szCs w:val="20"/>
        </w:rPr>
      </w:pPr>
      <w:r>
        <w:rPr>
          <w:rFonts w:ascii="Arial" w:hAnsi="Arial"/>
          <w:sz w:val="20"/>
          <w:szCs w:val="20"/>
        </w:rPr>
        <w:t xml:space="preserve">Prime yields on offices (2.7 %), commercial buildings (2.8 %) and logistics properties (3.8 %) softened slightly year on year. </w:t>
      </w:r>
    </w:p>
    <w:p w14:paraId="220D3A54" w14:textId="32F1440B" w:rsidR="005A6B93" w:rsidRDefault="00406F97" w:rsidP="005A6B93">
      <w:pPr>
        <w:pStyle w:val="Listenabsatz"/>
        <w:numPr>
          <w:ilvl w:val="0"/>
          <w:numId w:val="16"/>
        </w:numPr>
        <w:spacing w:after="0" w:line="360" w:lineRule="auto"/>
        <w:rPr>
          <w:rFonts w:ascii="Arial" w:hAnsi="Arial" w:cs="Arial"/>
          <w:sz w:val="20"/>
          <w:szCs w:val="20"/>
        </w:rPr>
      </w:pPr>
      <w:r>
        <w:rPr>
          <w:rFonts w:ascii="Arial" w:hAnsi="Arial"/>
          <w:sz w:val="20"/>
          <w:szCs w:val="20"/>
        </w:rPr>
        <w:t xml:space="preserve">Thanks to a good 1st quarter and </w:t>
      </w:r>
      <w:r w:rsidR="00132A56">
        <w:rPr>
          <w:rFonts w:ascii="Arial" w:hAnsi="Arial"/>
          <w:sz w:val="20"/>
          <w:szCs w:val="20"/>
        </w:rPr>
        <w:t xml:space="preserve">with </w:t>
      </w:r>
      <w:r>
        <w:rPr>
          <w:rFonts w:ascii="Arial" w:hAnsi="Arial"/>
          <w:sz w:val="20"/>
          <w:szCs w:val="20"/>
        </w:rPr>
        <w:t>several large trades nearing completion, Grossmann &amp; Berger expects the year to close with a transaction volume of some €7bn. This would be well above the ten-year average of €5.5bn, despite the effects of coronavirus on the market.</w:t>
      </w:r>
    </w:p>
    <w:tbl>
      <w:tblPr>
        <w:tblStyle w:val="TableGrid2"/>
        <w:tblpPr w:leftFromText="141" w:rightFromText="141" w:vertAnchor="text" w:horzAnchor="margin" w:tblpY="107"/>
        <w:tblW w:w="0" w:type="auto"/>
        <w:tblLook w:val="04A0" w:firstRow="1" w:lastRow="0" w:firstColumn="1" w:lastColumn="0" w:noHBand="0" w:noVBand="1"/>
      </w:tblPr>
      <w:tblGrid>
        <w:gridCol w:w="3823"/>
        <w:gridCol w:w="1134"/>
      </w:tblGrid>
      <w:tr w:rsidR="005A6B93" w:rsidRPr="006F49D0" w14:paraId="515C8FE7" w14:textId="77777777" w:rsidTr="005A6B93">
        <w:trPr>
          <w:trHeight w:val="416"/>
        </w:trPr>
        <w:tc>
          <w:tcPr>
            <w:tcW w:w="0" w:type="auto"/>
            <w:shd w:val="clear" w:color="auto" w:fill="1F242B" w:themeFill="text2"/>
          </w:tcPr>
          <w:p w14:paraId="0C02B9B3" w14:textId="77777777" w:rsidR="005A6B93" w:rsidRPr="00D550B6" w:rsidRDefault="005A6B93" w:rsidP="005A6B93">
            <w:pPr>
              <w:widowControl w:val="0"/>
              <w:spacing w:before="60" w:after="60"/>
              <w:rPr>
                <w:rFonts w:ascii="Arial" w:eastAsia="Cambria" w:hAnsi="Arial" w:cs="Arial"/>
                <w:b/>
                <w:sz w:val="18"/>
                <w:szCs w:val="20"/>
              </w:rPr>
            </w:pPr>
            <w:r>
              <w:rPr>
                <w:rFonts w:ascii="Arial" w:hAnsi="Arial"/>
                <w:b/>
                <w:sz w:val="18"/>
                <w:szCs w:val="18"/>
              </w:rPr>
              <w:t>Investment market | Berlin | 2020</w:t>
            </w:r>
          </w:p>
        </w:tc>
        <w:tc>
          <w:tcPr>
            <w:tcW w:w="1134" w:type="dxa"/>
            <w:shd w:val="clear" w:color="auto" w:fill="1F242B" w:themeFill="text2"/>
          </w:tcPr>
          <w:p w14:paraId="5F9AD14E" w14:textId="77777777" w:rsidR="005A6B93" w:rsidRPr="00D550B6" w:rsidRDefault="005A6B93" w:rsidP="005A6B93">
            <w:pPr>
              <w:widowControl w:val="0"/>
              <w:spacing w:before="60" w:after="60"/>
              <w:jc w:val="center"/>
              <w:rPr>
                <w:rFonts w:ascii="Arial" w:hAnsi="Arial" w:cs="Arial"/>
                <w:b/>
                <w:sz w:val="18"/>
                <w:szCs w:val="18"/>
              </w:rPr>
            </w:pPr>
            <w:r>
              <w:rPr>
                <w:rFonts w:ascii="Arial" w:hAnsi="Arial"/>
                <w:b/>
                <w:sz w:val="18"/>
                <w:szCs w:val="18"/>
              </w:rPr>
              <w:t>Q 1-3</w:t>
            </w:r>
          </w:p>
        </w:tc>
      </w:tr>
      <w:tr w:rsidR="005A6B93" w:rsidRPr="006F49D0" w14:paraId="408D1A64" w14:textId="77777777" w:rsidTr="005A6B93">
        <w:trPr>
          <w:trHeight w:val="283"/>
        </w:trPr>
        <w:tc>
          <w:tcPr>
            <w:tcW w:w="3823" w:type="dxa"/>
          </w:tcPr>
          <w:p w14:paraId="67096057" w14:textId="77777777" w:rsidR="005A6B93" w:rsidRPr="004712BA" w:rsidRDefault="005A6B93" w:rsidP="005A6B93">
            <w:pPr>
              <w:widowControl w:val="0"/>
              <w:spacing w:before="40" w:after="40"/>
              <w:rPr>
                <w:rFonts w:ascii="Arial" w:hAnsi="Arial" w:cs="Arial"/>
                <w:b/>
                <w:sz w:val="18"/>
                <w:szCs w:val="16"/>
              </w:rPr>
            </w:pPr>
            <w:r>
              <w:rPr>
                <w:rFonts w:ascii="Arial" w:hAnsi="Arial"/>
                <w:b/>
                <w:sz w:val="18"/>
                <w:szCs w:val="16"/>
              </w:rPr>
              <w:t xml:space="preserve">Transaction volume </w:t>
            </w:r>
            <w:r>
              <w:rPr>
                <w:rFonts w:ascii="Arial" w:hAnsi="Arial"/>
                <w:sz w:val="18"/>
                <w:szCs w:val="16"/>
              </w:rPr>
              <w:t>[€ millions]</w:t>
            </w:r>
          </w:p>
        </w:tc>
        <w:tc>
          <w:tcPr>
            <w:tcW w:w="1134" w:type="dxa"/>
            <w:vAlign w:val="center"/>
          </w:tcPr>
          <w:p w14:paraId="6DC1D81F" w14:textId="77777777" w:rsidR="005A6B93" w:rsidRPr="00D550B6" w:rsidRDefault="005A6B93" w:rsidP="005A6B93">
            <w:pPr>
              <w:widowControl w:val="0"/>
              <w:spacing w:before="40" w:after="40"/>
              <w:jc w:val="right"/>
              <w:rPr>
                <w:rFonts w:ascii="Arial" w:hAnsi="Arial" w:cs="Arial"/>
                <w:sz w:val="18"/>
                <w:szCs w:val="18"/>
              </w:rPr>
            </w:pPr>
            <w:r>
              <w:rPr>
                <w:rFonts w:ascii="Arial" w:hAnsi="Arial"/>
                <w:sz w:val="18"/>
                <w:szCs w:val="18"/>
              </w:rPr>
              <w:t>4,750</w:t>
            </w:r>
          </w:p>
        </w:tc>
      </w:tr>
      <w:tr w:rsidR="005A6B93" w:rsidRPr="006F49D0" w14:paraId="0A5CC266" w14:textId="77777777" w:rsidTr="005A6B93">
        <w:trPr>
          <w:trHeight w:val="283"/>
        </w:trPr>
        <w:tc>
          <w:tcPr>
            <w:tcW w:w="3823" w:type="dxa"/>
          </w:tcPr>
          <w:p w14:paraId="003A555C" w14:textId="77777777" w:rsidR="005A6B93" w:rsidRPr="00A7575D" w:rsidRDefault="005A6B93" w:rsidP="005A6B93">
            <w:pPr>
              <w:widowControl w:val="0"/>
              <w:spacing w:before="40" w:after="40"/>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w:t>
            </w:r>
          </w:p>
        </w:tc>
        <w:tc>
          <w:tcPr>
            <w:tcW w:w="1134" w:type="dxa"/>
            <w:vAlign w:val="center"/>
          </w:tcPr>
          <w:p w14:paraId="58E95488" w14:textId="77777777" w:rsidR="005A6B93" w:rsidRPr="00D550B6" w:rsidRDefault="005A6B93" w:rsidP="005A6B93">
            <w:pPr>
              <w:widowControl w:val="0"/>
              <w:spacing w:before="40" w:after="40"/>
              <w:jc w:val="right"/>
              <w:rPr>
                <w:rFonts w:ascii="Arial" w:hAnsi="Arial" w:cs="Arial"/>
                <w:sz w:val="18"/>
                <w:szCs w:val="18"/>
              </w:rPr>
            </w:pPr>
            <w:r>
              <w:rPr>
                <w:rFonts w:ascii="Arial" w:hAnsi="Arial"/>
                <w:sz w:val="18"/>
                <w:szCs w:val="18"/>
              </w:rPr>
              <w:t>-42</w:t>
            </w:r>
          </w:p>
        </w:tc>
      </w:tr>
      <w:tr w:rsidR="005A6B93" w:rsidRPr="006F49D0" w14:paraId="53A7C35A" w14:textId="77777777" w:rsidTr="005A6B93">
        <w:trPr>
          <w:trHeight w:val="283"/>
        </w:trPr>
        <w:tc>
          <w:tcPr>
            <w:tcW w:w="3823" w:type="dxa"/>
          </w:tcPr>
          <w:p w14:paraId="239A6E84" w14:textId="77777777" w:rsidR="005A6B93" w:rsidRPr="005A6B93" w:rsidRDefault="005A6B93" w:rsidP="005A6B93">
            <w:pPr>
              <w:widowControl w:val="0"/>
              <w:spacing w:before="40" w:after="40"/>
              <w:rPr>
                <w:rFonts w:ascii="Arial" w:hAnsi="Arial" w:cs="Arial"/>
                <w:sz w:val="18"/>
                <w:szCs w:val="16"/>
              </w:rPr>
            </w:pPr>
            <w:r>
              <w:rPr>
                <w:rFonts w:ascii="Arial" w:hAnsi="Arial"/>
                <w:b/>
                <w:sz w:val="18"/>
                <w:szCs w:val="16"/>
              </w:rPr>
              <w:t>Share of trading in CBD</w:t>
            </w:r>
            <w:r>
              <w:rPr>
                <w:rFonts w:ascii="Arial" w:hAnsi="Arial"/>
                <w:sz w:val="18"/>
                <w:szCs w:val="16"/>
              </w:rPr>
              <w:t xml:space="preserve"> [%]</w:t>
            </w:r>
          </w:p>
        </w:tc>
        <w:tc>
          <w:tcPr>
            <w:tcW w:w="1134" w:type="dxa"/>
            <w:vAlign w:val="center"/>
          </w:tcPr>
          <w:p w14:paraId="768E7EEA" w14:textId="77777777" w:rsidR="005A6B93" w:rsidRPr="005A6B93" w:rsidRDefault="005A6B93" w:rsidP="005A6B93">
            <w:pPr>
              <w:widowControl w:val="0"/>
              <w:spacing w:before="40" w:after="40"/>
              <w:jc w:val="right"/>
              <w:rPr>
                <w:rFonts w:ascii="Arial" w:hAnsi="Arial" w:cs="Arial"/>
                <w:sz w:val="18"/>
                <w:szCs w:val="18"/>
              </w:rPr>
            </w:pPr>
            <w:r>
              <w:rPr>
                <w:rFonts w:ascii="Arial" w:hAnsi="Arial"/>
                <w:sz w:val="18"/>
                <w:szCs w:val="18"/>
              </w:rPr>
              <w:t>9</w:t>
            </w:r>
          </w:p>
        </w:tc>
      </w:tr>
      <w:tr w:rsidR="005A6B93" w:rsidRPr="006F49D0" w14:paraId="74A66DB3" w14:textId="77777777" w:rsidTr="005A6B93">
        <w:trPr>
          <w:trHeight w:val="283"/>
        </w:trPr>
        <w:tc>
          <w:tcPr>
            <w:tcW w:w="3823" w:type="dxa"/>
          </w:tcPr>
          <w:p w14:paraId="65FE46B5" w14:textId="77777777" w:rsidR="005A6B93" w:rsidRPr="00CF57DD" w:rsidRDefault="005A6B93" w:rsidP="005A6B93">
            <w:pPr>
              <w:widowControl w:val="0"/>
              <w:spacing w:before="40" w:after="40"/>
              <w:rPr>
                <w:rFonts w:ascii="Arial" w:hAnsi="Arial" w:cs="Arial"/>
                <w:b/>
                <w:sz w:val="18"/>
                <w:szCs w:val="16"/>
              </w:rPr>
            </w:pPr>
            <w:r>
              <w:rPr>
                <w:rFonts w:ascii="Arial" w:hAnsi="Arial"/>
                <w:b/>
                <w:sz w:val="18"/>
                <w:szCs w:val="16"/>
              </w:rPr>
              <w:t>Proportion of international investors</w:t>
            </w:r>
            <w:r>
              <w:rPr>
                <w:rFonts w:ascii="Arial" w:hAnsi="Arial"/>
                <w:sz w:val="18"/>
                <w:szCs w:val="16"/>
              </w:rPr>
              <w:t xml:space="preserve"> [%]</w:t>
            </w:r>
          </w:p>
        </w:tc>
        <w:tc>
          <w:tcPr>
            <w:tcW w:w="1134" w:type="dxa"/>
            <w:vAlign w:val="center"/>
          </w:tcPr>
          <w:p w14:paraId="66EB86FC" w14:textId="77777777" w:rsidR="005A6B93" w:rsidRPr="00D550B6" w:rsidRDefault="005A6B93" w:rsidP="005A6B93">
            <w:pPr>
              <w:widowControl w:val="0"/>
              <w:spacing w:before="40" w:after="40"/>
              <w:jc w:val="right"/>
              <w:rPr>
                <w:rFonts w:ascii="Arial" w:hAnsi="Arial" w:cs="Arial"/>
                <w:sz w:val="18"/>
                <w:szCs w:val="18"/>
              </w:rPr>
            </w:pPr>
            <w:r>
              <w:rPr>
                <w:rFonts w:ascii="Arial" w:hAnsi="Arial"/>
                <w:sz w:val="18"/>
                <w:szCs w:val="18"/>
              </w:rPr>
              <w:t>65</w:t>
            </w:r>
          </w:p>
        </w:tc>
      </w:tr>
      <w:tr w:rsidR="005A6B93" w:rsidRPr="006F49D0" w14:paraId="35728967" w14:textId="77777777" w:rsidTr="005A6B93">
        <w:trPr>
          <w:trHeight w:val="283"/>
        </w:trPr>
        <w:tc>
          <w:tcPr>
            <w:tcW w:w="3823" w:type="dxa"/>
          </w:tcPr>
          <w:p w14:paraId="2FCB6B68" w14:textId="77777777" w:rsidR="005A6B93" w:rsidRPr="004712BA" w:rsidRDefault="005A6B93" w:rsidP="005A6B93">
            <w:pPr>
              <w:widowControl w:val="0"/>
              <w:spacing w:before="40" w:after="40"/>
              <w:rPr>
                <w:rFonts w:ascii="Arial" w:hAnsi="Arial" w:cs="Arial"/>
                <w:b/>
                <w:sz w:val="18"/>
                <w:szCs w:val="16"/>
              </w:rPr>
            </w:pPr>
            <w:r>
              <w:rPr>
                <w:rFonts w:ascii="Arial" w:hAnsi="Arial"/>
                <w:b/>
                <w:sz w:val="18"/>
                <w:szCs w:val="16"/>
              </w:rPr>
              <w:t>Prime net yield, office</w:t>
            </w:r>
            <w:r>
              <w:rPr>
                <w:rFonts w:ascii="Arial" w:hAnsi="Arial"/>
                <w:sz w:val="18"/>
                <w:szCs w:val="16"/>
              </w:rPr>
              <w:t xml:space="preserve"> [%]</w:t>
            </w:r>
          </w:p>
        </w:tc>
        <w:tc>
          <w:tcPr>
            <w:tcW w:w="1134" w:type="dxa"/>
            <w:vAlign w:val="center"/>
          </w:tcPr>
          <w:p w14:paraId="29E44688" w14:textId="77777777" w:rsidR="005A6B93" w:rsidRPr="00D550B6" w:rsidRDefault="005A6B93" w:rsidP="005A6B93">
            <w:pPr>
              <w:widowControl w:val="0"/>
              <w:spacing w:before="40" w:after="40"/>
              <w:jc w:val="right"/>
              <w:rPr>
                <w:rFonts w:ascii="Arial" w:hAnsi="Arial" w:cs="Arial"/>
                <w:sz w:val="18"/>
                <w:szCs w:val="18"/>
              </w:rPr>
            </w:pPr>
            <w:r>
              <w:rPr>
                <w:rFonts w:ascii="Arial" w:hAnsi="Arial"/>
                <w:sz w:val="18"/>
                <w:szCs w:val="18"/>
              </w:rPr>
              <w:t>2.7</w:t>
            </w:r>
          </w:p>
        </w:tc>
      </w:tr>
      <w:tr w:rsidR="005A6B93" w14:paraId="6EDF9BA7" w14:textId="77777777" w:rsidTr="005A6B93">
        <w:trPr>
          <w:trHeight w:val="283"/>
        </w:trPr>
        <w:tc>
          <w:tcPr>
            <w:tcW w:w="3823" w:type="dxa"/>
          </w:tcPr>
          <w:p w14:paraId="060DFE87" w14:textId="77777777" w:rsidR="005A6B93" w:rsidRPr="00A7575D" w:rsidRDefault="005A6B93" w:rsidP="005A6B93">
            <w:pPr>
              <w:widowControl w:val="0"/>
              <w:spacing w:before="40" w:after="40"/>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61EA26CE" w14:textId="77777777" w:rsidR="005A6B93" w:rsidRPr="00D550B6" w:rsidRDefault="005A6B93" w:rsidP="005A6B93">
            <w:pPr>
              <w:widowControl w:val="0"/>
              <w:spacing w:before="40" w:after="40"/>
              <w:jc w:val="right"/>
              <w:rPr>
                <w:rFonts w:ascii="Arial" w:hAnsi="Arial" w:cs="Arial"/>
                <w:sz w:val="18"/>
                <w:szCs w:val="18"/>
              </w:rPr>
            </w:pPr>
            <w:r>
              <w:rPr>
                <w:rFonts w:ascii="Arial" w:hAnsi="Arial"/>
                <w:sz w:val="18"/>
                <w:szCs w:val="18"/>
              </w:rPr>
              <w:t>-0.2</w:t>
            </w:r>
          </w:p>
        </w:tc>
      </w:tr>
      <w:tr w:rsidR="005A6B93" w:rsidRPr="006F49D0" w14:paraId="59D67D7E" w14:textId="77777777" w:rsidTr="005A6B93">
        <w:trPr>
          <w:trHeight w:val="283"/>
        </w:trPr>
        <w:tc>
          <w:tcPr>
            <w:tcW w:w="3823" w:type="dxa"/>
          </w:tcPr>
          <w:p w14:paraId="13634850" w14:textId="77777777" w:rsidR="005A6B93" w:rsidRPr="004712BA" w:rsidRDefault="005A6B93" w:rsidP="005A6B93">
            <w:pPr>
              <w:widowControl w:val="0"/>
              <w:spacing w:before="40" w:after="40"/>
              <w:rPr>
                <w:rFonts w:ascii="Arial" w:hAnsi="Arial" w:cs="Arial"/>
                <w:b/>
                <w:sz w:val="18"/>
                <w:szCs w:val="16"/>
              </w:rPr>
            </w:pPr>
            <w:r>
              <w:rPr>
                <w:rFonts w:ascii="Arial" w:hAnsi="Arial"/>
                <w:b/>
                <w:sz w:val="18"/>
                <w:szCs w:val="16"/>
              </w:rPr>
              <w:t>Prime net yield, commercial buildings</w:t>
            </w:r>
            <w:r>
              <w:rPr>
                <w:rFonts w:ascii="Arial" w:hAnsi="Arial"/>
                <w:sz w:val="18"/>
                <w:szCs w:val="16"/>
              </w:rPr>
              <w:t xml:space="preserve"> [%]</w:t>
            </w:r>
          </w:p>
        </w:tc>
        <w:tc>
          <w:tcPr>
            <w:tcW w:w="1134" w:type="dxa"/>
            <w:vAlign w:val="center"/>
          </w:tcPr>
          <w:p w14:paraId="62D9D53D" w14:textId="77777777" w:rsidR="005A6B93" w:rsidRPr="00D550B6" w:rsidRDefault="005A6B93" w:rsidP="005A6B93">
            <w:pPr>
              <w:widowControl w:val="0"/>
              <w:spacing w:before="40" w:after="40"/>
              <w:jc w:val="right"/>
              <w:rPr>
                <w:rFonts w:ascii="Arial" w:hAnsi="Arial" w:cs="Arial"/>
                <w:sz w:val="18"/>
                <w:szCs w:val="18"/>
              </w:rPr>
            </w:pPr>
            <w:r>
              <w:rPr>
                <w:rFonts w:ascii="Arial" w:hAnsi="Arial"/>
                <w:sz w:val="18"/>
                <w:szCs w:val="18"/>
              </w:rPr>
              <w:t>2.8</w:t>
            </w:r>
          </w:p>
        </w:tc>
      </w:tr>
      <w:tr w:rsidR="005A6B93" w14:paraId="1CE89921" w14:textId="77777777" w:rsidTr="005A6B93">
        <w:trPr>
          <w:trHeight w:val="283"/>
        </w:trPr>
        <w:tc>
          <w:tcPr>
            <w:tcW w:w="3823" w:type="dxa"/>
          </w:tcPr>
          <w:p w14:paraId="1499400A" w14:textId="77777777" w:rsidR="005A6B93" w:rsidRPr="00A7575D" w:rsidRDefault="005A6B93" w:rsidP="005A6B93">
            <w:pPr>
              <w:widowControl w:val="0"/>
              <w:spacing w:before="40" w:after="40"/>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563A7D5F" w14:textId="77777777" w:rsidR="005A6B93" w:rsidRPr="00D550B6" w:rsidRDefault="005A6B93" w:rsidP="005A6B93">
            <w:pPr>
              <w:widowControl w:val="0"/>
              <w:spacing w:before="40" w:after="40"/>
              <w:jc w:val="right"/>
              <w:rPr>
                <w:rFonts w:ascii="Arial" w:hAnsi="Arial" w:cs="Arial"/>
                <w:sz w:val="18"/>
                <w:szCs w:val="18"/>
              </w:rPr>
            </w:pPr>
            <w:r>
              <w:rPr>
                <w:rFonts w:ascii="Arial" w:hAnsi="Arial"/>
                <w:sz w:val="18"/>
                <w:szCs w:val="18"/>
              </w:rPr>
              <w:t>-0.1</w:t>
            </w:r>
          </w:p>
        </w:tc>
      </w:tr>
      <w:tr w:rsidR="005A6B93" w:rsidRPr="006F49D0" w14:paraId="27EFCE1D" w14:textId="77777777" w:rsidTr="005A6B93">
        <w:trPr>
          <w:trHeight w:val="283"/>
        </w:trPr>
        <w:tc>
          <w:tcPr>
            <w:tcW w:w="3823" w:type="dxa"/>
          </w:tcPr>
          <w:p w14:paraId="224744E2" w14:textId="77777777" w:rsidR="005A6B93" w:rsidRPr="004712BA" w:rsidRDefault="005A6B93" w:rsidP="005A6B93">
            <w:pPr>
              <w:widowControl w:val="0"/>
              <w:spacing w:before="40" w:after="40"/>
              <w:rPr>
                <w:rFonts w:ascii="Arial" w:hAnsi="Arial" w:cs="Arial"/>
                <w:b/>
                <w:sz w:val="18"/>
                <w:szCs w:val="16"/>
              </w:rPr>
            </w:pPr>
            <w:r>
              <w:rPr>
                <w:rFonts w:ascii="Arial" w:hAnsi="Arial"/>
                <w:b/>
                <w:sz w:val="18"/>
                <w:szCs w:val="16"/>
              </w:rPr>
              <w:t>Prime net yield, logistics properties</w:t>
            </w:r>
            <w:r>
              <w:rPr>
                <w:rFonts w:ascii="Arial" w:hAnsi="Arial"/>
                <w:sz w:val="18"/>
                <w:szCs w:val="16"/>
              </w:rPr>
              <w:t xml:space="preserve"> [%]</w:t>
            </w:r>
          </w:p>
        </w:tc>
        <w:tc>
          <w:tcPr>
            <w:tcW w:w="1134" w:type="dxa"/>
            <w:vAlign w:val="center"/>
          </w:tcPr>
          <w:p w14:paraId="232A46EE" w14:textId="77777777" w:rsidR="005A6B93" w:rsidRPr="001C4C33" w:rsidRDefault="005A6B93" w:rsidP="005A6B93">
            <w:pPr>
              <w:widowControl w:val="0"/>
              <w:spacing w:before="40" w:after="40"/>
              <w:jc w:val="right"/>
              <w:rPr>
                <w:rFonts w:ascii="Arial" w:hAnsi="Arial" w:cs="Arial"/>
                <w:sz w:val="18"/>
                <w:szCs w:val="18"/>
              </w:rPr>
            </w:pPr>
            <w:r>
              <w:rPr>
                <w:rFonts w:ascii="Arial" w:hAnsi="Arial"/>
                <w:sz w:val="18"/>
                <w:szCs w:val="18"/>
              </w:rPr>
              <w:t>3.8</w:t>
            </w:r>
          </w:p>
        </w:tc>
      </w:tr>
      <w:tr w:rsidR="005A6B93" w14:paraId="2BA4CD2B" w14:textId="77777777" w:rsidTr="005A6B93">
        <w:trPr>
          <w:trHeight w:val="283"/>
        </w:trPr>
        <w:tc>
          <w:tcPr>
            <w:tcW w:w="3823" w:type="dxa"/>
          </w:tcPr>
          <w:p w14:paraId="35C2E41C" w14:textId="77777777" w:rsidR="005A6B93" w:rsidRPr="00A7575D" w:rsidRDefault="005A6B93" w:rsidP="005A6B93">
            <w:pPr>
              <w:widowControl w:val="0"/>
              <w:spacing w:before="40" w:after="40"/>
              <w:rPr>
                <w:rFonts w:ascii="Arial" w:hAnsi="Arial" w:cs="Arial"/>
                <w:sz w:val="18"/>
                <w:szCs w:val="16"/>
              </w:rPr>
            </w:pPr>
            <w:r>
              <w:rPr>
                <w:rFonts w:ascii="Arial" w:hAnsi="Arial"/>
                <w:sz w:val="18"/>
                <w:szCs w:val="16"/>
              </w:rPr>
              <w:t xml:space="preserve">against prior </w:t>
            </w:r>
            <w:proofErr w:type="spellStart"/>
            <w:r>
              <w:rPr>
                <w:rFonts w:ascii="Arial" w:hAnsi="Arial"/>
                <w:sz w:val="18"/>
                <w:szCs w:val="16"/>
              </w:rPr>
              <w:t>yr</w:t>
            </w:r>
            <w:proofErr w:type="spellEnd"/>
            <w:r>
              <w:rPr>
                <w:rFonts w:ascii="Arial" w:hAnsi="Arial"/>
                <w:sz w:val="18"/>
                <w:szCs w:val="16"/>
              </w:rPr>
              <w:t xml:space="preserve"> [percentage points]</w:t>
            </w:r>
          </w:p>
        </w:tc>
        <w:tc>
          <w:tcPr>
            <w:tcW w:w="1134" w:type="dxa"/>
            <w:vAlign w:val="center"/>
          </w:tcPr>
          <w:p w14:paraId="10B5DB25" w14:textId="77777777" w:rsidR="005A6B93" w:rsidRPr="001C4C33" w:rsidRDefault="005A6B93" w:rsidP="005A6B93">
            <w:pPr>
              <w:widowControl w:val="0"/>
              <w:spacing w:before="40" w:after="40"/>
              <w:jc w:val="right"/>
              <w:rPr>
                <w:rFonts w:ascii="Arial" w:hAnsi="Arial" w:cs="Arial"/>
                <w:sz w:val="18"/>
                <w:szCs w:val="18"/>
              </w:rPr>
            </w:pPr>
            <w:r>
              <w:rPr>
                <w:rFonts w:ascii="Arial" w:hAnsi="Arial"/>
                <w:sz w:val="18"/>
                <w:szCs w:val="18"/>
              </w:rPr>
              <w:t>-0.4</w:t>
            </w:r>
          </w:p>
        </w:tc>
      </w:tr>
      <w:tr w:rsidR="005A6B93" w:rsidRPr="006F49D0" w14:paraId="0CFAB73E" w14:textId="77777777" w:rsidTr="005A6B93">
        <w:trPr>
          <w:trHeight w:val="283"/>
        </w:trPr>
        <w:tc>
          <w:tcPr>
            <w:tcW w:w="3823" w:type="dxa"/>
            <w:tcBorders>
              <w:bottom w:val="single" w:sz="4" w:space="0" w:color="auto"/>
            </w:tcBorders>
          </w:tcPr>
          <w:p w14:paraId="6C5FC355" w14:textId="77777777" w:rsidR="005A6B93" w:rsidRPr="004712BA" w:rsidRDefault="005A6B93" w:rsidP="005A6B93">
            <w:pPr>
              <w:widowControl w:val="0"/>
              <w:spacing w:before="40" w:after="40"/>
              <w:rPr>
                <w:rFonts w:ascii="Arial" w:hAnsi="Arial" w:cs="Arial"/>
                <w:b/>
                <w:sz w:val="18"/>
                <w:szCs w:val="16"/>
              </w:rPr>
            </w:pPr>
            <w:r>
              <w:rPr>
                <w:rFonts w:ascii="Arial" w:hAnsi="Arial"/>
                <w:b/>
                <w:sz w:val="18"/>
                <w:szCs w:val="16"/>
              </w:rPr>
              <w:t>Strongest asset class</w:t>
            </w:r>
          </w:p>
        </w:tc>
        <w:tc>
          <w:tcPr>
            <w:tcW w:w="1134" w:type="dxa"/>
            <w:tcBorders>
              <w:bottom w:val="single" w:sz="4" w:space="0" w:color="auto"/>
            </w:tcBorders>
            <w:vAlign w:val="center"/>
          </w:tcPr>
          <w:p w14:paraId="30D5967B" w14:textId="77777777" w:rsidR="005A6B93" w:rsidRPr="00D550B6" w:rsidRDefault="005A6B93" w:rsidP="005A6B93">
            <w:pPr>
              <w:widowControl w:val="0"/>
              <w:spacing w:before="40" w:after="40"/>
              <w:jc w:val="right"/>
              <w:rPr>
                <w:rFonts w:ascii="Arial" w:hAnsi="Arial" w:cs="Arial"/>
                <w:sz w:val="18"/>
                <w:szCs w:val="18"/>
              </w:rPr>
            </w:pPr>
            <w:r>
              <w:rPr>
                <w:rFonts w:ascii="Arial" w:hAnsi="Arial"/>
                <w:sz w:val="18"/>
                <w:szCs w:val="18"/>
              </w:rPr>
              <w:t>Offices</w:t>
            </w:r>
          </w:p>
        </w:tc>
      </w:tr>
      <w:tr w:rsidR="005A6B93" w:rsidRPr="006F49D0" w14:paraId="49CDE2DA" w14:textId="77777777" w:rsidTr="005A6B93">
        <w:trPr>
          <w:trHeight w:val="283"/>
        </w:trPr>
        <w:tc>
          <w:tcPr>
            <w:tcW w:w="3823" w:type="dxa"/>
            <w:tcBorders>
              <w:bottom w:val="single" w:sz="4" w:space="0" w:color="auto"/>
            </w:tcBorders>
          </w:tcPr>
          <w:p w14:paraId="09546EBD" w14:textId="77777777" w:rsidR="005A6B93" w:rsidRPr="004712BA" w:rsidRDefault="005A6B93" w:rsidP="005A6B93">
            <w:pPr>
              <w:widowControl w:val="0"/>
              <w:spacing w:before="40" w:after="40"/>
              <w:rPr>
                <w:rFonts w:ascii="Arial" w:hAnsi="Arial" w:cs="Arial"/>
                <w:b/>
                <w:sz w:val="18"/>
                <w:szCs w:val="16"/>
              </w:rPr>
            </w:pPr>
            <w:r>
              <w:rPr>
                <w:rFonts w:ascii="Arial" w:hAnsi="Arial"/>
                <w:b/>
                <w:sz w:val="18"/>
                <w:szCs w:val="16"/>
              </w:rPr>
              <w:t>Strongest asset class</w:t>
            </w:r>
            <w:r>
              <w:rPr>
                <w:rFonts w:ascii="Arial" w:hAnsi="Arial"/>
                <w:sz w:val="18"/>
                <w:szCs w:val="16"/>
              </w:rPr>
              <w:t xml:space="preserve"> [%]</w:t>
            </w:r>
          </w:p>
        </w:tc>
        <w:tc>
          <w:tcPr>
            <w:tcW w:w="1134" w:type="dxa"/>
            <w:tcBorders>
              <w:bottom w:val="single" w:sz="4" w:space="0" w:color="auto"/>
            </w:tcBorders>
            <w:vAlign w:val="center"/>
          </w:tcPr>
          <w:p w14:paraId="0728F865" w14:textId="77777777" w:rsidR="005A6B93" w:rsidRPr="00D550B6" w:rsidRDefault="005A6B93" w:rsidP="005A6B93">
            <w:pPr>
              <w:widowControl w:val="0"/>
              <w:spacing w:before="40" w:after="40"/>
              <w:jc w:val="right"/>
              <w:rPr>
                <w:rFonts w:ascii="Arial" w:hAnsi="Arial" w:cs="Arial"/>
                <w:sz w:val="18"/>
                <w:szCs w:val="18"/>
              </w:rPr>
            </w:pPr>
            <w:r>
              <w:rPr>
                <w:rFonts w:ascii="Arial" w:hAnsi="Arial"/>
                <w:sz w:val="18"/>
                <w:szCs w:val="18"/>
              </w:rPr>
              <w:t>57</w:t>
            </w:r>
          </w:p>
        </w:tc>
      </w:tr>
    </w:tbl>
    <w:p w14:paraId="638444F6" w14:textId="70944B4A" w:rsidR="0020161B" w:rsidRPr="004E07BE" w:rsidRDefault="00300F96" w:rsidP="004E07BE">
      <w:pPr>
        <w:spacing w:after="0" w:line="360" w:lineRule="auto"/>
        <w:textAlignment w:val="baseline"/>
        <w:rPr>
          <w:rFonts w:ascii="Arial" w:hAnsi="Arial" w:cs="Arial"/>
          <w:b/>
          <w:sz w:val="20"/>
          <w:szCs w:val="20"/>
        </w:rPr>
      </w:pPr>
      <w:r>
        <w:rPr>
          <w:rFonts w:ascii="Arial" w:hAnsi="Arial" w:cs="Arial"/>
          <w:b/>
          <w:noProof/>
          <w:sz w:val="20"/>
          <w:szCs w:val="20"/>
          <w:lang w:val="de-DE" w:eastAsia="de-DE"/>
        </w:rPr>
        <w:drawing>
          <wp:anchor distT="0" distB="0" distL="114300" distR="114300" simplePos="0" relativeHeight="251658240" behindDoc="1" locked="0" layoutInCell="1" allowOverlap="1" wp14:anchorId="1D3F425B" wp14:editId="1BD34D99">
            <wp:simplePos x="0" y="0"/>
            <wp:positionH relativeFrom="column">
              <wp:posOffset>3244215</wp:posOffset>
            </wp:positionH>
            <wp:positionV relativeFrom="paragraph">
              <wp:posOffset>90767</wp:posOffset>
            </wp:positionV>
            <wp:extent cx="2829749" cy="2052713"/>
            <wp:effectExtent l="0" t="0" r="889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vestmentmarkt Berlin_3Q2020_en.JPG"/>
                    <pic:cNvPicPr/>
                  </pic:nvPicPr>
                  <pic:blipFill>
                    <a:blip r:embed="rId8">
                      <a:extLst>
                        <a:ext uri="{28A0092B-C50C-407E-A947-70E740481C1C}">
                          <a14:useLocalDpi xmlns:a14="http://schemas.microsoft.com/office/drawing/2010/main" val="0"/>
                        </a:ext>
                      </a:extLst>
                    </a:blip>
                    <a:stretch>
                      <a:fillRect/>
                    </a:stretch>
                  </pic:blipFill>
                  <pic:spPr>
                    <a:xfrm>
                      <a:off x="0" y="0"/>
                      <a:ext cx="2829749" cy="2052713"/>
                    </a:xfrm>
                    <a:prstGeom prst="rect">
                      <a:avLst/>
                    </a:prstGeom>
                  </pic:spPr>
                </pic:pic>
              </a:graphicData>
            </a:graphic>
            <wp14:sizeRelH relativeFrom="page">
              <wp14:pctWidth>0</wp14:pctWidth>
            </wp14:sizeRelH>
            <wp14:sizeRelV relativeFrom="page">
              <wp14:pctHeight>0</wp14:pctHeight>
            </wp14:sizeRelV>
          </wp:anchor>
        </w:drawing>
      </w:r>
    </w:p>
    <w:p w14:paraId="03BAF9DB" w14:textId="78BFAD41" w:rsidR="006C790E" w:rsidRDefault="006C790E" w:rsidP="005A6B93">
      <w:pPr>
        <w:spacing w:after="0" w:line="360" w:lineRule="auto"/>
        <w:rPr>
          <w:rFonts w:ascii="Arial" w:hAnsi="Arial" w:cs="Arial"/>
          <w:b/>
          <w:sz w:val="20"/>
          <w:szCs w:val="20"/>
        </w:rPr>
      </w:pPr>
    </w:p>
    <w:p w14:paraId="3037CB6D" w14:textId="3C6B0464" w:rsidR="00825E2A" w:rsidRDefault="00825E2A" w:rsidP="005A6B93">
      <w:pPr>
        <w:spacing w:after="0" w:line="360" w:lineRule="auto"/>
        <w:rPr>
          <w:rFonts w:ascii="Arial" w:hAnsi="Arial" w:cs="Arial"/>
          <w:b/>
          <w:sz w:val="20"/>
          <w:szCs w:val="20"/>
        </w:rPr>
      </w:pPr>
    </w:p>
    <w:p w14:paraId="4C004DEE" w14:textId="77777777" w:rsidR="00237B88" w:rsidRDefault="00237B88" w:rsidP="00B35366">
      <w:pPr>
        <w:spacing w:after="0" w:line="360" w:lineRule="auto"/>
        <w:rPr>
          <w:rFonts w:ascii="Arial" w:hAnsi="Arial" w:cs="Arial"/>
          <w:b/>
          <w:sz w:val="20"/>
          <w:szCs w:val="20"/>
        </w:rPr>
      </w:pPr>
    </w:p>
    <w:p w14:paraId="4F11DBD9" w14:textId="77777777" w:rsidR="00237B88" w:rsidRDefault="00237B88" w:rsidP="00B35366">
      <w:pPr>
        <w:spacing w:after="0" w:line="360" w:lineRule="auto"/>
        <w:rPr>
          <w:rFonts w:ascii="Arial" w:hAnsi="Arial" w:cs="Arial"/>
          <w:b/>
          <w:sz w:val="20"/>
          <w:szCs w:val="20"/>
        </w:rPr>
      </w:pPr>
    </w:p>
    <w:p w14:paraId="6182D78C" w14:textId="77777777" w:rsidR="00237B88" w:rsidRDefault="00237B88" w:rsidP="00B35366">
      <w:pPr>
        <w:spacing w:after="0" w:line="360" w:lineRule="auto"/>
        <w:rPr>
          <w:rFonts w:ascii="Arial" w:hAnsi="Arial" w:cs="Arial"/>
          <w:b/>
          <w:sz w:val="20"/>
          <w:szCs w:val="20"/>
        </w:rPr>
      </w:pPr>
    </w:p>
    <w:p w14:paraId="71F959EA" w14:textId="77777777" w:rsidR="00237B88" w:rsidRDefault="00237B88" w:rsidP="00B35366">
      <w:pPr>
        <w:spacing w:after="0" w:line="360" w:lineRule="auto"/>
        <w:rPr>
          <w:rFonts w:ascii="Arial" w:hAnsi="Arial" w:cs="Arial"/>
          <w:b/>
          <w:sz w:val="20"/>
          <w:szCs w:val="20"/>
        </w:rPr>
      </w:pPr>
    </w:p>
    <w:p w14:paraId="30387B85" w14:textId="77777777" w:rsidR="00237B88" w:rsidRDefault="00237B88" w:rsidP="00B35366">
      <w:pPr>
        <w:spacing w:after="0" w:line="360" w:lineRule="auto"/>
        <w:rPr>
          <w:rFonts w:ascii="Arial" w:hAnsi="Arial" w:cs="Arial"/>
          <w:b/>
          <w:sz w:val="20"/>
          <w:szCs w:val="20"/>
        </w:rPr>
      </w:pPr>
    </w:p>
    <w:p w14:paraId="24101687" w14:textId="77777777" w:rsidR="00237B88" w:rsidRDefault="00237B88" w:rsidP="00B35366">
      <w:pPr>
        <w:spacing w:after="0" w:line="360" w:lineRule="auto"/>
        <w:rPr>
          <w:rFonts w:ascii="Arial" w:hAnsi="Arial" w:cs="Arial"/>
          <w:b/>
          <w:sz w:val="20"/>
          <w:szCs w:val="20"/>
        </w:rPr>
      </w:pPr>
    </w:p>
    <w:p w14:paraId="72AFAEEF" w14:textId="77777777" w:rsidR="00237B88" w:rsidRDefault="00237B88" w:rsidP="00B35366">
      <w:pPr>
        <w:spacing w:after="0" w:line="360" w:lineRule="auto"/>
        <w:rPr>
          <w:rFonts w:ascii="Arial" w:hAnsi="Arial" w:cs="Arial"/>
          <w:b/>
          <w:sz w:val="20"/>
          <w:szCs w:val="20"/>
        </w:rPr>
      </w:pPr>
    </w:p>
    <w:p w14:paraId="19BD36F0" w14:textId="77777777" w:rsidR="00237B88" w:rsidRDefault="00237B88" w:rsidP="00B35366">
      <w:pPr>
        <w:spacing w:after="0" w:line="360" w:lineRule="auto"/>
        <w:rPr>
          <w:rFonts w:ascii="Arial" w:hAnsi="Arial" w:cs="Arial"/>
          <w:b/>
          <w:sz w:val="20"/>
          <w:szCs w:val="20"/>
        </w:rPr>
      </w:pPr>
      <w:bookmarkStart w:id="0" w:name="_GoBack"/>
      <w:bookmarkEnd w:id="0"/>
    </w:p>
    <w:p w14:paraId="651A27C5" w14:textId="77777777" w:rsidR="008C11B2" w:rsidRDefault="008C11B2">
      <w:pPr>
        <w:spacing w:after="0"/>
        <w:rPr>
          <w:rFonts w:ascii="Arial" w:hAnsi="Arial" w:cs="Arial"/>
          <w:b/>
          <w:sz w:val="20"/>
          <w:szCs w:val="20"/>
        </w:rPr>
      </w:pPr>
      <w:r>
        <w:br w:type="page"/>
      </w:r>
    </w:p>
    <w:p w14:paraId="2461B9F4" w14:textId="77777777" w:rsidR="008C11B2" w:rsidRDefault="008C11B2" w:rsidP="008C11B2">
      <w:pPr>
        <w:spacing w:after="0"/>
        <w:rPr>
          <w:rFonts w:ascii="Arial" w:hAnsi="Arial" w:cs="Arial"/>
          <w:b/>
          <w:sz w:val="20"/>
          <w:szCs w:val="20"/>
        </w:rPr>
      </w:pPr>
    </w:p>
    <w:p w14:paraId="7F421361" w14:textId="68CD3B1D" w:rsidR="00350390" w:rsidRPr="008C11B2" w:rsidRDefault="00713D81" w:rsidP="008C11B2">
      <w:pPr>
        <w:spacing w:after="0"/>
        <w:rPr>
          <w:rFonts w:ascii="Arial" w:hAnsi="Arial" w:cs="Arial"/>
          <w:b/>
          <w:sz w:val="20"/>
          <w:szCs w:val="20"/>
        </w:rPr>
      </w:pPr>
      <w:r>
        <w:rPr>
          <w:rFonts w:ascii="Arial" w:hAnsi="Arial"/>
          <w:b/>
          <w:sz w:val="20"/>
          <w:szCs w:val="20"/>
        </w:rPr>
        <w:t>Selected top transactions | investments in Berlin | 1st to 3rd quarters 2020</w:t>
      </w:r>
    </w:p>
    <w:tbl>
      <w:tblPr>
        <w:tblStyle w:val="TableGrid1"/>
        <w:tblpPr w:leftFromText="141" w:rightFromText="141" w:vertAnchor="text" w:horzAnchor="margin" w:tblpY="61"/>
        <w:tblW w:w="9776" w:type="dxa"/>
        <w:tblLayout w:type="fixed"/>
        <w:tblLook w:val="04A0" w:firstRow="1" w:lastRow="0" w:firstColumn="1" w:lastColumn="0" w:noHBand="0" w:noVBand="1"/>
      </w:tblPr>
      <w:tblGrid>
        <w:gridCol w:w="2263"/>
        <w:gridCol w:w="1418"/>
        <w:gridCol w:w="1417"/>
        <w:gridCol w:w="1701"/>
        <w:gridCol w:w="1843"/>
        <w:gridCol w:w="1134"/>
      </w:tblGrid>
      <w:tr w:rsidR="00713D81" w:rsidRPr="006F49D0" w14:paraId="3881C746" w14:textId="77777777" w:rsidTr="00626FB7">
        <w:trPr>
          <w:trHeight w:val="567"/>
        </w:trPr>
        <w:tc>
          <w:tcPr>
            <w:tcW w:w="2263" w:type="dxa"/>
            <w:shd w:val="clear" w:color="auto" w:fill="1F242B" w:themeFill="accent2"/>
            <w:vAlign w:val="center"/>
          </w:tcPr>
          <w:p w14:paraId="2D3315CD" w14:textId="77777777" w:rsidR="00713D81" w:rsidRDefault="00713D81" w:rsidP="00713D81">
            <w:pPr>
              <w:spacing w:after="0"/>
              <w:rPr>
                <w:rFonts w:ascii="Arial" w:hAnsi="Arial" w:cs="Arial"/>
                <w:b/>
                <w:sz w:val="18"/>
                <w:szCs w:val="16"/>
              </w:rPr>
            </w:pPr>
            <w:r>
              <w:rPr>
                <w:rFonts w:ascii="Arial" w:hAnsi="Arial"/>
                <w:b/>
                <w:sz w:val="18"/>
                <w:szCs w:val="16"/>
              </w:rPr>
              <w:t>Project/property</w:t>
            </w:r>
          </w:p>
          <w:p w14:paraId="1BD8284D" w14:textId="77777777" w:rsidR="00713D81" w:rsidRPr="00C626E7" w:rsidRDefault="00713D81" w:rsidP="00713D81">
            <w:pPr>
              <w:spacing w:after="0"/>
              <w:rPr>
                <w:rFonts w:ascii="Arial" w:hAnsi="Arial" w:cs="Arial"/>
                <w:b/>
                <w:sz w:val="18"/>
                <w:szCs w:val="16"/>
              </w:rPr>
            </w:pPr>
            <w:r>
              <w:rPr>
                <w:rFonts w:ascii="Arial" w:hAnsi="Arial"/>
                <w:b/>
                <w:sz w:val="18"/>
                <w:szCs w:val="16"/>
              </w:rPr>
              <w:t xml:space="preserve">Street no. </w:t>
            </w:r>
          </w:p>
        </w:tc>
        <w:tc>
          <w:tcPr>
            <w:tcW w:w="1418" w:type="dxa"/>
            <w:shd w:val="clear" w:color="auto" w:fill="1F242B" w:themeFill="accent2"/>
            <w:vAlign w:val="center"/>
          </w:tcPr>
          <w:p w14:paraId="4E8EC8BF" w14:textId="77777777" w:rsidR="00713D81" w:rsidRPr="009F10F1" w:rsidRDefault="00713D81" w:rsidP="00626FB7">
            <w:pPr>
              <w:widowControl w:val="0"/>
              <w:spacing w:before="60" w:afterLines="60" w:after="144"/>
              <w:jc w:val="center"/>
              <w:rPr>
                <w:rFonts w:ascii="Arial" w:hAnsi="Arial" w:cs="Arial"/>
                <w:b/>
                <w:sz w:val="18"/>
                <w:szCs w:val="16"/>
              </w:rPr>
            </w:pPr>
            <w:r>
              <w:rPr>
                <w:rFonts w:ascii="Arial" w:hAnsi="Arial"/>
                <w:b/>
                <w:sz w:val="18"/>
                <w:szCs w:val="16"/>
              </w:rPr>
              <w:t>Sub-market</w:t>
            </w:r>
          </w:p>
        </w:tc>
        <w:tc>
          <w:tcPr>
            <w:tcW w:w="1417" w:type="dxa"/>
            <w:shd w:val="clear" w:color="auto" w:fill="1F242B" w:themeFill="accent2"/>
            <w:vAlign w:val="center"/>
          </w:tcPr>
          <w:p w14:paraId="56B818C2" w14:textId="77777777" w:rsidR="00713D81" w:rsidRPr="009F10F1" w:rsidRDefault="00713D81" w:rsidP="00626FB7">
            <w:pPr>
              <w:widowControl w:val="0"/>
              <w:spacing w:before="60" w:afterLines="60" w:after="144"/>
              <w:rPr>
                <w:rFonts w:ascii="Arial" w:hAnsi="Arial" w:cs="Arial"/>
                <w:b/>
                <w:sz w:val="18"/>
                <w:szCs w:val="16"/>
              </w:rPr>
            </w:pPr>
            <w:r>
              <w:rPr>
                <w:rFonts w:ascii="Arial" w:hAnsi="Arial"/>
                <w:b/>
                <w:sz w:val="18"/>
                <w:szCs w:val="16"/>
              </w:rPr>
              <w:t>Asset class</w:t>
            </w:r>
          </w:p>
        </w:tc>
        <w:tc>
          <w:tcPr>
            <w:tcW w:w="1701" w:type="dxa"/>
            <w:shd w:val="clear" w:color="auto" w:fill="1F242B" w:themeFill="accent2"/>
            <w:vAlign w:val="center"/>
          </w:tcPr>
          <w:p w14:paraId="6F9AAE5A" w14:textId="77777777" w:rsidR="00713D81" w:rsidRPr="009F10F1" w:rsidRDefault="00713D81" w:rsidP="00626FB7">
            <w:pPr>
              <w:widowControl w:val="0"/>
              <w:spacing w:before="60" w:afterLines="60" w:after="144"/>
              <w:jc w:val="center"/>
              <w:rPr>
                <w:rFonts w:ascii="Arial" w:hAnsi="Arial" w:cs="Arial"/>
                <w:b/>
                <w:sz w:val="18"/>
                <w:szCs w:val="16"/>
              </w:rPr>
            </w:pPr>
            <w:r>
              <w:rPr>
                <w:rFonts w:ascii="Arial" w:hAnsi="Arial"/>
                <w:b/>
                <w:sz w:val="18"/>
                <w:szCs w:val="16"/>
              </w:rPr>
              <w:t>Buyer/investor</w:t>
            </w:r>
          </w:p>
        </w:tc>
        <w:tc>
          <w:tcPr>
            <w:tcW w:w="1843" w:type="dxa"/>
            <w:shd w:val="clear" w:color="auto" w:fill="1F242B" w:themeFill="accent2"/>
            <w:vAlign w:val="center"/>
          </w:tcPr>
          <w:p w14:paraId="1C1FB7C5" w14:textId="77777777" w:rsidR="00713D81" w:rsidRPr="009F10F1" w:rsidRDefault="00713D81" w:rsidP="00626FB7">
            <w:pPr>
              <w:widowControl w:val="0"/>
              <w:spacing w:before="60" w:afterLines="60" w:after="144"/>
              <w:jc w:val="center"/>
              <w:rPr>
                <w:rFonts w:ascii="Arial" w:hAnsi="Arial" w:cs="Arial"/>
                <w:b/>
                <w:sz w:val="18"/>
                <w:szCs w:val="16"/>
              </w:rPr>
            </w:pPr>
            <w:r>
              <w:rPr>
                <w:rFonts w:ascii="Arial" w:hAnsi="Arial"/>
                <w:b/>
                <w:sz w:val="18"/>
                <w:szCs w:val="16"/>
              </w:rPr>
              <w:t>Vendor</w:t>
            </w:r>
          </w:p>
        </w:tc>
        <w:tc>
          <w:tcPr>
            <w:tcW w:w="1134" w:type="dxa"/>
            <w:shd w:val="clear" w:color="auto" w:fill="1F242B" w:themeFill="accent2"/>
            <w:vAlign w:val="center"/>
          </w:tcPr>
          <w:p w14:paraId="07D9CAD3" w14:textId="77777777" w:rsidR="00713D81" w:rsidRPr="009F10F1" w:rsidRDefault="00713D81" w:rsidP="00713D81">
            <w:pPr>
              <w:widowControl w:val="0"/>
              <w:spacing w:before="60" w:after="0"/>
              <w:jc w:val="right"/>
              <w:rPr>
                <w:rFonts w:ascii="Arial" w:hAnsi="Arial" w:cs="Arial"/>
                <w:b/>
                <w:sz w:val="18"/>
                <w:szCs w:val="16"/>
              </w:rPr>
            </w:pPr>
            <w:r>
              <w:rPr>
                <w:rFonts w:ascii="Arial" w:hAnsi="Arial"/>
                <w:b/>
                <w:sz w:val="18"/>
                <w:szCs w:val="16"/>
              </w:rPr>
              <w:t>Purchase price*</w:t>
            </w:r>
          </w:p>
          <w:p w14:paraId="4946B45A" w14:textId="77777777" w:rsidR="00713D81" w:rsidRPr="009F10F1" w:rsidRDefault="00713D81" w:rsidP="00713D81">
            <w:pPr>
              <w:widowControl w:val="0"/>
              <w:spacing w:before="60" w:after="0"/>
              <w:jc w:val="right"/>
              <w:rPr>
                <w:rFonts w:ascii="Arial" w:hAnsi="Arial" w:cs="Arial"/>
                <w:b/>
                <w:sz w:val="18"/>
                <w:szCs w:val="16"/>
              </w:rPr>
            </w:pPr>
            <w:r>
              <w:rPr>
                <w:rFonts w:ascii="Arial" w:hAnsi="Arial"/>
                <w:sz w:val="18"/>
                <w:szCs w:val="16"/>
              </w:rPr>
              <w:t>[approx. €m]</w:t>
            </w:r>
          </w:p>
        </w:tc>
      </w:tr>
      <w:tr w:rsidR="00E04DC5" w:rsidRPr="006F49D0" w14:paraId="091DAB46" w14:textId="77777777" w:rsidTr="005916C2">
        <w:trPr>
          <w:trHeight w:val="567"/>
        </w:trPr>
        <w:tc>
          <w:tcPr>
            <w:tcW w:w="2263" w:type="dxa"/>
            <w:shd w:val="clear" w:color="auto" w:fill="auto"/>
            <w:vAlign w:val="center"/>
          </w:tcPr>
          <w:p w14:paraId="7A59B3F8" w14:textId="47C44982" w:rsidR="00E04DC5" w:rsidRDefault="00E04DC5" w:rsidP="0055030C">
            <w:pPr>
              <w:widowControl w:val="0"/>
              <w:spacing w:after="0"/>
              <w:rPr>
                <w:rFonts w:ascii="Arial" w:hAnsi="Arial" w:cs="Arial"/>
                <w:sz w:val="18"/>
                <w:szCs w:val="16"/>
              </w:rPr>
            </w:pPr>
            <w:r>
              <w:rPr>
                <w:rFonts w:ascii="Arial" w:hAnsi="Arial"/>
                <w:sz w:val="18"/>
                <w:szCs w:val="16"/>
              </w:rPr>
              <w:t xml:space="preserve">“Chaussee23”, </w:t>
            </w:r>
            <w:proofErr w:type="spellStart"/>
            <w:r>
              <w:rPr>
                <w:rFonts w:ascii="Arial" w:hAnsi="Arial"/>
                <w:sz w:val="18"/>
                <w:szCs w:val="16"/>
              </w:rPr>
              <w:t>Chausseestrasse</w:t>
            </w:r>
            <w:proofErr w:type="spellEnd"/>
            <w:r>
              <w:rPr>
                <w:rFonts w:ascii="Arial" w:hAnsi="Arial"/>
                <w:sz w:val="18"/>
                <w:szCs w:val="16"/>
              </w:rPr>
              <w:t xml:space="preserve"> 23</w:t>
            </w:r>
          </w:p>
        </w:tc>
        <w:tc>
          <w:tcPr>
            <w:tcW w:w="1418" w:type="dxa"/>
            <w:shd w:val="clear" w:color="auto" w:fill="auto"/>
            <w:vAlign w:val="center"/>
          </w:tcPr>
          <w:p w14:paraId="5E5A315F" w14:textId="2F424537" w:rsidR="00E04DC5" w:rsidRDefault="00E04DC5" w:rsidP="00644ED6">
            <w:pPr>
              <w:widowControl w:val="0"/>
              <w:spacing w:after="0"/>
              <w:rPr>
                <w:rFonts w:ascii="Arial" w:hAnsi="Arial" w:cs="Arial"/>
                <w:sz w:val="18"/>
                <w:szCs w:val="16"/>
              </w:rPr>
            </w:pPr>
            <w:proofErr w:type="spellStart"/>
            <w:r>
              <w:rPr>
                <w:rFonts w:ascii="Arial" w:hAnsi="Arial"/>
                <w:sz w:val="18"/>
                <w:szCs w:val="16"/>
              </w:rPr>
              <w:t>Mitte</w:t>
            </w:r>
            <w:proofErr w:type="spellEnd"/>
          </w:p>
        </w:tc>
        <w:tc>
          <w:tcPr>
            <w:tcW w:w="1417" w:type="dxa"/>
            <w:shd w:val="clear" w:color="auto" w:fill="auto"/>
            <w:vAlign w:val="center"/>
          </w:tcPr>
          <w:p w14:paraId="4524E227" w14:textId="15E77EB3" w:rsidR="00E04DC5" w:rsidRDefault="00E04DC5" w:rsidP="00644ED6">
            <w:pPr>
              <w:widowControl w:val="0"/>
              <w:spacing w:after="0"/>
              <w:rPr>
                <w:rFonts w:ascii="Arial" w:hAnsi="Arial" w:cs="Arial"/>
                <w:sz w:val="18"/>
                <w:szCs w:val="16"/>
              </w:rPr>
            </w:pPr>
            <w:r>
              <w:rPr>
                <w:rFonts w:ascii="Arial" w:hAnsi="Arial"/>
                <w:sz w:val="18"/>
                <w:szCs w:val="16"/>
              </w:rPr>
              <w:t>Offices</w:t>
            </w:r>
          </w:p>
        </w:tc>
        <w:tc>
          <w:tcPr>
            <w:tcW w:w="1701" w:type="dxa"/>
            <w:shd w:val="clear" w:color="auto" w:fill="auto"/>
            <w:vAlign w:val="center"/>
          </w:tcPr>
          <w:p w14:paraId="3304C770" w14:textId="402CD8AE" w:rsidR="00E04DC5" w:rsidRDefault="005916C2" w:rsidP="00644ED6">
            <w:pPr>
              <w:widowControl w:val="0"/>
              <w:spacing w:after="0"/>
              <w:rPr>
                <w:rFonts w:ascii="Arial" w:hAnsi="Arial" w:cs="Arial"/>
                <w:sz w:val="18"/>
                <w:szCs w:val="16"/>
              </w:rPr>
            </w:pPr>
            <w:r>
              <w:rPr>
                <w:rFonts w:ascii="Arial" w:hAnsi="Arial"/>
                <w:sz w:val="18"/>
                <w:szCs w:val="16"/>
              </w:rPr>
              <w:t>Credit Suisse</w:t>
            </w:r>
          </w:p>
        </w:tc>
        <w:tc>
          <w:tcPr>
            <w:tcW w:w="1843" w:type="dxa"/>
            <w:shd w:val="clear" w:color="auto" w:fill="auto"/>
            <w:vAlign w:val="center"/>
          </w:tcPr>
          <w:p w14:paraId="5963E249" w14:textId="033E110B" w:rsidR="00E04DC5" w:rsidRDefault="00E04DC5" w:rsidP="00644ED6">
            <w:pPr>
              <w:widowControl w:val="0"/>
              <w:spacing w:after="0"/>
              <w:rPr>
                <w:rFonts w:ascii="Arial" w:hAnsi="Arial" w:cs="Arial"/>
                <w:sz w:val="18"/>
                <w:szCs w:val="16"/>
              </w:rPr>
            </w:pPr>
            <w:r>
              <w:rPr>
                <w:rFonts w:ascii="Arial" w:hAnsi="Arial"/>
                <w:sz w:val="18"/>
                <w:szCs w:val="16"/>
              </w:rPr>
              <w:t xml:space="preserve">Barings Real Estate Advisers </w:t>
            </w:r>
          </w:p>
        </w:tc>
        <w:tc>
          <w:tcPr>
            <w:tcW w:w="1134" w:type="dxa"/>
            <w:shd w:val="clear" w:color="auto" w:fill="auto"/>
            <w:vAlign w:val="center"/>
          </w:tcPr>
          <w:p w14:paraId="67ECF91D" w14:textId="74E1A372" w:rsidR="00E04DC5" w:rsidRDefault="005916C2" w:rsidP="00644ED6">
            <w:pPr>
              <w:widowControl w:val="0"/>
              <w:spacing w:after="0"/>
              <w:jc w:val="right"/>
              <w:rPr>
                <w:rFonts w:ascii="Arial" w:hAnsi="Arial" w:cs="Arial"/>
                <w:sz w:val="18"/>
                <w:szCs w:val="16"/>
              </w:rPr>
            </w:pPr>
            <w:r>
              <w:rPr>
                <w:rFonts w:ascii="Arial" w:hAnsi="Arial"/>
                <w:sz w:val="18"/>
                <w:szCs w:val="16"/>
              </w:rPr>
              <w:t>220</w:t>
            </w:r>
          </w:p>
        </w:tc>
      </w:tr>
      <w:tr w:rsidR="00E04DC5" w:rsidRPr="006F49D0" w14:paraId="73D6470C" w14:textId="77777777" w:rsidTr="005916C2">
        <w:trPr>
          <w:trHeight w:val="567"/>
        </w:trPr>
        <w:tc>
          <w:tcPr>
            <w:tcW w:w="2263" w:type="dxa"/>
            <w:shd w:val="clear" w:color="auto" w:fill="auto"/>
            <w:vAlign w:val="center"/>
          </w:tcPr>
          <w:p w14:paraId="22330BB2" w14:textId="701BBC8C" w:rsidR="00E04DC5" w:rsidRDefault="00E04DC5" w:rsidP="00E04DC5">
            <w:pPr>
              <w:widowControl w:val="0"/>
              <w:spacing w:after="0"/>
              <w:rPr>
                <w:rFonts w:ascii="Arial" w:hAnsi="Arial" w:cs="Arial"/>
                <w:sz w:val="18"/>
                <w:szCs w:val="16"/>
              </w:rPr>
            </w:pPr>
            <w:r>
              <w:rPr>
                <w:rFonts w:ascii="Arial" w:hAnsi="Arial"/>
                <w:sz w:val="18"/>
                <w:szCs w:val="16"/>
              </w:rPr>
              <w:t xml:space="preserve">Quartier </w:t>
            </w:r>
            <w:proofErr w:type="spellStart"/>
            <w:r>
              <w:rPr>
                <w:rFonts w:ascii="Arial" w:hAnsi="Arial"/>
                <w:sz w:val="18"/>
                <w:szCs w:val="16"/>
              </w:rPr>
              <w:t>Schützenstrasse</w:t>
            </w:r>
            <w:proofErr w:type="spellEnd"/>
            <w:r>
              <w:rPr>
                <w:rFonts w:ascii="Arial" w:hAnsi="Arial"/>
                <w:sz w:val="18"/>
                <w:szCs w:val="16"/>
              </w:rPr>
              <w:t>,</w:t>
            </w:r>
            <w:r>
              <w:rPr>
                <w:rFonts w:ascii="Arial" w:hAnsi="Arial"/>
                <w:sz w:val="18"/>
                <w:szCs w:val="16"/>
              </w:rPr>
              <w:br/>
            </w:r>
            <w:proofErr w:type="spellStart"/>
            <w:r>
              <w:rPr>
                <w:rFonts w:ascii="Arial" w:hAnsi="Arial"/>
                <w:sz w:val="18"/>
                <w:szCs w:val="16"/>
              </w:rPr>
              <w:t>Zimmerstrasse</w:t>
            </w:r>
            <w:proofErr w:type="spellEnd"/>
            <w:r>
              <w:rPr>
                <w:rFonts w:ascii="Arial" w:hAnsi="Arial"/>
                <w:sz w:val="18"/>
                <w:szCs w:val="16"/>
              </w:rPr>
              <w:t xml:space="preserve"> 67-69</w:t>
            </w:r>
          </w:p>
        </w:tc>
        <w:tc>
          <w:tcPr>
            <w:tcW w:w="1418" w:type="dxa"/>
            <w:shd w:val="clear" w:color="auto" w:fill="auto"/>
            <w:vAlign w:val="center"/>
          </w:tcPr>
          <w:p w14:paraId="1B547698" w14:textId="1B27E6B2" w:rsidR="00E04DC5" w:rsidRDefault="00E04DC5" w:rsidP="00E04DC5">
            <w:pPr>
              <w:widowControl w:val="0"/>
              <w:spacing w:after="0"/>
              <w:rPr>
                <w:rFonts w:ascii="Arial" w:hAnsi="Arial" w:cs="Arial"/>
                <w:sz w:val="18"/>
                <w:szCs w:val="16"/>
              </w:rPr>
            </w:pPr>
            <w:proofErr w:type="spellStart"/>
            <w:r>
              <w:rPr>
                <w:rFonts w:ascii="Arial" w:hAnsi="Arial"/>
                <w:sz w:val="18"/>
                <w:szCs w:val="16"/>
              </w:rPr>
              <w:t>Mitte</w:t>
            </w:r>
            <w:proofErr w:type="spellEnd"/>
            <w:r>
              <w:rPr>
                <w:rFonts w:ascii="Arial" w:hAnsi="Arial"/>
                <w:sz w:val="18"/>
                <w:szCs w:val="16"/>
              </w:rPr>
              <w:t xml:space="preserve"> 1a</w:t>
            </w:r>
          </w:p>
        </w:tc>
        <w:tc>
          <w:tcPr>
            <w:tcW w:w="1417" w:type="dxa"/>
            <w:shd w:val="clear" w:color="auto" w:fill="auto"/>
            <w:vAlign w:val="center"/>
          </w:tcPr>
          <w:p w14:paraId="12567146" w14:textId="64C9EAF4" w:rsidR="00E04DC5" w:rsidRDefault="00E04DC5" w:rsidP="00E04DC5">
            <w:pPr>
              <w:widowControl w:val="0"/>
              <w:spacing w:after="0"/>
              <w:rPr>
                <w:rFonts w:ascii="Arial" w:hAnsi="Arial" w:cs="Arial"/>
                <w:sz w:val="18"/>
                <w:szCs w:val="16"/>
              </w:rPr>
            </w:pPr>
            <w:r>
              <w:rPr>
                <w:rFonts w:ascii="Arial" w:hAnsi="Arial"/>
                <w:sz w:val="18"/>
                <w:szCs w:val="16"/>
              </w:rPr>
              <w:t>Offices</w:t>
            </w:r>
          </w:p>
        </w:tc>
        <w:tc>
          <w:tcPr>
            <w:tcW w:w="1701" w:type="dxa"/>
            <w:shd w:val="clear" w:color="auto" w:fill="auto"/>
            <w:vAlign w:val="center"/>
          </w:tcPr>
          <w:p w14:paraId="19444BEB" w14:textId="3147823F" w:rsidR="00E04DC5" w:rsidRDefault="00E04DC5" w:rsidP="00E04DC5">
            <w:pPr>
              <w:widowControl w:val="0"/>
              <w:spacing w:after="0"/>
              <w:rPr>
                <w:rFonts w:ascii="Arial" w:hAnsi="Arial" w:cs="Arial"/>
                <w:sz w:val="18"/>
                <w:szCs w:val="16"/>
              </w:rPr>
            </w:pPr>
            <w:r>
              <w:rPr>
                <w:rFonts w:ascii="Arial" w:hAnsi="Arial"/>
                <w:sz w:val="18"/>
                <w:szCs w:val="16"/>
              </w:rPr>
              <w:t>Henderson Park</w:t>
            </w:r>
          </w:p>
        </w:tc>
        <w:tc>
          <w:tcPr>
            <w:tcW w:w="1843" w:type="dxa"/>
            <w:shd w:val="clear" w:color="auto" w:fill="auto"/>
            <w:vAlign w:val="center"/>
          </w:tcPr>
          <w:p w14:paraId="6C2146C4" w14:textId="1F5C86C0" w:rsidR="00E04DC5" w:rsidRDefault="00E04DC5" w:rsidP="00E04DC5">
            <w:pPr>
              <w:widowControl w:val="0"/>
              <w:spacing w:after="0"/>
              <w:rPr>
                <w:rFonts w:ascii="Arial" w:hAnsi="Arial" w:cs="Arial"/>
                <w:sz w:val="18"/>
                <w:szCs w:val="16"/>
              </w:rPr>
            </w:pPr>
            <w:proofErr w:type="spellStart"/>
            <w:r>
              <w:rPr>
                <w:rFonts w:ascii="Arial" w:hAnsi="Arial"/>
                <w:sz w:val="18"/>
                <w:szCs w:val="16"/>
              </w:rPr>
              <w:t>Caleus</w:t>
            </w:r>
            <w:proofErr w:type="spellEnd"/>
            <w:r>
              <w:rPr>
                <w:rFonts w:ascii="Arial" w:hAnsi="Arial"/>
                <w:sz w:val="18"/>
                <w:szCs w:val="16"/>
              </w:rPr>
              <w:t xml:space="preserve"> Capital Partners for GIC</w:t>
            </w:r>
          </w:p>
        </w:tc>
        <w:tc>
          <w:tcPr>
            <w:tcW w:w="1134" w:type="dxa"/>
            <w:shd w:val="clear" w:color="auto" w:fill="auto"/>
            <w:vAlign w:val="center"/>
          </w:tcPr>
          <w:p w14:paraId="53A4C995" w14:textId="3BAA41C0" w:rsidR="00E04DC5" w:rsidRDefault="00E04DC5" w:rsidP="00E04DC5">
            <w:pPr>
              <w:widowControl w:val="0"/>
              <w:spacing w:after="0"/>
              <w:jc w:val="right"/>
              <w:rPr>
                <w:rFonts w:ascii="Arial" w:hAnsi="Arial" w:cs="Arial"/>
                <w:sz w:val="18"/>
                <w:szCs w:val="16"/>
              </w:rPr>
            </w:pPr>
            <w:r>
              <w:rPr>
                <w:rFonts w:ascii="Arial" w:hAnsi="Arial"/>
                <w:sz w:val="18"/>
                <w:szCs w:val="16"/>
              </w:rPr>
              <w:t>194</w:t>
            </w:r>
          </w:p>
        </w:tc>
      </w:tr>
      <w:tr w:rsidR="00E04DC5" w:rsidRPr="006F49D0" w14:paraId="271CBB27" w14:textId="77777777" w:rsidTr="005916C2">
        <w:trPr>
          <w:trHeight w:val="567"/>
        </w:trPr>
        <w:tc>
          <w:tcPr>
            <w:tcW w:w="2263" w:type="dxa"/>
            <w:shd w:val="clear" w:color="auto" w:fill="auto"/>
            <w:vAlign w:val="center"/>
          </w:tcPr>
          <w:p w14:paraId="390FD8F6" w14:textId="62BA0854" w:rsidR="00E04DC5" w:rsidRDefault="00E04DC5" w:rsidP="00E04DC5">
            <w:pPr>
              <w:widowControl w:val="0"/>
              <w:spacing w:after="0"/>
              <w:rPr>
                <w:rFonts w:ascii="Arial" w:hAnsi="Arial" w:cs="Arial"/>
                <w:sz w:val="18"/>
                <w:szCs w:val="16"/>
              </w:rPr>
            </w:pPr>
            <w:r>
              <w:rPr>
                <w:rFonts w:ascii="Arial" w:hAnsi="Arial"/>
                <w:sz w:val="18"/>
                <w:szCs w:val="16"/>
              </w:rPr>
              <w:t>“The Grid”,</w:t>
            </w:r>
            <w:r>
              <w:rPr>
                <w:rFonts w:ascii="Arial" w:hAnsi="Arial"/>
                <w:sz w:val="18"/>
                <w:szCs w:val="16"/>
              </w:rPr>
              <w:br/>
            </w:r>
            <w:proofErr w:type="spellStart"/>
            <w:r>
              <w:rPr>
                <w:rFonts w:ascii="Arial" w:hAnsi="Arial"/>
                <w:sz w:val="18"/>
                <w:szCs w:val="16"/>
              </w:rPr>
              <w:t>Prinzenstraße</w:t>
            </w:r>
            <w:proofErr w:type="spellEnd"/>
            <w:r>
              <w:rPr>
                <w:rFonts w:ascii="Arial" w:hAnsi="Arial"/>
                <w:sz w:val="18"/>
                <w:szCs w:val="16"/>
              </w:rPr>
              <w:t xml:space="preserve"> 34</w:t>
            </w:r>
          </w:p>
        </w:tc>
        <w:tc>
          <w:tcPr>
            <w:tcW w:w="1418" w:type="dxa"/>
            <w:shd w:val="clear" w:color="auto" w:fill="auto"/>
            <w:vAlign w:val="center"/>
          </w:tcPr>
          <w:p w14:paraId="300314D5" w14:textId="6E601F35" w:rsidR="00E04DC5" w:rsidRDefault="00E04DC5" w:rsidP="00E04DC5">
            <w:pPr>
              <w:widowControl w:val="0"/>
              <w:spacing w:after="0"/>
              <w:rPr>
                <w:rFonts w:ascii="Arial" w:hAnsi="Arial" w:cs="Arial"/>
                <w:sz w:val="18"/>
                <w:szCs w:val="16"/>
              </w:rPr>
            </w:pPr>
            <w:proofErr w:type="spellStart"/>
            <w:r>
              <w:rPr>
                <w:rFonts w:ascii="Arial" w:hAnsi="Arial"/>
                <w:sz w:val="18"/>
                <w:szCs w:val="16"/>
              </w:rPr>
              <w:t>Kreuzberg</w:t>
            </w:r>
            <w:proofErr w:type="spellEnd"/>
          </w:p>
        </w:tc>
        <w:tc>
          <w:tcPr>
            <w:tcW w:w="1417" w:type="dxa"/>
            <w:shd w:val="clear" w:color="auto" w:fill="auto"/>
            <w:vAlign w:val="center"/>
          </w:tcPr>
          <w:p w14:paraId="01430374" w14:textId="789A1E46" w:rsidR="00E04DC5" w:rsidRDefault="00E04DC5" w:rsidP="00E04DC5">
            <w:pPr>
              <w:widowControl w:val="0"/>
              <w:spacing w:after="0"/>
              <w:rPr>
                <w:rFonts w:ascii="Arial" w:hAnsi="Arial" w:cs="Arial"/>
                <w:sz w:val="18"/>
                <w:szCs w:val="16"/>
              </w:rPr>
            </w:pPr>
            <w:r>
              <w:rPr>
                <w:rFonts w:ascii="Arial" w:hAnsi="Arial"/>
                <w:sz w:val="18"/>
                <w:szCs w:val="16"/>
              </w:rPr>
              <w:t>Offices</w:t>
            </w:r>
          </w:p>
        </w:tc>
        <w:tc>
          <w:tcPr>
            <w:tcW w:w="1701" w:type="dxa"/>
            <w:shd w:val="clear" w:color="auto" w:fill="auto"/>
            <w:vAlign w:val="center"/>
          </w:tcPr>
          <w:p w14:paraId="02E824FA" w14:textId="4B886488" w:rsidR="00E04DC5" w:rsidRDefault="00E04DC5" w:rsidP="00E04DC5">
            <w:pPr>
              <w:widowControl w:val="0"/>
              <w:spacing w:after="0"/>
              <w:rPr>
                <w:rFonts w:ascii="Arial" w:hAnsi="Arial" w:cs="Arial"/>
                <w:sz w:val="18"/>
                <w:szCs w:val="16"/>
              </w:rPr>
            </w:pPr>
            <w:r>
              <w:rPr>
                <w:rFonts w:ascii="Arial" w:hAnsi="Arial"/>
                <w:sz w:val="18"/>
                <w:szCs w:val="16"/>
              </w:rPr>
              <w:t>DWS</w:t>
            </w:r>
          </w:p>
        </w:tc>
        <w:tc>
          <w:tcPr>
            <w:tcW w:w="1843" w:type="dxa"/>
            <w:shd w:val="clear" w:color="auto" w:fill="auto"/>
            <w:vAlign w:val="center"/>
          </w:tcPr>
          <w:p w14:paraId="1EDF4844" w14:textId="13812E24" w:rsidR="00E04DC5" w:rsidRDefault="00E04DC5" w:rsidP="00E04DC5">
            <w:pPr>
              <w:widowControl w:val="0"/>
              <w:spacing w:after="0"/>
              <w:rPr>
                <w:rFonts w:ascii="Arial" w:hAnsi="Arial" w:cs="Arial"/>
                <w:sz w:val="18"/>
                <w:szCs w:val="16"/>
              </w:rPr>
            </w:pPr>
            <w:r>
              <w:rPr>
                <w:rFonts w:ascii="Arial" w:hAnsi="Arial"/>
                <w:sz w:val="18"/>
                <w:szCs w:val="16"/>
              </w:rPr>
              <w:t>Pandion</w:t>
            </w:r>
          </w:p>
        </w:tc>
        <w:tc>
          <w:tcPr>
            <w:tcW w:w="1134" w:type="dxa"/>
            <w:shd w:val="clear" w:color="auto" w:fill="auto"/>
            <w:vAlign w:val="center"/>
          </w:tcPr>
          <w:p w14:paraId="76E41594" w14:textId="00A737A2" w:rsidR="00E04DC5" w:rsidRDefault="00E04DC5" w:rsidP="00E04DC5">
            <w:pPr>
              <w:widowControl w:val="0"/>
              <w:spacing w:after="0"/>
              <w:jc w:val="right"/>
              <w:rPr>
                <w:rFonts w:ascii="Arial" w:hAnsi="Arial" w:cs="Arial"/>
                <w:sz w:val="18"/>
                <w:szCs w:val="16"/>
              </w:rPr>
            </w:pPr>
            <w:r>
              <w:rPr>
                <w:rFonts w:ascii="Arial" w:hAnsi="Arial"/>
                <w:sz w:val="18"/>
                <w:szCs w:val="16"/>
              </w:rPr>
              <w:t>129</w:t>
            </w:r>
          </w:p>
        </w:tc>
      </w:tr>
      <w:tr w:rsidR="00E04DC5" w:rsidRPr="006F49D0" w14:paraId="2F5019A6" w14:textId="77777777" w:rsidTr="005916C2">
        <w:trPr>
          <w:trHeight w:val="567"/>
        </w:trPr>
        <w:tc>
          <w:tcPr>
            <w:tcW w:w="2263" w:type="dxa"/>
            <w:shd w:val="clear" w:color="auto" w:fill="auto"/>
            <w:vAlign w:val="center"/>
          </w:tcPr>
          <w:p w14:paraId="62F38118" w14:textId="6A3CE5AC" w:rsidR="00E04DC5" w:rsidRDefault="00E04DC5" w:rsidP="00E04DC5">
            <w:pPr>
              <w:widowControl w:val="0"/>
              <w:spacing w:after="0"/>
              <w:rPr>
                <w:rFonts w:ascii="Arial" w:hAnsi="Arial" w:cs="Arial"/>
                <w:sz w:val="18"/>
                <w:szCs w:val="16"/>
              </w:rPr>
            </w:pPr>
            <w:r>
              <w:rPr>
                <w:rFonts w:ascii="Arial" w:hAnsi="Arial"/>
                <w:sz w:val="18"/>
                <w:szCs w:val="16"/>
              </w:rPr>
              <w:t>“Enter“”</w:t>
            </w:r>
            <w:r>
              <w:rPr>
                <w:rFonts w:ascii="Arial" w:hAnsi="Arial"/>
                <w:sz w:val="18"/>
                <w:szCs w:val="16"/>
              </w:rPr>
              <w:br/>
              <w:t>Max-</w:t>
            </w:r>
            <w:proofErr w:type="spellStart"/>
            <w:r>
              <w:rPr>
                <w:rFonts w:ascii="Arial" w:hAnsi="Arial"/>
                <w:sz w:val="18"/>
                <w:szCs w:val="16"/>
              </w:rPr>
              <w:t>Urich</w:t>
            </w:r>
            <w:proofErr w:type="spellEnd"/>
            <w:r>
              <w:rPr>
                <w:rFonts w:ascii="Arial" w:hAnsi="Arial"/>
                <w:sz w:val="18"/>
                <w:szCs w:val="16"/>
              </w:rPr>
              <w:t>-</w:t>
            </w:r>
            <w:proofErr w:type="spellStart"/>
            <w:r>
              <w:rPr>
                <w:rFonts w:ascii="Arial" w:hAnsi="Arial"/>
                <w:sz w:val="18"/>
                <w:szCs w:val="16"/>
              </w:rPr>
              <w:t>Strasse</w:t>
            </w:r>
            <w:proofErr w:type="spellEnd"/>
            <w:r>
              <w:rPr>
                <w:rFonts w:ascii="Arial" w:hAnsi="Arial"/>
                <w:sz w:val="18"/>
                <w:szCs w:val="16"/>
              </w:rPr>
              <w:t xml:space="preserve"> 2</w:t>
            </w:r>
          </w:p>
        </w:tc>
        <w:tc>
          <w:tcPr>
            <w:tcW w:w="1418" w:type="dxa"/>
            <w:shd w:val="clear" w:color="auto" w:fill="auto"/>
            <w:vAlign w:val="center"/>
          </w:tcPr>
          <w:p w14:paraId="32AC69C9" w14:textId="6F613F0F" w:rsidR="00E04DC5" w:rsidRDefault="00E04DC5" w:rsidP="00E04DC5">
            <w:pPr>
              <w:widowControl w:val="0"/>
              <w:spacing w:after="0"/>
              <w:rPr>
                <w:rFonts w:ascii="Arial" w:hAnsi="Arial" w:cs="Arial"/>
                <w:sz w:val="18"/>
                <w:szCs w:val="16"/>
              </w:rPr>
            </w:pPr>
            <w:r>
              <w:rPr>
                <w:rFonts w:ascii="Arial" w:hAnsi="Arial"/>
                <w:sz w:val="18"/>
                <w:szCs w:val="16"/>
              </w:rPr>
              <w:t>Periphery North</w:t>
            </w:r>
          </w:p>
        </w:tc>
        <w:tc>
          <w:tcPr>
            <w:tcW w:w="1417" w:type="dxa"/>
            <w:shd w:val="clear" w:color="auto" w:fill="auto"/>
            <w:vAlign w:val="center"/>
          </w:tcPr>
          <w:p w14:paraId="1B63055C" w14:textId="00BD183E" w:rsidR="00E04DC5" w:rsidRDefault="00E04DC5" w:rsidP="00E04DC5">
            <w:pPr>
              <w:widowControl w:val="0"/>
              <w:spacing w:after="0"/>
              <w:rPr>
                <w:rFonts w:ascii="Arial" w:hAnsi="Arial" w:cs="Arial"/>
                <w:sz w:val="18"/>
                <w:szCs w:val="16"/>
              </w:rPr>
            </w:pPr>
            <w:r>
              <w:rPr>
                <w:rFonts w:ascii="Arial" w:hAnsi="Arial"/>
                <w:sz w:val="18"/>
                <w:szCs w:val="16"/>
              </w:rPr>
              <w:t>Offices</w:t>
            </w:r>
          </w:p>
        </w:tc>
        <w:tc>
          <w:tcPr>
            <w:tcW w:w="1701" w:type="dxa"/>
            <w:shd w:val="clear" w:color="auto" w:fill="auto"/>
            <w:vAlign w:val="center"/>
          </w:tcPr>
          <w:p w14:paraId="40D15CE2" w14:textId="7157A450" w:rsidR="00E04DC5" w:rsidRDefault="00E04DC5" w:rsidP="00E04DC5">
            <w:pPr>
              <w:widowControl w:val="0"/>
              <w:spacing w:after="0"/>
              <w:rPr>
                <w:rFonts w:ascii="Arial" w:hAnsi="Arial" w:cs="Arial"/>
                <w:sz w:val="18"/>
                <w:szCs w:val="16"/>
              </w:rPr>
            </w:pPr>
            <w:r>
              <w:rPr>
                <w:rFonts w:ascii="Arial" w:hAnsi="Arial"/>
                <w:sz w:val="18"/>
                <w:szCs w:val="16"/>
              </w:rPr>
              <w:t xml:space="preserve">DEKA </w:t>
            </w:r>
            <w:proofErr w:type="spellStart"/>
            <w:r>
              <w:rPr>
                <w:rFonts w:ascii="Arial" w:hAnsi="Arial"/>
                <w:sz w:val="18"/>
                <w:szCs w:val="16"/>
              </w:rPr>
              <w:t>Immobilien</w:t>
            </w:r>
            <w:proofErr w:type="spellEnd"/>
          </w:p>
        </w:tc>
        <w:tc>
          <w:tcPr>
            <w:tcW w:w="1843" w:type="dxa"/>
            <w:shd w:val="clear" w:color="auto" w:fill="auto"/>
            <w:vAlign w:val="center"/>
          </w:tcPr>
          <w:p w14:paraId="3AE5285D" w14:textId="51B546DE" w:rsidR="00E04DC5" w:rsidRDefault="00E04DC5" w:rsidP="00E04DC5">
            <w:pPr>
              <w:widowControl w:val="0"/>
              <w:spacing w:after="0"/>
              <w:rPr>
                <w:rFonts w:ascii="Arial" w:hAnsi="Arial" w:cs="Arial"/>
                <w:sz w:val="18"/>
                <w:szCs w:val="16"/>
              </w:rPr>
            </w:pPr>
            <w:r>
              <w:rPr>
                <w:rFonts w:ascii="Arial" w:hAnsi="Arial"/>
                <w:sz w:val="18"/>
                <w:szCs w:val="16"/>
              </w:rPr>
              <w:t>Townscape One</w:t>
            </w:r>
          </w:p>
        </w:tc>
        <w:tc>
          <w:tcPr>
            <w:tcW w:w="1134" w:type="dxa"/>
            <w:shd w:val="clear" w:color="auto" w:fill="auto"/>
            <w:vAlign w:val="center"/>
          </w:tcPr>
          <w:p w14:paraId="044A3E99" w14:textId="3626E038" w:rsidR="00E04DC5" w:rsidRDefault="00E04DC5" w:rsidP="00E04DC5">
            <w:pPr>
              <w:widowControl w:val="0"/>
              <w:spacing w:after="0"/>
              <w:jc w:val="right"/>
              <w:rPr>
                <w:rFonts w:ascii="Arial" w:hAnsi="Arial" w:cs="Arial"/>
                <w:sz w:val="18"/>
                <w:szCs w:val="16"/>
              </w:rPr>
            </w:pPr>
            <w:r>
              <w:rPr>
                <w:rFonts w:ascii="Arial" w:hAnsi="Arial"/>
                <w:sz w:val="18"/>
                <w:szCs w:val="16"/>
              </w:rPr>
              <w:t>120</w:t>
            </w:r>
          </w:p>
        </w:tc>
      </w:tr>
      <w:tr w:rsidR="005916C2" w:rsidRPr="006F49D0" w14:paraId="596D1FA0" w14:textId="77777777" w:rsidTr="005916C2">
        <w:trPr>
          <w:trHeight w:val="75"/>
        </w:trPr>
        <w:tc>
          <w:tcPr>
            <w:tcW w:w="2263" w:type="dxa"/>
            <w:shd w:val="clear" w:color="auto" w:fill="A6A6A6" w:themeFill="background1" w:themeFillShade="A6"/>
            <w:vAlign w:val="center"/>
          </w:tcPr>
          <w:p w14:paraId="7FBCB3AF" w14:textId="77777777" w:rsidR="005916C2" w:rsidRDefault="005916C2" w:rsidP="00E04DC5">
            <w:pPr>
              <w:widowControl w:val="0"/>
              <w:spacing w:after="0"/>
              <w:rPr>
                <w:rFonts w:ascii="Arial" w:hAnsi="Arial" w:cs="Arial"/>
                <w:sz w:val="18"/>
                <w:szCs w:val="16"/>
              </w:rPr>
            </w:pPr>
          </w:p>
        </w:tc>
        <w:tc>
          <w:tcPr>
            <w:tcW w:w="1418" w:type="dxa"/>
            <w:shd w:val="clear" w:color="auto" w:fill="A6A6A6" w:themeFill="background1" w:themeFillShade="A6"/>
            <w:vAlign w:val="center"/>
          </w:tcPr>
          <w:p w14:paraId="05464653" w14:textId="77777777" w:rsidR="005916C2" w:rsidRDefault="005916C2" w:rsidP="00E04DC5">
            <w:pPr>
              <w:widowControl w:val="0"/>
              <w:spacing w:after="0"/>
              <w:rPr>
                <w:rFonts w:ascii="Arial" w:hAnsi="Arial" w:cs="Arial"/>
                <w:sz w:val="18"/>
                <w:szCs w:val="16"/>
              </w:rPr>
            </w:pPr>
          </w:p>
        </w:tc>
        <w:tc>
          <w:tcPr>
            <w:tcW w:w="1417" w:type="dxa"/>
            <w:shd w:val="clear" w:color="auto" w:fill="A6A6A6" w:themeFill="background1" w:themeFillShade="A6"/>
            <w:vAlign w:val="center"/>
          </w:tcPr>
          <w:p w14:paraId="74049A77" w14:textId="77777777" w:rsidR="005916C2" w:rsidRDefault="005916C2" w:rsidP="00E04DC5">
            <w:pPr>
              <w:widowControl w:val="0"/>
              <w:spacing w:after="0"/>
              <w:rPr>
                <w:rFonts w:ascii="Arial" w:hAnsi="Arial" w:cs="Arial"/>
                <w:sz w:val="18"/>
                <w:szCs w:val="16"/>
              </w:rPr>
            </w:pPr>
          </w:p>
        </w:tc>
        <w:tc>
          <w:tcPr>
            <w:tcW w:w="1701" w:type="dxa"/>
            <w:shd w:val="clear" w:color="auto" w:fill="A6A6A6" w:themeFill="background1" w:themeFillShade="A6"/>
            <w:vAlign w:val="center"/>
          </w:tcPr>
          <w:p w14:paraId="6FA6CFE6" w14:textId="77777777" w:rsidR="005916C2" w:rsidRDefault="005916C2" w:rsidP="00E04DC5">
            <w:pPr>
              <w:widowControl w:val="0"/>
              <w:spacing w:after="0"/>
              <w:rPr>
                <w:rFonts w:ascii="Arial" w:hAnsi="Arial" w:cs="Arial"/>
                <w:sz w:val="18"/>
                <w:szCs w:val="16"/>
              </w:rPr>
            </w:pPr>
          </w:p>
        </w:tc>
        <w:tc>
          <w:tcPr>
            <w:tcW w:w="1843" w:type="dxa"/>
            <w:shd w:val="clear" w:color="auto" w:fill="A6A6A6" w:themeFill="background1" w:themeFillShade="A6"/>
            <w:vAlign w:val="center"/>
          </w:tcPr>
          <w:p w14:paraId="6D829061" w14:textId="77777777" w:rsidR="005916C2" w:rsidRDefault="005916C2" w:rsidP="00E04DC5">
            <w:pPr>
              <w:widowControl w:val="0"/>
              <w:spacing w:after="0"/>
              <w:rPr>
                <w:rFonts w:ascii="Arial" w:hAnsi="Arial" w:cs="Arial"/>
                <w:sz w:val="18"/>
                <w:szCs w:val="16"/>
              </w:rPr>
            </w:pPr>
          </w:p>
        </w:tc>
        <w:tc>
          <w:tcPr>
            <w:tcW w:w="1134" w:type="dxa"/>
            <w:shd w:val="clear" w:color="auto" w:fill="A6A6A6" w:themeFill="background1" w:themeFillShade="A6"/>
            <w:vAlign w:val="center"/>
          </w:tcPr>
          <w:p w14:paraId="44E9D3BF" w14:textId="77777777" w:rsidR="005916C2" w:rsidRDefault="005916C2" w:rsidP="00E04DC5">
            <w:pPr>
              <w:widowControl w:val="0"/>
              <w:spacing w:after="0"/>
              <w:jc w:val="right"/>
              <w:rPr>
                <w:rFonts w:ascii="Arial" w:hAnsi="Arial" w:cs="Arial"/>
                <w:sz w:val="18"/>
                <w:szCs w:val="16"/>
              </w:rPr>
            </w:pPr>
          </w:p>
        </w:tc>
      </w:tr>
      <w:tr w:rsidR="005916C2" w:rsidRPr="006F49D0" w14:paraId="57FD420E" w14:textId="77777777" w:rsidTr="005916C2">
        <w:trPr>
          <w:trHeight w:val="567"/>
        </w:trPr>
        <w:tc>
          <w:tcPr>
            <w:tcW w:w="2263" w:type="dxa"/>
            <w:shd w:val="clear" w:color="auto" w:fill="FFFFFF" w:themeFill="background1"/>
            <w:vAlign w:val="center"/>
          </w:tcPr>
          <w:p w14:paraId="23CE75C3" w14:textId="279EF13C" w:rsidR="005916C2" w:rsidRDefault="0055030C" w:rsidP="0055030C">
            <w:pPr>
              <w:widowControl w:val="0"/>
              <w:spacing w:after="0"/>
              <w:rPr>
                <w:rFonts w:ascii="Arial" w:hAnsi="Arial" w:cs="Arial"/>
                <w:sz w:val="18"/>
                <w:szCs w:val="16"/>
              </w:rPr>
            </w:pPr>
            <w:proofErr w:type="spellStart"/>
            <w:r>
              <w:rPr>
                <w:rFonts w:ascii="Arial" w:hAnsi="Arial"/>
                <w:sz w:val="18"/>
                <w:szCs w:val="16"/>
              </w:rPr>
              <w:t>Zalando</w:t>
            </w:r>
            <w:proofErr w:type="spellEnd"/>
            <w:r>
              <w:rPr>
                <w:rFonts w:ascii="Arial" w:hAnsi="Arial"/>
                <w:sz w:val="18"/>
                <w:szCs w:val="16"/>
              </w:rPr>
              <w:t xml:space="preserve"> Headquarter</w:t>
            </w:r>
            <w:r w:rsidR="00626FB7">
              <w:rPr>
                <w:rFonts w:ascii="Arial" w:hAnsi="Arial"/>
                <w:sz w:val="18"/>
                <w:szCs w:val="16"/>
              </w:rPr>
              <w:t>s</w:t>
            </w:r>
            <w:r>
              <w:rPr>
                <w:rFonts w:ascii="Arial" w:hAnsi="Arial"/>
                <w:sz w:val="18"/>
                <w:szCs w:val="16"/>
              </w:rPr>
              <w:t xml:space="preserve">, </w:t>
            </w:r>
            <w:r>
              <w:t xml:space="preserve"> </w:t>
            </w:r>
            <w:r>
              <w:rPr>
                <w:rFonts w:ascii="Arial" w:hAnsi="Arial"/>
                <w:sz w:val="18"/>
                <w:szCs w:val="16"/>
              </w:rPr>
              <w:t>Edith-Kiss-</w:t>
            </w:r>
            <w:proofErr w:type="spellStart"/>
            <w:r>
              <w:rPr>
                <w:rFonts w:ascii="Arial" w:hAnsi="Arial"/>
                <w:sz w:val="18"/>
                <w:szCs w:val="16"/>
              </w:rPr>
              <w:t>Strasse</w:t>
            </w:r>
            <w:proofErr w:type="spellEnd"/>
            <w:r>
              <w:rPr>
                <w:rFonts w:ascii="Arial" w:hAnsi="Arial"/>
                <w:sz w:val="18"/>
                <w:szCs w:val="16"/>
              </w:rPr>
              <w:t xml:space="preserve"> 1</w:t>
            </w:r>
          </w:p>
        </w:tc>
        <w:tc>
          <w:tcPr>
            <w:tcW w:w="1418" w:type="dxa"/>
            <w:shd w:val="clear" w:color="auto" w:fill="FFFFFF" w:themeFill="background1"/>
            <w:vAlign w:val="center"/>
          </w:tcPr>
          <w:p w14:paraId="42886E11" w14:textId="02497127" w:rsidR="005916C2" w:rsidRDefault="005916C2" w:rsidP="005916C2">
            <w:pPr>
              <w:widowControl w:val="0"/>
              <w:spacing w:after="0"/>
              <w:rPr>
                <w:rFonts w:ascii="Arial" w:hAnsi="Arial" w:cs="Arial"/>
                <w:sz w:val="18"/>
                <w:szCs w:val="16"/>
              </w:rPr>
            </w:pPr>
            <w:r>
              <w:rPr>
                <w:rFonts w:ascii="Arial" w:hAnsi="Arial"/>
                <w:sz w:val="18"/>
                <w:szCs w:val="16"/>
              </w:rPr>
              <w:t>Friedrichshain</w:t>
            </w:r>
          </w:p>
        </w:tc>
        <w:tc>
          <w:tcPr>
            <w:tcW w:w="1417" w:type="dxa"/>
            <w:shd w:val="clear" w:color="auto" w:fill="FFFFFF" w:themeFill="background1"/>
            <w:vAlign w:val="center"/>
          </w:tcPr>
          <w:p w14:paraId="06F34CCF" w14:textId="56869665" w:rsidR="005916C2" w:rsidRDefault="005916C2" w:rsidP="005916C2">
            <w:pPr>
              <w:widowControl w:val="0"/>
              <w:spacing w:after="0"/>
              <w:rPr>
                <w:rFonts w:ascii="Arial" w:hAnsi="Arial" w:cs="Arial"/>
                <w:sz w:val="18"/>
                <w:szCs w:val="16"/>
              </w:rPr>
            </w:pPr>
            <w:r>
              <w:rPr>
                <w:rFonts w:ascii="Arial" w:hAnsi="Arial"/>
                <w:sz w:val="18"/>
                <w:szCs w:val="16"/>
              </w:rPr>
              <w:t>Offices</w:t>
            </w:r>
          </w:p>
        </w:tc>
        <w:tc>
          <w:tcPr>
            <w:tcW w:w="1701" w:type="dxa"/>
            <w:shd w:val="clear" w:color="auto" w:fill="FFFFFF" w:themeFill="background1"/>
            <w:vAlign w:val="center"/>
          </w:tcPr>
          <w:p w14:paraId="3ED65161" w14:textId="04448780" w:rsidR="005916C2" w:rsidRDefault="005916C2" w:rsidP="005916C2">
            <w:pPr>
              <w:widowControl w:val="0"/>
              <w:spacing w:after="0"/>
              <w:rPr>
                <w:rFonts w:ascii="Arial" w:hAnsi="Arial" w:cs="Arial"/>
                <w:sz w:val="18"/>
                <w:szCs w:val="16"/>
              </w:rPr>
            </w:pPr>
            <w:r>
              <w:rPr>
                <w:rFonts w:ascii="Arial" w:hAnsi="Arial"/>
                <w:sz w:val="18"/>
                <w:szCs w:val="16"/>
              </w:rPr>
              <w:t>HIH Real Estate</w:t>
            </w:r>
          </w:p>
        </w:tc>
        <w:tc>
          <w:tcPr>
            <w:tcW w:w="1843" w:type="dxa"/>
            <w:shd w:val="clear" w:color="auto" w:fill="FFFFFF" w:themeFill="background1"/>
            <w:vAlign w:val="center"/>
          </w:tcPr>
          <w:p w14:paraId="3EFCC836" w14:textId="540EE5B5" w:rsidR="005916C2" w:rsidRDefault="005916C2" w:rsidP="005916C2">
            <w:pPr>
              <w:widowControl w:val="0"/>
              <w:spacing w:after="0"/>
              <w:rPr>
                <w:rFonts w:ascii="Arial" w:hAnsi="Arial" w:cs="Arial"/>
                <w:sz w:val="18"/>
                <w:szCs w:val="16"/>
              </w:rPr>
            </w:pPr>
            <w:r>
              <w:rPr>
                <w:rFonts w:ascii="Arial" w:hAnsi="Arial"/>
                <w:sz w:val="18"/>
                <w:szCs w:val="16"/>
              </w:rPr>
              <w:t xml:space="preserve">HIH </w:t>
            </w:r>
            <w:proofErr w:type="spellStart"/>
            <w:r>
              <w:rPr>
                <w:rFonts w:ascii="Arial" w:hAnsi="Arial"/>
                <w:sz w:val="18"/>
                <w:szCs w:val="16"/>
              </w:rPr>
              <w:t>Projektentwicklung</w:t>
            </w:r>
            <w:proofErr w:type="spellEnd"/>
          </w:p>
        </w:tc>
        <w:tc>
          <w:tcPr>
            <w:tcW w:w="1134" w:type="dxa"/>
            <w:shd w:val="clear" w:color="auto" w:fill="FFFFFF" w:themeFill="background1"/>
            <w:vAlign w:val="center"/>
          </w:tcPr>
          <w:p w14:paraId="02998E85" w14:textId="5A8F3109" w:rsidR="005916C2" w:rsidRDefault="005916C2" w:rsidP="005916C2">
            <w:pPr>
              <w:widowControl w:val="0"/>
              <w:spacing w:after="0"/>
              <w:jc w:val="right"/>
              <w:rPr>
                <w:rFonts w:ascii="Arial" w:hAnsi="Arial" w:cs="Arial"/>
                <w:sz w:val="18"/>
                <w:szCs w:val="16"/>
              </w:rPr>
            </w:pPr>
            <w:r>
              <w:rPr>
                <w:rFonts w:ascii="Arial" w:hAnsi="Arial"/>
                <w:sz w:val="18"/>
                <w:szCs w:val="16"/>
              </w:rPr>
              <w:t>confidential</w:t>
            </w:r>
          </w:p>
        </w:tc>
      </w:tr>
      <w:tr w:rsidR="005916C2" w:rsidRPr="006F49D0" w14:paraId="04753C25" w14:textId="77777777" w:rsidTr="005916C2">
        <w:trPr>
          <w:trHeight w:val="567"/>
        </w:trPr>
        <w:tc>
          <w:tcPr>
            <w:tcW w:w="2263" w:type="dxa"/>
            <w:shd w:val="clear" w:color="auto" w:fill="D9D9D9" w:themeFill="background1" w:themeFillShade="D9"/>
            <w:vAlign w:val="center"/>
          </w:tcPr>
          <w:p w14:paraId="7B90C622" w14:textId="56D6E56D" w:rsidR="005916C2" w:rsidRDefault="005916C2" w:rsidP="005916C2">
            <w:pPr>
              <w:widowControl w:val="0"/>
              <w:spacing w:after="0"/>
              <w:rPr>
                <w:rFonts w:ascii="Arial" w:hAnsi="Arial" w:cs="Arial"/>
                <w:sz w:val="18"/>
                <w:szCs w:val="16"/>
              </w:rPr>
            </w:pPr>
            <w:proofErr w:type="spellStart"/>
            <w:r>
              <w:rPr>
                <w:rFonts w:ascii="Arial" w:hAnsi="Arial"/>
                <w:sz w:val="18"/>
                <w:szCs w:val="16"/>
              </w:rPr>
              <w:t>Hallen</w:t>
            </w:r>
            <w:proofErr w:type="spellEnd"/>
            <w:r>
              <w:rPr>
                <w:rFonts w:ascii="Arial" w:hAnsi="Arial"/>
                <w:sz w:val="18"/>
                <w:szCs w:val="16"/>
              </w:rPr>
              <w:t xml:space="preserve"> am </w:t>
            </w:r>
            <w:proofErr w:type="spellStart"/>
            <w:r>
              <w:rPr>
                <w:rFonts w:ascii="Arial" w:hAnsi="Arial"/>
                <w:sz w:val="18"/>
                <w:szCs w:val="16"/>
              </w:rPr>
              <w:t>Borsigturm</w:t>
            </w:r>
            <w:proofErr w:type="spellEnd"/>
            <w:r>
              <w:rPr>
                <w:rFonts w:ascii="Arial" w:hAnsi="Arial"/>
                <w:sz w:val="18"/>
                <w:szCs w:val="16"/>
              </w:rPr>
              <w:t>,</w:t>
            </w:r>
            <w:r>
              <w:rPr>
                <w:rFonts w:ascii="Arial" w:hAnsi="Arial"/>
                <w:sz w:val="18"/>
                <w:szCs w:val="16"/>
              </w:rPr>
              <w:br/>
              <w:t xml:space="preserve">Am </w:t>
            </w:r>
            <w:proofErr w:type="spellStart"/>
            <w:r>
              <w:rPr>
                <w:rFonts w:ascii="Arial" w:hAnsi="Arial"/>
                <w:sz w:val="18"/>
                <w:szCs w:val="16"/>
              </w:rPr>
              <w:t>Borsigturm</w:t>
            </w:r>
            <w:proofErr w:type="spellEnd"/>
            <w:r>
              <w:rPr>
                <w:rFonts w:ascii="Arial" w:hAnsi="Arial"/>
                <w:sz w:val="18"/>
                <w:szCs w:val="16"/>
              </w:rPr>
              <w:t xml:space="preserve"> 2-14, 53</w:t>
            </w:r>
          </w:p>
        </w:tc>
        <w:tc>
          <w:tcPr>
            <w:tcW w:w="1418" w:type="dxa"/>
            <w:shd w:val="clear" w:color="auto" w:fill="D9D9D9" w:themeFill="background1" w:themeFillShade="D9"/>
            <w:vAlign w:val="center"/>
          </w:tcPr>
          <w:p w14:paraId="7C0DFE75" w14:textId="76CA42F5" w:rsidR="005916C2" w:rsidRDefault="005916C2" w:rsidP="005916C2">
            <w:pPr>
              <w:widowControl w:val="0"/>
              <w:spacing w:after="0"/>
              <w:rPr>
                <w:rFonts w:ascii="Arial" w:hAnsi="Arial" w:cs="Arial"/>
                <w:sz w:val="18"/>
                <w:szCs w:val="16"/>
              </w:rPr>
            </w:pPr>
            <w:proofErr w:type="spellStart"/>
            <w:r>
              <w:rPr>
                <w:rFonts w:ascii="Arial" w:hAnsi="Arial"/>
                <w:sz w:val="18"/>
                <w:szCs w:val="16"/>
              </w:rPr>
              <w:t>Reinickendorf</w:t>
            </w:r>
            <w:proofErr w:type="spellEnd"/>
          </w:p>
        </w:tc>
        <w:tc>
          <w:tcPr>
            <w:tcW w:w="1417" w:type="dxa"/>
            <w:shd w:val="clear" w:color="auto" w:fill="D9D9D9" w:themeFill="background1" w:themeFillShade="D9"/>
            <w:vAlign w:val="center"/>
          </w:tcPr>
          <w:p w14:paraId="3FE7D54D" w14:textId="4877BA33" w:rsidR="005916C2" w:rsidRDefault="005916C2" w:rsidP="005916C2">
            <w:pPr>
              <w:widowControl w:val="0"/>
              <w:spacing w:after="0"/>
              <w:rPr>
                <w:rFonts w:ascii="Arial" w:hAnsi="Arial" w:cs="Arial"/>
                <w:sz w:val="18"/>
                <w:szCs w:val="16"/>
              </w:rPr>
            </w:pPr>
            <w:r>
              <w:rPr>
                <w:rFonts w:ascii="Arial" w:hAnsi="Arial"/>
                <w:sz w:val="18"/>
                <w:szCs w:val="16"/>
              </w:rPr>
              <w:t>Mixed use</w:t>
            </w:r>
          </w:p>
        </w:tc>
        <w:tc>
          <w:tcPr>
            <w:tcW w:w="1701" w:type="dxa"/>
            <w:shd w:val="clear" w:color="auto" w:fill="D9D9D9" w:themeFill="background1" w:themeFillShade="D9"/>
            <w:vAlign w:val="center"/>
          </w:tcPr>
          <w:p w14:paraId="3BEEBC1F" w14:textId="342F007C" w:rsidR="005916C2" w:rsidRDefault="005916C2" w:rsidP="005916C2">
            <w:pPr>
              <w:widowControl w:val="0"/>
              <w:spacing w:after="0"/>
              <w:rPr>
                <w:rFonts w:ascii="Arial" w:hAnsi="Arial" w:cs="Arial"/>
                <w:sz w:val="18"/>
                <w:szCs w:val="16"/>
              </w:rPr>
            </w:pPr>
            <w:r>
              <w:rPr>
                <w:rFonts w:ascii="Arial" w:hAnsi="Arial"/>
                <w:sz w:val="18"/>
                <w:szCs w:val="16"/>
              </w:rPr>
              <w:t>ECE Preferred Equity Fund</w:t>
            </w:r>
          </w:p>
        </w:tc>
        <w:tc>
          <w:tcPr>
            <w:tcW w:w="1843" w:type="dxa"/>
            <w:shd w:val="clear" w:color="auto" w:fill="D9D9D9" w:themeFill="background1" w:themeFillShade="D9"/>
            <w:vAlign w:val="center"/>
          </w:tcPr>
          <w:p w14:paraId="50B3C03C" w14:textId="0A32533E" w:rsidR="005916C2" w:rsidRDefault="005916C2" w:rsidP="005916C2">
            <w:pPr>
              <w:widowControl w:val="0"/>
              <w:spacing w:after="0"/>
              <w:rPr>
                <w:rFonts w:ascii="Arial" w:hAnsi="Arial" w:cs="Arial"/>
                <w:sz w:val="18"/>
                <w:szCs w:val="16"/>
              </w:rPr>
            </w:pPr>
            <w:r>
              <w:rPr>
                <w:rFonts w:ascii="Arial" w:hAnsi="Arial"/>
                <w:sz w:val="18"/>
                <w:szCs w:val="16"/>
              </w:rPr>
              <w:t xml:space="preserve">ECE European Prime Shopping </w:t>
            </w:r>
            <w:proofErr w:type="spellStart"/>
            <w:r>
              <w:rPr>
                <w:rFonts w:ascii="Arial" w:hAnsi="Arial"/>
                <w:sz w:val="18"/>
                <w:szCs w:val="16"/>
              </w:rPr>
              <w:t>Center</w:t>
            </w:r>
            <w:proofErr w:type="spellEnd"/>
            <w:r>
              <w:rPr>
                <w:rFonts w:ascii="Arial" w:hAnsi="Arial"/>
                <w:sz w:val="18"/>
                <w:szCs w:val="16"/>
              </w:rPr>
              <w:t xml:space="preserve"> Fund</w:t>
            </w:r>
          </w:p>
        </w:tc>
        <w:tc>
          <w:tcPr>
            <w:tcW w:w="1134" w:type="dxa"/>
            <w:shd w:val="clear" w:color="auto" w:fill="D9D9D9" w:themeFill="background1" w:themeFillShade="D9"/>
            <w:vAlign w:val="center"/>
          </w:tcPr>
          <w:p w14:paraId="1AE2A8DF" w14:textId="47B01BDC" w:rsidR="005916C2" w:rsidRDefault="005916C2" w:rsidP="005916C2">
            <w:pPr>
              <w:widowControl w:val="0"/>
              <w:spacing w:after="0"/>
              <w:jc w:val="right"/>
              <w:rPr>
                <w:rFonts w:ascii="Arial" w:hAnsi="Arial" w:cs="Arial"/>
                <w:sz w:val="18"/>
                <w:szCs w:val="16"/>
              </w:rPr>
            </w:pPr>
            <w:r>
              <w:rPr>
                <w:rFonts w:ascii="Arial" w:hAnsi="Arial"/>
                <w:sz w:val="18"/>
                <w:szCs w:val="16"/>
              </w:rPr>
              <w:t>confidential</w:t>
            </w:r>
          </w:p>
        </w:tc>
      </w:tr>
      <w:tr w:rsidR="005916C2" w:rsidRPr="006F49D0" w14:paraId="79693588" w14:textId="77777777" w:rsidTr="005916C2">
        <w:trPr>
          <w:trHeight w:val="567"/>
        </w:trPr>
        <w:tc>
          <w:tcPr>
            <w:tcW w:w="2263" w:type="dxa"/>
            <w:shd w:val="clear" w:color="auto" w:fill="D9D9D9" w:themeFill="background1" w:themeFillShade="D9"/>
            <w:vAlign w:val="center"/>
          </w:tcPr>
          <w:p w14:paraId="7A060CE1" w14:textId="6D6AA9E6" w:rsidR="005916C2" w:rsidRDefault="005916C2" w:rsidP="005916C2">
            <w:pPr>
              <w:widowControl w:val="0"/>
              <w:spacing w:after="0"/>
              <w:rPr>
                <w:rFonts w:ascii="Arial" w:hAnsi="Arial" w:cs="Arial"/>
                <w:sz w:val="18"/>
                <w:szCs w:val="16"/>
              </w:rPr>
            </w:pPr>
            <w:r>
              <w:rPr>
                <w:rFonts w:ascii="Arial" w:hAnsi="Arial"/>
                <w:sz w:val="18"/>
                <w:szCs w:val="16"/>
              </w:rPr>
              <w:t>“Linden-</w:t>
            </w:r>
            <w:proofErr w:type="spellStart"/>
            <w:r>
              <w:rPr>
                <w:rFonts w:ascii="Arial" w:hAnsi="Arial"/>
                <w:sz w:val="18"/>
                <w:szCs w:val="16"/>
              </w:rPr>
              <w:t>Center</w:t>
            </w:r>
            <w:proofErr w:type="spellEnd"/>
            <w:r>
              <w:rPr>
                <w:rFonts w:ascii="Arial" w:hAnsi="Arial"/>
                <w:sz w:val="18"/>
                <w:szCs w:val="16"/>
              </w:rPr>
              <w:t>”,</w:t>
            </w:r>
            <w:r>
              <w:rPr>
                <w:rFonts w:ascii="Arial" w:hAnsi="Arial"/>
                <w:sz w:val="18"/>
                <w:szCs w:val="16"/>
              </w:rPr>
              <w:br/>
            </w:r>
            <w:proofErr w:type="spellStart"/>
            <w:r>
              <w:rPr>
                <w:rFonts w:ascii="Arial" w:hAnsi="Arial"/>
                <w:sz w:val="18"/>
                <w:szCs w:val="16"/>
              </w:rPr>
              <w:t>Prerower</w:t>
            </w:r>
            <w:proofErr w:type="spellEnd"/>
            <w:r>
              <w:rPr>
                <w:rFonts w:ascii="Arial" w:hAnsi="Arial"/>
                <w:sz w:val="18"/>
                <w:szCs w:val="16"/>
              </w:rPr>
              <w:t xml:space="preserve"> </w:t>
            </w:r>
            <w:proofErr w:type="spellStart"/>
            <w:r>
              <w:rPr>
                <w:rFonts w:ascii="Arial" w:hAnsi="Arial"/>
                <w:sz w:val="18"/>
                <w:szCs w:val="16"/>
              </w:rPr>
              <w:t>Platz</w:t>
            </w:r>
            <w:proofErr w:type="spellEnd"/>
            <w:r>
              <w:rPr>
                <w:rFonts w:ascii="Arial" w:hAnsi="Arial"/>
                <w:sz w:val="18"/>
                <w:szCs w:val="16"/>
              </w:rPr>
              <w:t xml:space="preserve"> 1</w:t>
            </w:r>
          </w:p>
        </w:tc>
        <w:tc>
          <w:tcPr>
            <w:tcW w:w="1418" w:type="dxa"/>
            <w:shd w:val="clear" w:color="auto" w:fill="D9D9D9" w:themeFill="background1" w:themeFillShade="D9"/>
            <w:vAlign w:val="center"/>
          </w:tcPr>
          <w:p w14:paraId="5529179C" w14:textId="4A62EEBD" w:rsidR="005916C2" w:rsidRDefault="005916C2" w:rsidP="005916C2">
            <w:pPr>
              <w:widowControl w:val="0"/>
              <w:spacing w:after="0"/>
              <w:rPr>
                <w:rFonts w:ascii="Arial" w:hAnsi="Arial" w:cs="Arial"/>
                <w:sz w:val="18"/>
                <w:szCs w:val="16"/>
              </w:rPr>
            </w:pPr>
            <w:r>
              <w:rPr>
                <w:rFonts w:ascii="Arial" w:hAnsi="Arial"/>
                <w:sz w:val="18"/>
                <w:szCs w:val="16"/>
              </w:rPr>
              <w:t>Periphery East</w:t>
            </w:r>
          </w:p>
        </w:tc>
        <w:tc>
          <w:tcPr>
            <w:tcW w:w="1417" w:type="dxa"/>
            <w:shd w:val="clear" w:color="auto" w:fill="D9D9D9" w:themeFill="background1" w:themeFillShade="D9"/>
            <w:vAlign w:val="center"/>
          </w:tcPr>
          <w:p w14:paraId="247BAFE3" w14:textId="506DA2CC" w:rsidR="005916C2" w:rsidRDefault="005916C2" w:rsidP="005916C2">
            <w:pPr>
              <w:widowControl w:val="0"/>
              <w:spacing w:after="0"/>
              <w:rPr>
                <w:rFonts w:ascii="Arial" w:hAnsi="Arial" w:cs="Arial"/>
                <w:sz w:val="18"/>
                <w:szCs w:val="16"/>
              </w:rPr>
            </w:pPr>
            <w:r>
              <w:rPr>
                <w:rFonts w:ascii="Arial" w:hAnsi="Arial"/>
                <w:sz w:val="18"/>
                <w:szCs w:val="16"/>
              </w:rPr>
              <w:t>Retail</w:t>
            </w:r>
          </w:p>
        </w:tc>
        <w:tc>
          <w:tcPr>
            <w:tcW w:w="1701" w:type="dxa"/>
            <w:shd w:val="clear" w:color="auto" w:fill="D9D9D9" w:themeFill="background1" w:themeFillShade="D9"/>
            <w:vAlign w:val="center"/>
          </w:tcPr>
          <w:p w14:paraId="381766BD" w14:textId="190B59A8" w:rsidR="005916C2" w:rsidRDefault="005916C2" w:rsidP="005916C2">
            <w:pPr>
              <w:widowControl w:val="0"/>
              <w:spacing w:after="0"/>
              <w:rPr>
                <w:rFonts w:ascii="Arial" w:hAnsi="Arial" w:cs="Arial"/>
                <w:sz w:val="18"/>
                <w:szCs w:val="16"/>
              </w:rPr>
            </w:pPr>
            <w:r>
              <w:rPr>
                <w:rFonts w:ascii="Arial" w:hAnsi="Arial"/>
                <w:sz w:val="18"/>
                <w:szCs w:val="16"/>
              </w:rPr>
              <w:t>ECE Preferred Equity Fund</w:t>
            </w:r>
          </w:p>
        </w:tc>
        <w:tc>
          <w:tcPr>
            <w:tcW w:w="1843" w:type="dxa"/>
            <w:shd w:val="clear" w:color="auto" w:fill="D9D9D9" w:themeFill="background1" w:themeFillShade="D9"/>
            <w:vAlign w:val="center"/>
          </w:tcPr>
          <w:p w14:paraId="74CD413D" w14:textId="1BA01213" w:rsidR="005916C2" w:rsidRDefault="000622FD" w:rsidP="005916C2">
            <w:pPr>
              <w:widowControl w:val="0"/>
              <w:spacing w:after="0"/>
              <w:rPr>
                <w:rFonts w:ascii="Arial" w:hAnsi="Arial" w:cs="Arial"/>
                <w:sz w:val="18"/>
                <w:szCs w:val="16"/>
              </w:rPr>
            </w:pPr>
            <w:r>
              <w:rPr>
                <w:rFonts w:ascii="Arial" w:hAnsi="Arial"/>
                <w:sz w:val="18"/>
                <w:szCs w:val="16"/>
              </w:rPr>
              <w:t xml:space="preserve">ECE European Prime Shopping </w:t>
            </w:r>
            <w:proofErr w:type="spellStart"/>
            <w:r>
              <w:rPr>
                <w:rFonts w:ascii="Arial" w:hAnsi="Arial"/>
                <w:sz w:val="18"/>
                <w:szCs w:val="16"/>
              </w:rPr>
              <w:t>Center</w:t>
            </w:r>
            <w:proofErr w:type="spellEnd"/>
            <w:r>
              <w:rPr>
                <w:rFonts w:ascii="Arial" w:hAnsi="Arial"/>
                <w:sz w:val="18"/>
                <w:szCs w:val="16"/>
              </w:rPr>
              <w:t xml:space="preserve"> Fund</w:t>
            </w:r>
          </w:p>
        </w:tc>
        <w:tc>
          <w:tcPr>
            <w:tcW w:w="1134" w:type="dxa"/>
            <w:shd w:val="clear" w:color="auto" w:fill="D9D9D9" w:themeFill="background1" w:themeFillShade="D9"/>
            <w:vAlign w:val="center"/>
          </w:tcPr>
          <w:p w14:paraId="014CC689" w14:textId="0BF6A8EA" w:rsidR="005916C2" w:rsidRDefault="005916C2" w:rsidP="005916C2">
            <w:pPr>
              <w:widowControl w:val="0"/>
              <w:spacing w:after="0"/>
              <w:jc w:val="right"/>
              <w:rPr>
                <w:rFonts w:ascii="Arial" w:hAnsi="Arial" w:cs="Arial"/>
                <w:sz w:val="18"/>
                <w:szCs w:val="16"/>
              </w:rPr>
            </w:pPr>
            <w:r>
              <w:rPr>
                <w:rFonts w:ascii="Arial" w:hAnsi="Arial"/>
                <w:sz w:val="18"/>
                <w:szCs w:val="16"/>
              </w:rPr>
              <w:t>confidential</w:t>
            </w:r>
          </w:p>
        </w:tc>
      </w:tr>
      <w:tr w:rsidR="005916C2" w:rsidRPr="00797E2F" w14:paraId="03C1DF19" w14:textId="77777777" w:rsidTr="00A116BB">
        <w:trPr>
          <w:trHeight w:val="455"/>
        </w:trPr>
        <w:tc>
          <w:tcPr>
            <w:tcW w:w="9776" w:type="dxa"/>
            <w:gridSpan w:val="6"/>
            <w:tcBorders>
              <w:top w:val="single" w:sz="4" w:space="0" w:color="auto"/>
              <w:left w:val="nil"/>
              <w:bottom w:val="nil"/>
              <w:right w:val="nil"/>
            </w:tcBorders>
            <w:shd w:val="clear" w:color="auto" w:fill="FFFFFF" w:themeFill="background1"/>
          </w:tcPr>
          <w:p w14:paraId="1976F5D6" w14:textId="2FC08F53" w:rsidR="005916C2" w:rsidRPr="001871BC" w:rsidRDefault="005916C2" w:rsidP="005916C2">
            <w:pPr>
              <w:widowControl w:val="0"/>
              <w:spacing w:after="0"/>
              <w:ind w:left="-108"/>
              <w:rPr>
                <w:rFonts w:ascii="Arial" w:hAnsi="Arial" w:cs="Arial"/>
                <w:sz w:val="16"/>
                <w:szCs w:val="16"/>
              </w:rPr>
            </w:pPr>
            <w:r>
              <w:rPr>
                <w:rFonts w:ascii="Arial" w:hAnsi="Arial"/>
                <w:sz w:val="16"/>
                <w:szCs w:val="16"/>
              </w:rPr>
              <w:t>*The purchase prices stated are based on publicly available data, where none is available an estimate is made; new transactions or those occurring in the quarter dealt with in this report are highlighted.</w:t>
            </w:r>
          </w:p>
        </w:tc>
      </w:tr>
    </w:tbl>
    <w:p w14:paraId="06A84312" w14:textId="607635D3" w:rsidR="00713D81" w:rsidRDefault="00713D81" w:rsidP="000A5ED1">
      <w:pPr>
        <w:spacing w:after="0"/>
        <w:rPr>
          <w:rFonts w:ascii="Arial" w:eastAsia="Arial" w:hAnsi="Arial" w:cs="Arial"/>
          <w:color w:val="000000" w:themeColor="text1"/>
          <w:sz w:val="20"/>
          <w:szCs w:val="20"/>
        </w:rPr>
      </w:pPr>
    </w:p>
    <w:p w14:paraId="0D624B47" w14:textId="6537AEB8" w:rsidR="003D35C8" w:rsidRPr="000A5ED1" w:rsidRDefault="003D35C8" w:rsidP="003D35C8">
      <w:pPr>
        <w:spacing w:after="0" w:line="360" w:lineRule="auto"/>
        <w:rPr>
          <w:rFonts w:ascii="Arial" w:eastAsia="Arial" w:hAnsi="Arial" w:cs="Arial"/>
          <w:b/>
          <w:color w:val="000000" w:themeColor="text1"/>
          <w:sz w:val="20"/>
          <w:szCs w:val="20"/>
        </w:rPr>
      </w:pPr>
      <w:r>
        <w:rPr>
          <w:rFonts w:ascii="Arial" w:hAnsi="Arial"/>
          <w:color w:val="000000" w:themeColor="text1"/>
          <w:sz w:val="20"/>
          <w:szCs w:val="20"/>
        </w:rPr>
        <w:t xml:space="preserve">The complete </w:t>
      </w:r>
      <w:r>
        <w:rPr>
          <w:rFonts w:ascii="Arial" w:hAnsi="Arial"/>
          <w:sz w:val="20"/>
          <w:szCs w:val="20"/>
        </w:rPr>
        <w:t>market survey</w:t>
      </w:r>
      <w:r>
        <w:rPr>
          <w:rFonts w:ascii="Arial" w:hAnsi="Arial"/>
          <w:color w:val="000000" w:themeColor="text1"/>
          <w:sz w:val="20"/>
          <w:szCs w:val="20"/>
        </w:rPr>
        <w:t xml:space="preserve"> will soon be available and can be downloaded from our </w:t>
      </w:r>
      <w:hyperlink r:id="rId9" w:history="1">
        <w:r w:rsidR="00626FB7">
          <w:rPr>
            <w:rStyle w:val="Hyperlink"/>
            <w:rFonts w:ascii="Arial" w:hAnsi="Arial"/>
            <w:sz w:val="20"/>
            <w:szCs w:val="20"/>
          </w:rPr>
          <w:t>w</w:t>
        </w:r>
        <w:r>
          <w:rPr>
            <w:rStyle w:val="Hyperlink"/>
            <w:rFonts w:ascii="Arial" w:hAnsi="Arial"/>
            <w:sz w:val="20"/>
            <w:szCs w:val="20"/>
          </w:rPr>
          <w:t>e</w:t>
        </w:r>
        <w:r>
          <w:rPr>
            <w:rStyle w:val="Hyperlink"/>
            <w:rFonts w:ascii="Arial" w:hAnsi="Arial"/>
            <w:sz w:val="20"/>
            <w:szCs w:val="20"/>
          </w:rPr>
          <w:t>b</w:t>
        </w:r>
        <w:r>
          <w:rPr>
            <w:rStyle w:val="Hyperlink"/>
            <w:rFonts w:ascii="Arial" w:hAnsi="Arial"/>
            <w:sz w:val="20"/>
            <w:szCs w:val="20"/>
          </w:rPr>
          <w:t>site</w:t>
        </w:r>
      </w:hyperlink>
      <w:r>
        <w:rPr>
          <w:rFonts w:ascii="Arial" w:hAnsi="Arial"/>
          <w:color w:val="000000" w:themeColor="text1"/>
          <w:sz w:val="20"/>
          <w:szCs w:val="20"/>
        </w:rPr>
        <w:t>.</w:t>
      </w:r>
    </w:p>
    <w:p w14:paraId="3BB26B10" w14:textId="440FB01A" w:rsidR="006E5C9C" w:rsidRDefault="006E5C9C" w:rsidP="003A00C9">
      <w:pPr>
        <w:spacing w:after="0"/>
        <w:rPr>
          <w:rFonts w:ascii="Arial" w:hAnsi="Arial" w:cs="Arial"/>
          <w:b/>
          <w:sz w:val="16"/>
          <w:szCs w:val="16"/>
        </w:rPr>
      </w:pPr>
    </w:p>
    <w:p w14:paraId="2A899389" w14:textId="61F34E16" w:rsidR="006E5C9C" w:rsidRDefault="006E5C9C" w:rsidP="003A00C9">
      <w:pPr>
        <w:spacing w:after="0"/>
        <w:rPr>
          <w:rFonts w:ascii="Arial" w:hAnsi="Arial" w:cs="Arial"/>
          <w:b/>
          <w:sz w:val="16"/>
          <w:szCs w:val="16"/>
        </w:rPr>
      </w:pPr>
    </w:p>
    <w:p w14:paraId="167A49AA" w14:textId="77777777" w:rsidR="00E65AFA" w:rsidRPr="0090748B" w:rsidRDefault="00E65AFA" w:rsidP="00E65AFA">
      <w:pPr>
        <w:spacing w:after="0" w:line="360" w:lineRule="auto"/>
        <w:rPr>
          <w:rFonts w:ascii="Arial" w:hAnsi="Arial" w:cs="Arial"/>
          <w:b/>
          <w:sz w:val="16"/>
          <w:szCs w:val="16"/>
        </w:rPr>
      </w:pPr>
      <w:r>
        <w:rPr>
          <w:rFonts w:ascii="Arial" w:hAnsi="Arial"/>
          <w:b/>
          <w:sz w:val="16"/>
          <w:szCs w:val="16"/>
        </w:rPr>
        <w:t>About Grossmann &amp; Berger</w:t>
      </w:r>
    </w:p>
    <w:p w14:paraId="6C68CB2F" w14:textId="1410D478" w:rsidR="00E65AFA" w:rsidRPr="00583E25" w:rsidRDefault="00300F96" w:rsidP="00E65AFA">
      <w:pPr>
        <w:spacing w:after="0" w:line="360" w:lineRule="auto"/>
        <w:rPr>
          <w:rFonts w:ascii="Arial" w:hAnsi="Arial" w:cs="Arial"/>
          <w:snapToGrid w:val="0"/>
          <w:sz w:val="16"/>
          <w:szCs w:val="16"/>
        </w:rPr>
      </w:pPr>
      <w:hyperlink r:id="rId10" w:history="1">
        <w:r w:rsidR="00E65AFA">
          <w:rPr>
            <w:rStyle w:val="Hyperlink"/>
            <w:rFonts w:ascii="Arial" w:hAnsi="Arial"/>
            <w:snapToGrid w:val="0"/>
            <w:sz w:val="16"/>
            <w:szCs w:val="16"/>
          </w:rPr>
          <w:t>Grossmann &amp; Berger GmbH</w:t>
        </w:r>
      </w:hyperlink>
      <w:r w:rsidR="00E65AFA">
        <w:rPr>
          <w:rFonts w:ascii="Arial" w:hAnsi="Arial"/>
          <w:snapToGrid w:val="0"/>
          <w:sz w:val="16"/>
          <w:szCs w:val="16"/>
        </w:rPr>
        <w:t xml:space="preserve"> is one of the leading service providers for selling and letting commercial and residential properties in North Germany. Headquartered in Hamburg, the Company has a branch office in Berlin, a total of fourteen property shops, and over 190 employees who cover the entire North German market. With over 85 years of experience in the business, Grossmann &amp; Berger offers a complete package of real estate expertise.</w:t>
      </w:r>
    </w:p>
    <w:p w14:paraId="0B47AE68" w14:textId="77777777" w:rsidR="00E65AFA" w:rsidRPr="00583E25" w:rsidRDefault="00E65AFA" w:rsidP="00E65AFA">
      <w:pPr>
        <w:spacing w:after="0" w:line="360" w:lineRule="auto"/>
        <w:rPr>
          <w:rFonts w:ascii="Arial" w:hAnsi="Arial" w:cs="Arial"/>
          <w:snapToGrid w:val="0"/>
          <w:sz w:val="16"/>
          <w:szCs w:val="16"/>
        </w:rPr>
      </w:pPr>
    </w:p>
    <w:p w14:paraId="57FA87A6" w14:textId="03DE7B42" w:rsidR="00E65AFA" w:rsidRPr="00583E25" w:rsidRDefault="00E65AFA" w:rsidP="00E65AFA">
      <w:pPr>
        <w:spacing w:after="0" w:line="360" w:lineRule="auto"/>
        <w:rPr>
          <w:rFonts w:ascii="Arial" w:hAnsi="Arial" w:cs="Arial"/>
          <w:snapToGrid w:val="0"/>
          <w:sz w:val="16"/>
          <w:szCs w:val="16"/>
        </w:rPr>
      </w:pPr>
      <w:r>
        <w:rPr>
          <w:rFonts w:ascii="Arial" w:hAnsi="Arial"/>
          <w:sz w:val="16"/>
          <w:szCs w:val="16"/>
        </w:rPr>
        <w:t xml:space="preserve">Grossmann &amp; Berger is a member of the HASPA Group of Companies, which also includes Germany's largest savings bank, Hamburger </w:t>
      </w:r>
      <w:proofErr w:type="spellStart"/>
      <w:r>
        <w:rPr>
          <w:rFonts w:ascii="Arial" w:hAnsi="Arial"/>
          <w:sz w:val="16"/>
          <w:szCs w:val="16"/>
        </w:rPr>
        <w:t>Sparkasse</w:t>
      </w:r>
      <w:proofErr w:type="spellEnd"/>
      <w:r>
        <w:rPr>
          <w:rFonts w:ascii="Arial" w:hAnsi="Arial"/>
          <w:sz w:val="16"/>
          <w:szCs w:val="16"/>
        </w:rPr>
        <w:t xml:space="preserve"> (</w:t>
      </w:r>
      <w:proofErr w:type="spellStart"/>
      <w:r>
        <w:rPr>
          <w:rFonts w:ascii="Arial" w:hAnsi="Arial"/>
          <w:sz w:val="16"/>
          <w:szCs w:val="16"/>
        </w:rPr>
        <w:t>Haspa</w:t>
      </w:r>
      <w:proofErr w:type="spellEnd"/>
      <w:r>
        <w:rPr>
          <w:rFonts w:ascii="Arial" w:hAnsi="Arial"/>
          <w:sz w:val="16"/>
          <w:szCs w:val="16"/>
        </w:rPr>
        <w:t xml:space="preserve">). Moreover, the Company is a founding member of the nation-wide commercial property network </w:t>
      </w:r>
      <w:hyperlink r:id="rId11" w:history="1">
        <w:r>
          <w:rPr>
            <w:rStyle w:val="Hyperlink"/>
            <w:rFonts w:ascii="Arial" w:hAnsi="Arial"/>
            <w:sz w:val="16"/>
            <w:szCs w:val="16"/>
          </w:rPr>
          <w:t>German Property Partners</w:t>
        </w:r>
      </w:hyperlink>
      <w:r>
        <w:rPr>
          <w:rFonts w:ascii="Arial" w:hAnsi="Arial"/>
          <w:sz w:val="16"/>
          <w:szCs w:val="16"/>
        </w:rPr>
        <w:t xml:space="preserve"> (GPP) and the working group of brokers associated with banks and building societies, </w:t>
      </w:r>
      <w:proofErr w:type="spellStart"/>
      <w:r>
        <w:rPr>
          <w:rFonts w:ascii="Arial" w:hAnsi="Arial"/>
          <w:sz w:val="16"/>
          <w:szCs w:val="16"/>
        </w:rPr>
        <w:t>Arbeitsgemeinschaft</w:t>
      </w:r>
      <w:proofErr w:type="spellEnd"/>
      <w:r>
        <w:rPr>
          <w:rFonts w:ascii="Arial" w:hAnsi="Arial"/>
          <w:sz w:val="16"/>
          <w:szCs w:val="16"/>
        </w:rPr>
        <w:t xml:space="preserve"> </w:t>
      </w:r>
      <w:proofErr w:type="spellStart"/>
      <w:r>
        <w:rPr>
          <w:rFonts w:ascii="Arial" w:hAnsi="Arial"/>
          <w:sz w:val="16"/>
          <w:szCs w:val="16"/>
        </w:rPr>
        <w:t>ImmobilienVermittler</w:t>
      </w:r>
      <w:proofErr w:type="spellEnd"/>
      <w:r>
        <w:rPr>
          <w:rFonts w:ascii="Arial" w:hAnsi="Arial"/>
          <w:sz w:val="16"/>
          <w:szCs w:val="16"/>
        </w:rPr>
        <w:t xml:space="preserve"> </w:t>
      </w:r>
      <w:proofErr w:type="spellStart"/>
      <w:r>
        <w:rPr>
          <w:rFonts w:ascii="Arial" w:hAnsi="Arial"/>
          <w:sz w:val="16"/>
          <w:szCs w:val="16"/>
        </w:rPr>
        <w:t>Banken</w:t>
      </w:r>
      <w:proofErr w:type="spellEnd"/>
      <w:r>
        <w:rPr>
          <w:rFonts w:ascii="Arial" w:hAnsi="Arial"/>
          <w:sz w:val="16"/>
          <w:szCs w:val="16"/>
        </w:rPr>
        <w:t xml:space="preserve"> </w:t>
      </w:r>
      <w:proofErr w:type="spellStart"/>
      <w:r>
        <w:rPr>
          <w:rFonts w:ascii="Arial" w:hAnsi="Arial"/>
          <w:sz w:val="16"/>
          <w:szCs w:val="16"/>
        </w:rPr>
        <w:t>Bausparkassen</w:t>
      </w:r>
      <w:proofErr w:type="spellEnd"/>
      <w:r>
        <w:rPr>
          <w:rFonts w:ascii="Arial" w:hAnsi="Arial"/>
          <w:sz w:val="16"/>
          <w:szCs w:val="16"/>
        </w:rPr>
        <w:t xml:space="preserve"> </w:t>
      </w:r>
      <w:proofErr w:type="spellStart"/>
      <w:r>
        <w:rPr>
          <w:rFonts w:ascii="Arial" w:hAnsi="Arial"/>
          <w:sz w:val="16"/>
          <w:szCs w:val="16"/>
        </w:rPr>
        <w:t>e.V</w:t>
      </w:r>
      <w:proofErr w:type="spellEnd"/>
      <w:r>
        <w:rPr>
          <w:rFonts w:ascii="Arial" w:hAnsi="Arial"/>
          <w:sz w:val="16"/>
          <w:szCs w:val="16"/>
        </w:rPr>
        <w:t>. (IVBB).</w:t>
      </w:r>
      <w:r>
        <w:rPr>
          <w:rFonts w:ascii="Arial" w:hAnsi="Arial"/>
          <w:snapToGrid w:val="0"/>
          <w:sz w:val="16"/>
          <w:szCs w:val="16"/>
        </w:rPr>
        <w:t xml:space="preserve"> </w:t>
      </w:r>
    </w:p>
    <w:p w14:paraId="4132CA2A" w14:textId="12CDF6D4" w:rsidR="00E65AFA" w:rsidRPr="00583E25" w:rsidRDefault="00E65AFA" w:rsidP="00E65AFA">
      <w:pPr>
        <w:spacing w:after="0" w:line="360" w:lineRule="auto"/>
        <w:rPr>
          <w:rFonts w:ascii="Arial" w:hAnsi="Arial" w:cs="Arial"/>
          <w:sz w:val="16"/>
          <w:szCs w:val="16"/>
        </w:rPr>
      </w:pPr>
    </w:p>
    <w:p w14:paraId="54828573" w14:textId="6339EDC4" w:rsidR="00E65AFA" w:rsidRPr="00503D8C" w:rsidRDefault="00E65AFA" w:rsidP="00E65AFA">
      <w:pPr>
        <w:spacing w:after="0" w:line="360" w:lineRule="auto"/>
        <w:rPr>
          <w:rFonts w:ascii="Arial" w:hAnsi="Arial" w:cs="Arial"/>
          <w:b/>
          <w:color w:val="000000" w:themeColor="text1"/>
          <w:spacing w:val="20"/>
          <w:sz w:val="20"/>
          <w:szCs w:val="20"/>
        </w:rPr>
      </w:pPr>
      <w:r>
        <w:rPr>
          <w:rFonts w:ascii="Arial" w:hAnsi="Arial"/>
          <w:sz w:val="16"/>
          <w:szCs w:val="16"/>
        </w:rPr>
        <w:t>Please consult our website for Grossmann &amp; Berger’s</w:t>
      </w:r>
      <w:hyperlink r:id="rId12" w:history="1">
        <w:r>
          <w:rPr>
            <w:rStyle w:val="Hyperlink"/>
            <w:rFonts w:ascii="Arial" w:hAnsi="Arial"/>
            <w:sz w:val="16"/>
            <w:szCs w:val="16"/>
          </w:rPr>
          <w:t xml:space="preserve"> data privacy policy.</w:t>
        </w:r>
      </w:hyperlink>
      <w:r>
        <w:rPr>
          <w:rFonts w:ascii="Arial" w:hAnsi="Arial"/>
          <w:sz w:val="16"/>
          <w:szCs w:val="16"/>
        </w:rPr>
        <w:t xml:space="preserve">  Here you will also be able to access our </w:t>
      </w:r>
      <w:hyperlink r:id="rId13" w:history="1">
        <w:r>
          <w:rPr>
            <w:rStyle w:val="Hyperlink"/>
            <w:rFonts w:ascii="Arial" w:hAnsi="Arial"/>
            <w:sz w:val="16"/>
            <w:szCs w:val="16"/>
          </w:rPr>
          <w:t xml:space="preserve"> press kit </w:t>
        </w:r>
      </w:hyperlink>
      <w:r>
        <w:rPr>
          <w:rFonts w:ascii="Arial" w:hAnsi="Arial"/>
          <w:sz w:val="16"/>
          <w:szCs w:val="16"/>
        </w:rPr>
        <w:t xml:space="preserve"> and the associated </w:t>
      </w:r>
      <w:hyperlink r:id="rId14" w:history="1">
        <w:r>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5"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p w14:paraId="627835FB" w14:textId="74483F56" w:rsidR="00503D8C" w:rsidRPr="00503D8C" w:rsidRDefault="00503D8C" w:rsidP="00503D8C">
      <w:pPr>
        <w:tabs>
          <w:tab w:val="left" w:pos="2184"/>
          <w:tab w:val="right" w:pos="7056"/>
        </w:tabs>
        <w:textAlignment w:val="baseline"/>
        <w:rPr>
          <w:rFonts w:ascii="Arial" w:hAnsi="Arial" w:cs="Arial"/>
          <w:b/>
          <w:color w:val="000000" w:themeColor="text1"/>
          <w:spacing w:val="20"/>
          <w:sz w:val="20"/>
          <w:szCs w:val="20"/>
        </w:rPr>
      </w:pPr>
    </w:p>
    <w:sectPr w:rsidR="00503D8C" w:rsidRPr="00503D8C" w:rsidSect="00D83CB7">
      <w:headerReference w:type="default" r:id="rId16"/>
      <w:footerReference w:type="default" r:id="rId17"/>
      <w:headerReference w:type="first" r:id="rId18"/>
      <w:footerReference w:type="first" r:id="rId19"/>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DEBE1" w14:textId="77777777" w:rsidR="00D40033" w:rsidRDefault="00D40033">
      <w:r>
        <w:separator/>
      </w:r>
    </w:p>
  </w:endnote>
  <w:endnote w:type="continuationSeparator" w:id="0">
    <w:p w14:paraId="393FF987" w14:textId="77777777" w:rsidR="00D40033" w:rsidRDefault="00D4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Pr>
        <w:rFonts w:ascii="Arial" w:hAnsi="Arial"/>
        <w:b/>
        <w:bCs/>
        <w:color w:val="918F90"/>
        <w:sz w:val="18"/>
        <w:szCs w:val="18"/>
      </w:rPr>
      <w:t xml:space="preserve">Grossmann &amp; Berger GmbH </w:t>
    </w:r>
    <w:r>
      <w:rPr>
        <w:rFonts w:ascii="Arial" w:hAnsi="Arial"/>
        <w:color w:val="918F90"/>
        <w:sz w:val="18"/>
        <w:szCs w:val="18"/>
      </w:rPr>
      <w:t xml:space="preserve">| </w:t>
    </w:r>
    <w:proofErr w:type="spellStart"/>
    <w:r>
      <w:rPr>
        <w:rFonts w:ascii="Arial" w:hAnsi="Arial"/>
        <w:color w:val="918F90"/>
        <w:sz w:val="18"/>
        <w:szCs w:val="18"/>
      </w:rPr>
      <w:t>Bleichenbrücke</w:t>
    </w:r>
    <w:proofErr w:type="spellEnd"/>
    <w:r>
      <w:rPr>
        <w:rFonts w:ascii="Arial" w:hAnsi="Arial"/>
        <w:color w:val="918F90"/>
        <w:sz w:val="18"/>
        <w:szCs w:val="18"/>
      </w:rPr>
      <w:t xml:space="preserve"> 9 | D-20354 Hamburg | Tel. +49 (0)40/350 80 2-0 | www.grossmann-berger.de</w:t>
    </w:r>
  </w:p>
  <w:p w14:paraId="5440A7EF" w14:textId="44793692"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300F96">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300F96">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val="de-DE"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C7A75" w14:textId="77777777" w:rsidR="00D40033" w:rsidRDefault="00D40033">
      <w:r>
        <w:separator/>
      </w:r>
    </w:p>
  </w:footnote>
  <w:footnote w:type="continuationSeparator" w:id="0">
    <w:p w14:paraId="40DE6009" w14:textId="77777777" w:rsidR="00D40033" w:rsidRDefault="00D40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7482C223" w:rsidR="006138CB" w:rsidRPr="009E3ADA" w:rsidRDefault="00096455" w:rsidP="006138CB">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7456" behindDoc="0" locked="0" layoutInCell="1" allowOverlap="1" wp14:anchorId="575EA596" wp14:editId="55073083">
              <wp:simplePos x="0" y="0"/>
              <wp:positionH relativeFrom="margin">
                <wp:posOffset>-78646</wp:posOffset>
              </wp:positionH>
              <wp:positionV relativeFrom="paragraph">
                <wp:posOffset>-5203</wp:posOffset>
              </wp:positionV>
              <wp:extent cx="4974609" cy="281940"/>
              <wp:effectExtent l="0" t="0" r="0" b="381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609" cy="281940"/>
                      </a:xfrm>
                      <a:prstGeom prst="rect">
                        <a:avLst/>
                      </a:prstGeom>
                      <a:noFill/>
                      <a:ln w="9525">
                        <a:noFill/>
                        <a:miter lim="800000"/>
                        <a:headEnd/>
                        <a:tailEnd/>
                      </a:ln>
                    </wps:spPr>
                    <wps:txbx>
                      <w:txbxContent>
                        <w:p w14:paraId="12A58F9A" w14:textId="4B619DFE" w:rsidR="00096455" w:rsidRDefault="00096455" w:rsidP="00096455">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5EA596" id="_x0000_t202" coordsize="21600,21600" o:spt="202" path="m,l,21600r21600,l21600,xe">
              <v:stroke joinstyle="miter"/>
              <v:path gradientshapeok="t" o:connecttype="rect"/>
            </v:shapetype>
            <v:shape id="Textfeld 2" o:spid="_x0000_s1026" type="#_x0000_t202" style="position:absolute;left:0;text-align:left;margin-left:-6.2pt;margin-top:-.4pt;width:391.7pt;height:22.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" filled="f" stroked="f">
              <v:textbox>
                <w:txbxContent>
                  <w:p w14:paraId="12A58F9A" w14:textId="4B619DFE" w:rsidR="00096455" w:rsidRDefault="00096455" w:rsidP="00096455">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Telephone: +49 (0)40/350 80 2-588 | c.fuehner@grossmann-berger.de.</w:t>
                    </w:r>
                  </w:p>
                </w:txbxContent>
              </v:textbox>
              <w10:wrap anchorx="margin"/>
            </v:shape>
          </w:pict>
        </mc:Fallback>
      </mc:AlternateContent>
    </w:r>
    <w:r>
      <w:rPr>
        <w:rFonts w:ascii="Arial" w:hAnsi="Arial"/>
        <w:color w:val="918F90"/>
        <w:sz w:val="28"/>
        <w:szCs w:val="28"/>
      </w:rPr>
      <w:t>Press release</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0DBA638D" w:rsidR="00D83CB7" w:rsidRDefault="00A92A2F" w:rsidP="000C770D">
    <w:pPr>
      <w:jc w:val="right"/>
      <w:rPr>
        <w:rFonts w:ascii="Arial" w:hAnsi="Arial" w:cs="Arial"/>
        <w:color w:val="918F90"/>
        <w:sz w:val="28"/>
        <w:szCs w:val="28"/>
      </w:rPr>
    </w:pPr>
    <w:r>
      <w:rPr>
        <w:rFonts w:ascii="Times New Roman" w:hAnsi="Times New Roman"/>
        <w:noProof/>
        <w:lang w:val="de-DE" w:eastAsia="de-DE"/>
      </w:rPr>
      <mc:AlternateContent>
        <mc:Choice Requires="wps">
          <w:drawing>
            <wp:anchor distT="0" distB="0" distL="114300" distR="114300" simplePos="0" relativeHeight="251665408" behindDoc="0" locked="0" layoutInCell="1" allowOverlap="1" wp14:anchorId="7756ED11" wp14:editId="1734AD19">
              <wp:simplePos x="0" y="0"/>
              <wp:positionH relativeFrom="margin">
                <wp:posOffset>-100966</wp:posOffset>
              </wp:positionH>
              <wp:positionV relativeFrom="paragraph">
                <wp:posOffset>11430</wp:posOffset>
              </wp:positionV>
              <wp:extent cx="4905375" cy="281940"/>
              <wp:effectExtent l="0" t="0" r="0" b="381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281940"/>
                      </a:xfrm>
                      <a:prstGeom prst="rect">
                        <a:avLst/>
                      </a:prstGeom>
                      <a:noFill/>
                      <a:ln w="9525">
                        <a:noFill/>
                        <a:miter lim="800000"/>
                        <a:headEnd/>
                        <a:tailEnd/>
                      </a:ln>
                    </wps:spPr>
                    <wps:txbx>
                      <w:txbxContent>
                        <w:p w14:paraId="5CD1A4B4" w14:textId="22021801" w:rsidR="00A92A2F" w:rsidRDefault="00A92A2F" w:rsidP="00A92A2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 +49 (0)40/350 80 2-588 | c.fuehner@grossmann-berger.de.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6ED11" id="_x0000_t202" coordsize="21600,21600" o:spt="202" path="m,l,21600r21600,l21600,xe">
              <v:stroke joinstyle="miter"/>
              <v:path gradientshapeok="t" o:connecttype="rect"/>
            </v:shapetype>
            <v:shape id="Textfeld 3" o:spid="_x0000_s1027" type="#_x0000_t202" style="position:absolute;left:0;text-align:left;margin-left:-7.95pt;margin-top:.9pt;width:386.25pt;height:2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" filled="f" stroked="f">
              <v:textbox>
                <w:txbxContent>
                  <w:p w14:paraId="5CD1A4B4" w14:textId="22021801" w:rsidR="00A92A2F" w:rsidRDefault="00A92A2F" w:rsidP="00A92A2F">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Corinna Fühner | Tel: +49 (0)40/350 80 2-588 | c.fuehner@grossmann-berger.de.</w:t>
                    </w:r>
                  </w:p>
                </w:txbxContent>
              </v:textbox>
              <w10:wrap anchorx="margin"/>
            </v:shape>
          </w:pict>
        </mc:Fallback>
      </mc:AlternateContent>
    </w:r>
    <w:r>
      <w:rPr>
        <w:rFonts w:ascii="Arial" w:hAnsi="Arial"/>
        <w:color w:val="918F90"/>
        <w:sz w:val="28"/>
        <w:szCs w:val="28"/>
      </w:rPr>
      <w:t>Press release</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F305C1"/>
    <w:multiLevelType w:val="hybridMultilevel"/>
    <w:tmpl w:val="4E9ABEE4"/>
    <w:lvl w:ilvl="0" w:tplc="04070001">
      <w:start w:val="1"/>
      <w:numFmt w:val="bullet"/>
      <w:lvlText w:val=""/>
      <w:lvlJc w:val="left"/>
      <w:pPr>
        <w:ind w:left="428" w:hanging="360"/>
      </w:pPr>
      <w:rPr>
        <w:rFonts w:ascii="Symbol" w:hAnsi="Symbol" w:hint="default"/>
      </w:rPr>
    </w:lvl>
    <w:lvl w:ilvl="1" w:tplc="04070003" w:tentative="1">
      <w:start w:val="1"/>
      <w:numFmt w:val="bullet"/>
      <w:lvlText w:val="o"/>
      <w:lvlJc w:val="left"/>
      <w:pPr>
        <w:ind w:left="1148" w:hanging="360"/>
      </w:pPr>
      <w:rPr>
        <w:rFonts w:ascii="Courier New" w:hAnsi="Courier New" w:cs="Courier New" w:hint="default"/>
      </w:rPr>
    </w:lvl>
    <w:lvl w:ilvl="2" w:tplc="04070005" w:tentative="1">
      <w:start w:val="1"/>
      <w:numFmt w:val="bullet"/>
      <w:lvlText w:val=""/>
      <w:lvlJc w:val="left"/>
      <w:pPr>
        <w:ind w:left="1868" w:hanging="360"/>
      </w:pPr>
      <w:rPr>
        <w:rFonts w:ascii="Wingdings" w:hAnsi="Wingdings" w:hint="default"/>
      </w:rPr>
    </w:lvl>
    <w:lvl w:ilvl="3" w:tplc="04070001" w:tentative="1">
      <w:start w:val="1"/>
      <w:numFmt w:val="bullet"/>
      <w:lvlText w:val=""/>
      <w:lvlJc w:val="left"/>
      <w:pPr>
        <w:ind w:left="2588" w:hanging="360"/>
      </w:pPr>
      <w:rPr>
        <w:rFonts w:ascii="Symbol" w:hAnsi="Symbol" w:hint="default"/>
      </w:rPr>
    </w:lvl>
    <w:lvl w:ilvl="4" w:tplc="04070003" w:tentative="1">
      <w:start w:val="1"/>
      <w:numFmt w:val="bullet"/>
      <w:lvlText w:val="o"/>
      <w:lvlJc w:val="left"/>
      <w:pPr>
        <w:ind w:left="3308" w:hanging="360"/>
      </w:pPr>
      <w:rPr>
        <w:rFonts w:ascii="Courier New" w:hAnsi="Courier New" w:cs="Courier New" w:hint="default"/>
      </w:rPr>
    </w:lvl>
    <w:lvl w:ilvl="5" w:tplc="04070005" w:tentative="1">
      <w:start w:val="1"/>
      <w:numFmt w:val="bullet"/>
      <w:lvlText w:val=""/>
      <w:lvlJc w:val="left"/>
      <w:pPr>
        <w:ind w:left="4028" w:hanging="360"/>
      </w:pPr>
      <w:rPr>
        <w:rFonts w:ascii="Wingdings" w:hAnsi="Wingdings" w:hint="default"/>
      </w:rPr>
    </w:lvl>
    <w:lvl w:ilvl="6" w:tplc="04070001" w:tentative="1">
      <w:start w:val="1"/>
      <w:numFmt w:val="bullet"/>
      <w:lvlText w:val=""/>
      <w:lvlJc w:val="left"/>
      <w:pPr>
        <w:ind w:left="4748" w:hanging="360"/>
      </w:pPr>
      <w:rPr>
        <w:rFonts w:ascii="Symbol" w:hAnsi="Symbol" w:hint="default"/>
      </w:rPr>
    </w:lvl>
    <w:lvl w:ilvl="7" w:tplc="04070003" w:tentative="1">
      <w:start w:val="1"/>
      <w:numFmt w:val="bullet"/>
      <w:lvlText w:val="o"/>
      <w:lvlJc w:val="left"/>
      <w:pPr>
        <w:ind w:left="5468" w:hanging="360"/>
      </w:pPr>
      <w:rPr>
        <w:rFonts w:ascii="Courier New" w:hAnsi="Courier New" w:cs="Courier New" w:hint="default"/>
      </w:rPr>
    </w:lvl>
    <w:lvl w:ilvl="8" w:tplc="04070005" w:tentative="1">
      <w:start w:val="1"/>
      <w:numFmt w:val="bullet"/>
      <w:lvlText w:val=""/>
      <w:lvlJc w:val="left"/>
      <w:pPr>
        <w:ind w:left="6188" w:hanging="360"/>
      </w:pPr>
      <w:rPr>
        <w:rFonts w:ascii="Wingdings" w:hAnsi="Wingdings" w:hint="default"/>
      </w:rPr>
    </w:lvl>
  </w:abstractNum>
  <w:abstractNum w:abstractNumId="12" w15:restartNumberingAfterBreak="0">
    <w:nsid w:val="50296C5D"/>
    <w:multiLevelType w:val="hybridMultilevel"/>
    <w:tmpl w:val="0FA2F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4"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5"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4"/>
  </w:num>
  <w:num w:numId="15">
    <w:abstractNumId w:val="15"/>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3938"/>
    <w:rsid w:val="000159FE"/>
    <w:rsid w:val="00015DB5"/>
    <w:rsid w:val="000174D5"/>
    <w:rsid w:val="00022F16"/>
    <w:rsid w:val="00023D78"/>
    <w:rsid w:val="0003075C"/>
    <w:rsid w:val="00032F86"/>
    <w:rsid w:val="00033721"/>
    <w:rsid w:val="000427B8"/>
    <w:rsid w:val="00052064"/>
    <w:rsid w:val="00057636"/>
    <w:rsid w:val="00060743"/>
    <w:rsid w:val="000622FD"/>
    <w:rsid w:val="00066796"/>
    <w:rsid w:val="0007655D"/>
    <w:rsid w:val="000766D7"/>
    <w:rsid w:val="0007670A"/>
    <w:rsid w:val="00082409"/>
    <w:rsid w:val="00093A87"/>
    <w:rsid w:val="00096455"/>
    <w:rsid w:val="000A5ED1"/>
    <w:rsid w:val="000B1606"/>
    <w:rsid w:val="000B3315"/>
    <w:rsid w:val="000B73F0"/>
    <w:rsid w:val="000C7428"/>
    <w:rsid w:val="000C770D"/>
    <w:rsid w:val="000D000B"/>
    <w:rsid w:val="000D002D"/>
    <w:rsid w:val="000E03F3"/>
    <w:rsid w:val="000E7BC7"/>
    <w:rsid w:val="000F4A4C"/>
    <w:rsid w:val="00100318"/>
    <w:rsid w:val="001029C4"/>
    <w:rsid w:val="00102BA7"/>
    <w:rsid w:val="0010423F"/>
    <w:rsid w:val="0011486D"/>
    <w:rsid w:val="00121E33"/>
    <w:rsid w:val="00122EC5"/>
    <w:rsid w:val="00126550"/>
    <w:rsid w:val="001324D6"/>
    <w:rsid w:val="00132A56"/>
    <w:rsid w:val="00135BD2"/>
    <w:rsid w:val="00135E09"/>
    <w:rsid w:val="001532D3"/>
    <w:rsid w:val="00154825"/>
    <w:rsid w:val="00156810"/>
    <w:rsid w:val="0017364E"/>
    <w:rsid w:val="0017516B"/>
    <w:rsid w:val="00176F1D"/>
    <w:rsid w:val="0018068D"/>
    <w:rsid w:val="00184637"/>
    <w:rsid w:val="001871BC"/>
    <w:rsid w:val="00196F91"/>
    <w:rsid w:val="001A108C"/>
    <w:rsid w:val="001A2ABE"/>
    <w:rsid w:val="001A360C"/>
    <w:rsid w:val="001B219C"/>
    <w:rsid w:val="001B72F5"/>
    <w:rsid w:val="001B7612"/>
    <w:rsid w:val="001C181A"/>
    <w:rsid w:val="001C35FC"/>
    <w:rsid w:val="001C4C33"/>
    <w:rsid w:val="001D085A"/>
    <w:rsid w:val="001D14DA"/>
    <w:rsid w:val="001D43BB"/>
    <w:rsid w:val="001E1172"/>
    <w:rsid w:val="001E6995"/>
    <w:rsid w:val="001F1513"/>
    <w:rsid w:val="001F1829"/>
    <w:rsid w:val="001F3124"/>
    <w:rsid w:val="0020161B"/>
    <w:rsid w:val="00205769"/>
    <w:rsid w:val="00212FEC"/>
    <w:rsid w:val="002131BB"/>
    <w:rsid w:val="0022086D"/>
    <w:rsid w:val="00223C70"/>
    <w:rsid w:val="00227E31"/>
    <w:rsid w:val="00230F81"/>
    <w:rsid w:val="002316C0"/>
    <w:rsid w:val="002341EE"/>
    <w:rsid w:val="00237341"/>
    <w:rsid w:val="00237B88"/>
    <w:rsid w:val="00254C6F"/>
    <w:rsid w:val="00255679"/>
    <w:rsid w:val="002601F6"/>
    <w:rsid w:val="0027266B"/>
    <w:rsid w:val="002815C1"/>
    <w:rsid w:val="00281E80"/>
    <w:rsid w:val="002834B0"/>
    <w:rsid w:val="00283671"/>
    <w:rsid w:val="00284A5D"/>
    <w:rsid w:val="00284E27"/>
    <w:rsid w:val="0028637F"/>
    <w:rsid w:val="00287698"/>
    <w:rsid w:val="00294B7D"/>
    <w:rsid w:val="002A14CE"/>
    <w:rsid w:val="002A1973"/>
    <w:rsid w:val="002B14F6"/>
    <w:rsid w:val="002C055A"/>
    <w:rsid w:val="002C2392"/>
    <w:rsid w:val="002D1C5C"/>
    <w:rsid w:val="002D1E20"/>
    <w:rsid w:val="002E6860"/>
    <w:rsid w:val="002E7F4A"/>
    <w:rsid w:val="002F0411"/>
    <w:rsid w:val="002F3715"/>
    <w:rsid w:val="002F767E"/>
    <w:rsid w:val="00300A8E"/>
    <w:rsid w:val="00300F96"/>
    <w:rsid w:val="00301F3A"/>
    <w:rsid w:val="003136B4"/>
    <w:rsid w:val="003246F0"/>
    <w:rsid w:val="00324FBC"/>
    <w:rsid w:val="00325E2A"/>
    <w:rsid w:val="003272F3"/>
    <w:rsid w:val="00345716"/>
    <w:rsid w:val="003467ED"/>
    <w:rsid w:val="0034786C"/>
    <w:rsid w:val="00350390"/>
    <w:rsid w:val="003517C9"/>
    <w:rsid w:val="00357EC4"/>
    <w:rsid w:val="00361519"/>
    <w:rsid w:val="003627E1"/>
    <w:rsid w:val="00365AF8"/>
    <w:rsid w:val="00370000"/>
    <w:rsid w:val="00373507"/>
    <w:rsid w:val="003766D8"/>
    <w:rsid w:val="0038230E"/>
    <w:rsid w:val="00382529"/>
    <w:rsid w:val="003931EB"/>
    <w:rsid w:val="003A00C9"/>
    <w:rsid w:val="003A25A4"/>
    <w:rsid w:val="003A3C7D"/>
    <w:rsid w:val="003B0179"/>
    <w:rsid w:val="003B49E4"/>
    <w:rsid w:val="003B4CCF"/>
    <w:rsid w:val="003B6CD4"/>
    <w:rsid w:val="003B6FE1"/>
    <w:rsid w:val="003C6AB4"/>
    <w:rsid w:val="003D35C8"/>
    <w:rsid w:val="003E099F"/>
    <w:rsid w:val="003E4DF9"/>
    <w:rsid w:val="003F665D"/>
    <w:rsid w:val="0040086D"/>
    <w:rsid w:val="004017D8"/>
    <w:rsid w:val="00406F97"/>
    <w:rsid w:val="00411E03"/>
    <w:rsid w:val="004123B1"/>
    <w:rsid w:val="0041456E"/>
    <w:rsid w:val="00420B6A"/>
    <w:rsid w:val="00422F49"/>
    <w:rsid w:val="004303A1"/>
    <w:rsid w:val="0043632F"/>
    <w:rsid w:val="00440DC9"/>
    <w:rsid w:val="004440A6"/>
    <w:rsid w:val="004450C4"/>
    <w:rsid w:val="004506D2"/>
    <w:rsid w:val="00450887"/>
    <w:rsid w:val="0045101E"/>
    <w:rsid w:val="00456F40"/>
    <w:rsid w:val="004609BD"/>
    <w:rsid w:val="004661EE"/>
    <w:rsid w:val="00466741"/>
    <w:rsid w:val="00470064"/>
    <w:rsid w:val="00481377"/>
    <w:rsid w:val="00491FD6"/>
    <w:rsid w:val="004A2BEA"/>
    <w:rsid w:val="004A3C64"/>
    <w:rsid w:val="004A5AEA"/>
    <w:rsid w:val="004B2FDA"/>
    <w:rsid w:val="004B480A"/>
    <w:rsid w:val="004C0CA2"/>
    <w:rsid w:val="004C4111"/>
    <w:rsid w:val="004C63A9"/>
    <w:rsid w:val="004D50C0"/>
    <w:rsid w:val="004D772A"/>
    <w:rsid w:val="004E07BE"/>
    <w:rsid w:val="004E339B"/>
    <w:rsid w:val="004E4273"/>
    <w:rsid w:val="004E4562"/>
    <w:rsid w:val="004E5425"/>
    <w:rsid w:val="004E5647"/>
    <w:rsid w:val="004E5BEB"/>
    <w:rsid w:val="004E6D73"/>
    <w:rsid w:val="004F077F"/>
    <w:rsid w:val="005023DD"/>
    <w:rsid w:val="00503D8C"/>
    <w:rsid w:val="00520CDE"/>
    <w:rsid w:val="00522B84"/>
    <w:rsid w:val="00523206"/>
    <w:rsid w:val="00531850"/>
    <w:rsid w:val="00531A7F"/>
    <w:rsid w:val="00534BAD"/>
    <w:rsid w:val="005360E8"/>
    <w:rsid w:val="005428C5"/>
    <w:rsid w:val="00543C55"/>
    <w:rsid w:val="00546437"/>
    <w:rsid w:val="005470B1"/>
    <w:rsid w:val="0055030C"/>
    <w:rsid w:val="0055393B"/>
    <w:rsid w:val="005554C7"/>
    <w:rsid w:val="00556F58"/>
    <w:rsid w:val="00567D57"/>
    <w:rsid w:val="00582B99"/>
    <w:rsid w:val="00587525"/>
    <w:rsid w:val="00590903"/>
    <w:rsid w:val="00591461"/>
    <w:rsid w:val="005916C2"/>
    <w:rsid w:val="00595AB2"/>
    <w:rsid w:val="005A617A"/>
    <w:rsid w:val="005A6B93"/>
    <w:rsid w:val="005B0FC9"/>
    <w:rsid w:val="005B3674"/>
    <w:rsid w:val="005B66D3"/>
    <w:rsid w:val="005C0AE1"/>
    <w:rsid w:val="005C4556"/>
    <w:rsid w:val="005C5302"/>
    <w:rsid w:val="005D244B"/>
    <w:rsid w:val="005D307B"/>
    <w:rsid w:val="005D581F"/>
    <w:rsid w:val="005E362E"/>
    <w:rsid w:val="005E733E"/>
    <w:rsid w:val="005F7593"/>
    <w:rsid w:val="006029D7"/>
    <w:rsid w:val="00606A8B"/>
    <w:rsid w:val="0061109D"/>
    <w:rsid w:val="00612AA0"/>
    <w:rsid w:val="006131CF"/>
    <w:rsid w:val="006138CB"/>
    <w:rsid w:val="006222FC"/>
    <w:rsid w:val="006224C4"/>
    <w:rsid w:val="006225EA"/>
    <w:rsid w:val="006261DF"/>
    <w:rsid w:val="00626FB7"/>
    <w:rsid w:val="00632C9D"/>
    <w:rsid w:val="00641270"/>
    <w:rsid w:val="00642074"/>
    <w:rsid w:val="006424F8"/>
    <w:rsid w:val="00644ED6"/>
    <w:rsid w:val="0065652E"/>
    <w:rsid w:val="006569BB"/>
    <w:rsid w:val="0066304D"/>
    <w:rsid w:val="00681CAB"/>
    <w:rsid w:val="006842EF"/>
    <w:rsid w:val="00692FD0"/>
    <w:rsid w:val="00695E58"/>
    <w:rsid w:val="0069757D"/>
    <w:rsid w:val="006A1329"/>
    <w:rsid w:val="006A66F9"/>
    <w:rsid w:val="006B20DA"/>
    <w:rsid w:val="006C17AA"/>
    <w:rsid w:val="006C790E"/>
    <w:rsid w:val="006D024C"/>
    <w:rsid w:val="006D2A5C"/>
    <w:rsid w:val="006E5C9C"/>
    <w:rsid w:val="006F1265"/>
    <w:rsid w:val="006F1774"/>
    <w:rsid w:val="00703C64"/>
    <w:rsid w:val="007110EE"/>
    <w:rsid w:val="00713D81"/>
    <w:rsid w:val="00717A20"/>
    <w:rsid w:val="00720DFF"/>
    <w:rsid w:val="00730E23"/>
    <w:rsid w:val="00731698"/>
    <w:rsid w:val="00746A51"/>
    <w:rsid w:val="00762CC5"/>
    <w:rsid w:val="00770F73"/>
    <w:rsid w:val="007770CD"/>
    <w:rsid w:val="00782EBA"/>
    <w:rsid w:val="00786F07"/>
    <w:rsid w:val="007906B4"/>
    <w:rsid w:val="007970A0"/>
    <w:rsid w:val="007A3353"/>
    <w:rsid w:val="007B215B"/>
    <w:rsid w:val="007B4617"/>
    <w:rsid w:val="007B78E0"/>
    <w:rsid w:val="007C03BE"/>
    <w:rsid w:val="007E759D"/>
    <w:rsid w:val="007F2DBE"/>
    <w:rsid w:val="007F33B6"/>
    <w:rsid w:val="007F468E"/>
    <w:rsid w:val="007F642D"/>
    <w:rsid w:val="007F756A"/>
    <w:rsid w:val="00800409"/>
    <w:rsid w:val="00810D6D"/>
    <w:rsid w:val="00812471"/>
    <w:rsid w:val="008154E9"/>
    <w:rsid w:val="00816900"/>
    <w:rsid w:val="00816F8E"/>
    <w:rsid w:val="00825E2A"/>
    <w:rsid w:val="008261A5"/>
    <w:rsid w:val="0083382E"/>
    <w:rsid w:val="00834913"/>
    <w:rsid w:val="00855325"/>
    <w:rsid w:val="00856EB5"/>
    <w:rsid w:val="0086016E"/>
    <w:rsid w:val="00862E34"/>
    <w:rsid w:val="00865915"/>
    <w:rsid w:val="00871832"/>
    <w:rsid w:val="00875E6D"/>
    <w:rsid w:val="00875E9B"/>
    <w:rsid w:val="00886CCE"/>
    <w:rsid w:val="008942C6"/>
    <w:rsid w:val="00895710"/>
    <w:rsid w:val="00896B33"/>
    <w:rsid w:val="00896B5D"/>
    <w:rsid w:val="008A62FB"/>
    <w:rsid w:val="008A77B7"/>
    <w:rsid w:val="008B0F67"/>
    <w:rsid w:val="008B54DD"/>
    <w:rsid w:val="008C11B2"/>
    <w:rsid w:val="008C5A51"/>
    <w:rsid w:val="008C608D"/>
    <w:rsid w:val="008D4869"/>
    <w:rsid w:val="008E461D"/>
    <w:rsid w:val="008E5F6E"/>
    <w:rsid w:val="008E7AA2"/>
    <w:rsid w:val="008E7E2C"/>
    <w:rsid w:val="008F08E5"/>
    <w:rsid w:val="008F0EA4"/>
    <w:rsid w:val="008F38F6"/>
    <w:rsid w:val="008F4684"/>
    <w:rsid w:val="008F5213"/>
    <w:rsid w:val="009000CF"/>
    <w:rsid w:val="00903676"/>
    <w:rsid w:val="009037FE"/>
    <w:rsid w:val="00906E0F"/>
    <w:rsid w:val="0090748B"/>
    <w:rsid w:val="009136FB"/>
    <w:rsid w:val="00920C9C"/>
    <w:rsid w:val="00922754"/>
    <w:rsid w:val="00925781"/>
    <w:rsid w:val="009258D0"/>
    <w:rsid w:val="009330E4"/>
    <w:rsid w:val="00935AB3"/>
    <w:rsid w:val="00942B1F"/>
    <w:rsid w:val="009567E0"/>
    <w:rsid w:val="009646C4"/>
    <w:rsid w:val="009734CE"/>
    <w:rsid w:val="009752FE"/>
    <w:rsid w:val="0097559A"/>
    <w:rsid w:val="0098460C"/>
    <w:rsid w:val="00992DF3"/>
    <w:rsid w:val="0099413E"/>
    <w:rsid w:val="00996E1A"/>
    <w:rsid w:val="00997778"/>
    <w:rsid w:val="009A18DE"/>
    <w:rsid w:val="009A4A25"/>
    <w:rsid w:val="009B4392"/>
    <w:rsid w:val="009B7D09"/>
    <w:rsid w:val="009D24DA"/>
    <w:rsid w:val="009D5D75"/>
    <w:rsid w:val="009E0C0B"/>
    <w:rsid w:val="009E7A51"/>
    <w:rsid w:val="009F32A2"/>
    <w:rsid w:val="009F54CE"/>
    <w:rsid w:val="00A06264"/>
    <w:rsid w:val="00A116BB"/>
    <w:rsid w:val="00A1639A"/>
    <w:rsid w:val="00A215C9"/>
    <w:rsid w:val="00A24152"/>
    <w:rsid w:val="00A243C7"/>
    <w:rsid w:val="00A51563"/>
    <w:rsid w:val="00A5364B"/>
    <w:rsid w:val="00A56D22"/>
    <w:rsid w:val="00A615E0"/>
    <w:rsid w:val="00A65E2B"/>
    <w:rsid w:val="00A71F24"/>
    <w:rsid w:val="00A74AA0"/>
    <w:rsid w:val="00A7546D"/>
    <w:rsid w:val="00A77100"/>
    <w:rsid w:val="00A826E0"/>
    <w:rsid w:val="00A92A2F"/>
    <w:rsid w:val="00AA08C9"/>
    <w:rsid w:val="00AA20ED"/>
    <w:rsid w:val="00AA4D97"/>
    <w:rsid w:val="00AB3E17"/>
    <w:rsid w:val="00AD17B7"/>
    <w:rsid w:val="00AD63A8"/>
    <w:rsid w:val="00AF08D2"/>
    <w:rsid w:val="00AF25CA"/>
    <w:rsid w:val="00AF2FF1"/>
    <w:rsid w:val="00AF35F8"/>
    <w:rsid w:val="00B00CAB"/>
    <w:rsid w:val="00B04687"/>
    <w:rsid w:val="00B0679A"/>
    <w:rsid w:val="00B069C5"/>
    <w:rsid w:val="00B06D1B"/>
    <w:rsid w:val="00B077D5"/>
    <w:rsid w:val="00B16A78"/>
    <w:rsid w:val="00B200E4"/>
    <w:rsid w:val="00B26FFD"/>
    <w:rsid w:val="00B35366"/>
    <w:rsid w:val="00B35B6D"/>
    <w:rsid w:val="00B35DC6"/>
    <w:rsid w:val="00B36C47"/>
    <w:rsid w:val="00B4487B"/>
    <w:rsid w:val="00B470B1"/>
    <w:rsid w:val="00B51699"/>
    <w:rsid w:val="00B53FAF"/>
    <w:rsid w:val="00B63153"/>
    <w:rsid w:val="00B6527D"/>
    <w:rsid w:val="00B73B3A"/>
    <w:rsid w:val="00B74507"/>
    <w:rsid w:val="00B75718"/>
    <w:rsid w:val="00B75E7E"/>
    <w:rsid w:val="00B93817"/>
    <w:rsid w:val="00B9391B"/>
    <w:rsid w:val="00B9682D"/>
    <w:rsid w:val="00BA0B96"/>
    <w:rsid w:val="00BA1CCA"/>
    <w:rsid w:val="00BB15DA"/>
    <w:rsid w:val="00BB340D"/>
    <w:rsid w:val="00BB6A98"/>
    <w:rsid w:val="00BC0349"/>
    <w:rsid w:val="00BC2A3A"/>
    <w:rsid w:val="00BC64EC"/>
    <w:rsid w:val="00BD04EE"/>
    <w:rsid w:val="00BD073D"/>
    <w:rsid w:val="00BE4198"/>
    <w:rsid w:val="00BF1C6F"/>
    <w:rsid w:val="00BF3AFD"/>
    <w:rsid w:val="00BF3BA6"/>
    <w:rsid w:val="00BF539F"/>
    <w:rsid w:val="00C05974"/>
    <w:rsid w:val="00C13DB2"/>
    <w:rsid w:val="00C1606C"/>
    <w:rsid w:val="00C21FA5"/>
    <w:rsid w:val="00C23180"/>
    <w:rsid w:val="00C23A88"/>
    <w:rsid w:val="00C26F94"/>
    <w:rsid w:val="00C3629F"/>
    <w:rsid w:val="00C41492"/>
    <w:rsid w:val="00C502EC"/>
    <w:rsid w:val="00C50874"/>
    <w:rsid w:val="00C702B5"/>
    <w:rsid w:val="00C70389"/>
    <w:rsid w:val="00C71BAA"/>
    <w:rsid w:val="00C8045D"/>
    <w:rsid w:val="00C904B6"/>
    <w:rsid w:val="00C90A75"/>
    <w:rsid w:val="00C96DF4"/>
    <w:rsid w:val="00CA3FA0"/>
    <w:rsid w:val="00CA6A66"/>
    <w:rsid w:val="00CB5310"/>
    <w:rsid w:val="00CC1337"/>
    <w:rsid w:val="00CC2514"/>
    <w:rsid w:val="00CC48DF"/>
    <w:rsid w:val="00CD4A91"/>
    <w:rsid w:val="00CD70E7"/>
    <w:rsid w:val="00CD7363"/>
    <w:rsid w:val="00CE0964"/>
    <w:rsid w:val="00CE0C1F"/>
    <w:rsid w:val="00CE455F"/>
    <w:rsid w:val="00CE74B4"/>
    <w:rsid w:val="00CF0BF9"/>
    <w:rsid w:val="00CF4C80"/>
    <w:rsid w:val="00CF5957"/>
    <w:rsid w:val="00CF7234"/>
    <w:rsid w:val="00D04BA2"/>
    <w:rsid w:val="00D073F3"/>
    <w:rsid w:val="00D077B0"/>
    <w:rsid w:val="00D128C4"/>
    <w:rsid w:val="00D13AAA"/>
    <w:rsid w:val="00D21811"/>
    <w:rsid w:val="00D22D42"/>
    <w:rsid w:val="00D36D8D"/>
    <w:rsid w:val="00D40033"/>
    <w:rsid w:val="00D45711"/>
    <w:rsid w:val="00D500FC"/>
    <w:rsid w:val="00D51597"/>
    <w:rsid w:val="00D5326E"/>
    <w:rsid w:val="00D550B6"/>
    <w:rsid w:val="00D55867"/>
    <w:rsid w:val="00D634A3"/>
    <w:rsid w:val="00D72339"/>
    <w:rsid w:val="00D73752"/>
    <w:rsid w:val="00D73E47"/>
    <w:rsid w:val="00D74ABB"/>
    <w:rsid w:val="00D83CB7"/>
    <w:rsid w:val="00D841C3"/>
    <w:rsid w:val="00D90EF0"/>
    <w:rsid w:val="00D97FA8"/>
    <w:rsid w:val="00DB4363"/>
    <w:rsid w:val="00DC7B25"/>
    <w:rsid w:val="00DD6B73"/>
    <w:rsid w:val="00DE23F8"/>
    <w:rsid w:val="00DE7CC2"/>
    <w:rsid w:val="00E00D2E"/>
    <w:rsid w:val="00E04DC5"/>
    <w:rsid w:val="00E05CF6"/>
    <w:rsid w:val="00E112C9"/>
    <w:rsid w:val="00E1314C"/>
    <w:rsid w:val="00E1537F"/>
    <w:rsid w:val="00E158F7"/>
    <w:rsid w:val="00E2087E"/>
    <w:rsid w:val="00E2636D"/>
    <w:rsid w:val="00E34976"/>
    <w:rsid w:val="00E36818"/>
    <w:rsid w:val="00E47B97"/>
    <w:rsid w:val="00E5203C"/>
    <w:rsid w:val="00E634CC"/>
    <w:rsid w:val="00E65AFA"/>
    <w:rsid w:val="00E72A54"/>
    <w:rsid w:val="00E7735D"/>
    <w:rsid w:val="00E82F0E"/>
    <w:rsid w:val="00E95F89"/>
    <w:rsid w:val="00E96FAC"/>
    <w:rsid w:val="00EA129F"/>
    <w:rsid w:val="00EB0AF6"/>
    <w:rsid w:val="00EB7A31"/>
    <w:rsid w:val="00ED0582"/>
    <w:rsid w:val="00ED1262"/>
    <w:rsid w:val="00ED7374"/>
    <w:rsid w:val="00EE31F6"/>
    <w:rsid w:val="00EE36DC"/>
    <w:rsid w:val="00F01733"/>
    <w:rsid w:val="00F044EE"/>
    <w:rsid w:val="00F2313A"/>
    <w:rsid w:val="00F255D3"/>
    <w:rsid w:val="00F3320B"/>
    <w:rsid w:val="00F40E92"/>
    <w:rsid w:val="00F41947"/>
    <w:rsid w:val="00F435AA"/>
    <w:rsid w:val="00F558B4"/>
    <w:rsid w:val="00F769F9"/>
    <w:rsid w:val="00F76C6A"/>
    <w:rsid w:val="00F83BF1"/>
    <w:rsid w:val="00F90CB9"/>
    <w:rsid w:val="00F9555F"/>
    <w:rsid w:val="00F97373"/>
    <w:rsid w:val="00FA0254"/>
    <w:rsid w:val="00FA6854"/>
    <w:rsid w:val="00FB064F"/>
    <w:rsid w:val="00FB0F6B"/>
    <w:rsid w:val="00FB144F"/>
    <w:rsid w:val="00FB159A"/>
    <w:rsid w:val="00FB4D77"/>
    <w:rsid w:val="00FC497D"/>
    <w:rsid w:val="00FC6F03"/>
    <w:rsid w:val="00FD076B"/>
    <w:rsid w:val="00FF060B"/>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CF9775E"/>
  <w15:docId w15:val="{5F243AE5-13D7-4CD0-A2B4-8313D8C3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table" w:customStyle="1" w:styleId="TableGrid1">
    <w:name w:val="Table Grid1"/>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59"/>
    <w:rsid w:val="001E1172"/>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rossmann-berger.de/news/pressemapp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rossmann-berger.de/datenschut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rmanpropertypartners.de/de/" TargetMode="External"/><Relationship Id="rId5" Type="http://schemas.openxmlformats.org/officeDocument/2006/relationships/webSettings" Target="webSettings.xml"/><Relationship Id="rId15" Type="http://schemas.openxmlformats.org/officeDocument/2006/relationships/hyperlink" Target="mailto:presse@grossmann-berger.de" TargetMode="External"/><Relationship Id="rId10" Type="http://schemas.openxmlformats.org/officeDocument/2006/relationships/hyperlink" Target="https://www.grossmann-berger.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rossmann-berger.com/marktbericht/gewerbe/berlin-investment/" TargetMode="External"/><Relationship Id="rId14" Type="http://schemas.openxmlformats.org/officeDocument/2006/relationships/hyperlink" Target="file:///\\file01\Marketing\Presse\5_PresseMITTEILUNGEN\Marktbericht%20B&#252;ro\2020\2020%20Q2\20180517_Dokumentation%20der%20Verarbeitungstaetigkeit%20nach%20DSGVO_Presse.doc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B5E3F-4FAF-4CD1-BA79-955083DED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4709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Corinna Fühner</cp:lastModifiedBy>
  <cp:revision>3</cp:revision>
  <cp:lastPrinted>2020-10-05T13:56:00Z</cp:lastPrinted>
  <dcterms:created xsi:type="dcterms:W3CDTF">2020-10-06T08:33:00Z</dcterms:created>
  <dcterms:modified xsi:type="dcterms:W3CDTF">2020-10-06T08:39:00Z</dcterms:modified>
</cp:coreProperties>
</file>