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76636" w14:textId="77777777" w:rsidR="005C7442" w:rsidRDefault="0020161B" w:rsidP="0020161B">
      <w:pPr>
        <w:spacing w:after="0" w:line="360" w:lineRule="auto"/>
        <w:rPr>
          <w:rFonts w:ascii="Arial" w:hAnsi="Arial"/>
          <w:b/>
          <w:sz w:val="28"/>
          <w:szCs w:val="28"/>
        </w:rPr>
      </w:pPr>
      <w:r>
        <w:rPr>
          <w:rFonts w:ascii="Arial" w:hAnsi="Arial"/>
          <w:b/>
        </w:rPr>
        <w:t>Berlin: Investment market 1st and 2nd quarters of 2020</w:t>
      </w:r>
      <w:r>
        <w:rPr>
          <w:rFonts w:ascii="Arial" w:hAnsi="Arial"/>
          <w:b/>
          <w:sz w:val="28"/>
          <w:szCs w:val="28"/>
        </w:rPr>
        <w:br/>
      </w:r>
      <w:proofErr w:type="gramStart"/>
      <w:r>
        <w:rPr>
          <w:rFonts w:ascii="Arial" w:hAnsi="Arial"/>
          <w:b/>
          <w:sz w:val="28"/>
          <w:szCs w:val="28"/>
        </w:rPr>
        <w:t>Trading</w:t>
      </w:r>
      <w:proofErr w:type="gramEnd"/>
      <w:r>
        <w:rPr>
          <w:rFonts w:ascii="Arial" w:hAnsi="Arial"/>
          <w:b/>
          <w:sz w:val="28"/>
          <w:szCs w:val="28"/>
        </w:rPr>
        <w:t xml:space="preserve"> volume down due to unease and fewer big-ticket transactions</w:t>
      </w:r>
    </w:p>
    <w:p w14:paraId="41FE8D9B" w14:textId="63378572" w:rsidR="0020161B" w:rsidRPr="003705BD" w:rsidRDefault="0020161B" w:rsidP="0020161B">
      <w:pPr>
        <w:spacing w:after="0" w:line="360" w:lineRule="auto"/>
        <w:rPr>
          <w:rFonts w:ascii="Arial" w:hAnsi="Arial" w:cs="Arial"/>
          <w:b/>
          <w:sz w:val="28"/>
          <w:szCs w:val="28"/>
        </w:rPr>
      </w:pPr>
      <w:r>
        <w:rPr>
          <w:rFonts w:ascii="Arial" w:hAnsi="Arial"/>
          <w:b/>
          <w:sz w:val="28"/>
          <w:szCs w:val="28"/>
        </w:rPr>
        <w:br/>
      </w:r>
      <w:r>
        <w:rPr>
          <w:rFonts w:ascii="Arial" w:hAnsi="Arial"/>
          <w:b/>
          <w:sz w:val="20"/>
          <w:szCs w:val="20"/>
        </w:rPr>
        <w:t xml:space="preserve">Berlin, 8 July 2020 </w:t>
      </w:r>
      <w:r>
        <w:rPr>
          <w:rFonts w:ascii="Arial" w:hAnsi="Arial"/>
          <w:sz w:val="20"/>
          <w:szCs w:val="20"/>
        </w:rPr>
        <w:t xml:space="preserve">– Following a strong start to the year when </w:t>
      </w:r>
      <w:proofErr w:type="spellStart"/>
      <w:r>
        <w:rPr>
          <w:rFonts w:ascii="Arial" w:hAnsi="Arial"/>
          <w:sz w:val="20"/>
          <w:szCs w:val="20"/>
        </w:rPr>
        <w:t>Aroundtown</w:t>
      </w:r>
      <w:proofErr w:type="spellEnd"/>
      <w:r>
        <w:rPr>
          <w:rFonts w:ascii="Arial" w:hAnsi="Arial"/>
          <w:sz w:val="20"/>
          <w:szCs w:val="20"/>
        </w:rPr>
        <w:t xml:space="preserve"> bought a major shareholding in TLG, the market for commercial investment properties in Berlin slowed appreciably in the 1st half of 2020. Between January and June 2020 the transacti</w:t>
      </w:r>
      <w:bookmarkStart w:id="0" w:name="_GoBack"/>
      <w:bookmarkEnd w:id="0"/>
      <w:r>
        <w:rPr>
          <w:rFonts w:ascii="Arial" w:hAnsi="Arial"/>
          <w:sz w:val="20"/>
          <w:szCs w:val="20"/>
        </w:rPr>
        <w:t xml:space="preserve">on volume totalled €3.46bn or 28 % less than the same period a year before. </w:t>
      </w:r>
      <w:r>
        <w:rPr>
          <w:rFonts w:ascii="Arial" w:hAnsi="Arial"/>
          <w:i/>
          <w:sz w:val="20"/>
          <w:szCs w:val="20"/>
        </w:rPr>
        <w:t>“The Corona lockdown made investors more cautious about buying Berlin real estate in the second quarter. Overall, fewer trades were finalized. The number of property trades costing 100 million euros or more was also well below the previous year’s level,”</w:t>
      </w:r>
      <w:r w:rsidR="005C7442">
        <w:rPr>
          <w:rFonts w:ascii="Arial" w:hAnsi="Arial"/>
          <w:i/>
          <w:sz w:val="20"/>
          <w:szCs w:val="20"/>
        </w:rPr>
        <w:t xml:space="preserve"> </w:t>
      </w:r>
      <w:r>
        <w:rPr>
          <w:rFonts w:ascii="Arial" w:hAnsi="Arial"/>
          <w:sz w:val="20"/>
          <w:szCs w:val="20"/>
        </w:rPr>
        <w:t xml:space="preserve">says </w:t>
      </w:r>
      <w:r>
        <w:rPr>
          <w:rFonts w:ascii="Arial" w:hAnsi="Arial"/>
          <w:b/>
          <w:sz w:val="20"/>
          <w:szCs w:val="20"/>
        </w:rPr>
        <w:t xml:space="preserve">Holger </w:t>
      </w:r>
      <w:proofErr w:type="spellStart"/>
      <w:r>
        <w:rPr>
          <w:rFonts w:ascii="Arial" w:hAnsi="Arial"/>
          <w:b/>
          <w:sz w:val="20"/>
          <w:szCs w:val="20"/>
        </w:rPr>
        <w:t>Michaelis</w:t>
      </w:r>
      <w:proofErr w:type="spellEnd"/>
      <w:r>
        <w:rPr>
          <w:rFonts w:ascii="Arial" w:hAnsi="Arial"/>
          <w:sz w:val="20"/>
          <w:szCs w:val="20"/>
        </w:rPr>
        <w:t xml:space="preserve">, managing director of Grossmann &amp; Berger, a member of German Property Partners (GPP). Grossmann &amp; Berger is confident that more properties will be put on the market in the second half of the year. </w:t>
      </w:r>
      <w:r w:rsidR="005C7442">
        <w:rPr>
          <w:rFonts w:ascii="Arial" w:hAnsi="Arial"/>
          <w:sz w:val="20"/>
          <w:szCs w:val="20"/>
        </w:rPr>
        <w:t>“</w:t>
      </w:r>
      <w:r>
        <w:rPr>
          <w:rFonts w:ascii="Arial" w:hAnsi="Arial"/>
          <w:i/>
          <w:sz w:val="20"/>
          <w:szCs w:val="20"/>
        </w:rPr>
        <w:t>In view of ongoing unease regarding how the economy will develop, properties that have been let long-term to highly creditworthy tenants, such as government departments, are in demand,”</w:t>
      </w:r>
      <w:r w:rsidR="003705BD">
        <w:rPr>
          <w:rFonts w:ascii="Arial" w:hAnsi="Arial"/>
          <w:i/>
          <w:sz w:val="20"/>
          <w:szCs w:val="20"/>
        </w:rPr>
        <w:t xml:space="preserve"> </w:t>
      </w:r>
      <w:proofErr w:type="spellStart"/>
      <w:r>
        <w:rPr>
          <w:rFonts w:ascii="Arial" w:hAnsi="Arial"/>
          <w:b/>
          <w:sz w:val="20"/>
          <w:szCs w:val="20"/>
        </w:rPr>
        <w:t>Michaelis</w:t>
      </w:r>
      <w:proofErr w:type="spellEnd"/>
      <w:r>
        <w:rPr>
          <w:rFonts w:ascii="Arial" w:hAnsi="Arial"/>
          <w:sz w:val="20"/>
          <w:szCs w:val="20"/>
        </w:rPr>
        <w:t xml:space="preserve"> remarks. </w:t>
      </w:r>
    </w:p>
    <w:p w14:paraId="5D8B5324" w14:textId="77777777" w:rsidR="0020161B" w:rsidRDefault="0020161B" w:rsidP="0020161B">
      <w:pPr>
        <w:spacing w:after="0" w:line="360" w:lineRule="auto"/>
        <w:textAlignment w:val="baseline"/>
        <w:rPr>
          <w:rFonts w:ascii="Arial" w:hAnsi="Arial" w:cs="Arial"/>
          <w:sz w:val="20"/>
          <w:szCs w:val="20"/>
        </w:rPr>
      </w:pPr>
    </w:p>
    <w:p w14:paraId="32C4FA8D" w14:textId="01FE86C7" w:rsidR="00B15B3E" w:rsidRDefault="0020161B" w:rsidP="0020161B">
      <w:pPr>
        <w:spacing w:after="0" w:line="360" w:lineRule="auto"/>
        <w:textAlignment w:val="baseline"/>
        <w:rPr>
          <w:rFonts w:ascii="Arial" w:hAnsi="Arial"/>
          <w:b/>
          <w:sz w:val="20"/>
          <w:szCs w:val="20"/>
        </w:rPr>
      </w:pPr>
      <w:r>
        <w:rPr>
          <w:rFonts w:ascii="Arial" w:hAnsi="Arial"/>
          <w:b/>
          <w:sz w:val="20"/>
          <w:szCs w:val="20"/>
        </w:rPr>
        <w:t xml:space="preserve">Market details: </w:t>
      </w:r>
    </w:p>
    <w:p w14:paraId="0F781A3B" w14:textId="77777777" w:rsidR="00B15B3E" w:rsidRDefault="00B15B3E" w:rsidP="00B15B3E">
      <w:pPr>
        <w:pStyle w:val="Listenabsatz"/>
        <w:numPr>
          <w:ilvl w:val="0"/>
          <w:numId w:val="16"/>
        </w:numPr>
        <w:spacing w:after="0" w:line="360" w:lineRule="auto"/>
        <w:ind w:left="425" w:hanging="357"/>
        <w:rPr>
          <w:rFonts w:ascii="Arial" w:hAnsi="Arial" w:cs="Arial"/>
          <w:sz w:val="20"/>
          <w:szCs w:val="20"/>
        </w:rPr>
      </w:pPr>
      <w:r>
        <w:rPr>
          <w:rFonts w:ascii="Arial" w:hAnsi="Arial"/>
          <w:sz w:val="20"/>
          <w:szCs w:val="20"/>
        </w:rPr>
        <w:t xml:space="preserve">A comparison of half-year figures for the Berlin commercial property market shows that the total posted was second only to the 1st-half record set I n 2019. Mainly, this was due to </w:t>
      </w:r>
      <w:proofErr w:type="spellStart"/>
      <w:r>
        <w:rPr>
          <w:rFonts w:ascii="Arial" w:hAnsi="Arial"/>
          <w:sz w:val="20"/>
          <w:szCs w:val="20"/>
        </w:rPr>
        <w:t>Aroundtown’s</w:t>
      </w:r>
      <w:proofErr w:type="spellEnd"/>
      <w:r>
        <w:rPr>
          <w:rFonts w:ascii="Arial" w:hAnsi="Arial"/>
          <w:sz w:val="20"/>
          <w:szCs w:val="20"/>
        </w:rPr>
        <w:t xml:space="preserve"> purchase of some 80 % of shares in TLG in the 1st quarter of 2020.</w:t>
      </w:r>
    </w:p>
    <w:p w14:paraId="0D92FAF7" w14:textId="5F3FF15B" w:rsidR="00B15B3E" w:rsidRPr="00B15B3E" w:rsidRDefault="00B15B3E" w:rsidP="00B15B3E">
      <w:pPr>
        <w:pStyle w:val="Listenabsatz"/>
        <w:numPr>
          <w:ilvl w:val="0"/>
          <w:numId w:val="16"/>
        </w:numPr>
        <w:spacing w:line="360" w:lineRule="auto"/>
        <w:rPr>
          <w:rFonts w:ascii="Arial" w:hAnsi="Arial" w:cs="Arial"/>
          <w:sz w:val="20"/>
          <w:szCs w:val="20"/>
        </w:rPr>
      </w:pPr>
      <w:r>
        <w:rPr>
          <w:rFonts w:ascii="Arial" w:hAnsi="Arial"/>
          <w:sz w:val="20"/>
          <w:szCs w:val="20"/>
        </w:rPr>
        <w:t>Apart from this portfolio transaction, only five properties were traded for more than €100m in the 1st half of 2020. In the same period a year ago, 13 transactions passed the €100m mark.</w:t>
      </w:r>
    </w:p>
    <w:p w14:paraId="0A764F49" w14:textId="77777777" w:rsidR="00B15B3E" w:rsidRPr="00B15B3E" w:rsidRDefault="00B15B3E" w:rsidP="00B15B3E">
      <w:pPr>
        <w:pStyle w:val="Listenabsatz"/>
        <w:numPr>
          <w:ilvl w:val="0"/>
          <w:numId w:val="16"/>
        </w:numPr>
        <w:spacing w:line="360" w:lineRule="auto"/>
        <w:rPr>
          <w:rFonts w:ascii="Arial" w:hAnsi="Arial"/>
          <w:sz w:val="20"/>
          <w:szCs w:val="20"/>
        </w:rPr>
      </w:pPr>
      <w:r>
        <w:rPr>
          <w:rFonts w:ascii="Arial" w:hAnsi="Arial"/>
          <w:sz w:val="20"/>
          <w:szCs w:val="20"/>
        </w:rPr>
        <w:t>Once again, office properties were the most sought-after class of assets, taking 67 % of the market (Q2 2019: 75 %).</w:t>
      </w:r>
    </w:p>
    <w:p w14:paraId="331B0BB2" w14:textId="534B593D" w:rsidR="00B15B3E" w:rsidRDefault="00B15B3E" w:rsidP="00B15B3E">
      <w:pPr>
        <w:pStyle w:val="Listenabsatz"/>
        <w:numPr>
          <w:ilvl w:val="0"/>
          <w:numId w:val="16"/>
        </w:numPr>
        <w:spacing w:after="0" w:line="360" w:lineRule="auto"/>
        <w:textAlignment w:val="baseline"/>
        <w:rPr>
          <w:rFonts w:ascii="Arial" w:hAnsi="Arial"/>
          <w:sz w:val="20"/>
          <w:szCs w:val="20"/>
        </w:rPr>
      </w:pPr>
      <w:r>
        <w:rPr>
          <w:rFonts w:ascii="Arial" w:hAnsi="Arial"/>
          <w:sz w:val="20"/>
          <w:szCs w:val="20"/>
        </w:rPr>
        <w:t xml:space="preserve">Prime yields on offices (2.7 %), commercial buildings (2.8 %) and logistics properties (3.8 %) have become more stable. </w:t>
      </w:r>
      <w:r>
        <w:rPr>
          <w:rFonts w:ascii="Arial" w:hAnsi="Arial"/>
          <w:sz w:val="20"/>
          <w:szCs w:val="20"/>
        </w:rPr>
        <w:t xml:space="preserve">     </w:t>
      </w:r>
    </w:p>
    <w:p w14:paraId="0508C0CC" w14:textId="0CAB53C0" w:rsidR="00B15B3E" w:rsidRPr="00B15B3E" w:rsidRDefault="00B15B3E" w:rsidP="00B15B3E">
      <w:pPr>
        <w:pStyle w:val="Listenabsatz"/>
        <w:spacing w:after="0" w:line="360" w:lineRule="auto"/>
        <w:ind w:left="428"/>
        <w:textAlignment w:val="baseline"/>
        <w:rPr>
          <w:rFonts w:ascii="Arial" w:hAnsi="Arial"/>
          <w:sz w:val="20"/>
          <w:szCs w:val="20"/>
        </w:rPr>
      </w:pPr>
      <w:r>
        <w:rPr>
          <w:rFonts w:ascii="Arial" w:hAnsi="Arial"/>
          <w:noProof/>
          <w:sz w:val="20"/>
          <w:szCs w:val="20"/>
          <w:lang w:val="de-DE" w:eastAsia="de-DE"/>
        </w:rPr>
        <w:drawing>
          <wp:anchor distT="0" distB="0" distL="114300" distR="114300" simplePos="0" relativeHeight="251658240" behindDoc="0" locked="0" layoutInCell="1" allowOverlap="1" wp14:anchorId="18B300DD" wp14:editId="032A8102">
            <wp:simplePos x="0" y="0"/>
            <wp:positionH relativeFrom="column">
              <wp:posOffset>3332506</wp:posOffset>
            </wp:positionH>
            <wp:positionV relativeFrom="paragraph">
              <wp:posOffset>210617</wp:posOffset>
            </wp:positionV>
            <wp:extent cx="2476500" cy="1805940"/>
            <wp:effectExtent l="0" t="0" r="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vestmentmarkt Berlin_2Q2020_en.JPG"/>
                    <pic:cNvPicPr/>
                  </pic:nvPicPr>
                  <pic:blipFill>
                    <a:blip r:embed="rId8">
                      <a:extLst>
                        <a:ext uri="{28A0092B-C50C-407E-A947-70E740481C1C}">
                          <a14:useLocalDpi xmlns:a14="http://schemas.microsoft.com/office/drawing/2010/main" val="0"/>
                        </a:ext>
                      </a:extLst>
                    </a:blip>
                    <a:stretch>
                      <a:fillRect/>
                    </a:stretch>
                  </pic:blipFill>
                  <pic:spPr>
                    <a:xfrm>
                      <a:off x="0" y="0"/>
                      <a:ext cx="2476500" cy="180594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2"/>
        <w:tblW w:w="0" w:type="auto"/>
        <w:tblLook w:val="04A0" w:firstRow="1" w:lastRow="0" w:firstColumn="1" w:lastColumn="0" w:noHBand="0" w:noVBand="1"/>
      </w:tblPr>
      <w:tblGrid>
        <w:gridCol w:w="3823"/>
        <w:gridCol w:w="1134"/>
      </w:tblGrid>
      <w:tr w:rsidR="00B15B3E" w:rsidRPr="006F49D0" w14:paraId="4D83B463" w14:textId="77777777" w:rsidTr="00B15B3E">
        <w:trPr>
          <w:trHeight w:val="416"/>
        </w:trPr>
        <w:tc>
          <w:tcPr>
            <w:tcW w:w="0" w:type="auto"/>
            <w:shd w:val="clear" w:color="auto" w:fill="1F242B" w:themeFill="text2"/>
          </w:tcPr>
          <w:p w14:paraId="6CE7A419" w14:textId="77777777" w:rsidR="00B15B3E" w:rsidRPr="00D550B6" w:rsidRDefault="00B15B3E" w:rsidP="00B15B3E">
            <w:pPr>
              <w:widowControl w:val="0"/>
              <w:spacing w:before="60" w:after="60" w:line="360" w:lineRule="auto"/>
              <w:rPr>
                <w:rFonts w:ascii="Arial" w:eastAsia="Cambria" w:hAnsi="Arial" w:cs="Arial"/>
                <w:b/>
                <w:sz w:val="18"/>
                <w:szCs w:val="20"/>
              </w:rPr>
            </w:pPr>
            <w:r>
              <w:rPr>
                <w:rFonts w:ascii="Arial" w:hAnsi="Arial"/>
                <w:b/>
                <w:sz w:val="18"/>
                <w:szCs w:val="18"/>
              </w:rPr>
              <w:t>Investment market | Berlin | 2020</w:t>
            </w:r>
          </w:p>
        </w:tc>
        <w:tc>
          <w:tcPr>
            <w:tcW w:w="1134" w:type="dxa"/>
            <w:shd w:val="clear" w:color="auto" w:fill="1F242B" w:themeFill="text2"/>
          </w:tcPr>
          <w:p w14:paraId="0D8F4CD8" w14:textId="77777777" w:rsidR="00B15B3E" w:rsidRPr="00D550B6" w:rsidRDefault="00B15B3E" w:rsidP="00B15B3E">
            <w:pPr>
              <w:widowControl w:val="0"/>
              <w:spacing w:before="60" w:after="60" w:line="360" w:lineRule="auto"/>
              <w:jc w:val="center"/>
              <w:rPr>
                <w:rFonts w:ascii="Arial" w:hAnsi="Arial" w:cs="Arial"/>
                <w:b/>
                <w:sz w:val="18"/>
                <w:szCs w:val="18"/>
              </w:rPr>
            </w:pPr>
            <w:r>
              <w:rPr>
                <w:rFonts w:ascii="Arial" w:hAnsi="Arial"/>
                <w:b/>
                <w:sz w:val="18"/>
                <w:szCs w:val="18"/>
              </w:rPr>
              <w:t>Q 1-2</w:t>
            </w:r>
          </w:p>
        </w:tc>
      </w:tr>
      <w:tr w:rsidR="00B15B3E" w:rsidRPr="006F49D0" w14:paraId="0BBDA2C5" w14:textId="77777777" w:rsidTr="00B15B3E">
        <w:trPr>
          <w:trHeight w:val="283"/>
        </w:trPr>
        <w:tc>
          <w:tcPr>
            <w:tcW w:w="3823" w:type="dxa"/>
          </w:tcPr>
          <w:p w14:paraId="50AC2377" w14:textId="77777777" w:rsidR="00B15B3E" w:rsidRPr="004712BA" w:rsidRDefault="00B15B3E" w:rsidP="00B15B3E">
            <w:pPr>
              <w:widowControl w:val="0"/>
              <w:spacing w:before="40" w:after="40" w:line="360" w:lineRule="auto"/>
              <w:rPr>
                <w:rFonts w:ascii="Arial" w:hAnsi="Arial" w:cs="Arial"/>
                <w:b/>
                <w:sz w:val="18"/>
                <w:szCs w:val="16"/>
              </w:rPr>
            </w:pPr>
            <w:r>
              <w:rPr>
                <w:rFonts w:ascii="Arial" w:hAnsi="Arial"/>
                <w:b/>
                <w:sz w:val="18"/>
                <w:szCs w:val="16"/>
              </w:rPr>
              <w:t xml:space="preserve">Transaction volume </w:t>
            </w:r>
            <w:r>
              <w:rPr>
                <w:rFonts w:ascii="Arial" w:hAnsi="Arial"/>
                <w:sz w:val="18"/>
                <w:szCs w:val="16"/>
              </w:rPr>
              <w:t>[€ millions]</w:t>
            </w:r>
          </w:p>
        </w:tc>
        <w:tc>
          <w:tcPr>
            <w:tcW w:w="1134" w:type="dxa"/>
            <w:vAlign w:val="center"/>
          </w:tcPr>
          <w:p w14:paraId="76D95C7A" w14:textId="77777777" w:rsidR="00B15B3E" w:rsidRPr="00D550B6" w:rsidRDefault="00B15B3E" w:rsidP="00B15B3E">
            <w:pPr>
              <w:widowControl w:val="0"/>
              <w:spacing w:before="40" w:after="40" w:line="360" w:lineRule="auto"/>
              <w:jc w:val="right"/>
              <w:rPr>
                <w:rFonts w:ascii="Arial" w:hAnsi="Arial" w:cs="Arial"/>
                <w:sz w:val="18"/>
                <w:szCs w:val="18"/>
              </w:rPr>
            </w:pPr>
            <w:r>
              <w:rPr>
                <w:rFonts w:ascii="Arial" w:hAnsi="Arial"/>
                <w:sz w:val="18"/>
                <w:szCs w:val="18"/>
              </w:rPr>
              <w:t>3,460</w:t>
            </w:r>
          </w:p>
        </w:tc>
      </w:tr>
      <w:tr w:rsidR="00B15B3E" w:rsidRPr="006F49D0" w14:paraId="274305F2" w14:textId="77777777" w:rsidTr="00B15B3E">
        <w:trPr>
          <w:trHeight w:val="283"/>
        </w:trPr>
        <w:tc>
          <w:tcPr>
            <w:tcW w:w="3823" w:type="dxa"/>
          </w:tcPr>
          <w:p w14:paraId="051A0928" w14:textId="77777777" w:rsidR="00B15B3E" w:rsidRPr="00A7575D" w:rsidRDefault="00B15B3E" w:rsidP="00B15B3E">
            <w:pPr>
              <w:widowControl w:val="0"/>
              <w:spacing w:before="40" w:after="40" w:line="360" w:lineRule="auto"/>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34" w:type="dxa"/>
            <w:vAlign w:val="center"/>
          </w:tcPr>
          <w:p w14:paraId="52DDEFBD" w14:textId="77777777" w:rsidR="00B15B3E" w:rsidRPr="00D550B6" w:rsidRDefault="00B15B3E" w:rsidP="00B15B3E">
            <w:pPr>
              <w:widowControl w:val="0"/>
              <w:spacing w:before="40" w:after="40" w:line="360" w:lineRule="auto"/>
              <w:jc w:val="right"/>
              <w:rPr>
                <w:rFonts w:ascii="Arial" w:hAnsi="Arial" w:cs="Arial"/>
                <w:sz w:val="18"/>
                <w:szCs w:val="18"/>
              </w:rPr>
            </w:pPr>
            <w:r>
              <w:rPr>
                <w:rFonts w:ascii="Arial" w:hAnsi="Arial"/>
                <w:sz w:val="18"/>
                <w:szCs w:val="18"/>
              </w:rPr>
              <w:t>-28</w:t>
            </w:r>
          </w:p>
        </w:tc>
      </w:tr>
      <w:tr w:rsidR="00B15B3E" w:rsidRPr="006F49D0" w14:paraId="243B2A8A" w14:textId="77777777" w:rsidTr="00B15B3E">
        <w:trPr>
          <w:trHeight w:val="283"/>
        </w:trPr>
        <w:tc>
          <w:tcPr>
            <w:tcW w:w="3823" w:type="dxa"/>
          </w:tcPr>
          <w:p w14:paraId="5147D80D" w14:textId="77777777" w:rsidR="00B15B3E" w:rsidRPr="00A7575D" w:rsidRDefault="00B15B3E" w:rsidP="00B15B3E">
            <w:pPr>
              <w:widowControl w:val="0"/>
              <w:spacing w:before="40" w:after="40" w:line="360" w:lineRule="auto"/>
              <w:rPr>
                <w:rFonts w:ascii="Arial" w:hAnsi="Arial" w:cs="Arial"/>
                <w:sz w:val="18"/>
                <w:szCs w:val="16"/>
              </w:rPr>
            </w:pPr>
            <w:r>
              <w:rPr>
                <w:rFonts w:ascii="Arial" w:hAnsi="Arial"/>
                <w:b/>
                <w:sz w:val="18"/>
                <w:szCs w:val="16"/>
              </w:rPr>
              <w:t>Share of trading in CBD</w:t>
            </w:r>
            <w:r>
              <w:rPr>
                <w:rFonts w:ascii="Arial" w:hAnsi="Arial"/>
                <w:sz w:val="18"/>
                <w:szCs w:val="16"/>
              </w:rPr>
              <w:t xml:space="preserve"> [%]</w:t>
            </w:r>
          </w:p>
        </w:tc>
        <w:tc>
          <w:tcPr>
            <w:tcW w:w="1134" w:type="dxa"/>
            <w:vAlign w:val="center"/>
          </w:tcPr>
          <w:p w14:paraId="4C383AF8" w14:textId="77777777" w:rsidR="00B15B3E" w:rsidRPr="00D550B6" w:rsidRDefault="00B15B3E" w:rsidP="00B15B3E">
            <w:pPr>
              <w:widowControl w:val="0"/>
              <w:spacing w:before="40" w:after="40" w:line="360" w:lineRule="auto"/>
              <w:jc w:val="right"/>
              <w:rPr>
                <w:rFonts w:ascii="Arial" w:hAnsi="Arial" w:cs="Arial"/>
                <w:sz w:val="18"/>
                <w:szCs w:val="18"/>
              </w:rPr>
            </w:pPr>
            <w:r>
              <w:rPr>
                <w:rFonts w:ascii="Arial" w:hAnsi="Arial"/>
                <w:sz w:val="18"/>
                <w:szCs w:val="18"/>
              </w:rPr>
              <w:t>10</w:t>
            </w:r>
          </w:p>
        </w:tc>
      </w:tr>
      <w:tr w:rsidR="00B15B3E" w:rsidRPr="006F49D0" w14:paraId="076E8908" w14:textId="77777777" w:rsidTr="00B15B3E">
        <w:trPr>
          <w:trHeight w:val="283"/>
        </w:trPr>
        <w:tc>
          <w:tcPr>
            <w:tcW w:w="3823" w:type="dxa"/>
          </w:tcPr>
          <w:p w14:paraId="0CDBBFEF" w14:textId="77777777" w:rsidR="00B15B3E" w:rsidRPr="00CF57DD" w:rsidRDefault="00B15B3E" w:rsidP="00B15B3E">
            <w:pPr>
              <w:widowControl w:val="0"/>
              <w:spacing w:before="40" w:after="40" w:line="360" w:lineRule="auto"/>
              <w:rPr>
                <w:rFonts w:ascii="Arial" w:hAnsi="Arial" w:cs="Arial"/>
                <w:b/>
                <w:sz w:val="18"/>
                <w:szCs w:val="16"/>
              </w:rPr>
            </w:pPr>
            <w:r>
              <w:rPr>
                <w:rFonts w:ascii="Arial" w:hAnsi="Arial"/>
                <w:b/>
                <w:sz w:val="18"/>
                <w:szCs w:val="16"/>
              </w:rPr>
              <w:t>Proportion of international investors</w:t>
            </w:r>
            <w:r>
              <w:rPr>
                <w:rFonts w:ascii="Arial" w:hAnsi="Arial"/>
                <w:sz w:val="18"/>
                <w:szCs w:val="16"/>
              </w:rPr>
              <w:t xml:space="preserve"> [%]</w:t>
            </w:r>
          </w:p>
        </w:tc>
        <w:tc>
          <w:tcPr>
            <w:tcW w:w="1134" w:type="dxa"/>
            <w:vAlign w:val="center"/>
          </w:tcPr>
          <w:p w14:paraId="655EF875" w14:textId="77777777" w:rsidR="00B15B3E" w:rsidRPr="00D550B6" w:rsidRDefault="00B15B3E" w:rsidP="00B15B3E">
            <w:pPr>
              <w:widowControl w:val="0"/>
              <w:spacing w:before="40" w:after="40" w:line="360" w:lineRule="auto"/>
              <w:jc w:val="right"/>
              <w:rPr>
                <w:rFonts w:ascii="Arial" w:hAnsi="Arial" w:cs="Arial"/>
                <w:sz w:val="18"/>
                <w:szCs w:val="18"/>
              </w:rPr>
            </w:pPr>
            <w:r>
              <w:rPr>
                <w:rFonts w:ascii="Arial" w:hAnsi="Arial"/>
                <w:sz w:val="18"/>
                <w:szCs w:val="18"/>
              </w:rPr>
              <w:t>74</w:t>
            </w:r>
          </w:p>
        </w:tc>
      </w:tr>
      <w:tr w:rsidR="00B15B3E" w:rsidRPr="006F49D0" w14:paraId="47DFC710" w14:textId="77777777" w:rsidTr="00B15B3E">
        <w:trPr>
          <w:trHeight w:val="283"/>
        </w:trPr>
        <w:tc>
          <w:tcPr>
            <w:tcW w:w="3823" w:type="dxa"/>
          </w:tcPr>
          <w:p w14:paraId="368BBA4B" w14:textId="77777777" w:rsidR="00B15B3E" w:rsidRPr="004712BA" w:rsidRDefault="00B15B3E" w:rsidP="00B15B3E">
            <w:pPr>
              <w:widowControl w:val="0"/>
              <w:spacing w:before="40" w:after="40" w:line="360" w:lineRule="auto"/>
              <w:rPr>
                <w:rFonts w:ascii="Arial" w:hAnsi="Arial" w:cs="Arial"/>
                <w:b/>
                <w:sz w:val="18"/>
                <w:szCs w:val="16"/>
              </w:rPr>
            </w:pPr>
            <w:r>
              <w:rPr>
                <w:rFonts w:ascii="Arial" w:hAnsi="Arial"/>
                <w:b/>
                <w:sz w:val="18"/>
                <w:szCs w:val="16"/>
              </w:rPr>
              <w:t>Prime net yield, office</w:t>
            </w:r>
            <w:r>
              <w:rPr>
                <w:rFonts w:ascii="Arial" w:hAnsi="Arial"/>
                <w:sz w:val="18"/>
                <w:szCs w:val="16"/>
              </w:rPr>
              <w:t xml:space="preserve"> [%]</w:t>
            </w:r>
          </w:p>
        </w:tc>
        <w:tc>
          <w:tcPr>
            <w:tcW w:w="1134" w:type="dxa"/>
            <w:vAlign w:val="center"/>
          </w:tcPr>
          <w:p w14:paraId="2976A68A" w14:textId="77777777" w:rsidR="00B15B3E" w:rsidRPr="00D550B6" w:rsidRDefault="00B15B3E" w:rsidP="00B15B3E">
            <w:pPr>
              <w:widowControl w:val="0"/>
              <w:spacing w:before="40" w:after="40" w:line="360" w:lineRule="auto"/>
              <w:jc w:val="right"/>
              <w:rPr>
                <w:rFonts w:ascii="Arial" w:hAnsi="Arial" w:cs="Arial"/>
                <w:sz w:val="18"/>
                <w:szCs w:val="18"/>
              </w:rPr>
            </w:pPr>
            <w:r>
              <w:rPr>
                <w:rFonts w:ascii="Arial" w:hAnsi="Arial"/>
                <w:sz w:val="18"/>
                <w:szCs w:val="18"/>
              </w:rPr>
              <w:t>2.7</w:t>
            </w:r>
          </w:p>
        </w:tc>
      </w:tr>
      <w:tr w:rsidR="00B15B3E" w14:paraId="149F9944" w14:textId="77777777" w:rsidTr="00B15B3E">
        <w:trPr>
          <w:trHeight w:val="283"/>
        </w:trPr>
        <w:tc>
          <w:tcPr>
            <w:tcW w:w="3823" w:type="dxa"/>
          </w:tcPr>
          <w:p w14:paraId="6EE47CDD" w14:textId="77777777" w:rsidR="00B15B3E" w:rsidRPr="00A7575D" w:rsidRDefault="00B15B3E" w:rsidP="00B15B3E">
            <w:pPr>
              <w:widowControl w:val="0"/>
              <w:spacing w:before="40" w:after="40" w:line="360" w:lineRule="auto"/>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134" w:type="dxa"/>
            <w:vAlign w:val="center"/>
          </w:tcPr>
          <w:p w14:paraId="4E971223" w14:textId="77777777" w:rsidR="00B15B3E" w:rsidRPr="00D550B6" w:rsidRDefault="00B15B3E" w:rsidP="00B15B3E">
            <w:pPr>
              <w:widowControl w:val="0"/>
              <w:spacing w:before="40" w:after="40" w:line="360" w:lineRule="auto"/>
              <w:jc w:val="right"/>
              <w:rPr>
                <w:rFonts w:ascii="Arial" w:hAnsi="Arial" w:cs="Arial"/>
                <w:sz w:val="18"/>
                <w:szCs w:val="18"/>
              </w:rPr>
            </w:pPr>
            <w:r>
              <w:rPr>
                <w:rFonts w:ascii="Arial" w:hAnsi="Arial"/>
                <w:sz w:val="18"/>
                <w:szCs w:val="18"/>
              </w:rPr>
              <w:t>-0.2</w:t>
            </w:r>
          </w:p>
        </w:tc>
      </w:tr>
      <w:tr w:rsidR="00B15B3E" w:rsidRPr="006F49D0" w14:paraId="7E5D7F3A" w14:textId="77777777" w:rsidTr="00B15B3E">
        <w:trPr>
          <w:trHeight w:val="283"/>
        </w:trPr>
        <w:tc>
          <w:tcPr>
            <w:tcW w:w="3823" w:type="dxa"/>
          </w:tcPr>
          <w:p w14:paraId="49C7834B" w14:textId="77777777" w:rsidR="00B15B3E" w:rsidRPr="004712BA" w:rsidRDefault="00B15B3E" w:rsidP="00B15B3E">
            <w:pPr>
              <w:widowControl w:val="0"/>
              <w:spacing w:before="40" w:after="40" w:line="360" w:lineRule="auto"/>
              <w:rPr>
                <w:rFonts w:ascii="Arial" w:hAnsi="Arial" w:cs="Arial"/>
                <w:b/>
                <w:sz w:val="18"/>
                <w:szCs w:val="16"/>
              </w:rPr>
            </w:pPr>
            <w:r>
              <w:rPr>
                <w:rFonts w:ascii="Arial" w:hAnsi="Arial"/>
                <w:b/>
                <w:sz w:val="18"/>
                <w:szCs w:val="16"/>
              </w:rPr>
              <w:t>Prime net yield, commercial buildings</w:t>
            </w:r>
            <w:r>
              <w:rPr>
                <w:rFonts w:ascii="Arial" w:hAnsi="Arial"/>
                <w:sz w:val="18"/>
                <w:szCs w:val="16"/>
              </w:rPr>
              <w:t xml:space="preserve"> [%]</w:t>
            </w:r>
          </w:p>
        </w:tc>
        <w:tc>
          <w:tcPr>
            <w:tcW w:w="1134" w:type="dxa"/>
            <w:vAlign w:val="center"/>
          </w:tcPr>
          <w:p w14:paraId="0604B9ED" w14:textId="77777777" w:rsidR="00B15B3E" w:rsidRPr="00D550B6" w:rsidRDefault="00B15B3E" w:rsidP="00B15B3E">
            <w:pPr>
              <w:widowControl w:val="0"/>
              <w:spacing w:before="40" w:after="40" w:line="360" w:lineRule="auto"/>
              <w:jc w:val="right"/>
              <w:rPr>
                <w:rFonts w:ascii="Arial" w:hAnsi="Arial" w:cs="Arial"/>
                <w:sz w:val="18"/>
                <w:szCs w:val="18"/>
              </w:rPr>
            </w:pPr>
            <w:r>
              <w:rPr>
                <w:rFonts w:ascii="Arial" w:hAnsi="Arial"/>
                <w:sz w:val="18"/>
                <w:szCs w:val="18"/>
              </w:rPr>
              <w:t>2.8</w:t>
            </w:r>
          </w:p>
        </w:tc>
      </w:tr>
      <w:tr w:rsidR="00B15B3E" w14:paraId="613914D4" w14:textId="77777777" w:rsidTr="00B15B3E">
        <w:trPr>
          <w:trHeight w:val="283"/>
        </w:trPr>
        <w:tc>
          <w:tcPr>
            <w:tcW w:w="3823" w:type="dxa"/>
          </w:tcPr>
          <w:p w14:paraId="63E6D4DF" w14:textId="77777777" w:rsidR="00B15B3E" w:rsidRPr="00A7575D" w:rsidRDefault="00B15B3E" w:rsidP="00B15B3E">
            <w:pPr>
              <w:widowControl w:val="0"/>
              <w:spacing w:before="40" w:after="40" w:line="360" w:lineRule="auto"/>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134" w:type="dxa"/>
            <w:vAlign w:val="center"/>
          </w:tcPr>
          <w:p w14:paraId="29815225" w14:textId="77777777" w:rsidR="00B15B3E" w:rsidRPr="00D550B6" w:rsidRDefault="00B15B3E" w:rsidP="00B15B3E">
            <w:pPr>
              <w:widowControl w:val="0"/>
              <w:spacing w:before="40" w:after="40" w:line="360" w:lineRule="auto"/>
              <w:jc w:val="right"/>
              <w:rPr>
                <w:rFonts w:ascii="Arial" w:hAnsi="Arial" w:cs="Arial"/>
                <w:sz w:val="18"/>
                <w:szCs w:val="18"/>
              </w:rPr>
            </w:pPr>
            <w:r>
              <w:rPr>
                <w:rFonts w:ascii="Arial" w:hAnsi="Arial"/>
                <w:sz w:val="18"/>
                <w:szCs w:val="18"/>
              </w:rPr>
              <w:t>-0.1</w:t>
            </w:r>
          </w:p>
        </w:tc>
      </w:tr>
      <w:tr w:rsidR="00B15B3E" w:rsidRPr="006F49D0" w14:paraId="3558D06E" w14:textId="77777777" w:rsidTr="00B15B3E">
        <w:trPr>
          <w:trHeight w:val="283"/>
        </w:trPr>
        <w:tc>
          <w:tcPr>
            <w:tcW w:w="3823" w:type="dxa"/>
          </w:tcPr>
          <w:p w14:paraId="65E0FC7A" w14:textId="77777777" w:rsidR="00B15B3E" w:rsidRPr="004712BA" w:rsidRDefault="00B15B3E" w:rsidP="00B15B3E">
            <w:pPr>
              <w:widowControl w:val="0"/>
              <w:spacing w:before="40" w:after="40" w:line="360" w:lineRule="auto"/>
              <w:rPr>
                <w:rFonts w:ascii="Arial" w:hAnsi="Arial" w:cs="Arial"/>
                <w:b/>
                <w:sz w:val="18"/>
                <w:szCs w:val="16"/>
              </w:rPr>
            </w:pPr>
            <w:r>
              <w:rPr>
                <w:rFonts w:ascii="Arial" w:hAnsi="Arial"/>
                <w:b/>
                <w:sz w:val="18"/>
                <w:szCs w:val="16"/>
              </w:rPr>
              <w:t>Prime net yield, logistics properties</w:t>
            </w:r>
            <w:r>
              <w:rPr>
                <w:rFonts w:ascii="Arial" w:hAnsi="Arial"/>
                <w:sz w:val="18"/>
                <w:szCs w:val="16"/>
              </w:rPr>
              <w:t xml:space="preserve"> [%]</w:t>
            </w:r>
          </w:p>
        </w:tc>
        <w:tc>
          <w:tcPr>
            <w:tcW w:w="1134" w:type="dxa"/>
            <w:vAlign w:val="center"/>
          </w:tcPr>
          <w:p w14:paraId="0342D101" w14:textId="77777777" w:rsidR="00B15B3E" w:rsidRPr="001C4C33" w:rsidRDefault="00B15B3E" w:rsidP="00B15B3E">
            <w:pPr>
              <w:widowControl w:val="0"/>
              <w:spacing w:before="40" w:after="40" w:line="360" w:lineRule="auto"/>
              <w:jc w:val="right"/>
              <w:rPr>
                <w:rFonts w:ascii="Arial" w:hAnsi="Arial" w:cs="Arial"/>
                <w:sz w:val="18"/>
                <w:szCs w:val="18"/>
              </w:rPr>
            </w:pPr>
            <w:r>
              <w:rPr>
                <w:rFonts w:ascii="Arial" w:hAnsi="Arial"/>
                <w:sz w:val="18"/>
                <w:szCs w:val="18"/>
              </w:rPr>
              <w:t>3.8</w:t>
            </w:r>
          </w:p>
        </w:tc>
      </w:tr>
      <w:tr w:rsidR="00B15B3E" w14:paraId="5D10A80D" w14:textId="77777777" w:rsidTr="00B15B3E">
        <w:trPr>
          <w:trHeight w:val="283"/>
        </w:trPr>
        <w:tc>
          <w:tcPr>
            <w:tcW w:w="3823" w:type="dxa"/>
          </w:tcPr>
          <w:p w14:paraId="2B40E73A" w14:textId="77777777" w:rsidR="00B15B3E" w:rsidRPr="00A7575D" w:rsidRDefault="00B15B3E" w:rsidP="00B15B3E">
            <w:pPr>
              <w:widowControl w:val="0"/>
              <w:spacing w:before="40" w:after="40" w:line="360" w:lineRule="auto"/>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134" w:type="dxa"/>
            <w:vAlign w:val="center"/>
          </w:tcPr>
          <w:p w14:paraId="73F36FB0" w14:textId="77777777" w:rsidR="00B15B3E" w:rsidRPr="001C4C33" w:rsidRDefault="00B15B3E" w:rsidP="00B15B3E">
            <w:pPr>
              <w:widowControl w:val="0"/>
              <w:spacing w:before="40" w:after="40" w:line="360" w:lineRule="auto"/>
              <w:jc w:val="right"/>
              <w:rPr>
                <w:rFonts w:ascii="Arial" w:hAnsi="Arial" w:cs="Arial"/>
                <w:sz w:val="18"/>
                <w:szCs w:val="18"/>
              </w:rPr>
            </w:pPr>
            <w:r>
              <w:rPr>
                <w:rFonts w:ascii="Arial" w:hAnsi="Arial"/>
                <w:sz w:val="18"/>
                <w:szCs w:val="18"/>
              </w:rPr>
              <w:t>-0.4</w:t>
            </w:r>
          </w:p>
        </w:tc>
      </w:tr>
      <w:tr w:rsidR="00B15B3E" w:rsidRPr="006F49D0" w14:paraId="1048E730" w14:textId="77777777" w:rsidTr="00B15B3E">
        <w:trPr>
          <w:trHeight w:val="283"/>
        </w:trPr>
        <w:tc>
          <w:tcPr>
            <w:tcW w:w="3823" w:type="dxa"/>
            <w:tcBorders>
              <w:bottom w:val="single" w:sz="4" w:space="0" w:color="auto"/>
            </w:tcBorders>
          </w:tcPr>
          <w:p w14:paraId="630BD0F7" w14:textId="77777777" w:rsidR="00B15B3E" w:rsidRPr="004712BA" w:rsidRDefault="00B15B3E" w:rsidP="00B15B3E">
            <w:pPr>
              <w:widowControl w:val="0"/>
              <w:spacing w:before="40" w:after="40" w:line="360" w:lineRule="auto"/>
              <w:rPr>
                <w:rFonts w:ascii="Arial" w:hAnsi="Arial" w:cs="Arial"/>
                <w:b/>
                <w:sz w:val="18"/>
                <w:szCs w:val="16"/>
              </w:rPr>
            </w:pPr>
            <w:r>
              <w:rPr>
                <w:rFonts w:ascii="Arial" w:hAnsi="Arial"/>
                <w:b/>
                <w:sz w:val="18"/>
                <w:szCs w:val="16"/>
              </w:rPr>
              <w:t>Strongest asset class</w:t>
            </w:r>
          </w:p>
        </w:tc>
        <w:tc>
          <w:tcPr>
            <w:tcW w:w="1134" w:type="dxa"/>
            <w:tcBorders>
              <w:bottom w:val="single" w:sz="4" w:space="0" w:color="auto"/>
            </w:tcBorders>
            <w:vAlign w:val="center"/>
          </w:tcPr>
          <w:p w14:paraId="575C7031" w14:textId="77777777" w:rsidR="00B15B3E" w:rsidRPr="00D550B6" w:rsidRDefault="00B15B3E" w:rsidP="00B15B3E">
            <w:pPr>
              <w:widowControl w:val="0"/>
              <w:spacing w:before="40" w:after="40" w:line="360" w:lineRule="auto"/>
              <w:jc w:val="right"/>
              <w:rPr>
                <w:rFonts w:ascii="Arial" w:hAnsi="Arial" w:cs="Arial"/>
                <w:sz w:val="18"/>
                <w:szCs w:val="18"/>
              </w:rPr>
            </w:pPr>
            <w:r>
              <w:rPr>
                <w:rFonts w:ascii="Arial" w:hAnsi="Arial"/>
                <w:sz w:val="18"/>
                <w:szCs w:val="18"/>
              </w:rPr>
              <w:t>Offices</w:t>
            </w:r>
          </w:p>
        </w:tc>
      </w:tr>
      <w:tr w:rsidR="00B15B3E" w:rsidRPr="006F49D0" w14:paraId="361CF2CF" w14:textId="77777777" w:rsidTr="00B15B3E">
        <w:trPr>
          <w:trHeight w:val="283"/>
        </w:trPr>
        <w:tc>
          <w:tcPr>
            <w:tcW w:w="3823" w:type="dxa"/>
            <w:tcBorders>
              <w:bottom w:val="single" w:sz="4" w:space="0" w:color="auto"/>
            </w:tcBorders>
          </w:tcPr>
          <w:p w14:paraId="57D9D8AE" w14:textId="77777777" w:rsidR="00B15B3E" w:rsidRPr="004712BA" w:rsidRDefault="00B15B3E" w:rsidP="00B15B3E">
            <w:pPr>
              <w:widowControl w:val="0"/>
              <w:spacing w:before="40" w:after="40" w:line="360" w:lineRule="auto"/>
              <w:rPr>
                <w:rFonts w:ascii="Arial" w:hAnsi="Arial" w:cs="Arial"/>
                <w:b/>
                <w:sz w:val="18"/>
                <w:szCs w:val="16"/>
              </w:rPr>
            </w:pPr>
            <w:r>
              <w:rPr>
                <w:rFonts w:ascii="Arial" w:hAnsi="Arial"/>
                <w:b/>
                <w:sz w:val="18"/>
                <w:szCs w:val="16"/>
              </w:rPr>
              <w:t>Strongest asset class</w:t>
            </w:r>
            <w:r>
              <w:rPr>
                <w:rFonts w:ascii="Arial" w:hAnsi="Arial"/>
                <w:sz w:val="18"/>
                <w:szCs w:val="16"/>
              </w:rPr>
              <w:t xml:space="preserve"> [%]</w:t>
            </w:r>
          </w:p>
        </w:tc>
        <w:tc>
          <w:tcPr>
            <w:tcW w:w="1134" w:type="dxa"/>
            <w:tcBorders>
              <w:bottom w:val="single" w:sz="4" w:space="0" w:color="auto"/>
            </w:tcBorders>
            <w:vAlign w:val="center"/>
          </w:tcPr>
          <w:p w14:paraId="5B5A668C" w14:textId="77777777" w:rsidR="00B15B3E" w:rsidRPr="00D550B6" w:rsidRDefault="00B15B3E" w:rsidP="00B15B3E">
            <w:pPr>
              <w:widowControl w:val="0"/>
              <w:spacing w:before="40" w:after="40" w:line="360" w:lineRule="auto"/>
              <w:jc w:val="right"/>
              <w:rPr>
                <w:rFonts w:ascii="Arial" w:hAnsi="Arial" w:cs="Arial"/>
                <w:sz w:val="18"/>
                <w:szCs w:val="18"/>
              </w:rPr>
            </w:pPr>
            <w:r>
              <w:rPr>
                <w:rFonts w:ascii="Arial" w:hAnsi="Arial"/>
                <w:sz w:val="18"/>
                <w:szCs w:val="18"/>
              </w:rPr>
              <w:t>67</w:t>
            </w:r>
          </w:p>
        </w:tc>
      </w:tr>
    </w:tbl>
    <w:p w14:paraId="7EE1792B" w14:textId="2C167985" w:rsidR="00B15B3E" w:rsidRDefault="00B15B3E" w:rsidP="0020161B">
      <w:pPr>
        <w:spacing w:after="0" w:line="360" w:lineRule="auto"/>
        <w:textAlignment w:val="baseline"/>
        <w:rPr>
          <w:rFonts w:ascii="Arial" w:hAnsi="Arial"/>
          <w:b/>
          <w:sz w:val="20"/>
          <w:szCs w:val="20"/>
        </w:rPr>
      </w:pPr>
    </w:p>
    <w:p w14:paraId="3E677D4E" w14:textId="7F8C0C35" w:rsidR="001871BC" w:rsidRDefault="00713D81" w:rsidP="000A5ED1">
      <w:pPr>
        <w:spacing w:after="0"/>
        <w:rPr>
          <w:rFonts w:ascii="Arial" w:hAnsi="Arial" w:cs="Arial"/>
          <w:b/>
          <w:sz w:val="20"/>
          <w:szCs w:val="20"/>
        </w:rPr>
      </w:pPr>
      <w:r>
        <w:rPr>
          <w:rFonts w:ascii="Arial" w:hAnsi="Arial"/>
          <w:b/>
          <w:sz w:val="20"/>
          <w:szCs w:val="20"/>
        </w:rPr>
        <w:t>Selected top transactions | investments in Berlin | 1st and 2nd quarters 2020</w:t>
      </w:r>
    </w:p>
    <w:p w14:paraId="7F421361" w14:textId="77777777" w:rsidR="00350390" w:rsidRDefault="00350390" w:rsidP="000A5ED1">
      <w:pPr>
        <w:spacing w:after="0"/>
        <w:rPr>
          <w:rFonts w:ascii="Arial" w:eastAsia="Arial" w:hAnsi="Arial" w:cs="Arial"/>
          <w:color w:val="000000" w:themeColor="text1"/>
          <w:sz w:val="20"/>
          <w:szCs w:val="20"/>
        </w:rPr>
      </w:pPr>
    </w:p>
    <w:tbl>
      <w:tblPr>
        <w:tblStyle w:val="TableGrid1"/>
        <w:tblpPr w:leftFromText="141" w:rightFromText="141" w:vertAnchor="text" w:horzAnchor="margin" w:tblpY="61"/>
        <w:tblW w:w="9776" w:type="dxa"/>
        <w:tblLayout w:type="fixed"/>
        <w:tblLook w:val="04A0" w:firstRow="1" w:lastRow="0" w:firstColumn="1" w:lastColumn="0" w:noHBand="0" w:noVBand="1"/>
      </w:tblPr>
      <w:tblGrid>
        <w:gridCol w:w="2263"/>
        <w:gridCol w:w="1276"/>
        <w:gridCol w:w="992"/>
        <w:gridCol w:w="2127"/>
        <w:gridCol w:w="1842"/>
        <w:gridCol w:w="1276"/>
      </w:tblGrid>
      <w:tr w:rsidR="00713D81" w:rsidRPr="006F49D0" w14:paraId="3881C746" w14:textId="77777777" w:rsidTr="00B470B1">
        <w:trPr>
          <w:trHeight w:val="567"/>
        </w:trPr>
        <w:tc>
          <w:tcPr>
            <w:tcW w:w="2263" w:type="dxa"/>
            <w:shd w:val="clear" w:color="auto" w:fill="1F242B" w:themeFill="accent2"/>
            <w:vAlign w:val="center"/>
          </w:tcPr>
          <w:p w14:paraId="2D3315CD" w14:textId="77777777" w:rsidR="00713D81" w:rsidRDefault="00713D81" w:rsidP="00713D81">
            <w:pPr>
              <w:spacing w:after="0"/>
              <w:rPr>
                <w:rFonts w:ascii="Arial" w:hAnsi="Arial" w:cs="Arial"/>
                <w:b/>
                <w:sz w:val="18"/>
                <w:szCs w:val="16"/>
              </w:rPr>
            </w:pPr>
            <w:r>
              <w:rPr>
                <w:rFonts w:ascii="Arial" w:hAnsi="Arial"/>
                <w:b/>
                <w:sz w:val="18"/>
                <w:szCs w:val="16"/>
              </w:rPr>
              <w:t>Project/property</w:t>
            </w:r>
          </w:p>
          <w:p w14:paraId="1BD8284D" w14:textId="77777777" w:rsidR="00713D81" w:rsidRPr="00C626E7" w:rsidRDefault="00713D81" w:rsidP="00713D81">
            <w:pPr>
              <w:spacing w:after="0"/>
              <w:rPr>
                <w:rFonts w:ascii="Arial" w:hAnsi="Arial" w:cs="Arial"/>
                <w:b/>
                <w:sz w:val="18"/>
                <w:szCs w:val="16"/>
              </w:rPr>
            </w:pPr>
            <w:r>
              <w:rPr>
                <w:rFonts w:ascii="Arial" w:hAnsi="Arial"/>
                <w:b/>
                <w:sz w:val="18"/>
                <w:szCs w:val="16"/>
              </w:rPr>
              <w:t xml:space="preserve">Street no. </w:t>
            </w:r>
          </w:p>
        </w:tc>
        <w:tc>
          <w:tcPr>
            <w:tcW w:w="1276" w:type="dxa"/>
            <w:shd w:val="clear" w:color="auto" w:fill="1F242B" w:themeFill="accent2"/>
          </w:tcPr>
          <w:p w14:paraId="4E8EC8BF" w14:textId="77777777" w:rsidR="00713D81" w:rsidRPr="009F10F1" w:rsidRDefault="00713D81" w:rsidP="00713D81">
            <w:pPr>
              <w:widowControl w:val="0"/>
              <w:spacing w:before="60" w:afterLines="60" w:after="144"/>
              <w:rPr>
                <w:rFonts w:ascii="Arial" w:hAnsi="Arial" w:cs="Arial"/>
                <w:b/>
                <w:sz w:val="18"/>
                <w:szCs w:val="16"/>
              </w:rPr>
            </w:pPr>
            <w:r>
              <w:rPr>
                <w:rFonts w:ascii="Arial" w:hAnsi="Arial"/>
                <w:b/>
                <w:sz w:val="18"/>
                <w:szCs w:val="16"/>
              </w:rPr>
              <w:t>Sub-market</w:t>
            </w:r>
          </w:p>
        </w:tc>
        <w:tc>
          <w:tcPr>
            <w:tcW w:w="992" w:type="dxa"/>
            <w:shd w:val="clear" w:color="auto" w:fill="1F242B" w:themeFill="accent2"/>
          </w:tcPr>
          <w:p w14:paraId="56B818C2" w14:textId="77777777" w:rsidR="00713D81" w:rsidRPr="009F10F1" w:rsidRDefault="00713D81" w:rsidP="00713D81">
            <w:pPr>
              <w:widowControl w:val="0"/>
              <w:spacing w:before="60" w:afterLines="60" w:after="144"/>
              <w:rPr>
                <w:rFonts w:ascii="Arial" w:hAnsi="Arial" w:cs="Arial"/>
                <w:b/>
                <w:sz w:val="18"/>
                <w:szCs w:val="16"/>
              </w:rPr>
            </w:pPr>
            <w:r>
              <w:rPr>
                <w:rFonts w:ascii="Arial" w:hAnsi="Arial"/>
                <w:b/>
                <w:sz w:val="18"/>
                <w:szCs w:val="16"/>
              </w:rPr>
              <w:t>Asset class</w:t>
            </w:r>
          </w:p>
        </w:tc>
        <w:tc>
          <w:tcPr>
            <w:tcW w:w="2127" w:type="dxa"/>
            <w:shd w:val="clear" w:color="auto" w:fill="1F242B" w:themeFill="accent2"/>
            <w:vAlign w:val="center"/>
          </w:tcPr>
          <w:p w14:paraId="6F9AAE5A" w14:textId="77777777" w:rsidR="00713D81" w:rsidRPr="009F10F1" w:rsidRDefault="00713D81" w:rsidP="00713D81">
            <w:pPr>
              <w:widowControl w:val="0"/>
              <w:spacing w:before="60" w:afterLines="60" w:after="144"/>
              <w:rPr>
                <w:rFonts w:ascii="Arial" w:hAnsi="Arial" w:cs="Arial"/>
                <w:b/>
                <w:sz w:val="18"/>
                <w:szCs w:val="16"/>
              </w:rPr>
            </w:pPr>
            <w:r>
              <w:rPr>
                <w:rFonts w:ascii="Arial" w:hAnsi="Arial"/>
                <w:b/>
                <w:sz w:val="18"/>
                <w:szCs w:val="16"/>
              </w:rPr>
              <w:t>Buyer/investor</w:t>
            </w:r>
          </w:p>
        </w:tc>
        <w:tc>
          <w:tcPr>
            <w:tcW w:w="1842" w:type="dxa"/>
            <w:shd w:val="clear" w:color="auto" w:fill="1F242B" w:themeFill="accent2"/>
            <w:vAlign w:val="center"/>
          </w:tcPr>
          <w:p w14:paraId="1C1FB7C5" w14:textId="77777777" w:rsidR="00713D81" w:rsidRPr="009F10F1" w:rsidRDefault="00713D81" w:rsidP="00713D81">
            <w:pPr>
              <w:widowControl w:val="0"/>
              <w:spacing w:before="60" w:afterLines="60" w:after="144"/>
              <w:rPr>
                <w:rFonts w:ascii="Arial" w:hAnsi="Arial" w:cs="Arial"/>
                <w:b/>
                <w:sz w:val="18"/>
                <w:szCs w:val="16"/>
              </w:rPr>
            </w:pPr>
            <w:r>
              <w:rPr>
                <w:rFonts w:ascii="Arial" w:hAnsi="Arial"/>
                <w:b/>
                <w:sz w:val="18"/>
                <w:szCs w:val="16"/>
              </w:rPr>
              <w:t>Vendor</w:t>
            </w:r>
          </w:p>
        </w:tc>
        <w:tc>
          <w:tcPr>
            <w:tcW w:w="1276" w:type="dxa"/>
            <w:shd w:val="clear" w:color="auto" w:fill="1F242B" w:themeFill="accent2"/>
            <w:vAlign w:val="center"/>
          </w:tcPr>
          <w:p w14:paraId="07D9CAD3" w14:textId="77777777" w:rsidR="00713D81" w:rsidRPr="009F10F1" w:rsidRDefault="00713D81" w:rsidP="00713D81">
            <w:pPr>
              <w:widowControl w:val="0"/>
              <w:spacing w:before="60" w:after="0"/>
              <w:jc w:val="right"/>
              <w:rPr>
                <w:rFonts w:ascii="Arial" w:hAnsi="Arial" w:cs="Arial"/>
                <w:b/>
                <w:sz w:val="18"/>
                <w:szCs w:val="16"/>
              </w:rPr>
            </w:pPr>
            <w:r>
              <w:rPr>
                <w:rFonts w:ascii="Arial" w:hAnsi="Arial"/>
                <w:b/>
                <w:sz w:val="18"/>
                <w:szCs w:val="16"/>
              </w:rPr>
              <w:t>Purchase price*</w:t>
            </w:r>
          </w:p>
          <w:p w14:paraId="4946B45A" w14:textId="77777777" w:rsidR="00713D81" w:rsidRPr="009F10F1" w:rsidRDefault="00713D81" w:rsidP="00713D81">
            <w:pPr>
              <w:widowControl w:val="0"/>
              <w:spacing w:before="60" w:after="0"/>
              <w:jc w:val="right"/>
              <w:rPr>
                <w:rFonts w:ascii="Arial" w:hAnsi="Arial" w:cs="Arial"/>
                <w:b/>
                <w:sz w:val="18"/>
                <w:szCs w:val="16"/>
              </w:rPr>
            </w:pPr>
            <w:r>
              <w:rPr>
                <w:rFonts w:ascii="Arial" w:hAnsi="Arial"/>
                <w:sz w:val="18"/>
                <w:szCs w:val="16"/>
              </w:rPr>
              <w:t>[approx. €m]</w:t>
            </w:r>
          </w:p>
        </w:tc>
      </w:tr>
      <w:tr w:rsidR="00C05974" w:rsidRPr="006F49D0" w14:paraId="0B564638" w14:textId="77777777" w:rsidTr="006C17AA">
        <w:trPr>
          <w:trHeight w:val="567"/>
        </w:trPr>
        <w:tc>
          <w:tcPr>
            <w:tcW w:w="2263" w:type="dxa"/>
            <w:shd w:val="clear" w:color="auto" w:fill="CECACE" w:themeFill="background2" w:themeFillShade="E6"/>
            <w:vAlign w:val="center"/>
          </w:tcPr>
          <w:p w14:paraId="0E6078DB" w14:textId="161ED337" w:rsidR="00BF539F" w:rsidRPr="009F10F1" w:rsidRDefault="002A14CE" w:rsidP="00102BA7">
            <w:pPr>
              <w:widowControl w:val="0"/>
              <w:spacing w:after="0"/>
              <w:rPr>
                <w:rFonts w:ascii="Arial" w:hAnsi="Arial" w:cs="Arial"/>
                <w:sz w:val="18"/>
                <w:szCs w:val="16"/>
              </w:rPr>
            </w:pPr>
            <w:r>
              <w:rPr>
                <w:rFonts w:ascii="Arial" w:hAnsi="Arial"/>
                <w:sz w:val="18"/>
                <w:szCs w:val="16"/>
              </w:rPr>
              <w:t xml:space="preserve">Quartier </w:t>
            </w:r>
            <w:proofErr w:type="spellStart"/>
            <w:r>
              <w:rPr>
                <w:rFonts w:ascii="Arial" w:hAnsi="Arial"/>
                <w:sz w:val="18"/>
                <w:szCs w:val="16"/>
              </w:rPr>
              <w:t>Schützenstrasse</w:t>
            </w:r>
            <w:proofErr w:type="spellEnd"/>
          </w:p>
        </w:tc>
        <w:tc>
          <w:tcPr>
            <w:tcW w:w="1276" w:type="dxa"/>
            <w:shd w:val="clear" w:color="auto" w:fill="CECACE" w:themeFill="background2" w:themeFillShade="E6"/>
            <w:vAlign w:val="center"/>
          </w:tcPr>
          <w:p w14:paraId="26092AC0" w14:textId="6490F915" w:rsidR="00102BA7" w:rsidRPr="009F10F1" w:rsidRDefault="002A14CE" w:rsidP="00102BA7">
            <w:pPr>
              <w:widowControl w:val="0"/>
              <w:spacing w:after="0"/>
              <w:rPr>
                <w:rFonts w:ascii="Arial" w:hAnsi="Arial" w:cs="Arial"/>
                <w:sz w:val="18"/>
                <w:szCs w:val="16"/>
              </w:rPr>
            </w:pPr>
            <w:proofErr w:type="spellStart"/>
            <w:r>
              <w:rPr>
                <w:rFonts w:ascii="Arial" w:hAnsi="Arial"/>
                <w:sz w:val="18"/>
                <w:szCs w:val="16"/>
              </w:rPr>
              <w:t>Mitte</w:t>
            </w:r>
            <w:proofErr w:type="spellEnd"/>
            <w:r>
              <w:rPr>
                <w:rFonts w:ascii="Arial" w:hAnsi="Arial"/>
                <w:sz w:val="18"/>
                <w:szCs w:val="16"/>
              </w:rPr>
              <w:t xml:space="preserve"> 1a</w:t>
            </w:r>
          </w:p>
        </w:tc>
        <w:tc>
          <w:tcPr>
            <w:tcW w:w="992" w:type="dxa"/>
            <w:shd w:val="clear" w:color="auto" w:fill="CECACE" w:themeFill="background2" w:themeFillShade="E6"/>
            <w:vAlign w:val="center"/>
          </w:tcPr>
          <w:p w14:paraId="48B9BC46" w14:textId="62B6C584" w:rsidR="00102BA7" w:rsidRPr="009F10F1" w:rsidRDefault="002A14CE" w:rsidP="00102BA7">
            <w:pPr>
              <w:widowControl w:val="0"/>
              <w:spacing w:after="0"/>
              <w:rPr>
                <w:rFonts w:ascii="Arial" w:hAnsi="Arial" w:cs="Arial"/>
                <w:sz w:val="18"/>
                <w:szCs w:val="16"/>
              </w:rPr>
            </w:pPr>
            <w:r>
              <w:rPr>
                <w:rFonts w:ascii="Arial" w:hAnsi="Arial"/>
                <w:sz w:val="18"/>
                <w:szCs w:val="16"/>
              </w:rPr>
              <w:t>Offices</w:t>
            </w:r>
          </w:p>
        </w:tc>
        <w:tc>
          <w:tcPr>
            <w:tcW w:w="2127" w:type="dxa"/>
            <w:shd w:val="clear" w:color="auto" w:fill="CECACE" w:themeFill="background2" w:themeFillShade="E6"/>
            <w:vAlign w:val="center"/>
          </w:tcPr>
          <w:p w14:paraId="1878AFEF" w14:textId="737A052B" w:rsidR="00102BA7" w:rsidRPr="009F10F1" w:rsidRDefault="002A14CE" w:rsidP="00102BA7">
            <w:pPr>
              <w:widowControl w:val="0"/>
              <w:spacing w:after="0"/>
              <w:rPr>
                <w:rFonts w:ascii="Arial" w:hAnsi="Arial" w:cs="Arial"/>
                <w:sz w:val="18"/>
                <w:szCs w:val="16"/>
              </w:rPr>
            </w:pPr>
            <w:r>
              <w:rPr>
                <w:rFonts w:ascii="Arial" w:hAnsi="Arial"/>
                <w:sz w:val="18"/>
                <w:szCs w:val="16"/>
              </w:rPr>
              <w:t>Henderson Park</w:t>
            </w:r>
          </w:p>
        </w:tc>
        <w:tc>
          <w:tcPr>
            <w:tcW w:w="1842" w:type="dxa"/>
            <w:shd w:val="clear" w:color="auto" w:fill="CECACE" w:themeFill="background2" w:themeFillShade="E6"/>
            <w:vAlign w:val="center"/>
          </w:tcPr>
          <w:p w14:paraId="690229E1" w14:textId="5359BF36" w:rsidR="00102BA7" w:rsidRPr="0020161B" w:rsidRDefault="002A14CE" w:rsidP="00102BA7">
            <w:pPr>
              <w:widowControl w:val="0"/>
              <w:spacing w:after="0"/>
              <w:rPr>
                <w:rFonts w:ascii="Arial" w:hAnsi="Arial" w:cs="Arial"/>
                <w:sz w:val="18"/>
                <w:szCs w:val="16"/>
              </w:rPr>
            </w:pPr>
            <w:proofErr w:type="spellStart"/>
            <w:r>
              <w:rPr>
                <w:rFonts w:ascii="Arial" w:hAnsi="Arial"/>
                <w:sz w:val="18"/>
                <w:szCs w:val="16"/>
              </w:rPr>
              <w:t>Caleus</w:t>
            </w:r>
            <w:proofErr w:type="spellEnd"/>
            <w:r>
              <w:rPr>
                <w:rFonts w:ascii="Arial" w:hAnsi="Arial"/>
                <w:sz w:val="18"/>
                <w:szCs w:val="16"/>
              </w:rPr>
              <w:t xml:space="preserve"> Capital Partners for GIC</w:t>
            </w:r>
          </w:p>
        </w:tc>
        <w:tc>
          <w:tcPr>
            <w:tcW w:w="1276" w:type="dxa"/>
            <w:shd w:val="clear" w:color="auto" w:fill="CECACE" w:themeFill="background2" w:themeFillShade="E6"/>
            <w:vAlign w:val="center"/>
          </w:tcPr>
          <w:p w14:paraId="130D9693" w14:textId="45440CE7" w:rsidR="00102BA7" w:rsidRPr="009F10F1" w:rsidRDefault="002A14CE" w:rsidP="00102BA7">
            <w:pPr>
              <w:widowControl w:val="0"/>
              <w:spacing w:after="0"/>
              <w:jc w:val="right"/>
              <w:rPr>
                <w:rFonts w:ascii="Arial" w:hAnsi="Arial" w:cs="Arial"/>
                <w:sz w:val="18"/>
                <w:szCs w:val="16"/>
              </w:rPr>
            </w:pPr>
            <w:r>
              <w:rPr>
                <w:rFonts w:ascii="Arial" w:hAnsi="Arial"/>
                <w:sz w:val="18"/>
                <w:szCs w:val="16"/>
              </w:rPr>
              <w:t>194</w:t>
            </w:r>
          </w:p>
        </w:tc>
      </w:tr>
      <w:tr w:rsidR="00644ED6" w:rsidRPr="006F49D0" w14:paraId="271CBB27" w14:textId="77777777" w:rsidTr="00703C64">
        <w:trPr>
          <w:trHeight w:val="567"/>
        </w:trPr>
        <w:tc>
          <w:tcPr>
            <w:tcW w:w="2263" w:type="dxa"/>
            <w:shd w:val="clear" w:color="auto" w:fill="auto"/>
            <w:vAlign w:val="center"/>
          </w:tcPr>
          <w:p w14:paraId="390FD8F6" w14:textId="3770685A" w:rsidR="00644ED6" w:rsidRDefault="00644ED6" w:rsidP="00644ED6">
            <w:pPr>
              <w:widowControl w:val="0"/>
              <w:spacing w:after="0"/>
              <w:rPr>
                <w:rFonts w:ascii="Arial" w:hAnsi="Arial" w:cs="Arial"/>
                <w:sz w:val="18"/>
                <w:szCs w:val="16"/>
              </w:rPr>
            </w:pPr>
            <w:r>
              <w:rPr>
                <w:rFonts w:ascii="Arial" w:hAnsi="Arial"/>
                <w:sz w:val="18"/>
                <w:szCs w:val="16"/>
              </w:rPr>
              <w:t>“The Grid”</w:t>
            </w:r>
          </w:p>
        </w:tc>
        <w:tc>
          <w:tcPr>
            <w:tcW w:w="1276" w:type="dxa"/>
            <w:shd w:val="clear" w:color="auto" w:fill="auto"/>
            <w:vAlign w:val="center"/>
          </w:tcPr>
          <w:p w14:paraId="300314D5" w14:textId="6E601F35" w:rsidR="00644ED6" w:rsidRDefault="00644ED6" w:rsidP="00644ED6">
            <w:pPr>
              <w:widowControl w:val="0"/>
              <w:spacing w:after="0"/>
              <w:rPr>
                <w:rFonts w:ascii="Arial" w:hAnsi="Arial" w:cs="Arial"/>
                <w:sz w:val="18"/>
                <w:szCs w:val="16"/>
              </w:rPr>
            </w:pPr>
            <w:proofErr w:type="spellStart"/>
            <w:r>
              <w:rPr>
                <w:rFonts w:ascii="Arial" w:hAnsi="Arial"/>
                <w:sz w:val="18"/>
                <w:szCs w:val="16"/>
              </w:rPr>
              <w:t>Kreuzberg</w:t>
            </w:r>
            <w:proofErr w:type="spellEnd"/>
          </w:p>
        </w:tc>
        <w:tc>
          <w:tcPr>
            <w:tcW w:w="992" w:type="dxa"/>
            <w:shd w:val="clear" w:color="auto" w:fill="auto"/>
            <w:vAlign w:val="center"/>
          </w:tcPr>
          <w:p w14:paraId="01430374" w14:textId="789A1E46" w:rsidR="00644ED6" w:rsidRDefault="00644ED6" w:rsidP="00644ED6">
            <w:pPr>
              <w:widowControl w:val="0"/>
              <w:spacing w:after="0"/>
              <w:rPr>
                <w:rFonts w:ascii="Arial" w:hAnsi="Arial" w:cs="Arial"/>
                <w:sz w:val="18"/>
                <w:szCs w:val="16"/>
              </w:rPr>
            </w:pPr>
            <w:r>
              <w:rPr>
                <w:rFonts w:ascii="Arial" w:hAnsi="Arial"/>
                <w:sz w:val="18"/>
                <w:szCs w:val="16"/>
              </w:rPr>
              <w:t>Offices</w:t>
            </w:r>
          </w:p>
        </w:tc>
        <w:tc>
          <w:tcPr>
            <w:tcW w:w="2127" w:type="dxa"/>
            <w:shd w:val="clear" w:color="auto" w:fill="auto"/>
            <w:vAlign w:val="center"/>
          </w:tcPr>
          <w:p w14:paraId="02E824FA" w14:textId="4B886488" w:rsidR="00644ED6" w:rsidRDefault="00644ED6" w:rsidP="00644ED6">
            <w:pPr>
              <w:widowControl w:val="0"/>
              <w:spacing w:after="0"/>
              <w:rPr>
                <w:rFonts w:ascii="Arial" w:hAnsi="Arial" w:cs="Arial"/>
                <w:sz w:val="18"/>
                <w:szCs w:val="16"/>
              </w:rPr>
            </w:pPr>
            <w:r>
              <w:rPr>
                <w:rFonts w:ascii="Arial" w:hAnsi="Arial"/>
                <w:sz w:val="18"/>
                <w:szCs w:val="16"/>
              </w:rPr>
              <w:t>DWS</w:t>
            </w:r>
          </w:p>
        </w:tc>
        <w:tc>
          <w:tcPr>
            <w:tcW w:w="1842" w:type="dxa"/>
            <w:shd w:val="clear" w:color="auto" w:fill="auto"/>
            <w:vAlign w:val="center"/>
          </w:tcPr>
          <w:p w14:paraId="1EDF4844" w14:textId="4A858E0C" w:rsidR="00644ED6" w:rsidRDefault="00644ED6" w:rsidP="00644ED6">
            <w:pPr>
              <w:widowControl w:val="0"/>
              <w:spacing w:after="0"/>
              <w:rPr>
                <w:rFonts w:ascii="Arial" w:hAnsi="Arial" w:cs="Arial"/>
                <w:sz w:val="18"/>
                <w:szCs w:val="16"/>
              </w:rPr>
            </w:pPr>
            <w:r>
              <w:rPr>
                <w:rFonts w:ascii="Arial" w:hAnsi="Arial"/>
                <w:sz w:val="18"/>
                <w:szCs w:val="16"/>
              </w:rPr>
              <w:t>Pandion</w:t>
            </w:r>
          </w:p>
        </w:tc>
        <w:tc>
          <w:tcPr>
            <w:tcW w:w="1276" w:type="dxa"/>
            <w:shd w:val="clear" w:color="auto" w:fill="auto"/>
            <w:vAlign w:val="center"/>
          </w:tcPr>
          <w:p w14:paraId="76E41594" w14:textId="00A737A2" w:rsidR="00644ED6" w:rsidRDefault="00644ED6" w:rsidP="00644ED6">
            <w:pPr>
              <w:widowControl w:val="0"/>
              <w:spacing w:after="0"/>
              <w:jc w:val="right"/>
              <w:rPr>
                <w:rFonts w:ascii="Arial" w:hAnsi="Arial" w:cs="Arial"/>
                <w:sz w:val="18"/>
                <w:szCs w:val="16"/>
              </w:rPr>
            </w:pPr>
            <w:r>
              <w:rPr>
                <w:rFonts w:ascii="Arial" w:hAnsi="Arial"/>
                <w:sz w:val="18"/>
                <w:szCs w:val="16"/>
              </w:rPr>
              <w:t>129</w:t>
            </w:r>
          </w:p>
        </w:tc>
      </w:tr>
      <w:tr w:rsidR="00644ED6" w:rsidRPr="006F49D0" w14:paraId="2F5019A6" w14:textId="77777777" w:rsidTr="00B470B1">
        <w:trPr>
          <w:trHeight w:val="567"/>
        </w:trPr>
        <w:tc>
          <w:tcPr>
            <w:tcW w:w="2263" w:type="dxa"/>
            <w:shd w:val="clear" w:color="auto" w:fill="FFFFFF" w:themeFill="background1"/>
            <w:vAlign w:val="center"/>
          </w:tcPr>
          <w:p w14:paraId="62F38118" w14:textId="6355D88B" w:rsidR="00644ED6" w:rsidRDefault="00644ED6" w:rsidP="00644ED6">
            <w:pPr>
              <w:widowControl w:val="0"/>
              <w:spacing w:after="0"/>
              <w:rPr>
                <w:rFonts w:ascii="Arial" w:hAnsi="Arial" w:cs="Arial"/>
                <w:sz w:val="18"/>
                <w:szCs w:val="16"/>
              </w:rPr>
            </w:pPr>
            <w:r>
              <w:rPr>
                <w:rFonts w:ascii="Arial" w:hAnsi="Arial"/>
                <w:sz w:val="18"/>
                <w:szCs w:val="16"/>
              </w:rPr>
              <w:t>“Enter”</w:t>
            </w:r>
          </w:p>
        </w:tc>
        <w:tc>
          <w:tcPr>
            <w:tcW w:w="1276" w:type="dxa"/>
            <w:shd w:val="clear" w:color="auto" w:fill="FFFFFF" w:themeFill="background1"/>
            <w:vAlign w:val="center"/>
          </w:tcPr>
          <w:p w14:paraId="32AC69C9" w14:textId="6F613F0F" w:rsidR="00644ED6" w:rsidRDefault="00644ED6" w:rsidP="00644ED6">
            <w:pPr>
              <w:widowControl w:val="0"/>
              <w:spacing w:after="0"/>
              <w:rPr>
                <w:rFonts w:ascii="Arial" w:hAnsi="Arial" w:cs="Arial"/>
                <w:sz w:val="18"/>
                <w:szCs w:val="16"/>
              </w:rPr>
            </w:pPr>
            <w:r>
              <w:rPr>
                <w:rFonts w:ascii="Arial" w:hAnsi="Arial"/>
                <w:sz w:val="18"/>
                <w:szCs w:val="16"/>
              </w:rPr>
              <w:t>Periphery North</w:t>
            </w:r>
          </w:p>
        </w:tc>
        <w:tc>
          <w:tcPr>
            <w:tcW w:w="992" w:type="dxa"/>
            <w:shd w:val="clear" w:color="auto" w:fill="FFFFFF" w:themeFill="background1"/>
            <w:vAlign w:val="center"/>
          </w:tcPr>
          <w:p w14:paraId="1B63055C" w14:textId="00BD183E" w:rsidR="00644ED6" w:rsidRDefault="00644ED6" w:rsidP="00644ED6">
            <w:pPr>
              <w:widowControl w:val="0"/>
              <w:spacing w:after="0"/>
              <w:rPr>
                <w:rFonts w:ascii="Arial" w:hAnsi="Arial" w:cs="Arial"/>
                <w:sz w:val="18"/>
                <w:szCs w:val="16"/>
              </w:rPr>
            </w:pPr>
            <w:r>
              <w:rPr>
                <w:rFonts w:ascii="Arial" w:hAnsi="Arial"/>
                <w:sz w:val="18"/>
                <w:szCs w:val="16"/>
              </w:rPr>
              <w:t>Offices</w:t>
            </w:r>
          </w:p>
        </w:tc>
        <w:tc>
          <w:tcPr>
            <w:tcW w:w="2127" w:type="dxa"/>
            <w:shd w:val="clear" w:color="auto" w:fill="FFFFFF" w:themeFill="background1"/>
            <w:vAlign w:val="center"/>
          </w:tcPr>
          <w:p w14:paraId="40D15CE2" w14:textId="7157A450" w:rsidR="00644ED6" w:rsidRDefault="00644ED6" w:rsidP="00644ED6">
            <w:pPr>
              <w:widowControl w:val="0"/>
              <w:spacing w:after="0"/>
              <w:rPr>
                <w:rFonts w:ascii="Arial" w:hAnsi="Arial" w:cs="Arial"/>
                <w:sz w:val="18"/>
                <w:szCs w:val="16"/>
              </w:rPr>
            </w:pPr>
            <w:r>
              <w:rPr>
                <w:rFonts w:ascii="Arial" w:hAnsi="Arial"/>
                <w:sz w:val="18"/>
                <w:szCs w:val="16"/>
              </w:rPr>
              <w:t xml:space="preserve">DEKA </w:t>
            </w:r>
            <w:proofErr w:type="spellStart"/>
            <w:r>
              <w:rPr>
                <w:rFonts w:ascii="Arial" w:hAnsi="Arial"/>
                <w:sz w:val="18"/>
                <w:szCs w:val="16"/>
              </w:rPr>
              <w:t>Immobilien</w:t>
            </w:r>
            <w:proofErr w:type="spellEnd"/>
          </w:p>
        </w:tc>
        <w:tc>
          <w:tcPr>
            <w:tcW w:w="1842" w:type="dxa"/>
            <w:shd w:val="clear" w:color="auto" w:fill="FFFFFF" w:themeFill="background1"/>
            <w:vAlign w:val="center"/>
          </w:tcPr>
          <w:p w14:paraId="3AE5285D" w14:textId="4A478E32" w:rsidR="00644ED6" w:rsidRDefault="00644ED6" w:rsidP="00644ED6">
            <w:pPr>
              <w:widowControl w:val="0"/>
              <w:spacing w:after="0"/>
              <w:rPr>
                <w:rFonts w:ascii="Arial" w:hAnsi="Arial" w:cs="Arial"/>
                <w:sz w:val="18"/>
                <w:szCs w:val="16"/>
              </w:rPr>
            </w:pPr>
            <w:r>
              <w:rPr>
                <w:rFonts w:ascii="Arial" w:hAnsi="Arial"/>
                <w:sz w:val="18"/>
                <w:szCs w:val="16"/>
              </w:rPr>
              <w:t>Townscape One</w:t>
            </w:r>
          </w:p>
        </w:tc>
        <w:tc>
          <w:tcPr>
            <w:tcW w:w="1276" w:type="dxa"/>
            <w:shd w:val="clear" w:color="auto" w:fill="FFFFFF" w:themeFill="background1"/>
            <w:vAlign w:val="center"/>
          </w:tcPr>
          <w:p w14:paraId="044A3E99" w14:textId="3626E038" w:rsidR="00644ED6" w:rsidRDefault="00644ED6" w:rsidP="00644ED6">
            <w:pPr>
              <w:widowControl w:val="0"/>
              <w:spacing w:after="0"/>
              <w:jc w:val="right"/>
              <w:rPr>
                <w:rFonts w:ascii="Arial" w:hAnsi="Arial" w:cs="Arial"/>
                <w:sz w:val="18"/>
                <w:szCs w:val="16"/>
              </w:rPr>
            </w:pPr>
            <w:r>
              <w:rPr>
                <w:rFonts w:ascii="Arial" w:hAnsi="Arial"/>
                <w:sz w:val="18"/>
                <w:szCs w:val="16"/>
              </w:rPr>
              <w:t>120</w:t>
            </w:r>
          </w:p>
        </w:tc>
      </w:tr>
      <w:tr w:rsidR="00057636" w:rsidRPr="006F49D0" w14:paraId="0043471F" w14:textId="77777777" w:rsidTr="00057636">
        <w:trPr>
          <w:trHeight w:val="567"/>
        </w:trPr>
        <w:tc>
          <w:tcPr>
            <w:tcW w:w="2263" w:type="dxa"/>
            <w:shd w:val="clear" w:color="auto" w:fill="CECACE" w:themeFill="background2" w:themeFillShade="E6"/>
            <w:vAlign w:val="center"/>
          </w:tcPr>
          <w:p w14:paraId="0E7F6440" w14:textId="77777777" w:rsidR="00057636" w:rsidRDefault="00057636" w:rsidP="00644ED6">
            <w:pPr>
              <w:widowControl w:val="0"/>
              <w:spacing w:after="0"/>
              <w:rPr>
                <w:rFonts w:ascii="Arial" w:hAnsi="Arial" w:cs="Arial"/>
                <w:sz w:val="18"/>
                <w:szCs w:val="16"/>
              </w:rPr>
            </w:pPr>
            <w:proofErr w:type="spellStart"/>
            <w:r>
              <w:rPr>
                <w:rFonts w:ascii="Arial" w:hAnsi="Arial"/>
                <w:sz w:val="18"/>
                <w:szCs w:val="16"/>
              </w:rPr>
              <w:lastRenderedPageBreak/>
              <w:t>Kabel</w:t>
            </w:r>
            <w:proofErr w:type="spellEnd"/>
            <w:r>
              <w:rPr>
                <w:rFonts w:ascii="Arial" w:hAnsi="Arial"/>
                <w:sz w:val="18"/>
                <w:szCs w:val="16"/>
              </w:rPr>
              <w:t>-Deutschland,</w:t>
            </w:r>
          </w:p>
          <w:p w14:paraId="036481F1" w14:textId="41E4BBF0" w:rsidR="00057636" w:rsidRDefault="00057636" w:rsidP="00644ED6">
            <w:pPr>
              <w:widowControl w:val="0"/>
              <w:spacing w:after="0"/>
              <w:rPr>
                <w:rFonts w:ascii="Arial" w:hAnsi="Arial" w:cs="Arial"/>
                <w:sz w:val="18"/>
                <w:szCs w:val="16"/>
              </w:rPr>
            </w:pPr>
            <w:proofErr w:type="spellStart"/>
            <w:r>
              <w:rPr>
                <w:rFonts w:ascii="Arial" w:hAnsi="Arial"/>
                <w:sz w:val="18"/>
                <w:szCs w:val="16"/>
              </w:rPr>
              <w:t>Germaniastrasse</w:t>
            </w:r>
            <w:proofErr w:type="spellEnd"/>
            <w:r>
              <w:rPr>
                <w:rFonts w:ascii="Arial" w:hAnsi="Arial"/>
                <w:sz w:val="18"/>
                <w:szCs w:val="16"/>
              </w:rPr>
              <w:t xml:space="preserve"> 14-17</w:t>
            </w:r>
          </w:p>
        </w:tc>
        <w:tc>
          <w:tcPr>
            <w:tcW w:w="1276" w:type="dxa"/>
            <w:shd w:val="clear" w:color="auto" w:fill="CECACE" w:themeFill="background2" w:themeFillShade="E6"/>
            <w:vAlign w:val="center"/>
          </w:tcPr>
          <w:p w14:paraId="41D9AB2E" w14:textId="396E6ED5" w:rsidR="00057636" w:rsidRDefault="005C7442" w:rsidP="00644ED6">
            <w:pPr>
              <w:widowControl w:val="0"/>
              <w:spacing w:after="0"/>
              <w:rPr>
                <w:rFonts w:ascii="Arial" w:hAnsi="Arial" w:cs="Arial"/>
                <w:sz w:val="18"/>
                <w:szCs w:val="16"/>
              </w:rPr>
            </w:pPr>
            <w:r>
              <w:rPr>
                <w:rFonts w:ascii="Arial" w:hAnsi="Arial"/>
                <w:sz w:val="18"/>
                <w:szCs w:val="16"/>
              </w:rPr>
              <w:t>Periphery S</w:t>
            </w:r>
            <w:r w:rsidR="00057636">
              <w:rPr>
                <w:rFonts w:ascii="Arial" w:hAnsi="Arial"/>
                <w:sz w:val="18"/>
                <w:szCs w:val="16"/>
              </w:rPr>
              <w:t>outh</w:t>
            </w:r>
          </w:p>
        </w:tc>
        <w:tc>
          <w:tcPr>
            <w:tcW w:w="992" w:type="dxa"/>
            <w:shd w:val="clear" w:color="auto" w:fill="CECACE" w:themeFill="background2" w:themeFillShade="E6"/>
            <w:vAlign w:val="center"/>
          </w:tcPr>
          <w:p w14:paraId="5688D921" w14:textId="1EA7F71D" w:rsidR="00057636" w:rsidRDefault="00057636" w:rsidP="00644ED6">
            <w:pPr>
              <w:widowControl w:val="0"/>
              <w:spacing w:after="0"/>
              <w:rPr>
                <w:rFonts w:ascii="Arial" w:hAnsi="Arial" w:cs="Arial"/>
                <w:sz w:val="18"/>
                <w:szCs w:val="16"/>
              </w:rPr>
            </w:pPr>
            <w:r>
              <w:rPr>
                <w:rFonts w:ascii="Arial" w:hAnsi="Arial"/>
                <w:sz w:val="18"/>
                <w:szCs w:val="16"/>
              </w:rPr>
              <w:t>Offices</w:t>
            </w:r>
          </w:p>
        </w:tc>
        <w:tc>
          <w:tcPr>
            <w:tcW w:w="2127" w:type="dxa"/>
            <w:shd w:val="clear" w:color="auto" w:fill="CECACE" w:themeFill="background2" w:themeFillShade="E6"/>
            <w:vAlign w:val="center"/>
          </w:tcPr>
          <w:p w14:paraId="5AFEA386" w14:textId="6ACA2E08" w:rsidR="00057636" w:rsidRDefault="00057636" w:rsidP="00644ED6">
            <w:pPr>
              <w:widowControl w:val="0"/>
              <w:spacing w:after="0"/>
              <w:rPr>
                <w:rFonts w:ascii="Arial" w:hAnsi="Arial" w:cs="Arial"/>
                <w:sz w:val="18"/>
                <w:szCs w:val="16"/>
              </w:rPr>
            </w:pPr>
            <w:proofErr w:type="spellStart"/>
            <w:r>
              <w:rPr>
                <w:rFonts w:ascii="Arial" w:hAnsi="Arial"/>
                <w:sz w:val="18"/>
                <w:szCs w:val="16"/>
              </w:rPr>
              <w:t>Colcap</w:t>
            </w:r>
            <w:proofErr w:type="spellEnd"/>
          </w:p>
        </w:tc>
        <w:tc>
          <w:tcPr>
            <w:tcW w:w="1842" w:type="dxa"/>
            <w:shd w:val="clear" w:color="auto" w:fill="CECACE" w:themeFill="background2" w:themeFillShade="E6"/>
            <w:vAlign w:val="center"/>
          </w:tcPr>
          <w:p w14:paraId="75D43207" w14:textId="38554585" w:rsidR="00057636" w:rsidRDefault="00057636" w:rsidP="00644ED6">
            <w:pPr>
              <w:widowControl w:val="0"/>
              <w:spacing w:after="0"/>
              <w:rPr>
                <w:rFonts w:ascii="Arial" w:hAnsi="Arial" w:cs="Arial"/>
                <w:sz w:val="18"/>
                <w:szCs w:val="16"/>
              </w:rPr>
            </w:pPr>
            <w:r>
              <w:rPr>
                <w:rFonts w:ascii="Arial" w:hAnsi="Arial"/>
                <w:sz w:val="18"/>
                <w:szCs w:val="16"/>
              </w:rPr>
              <w:t>Signature Capital Limited</w:t>
            </w:r>
          </w:p>
        </w:tc>
        <w:tc>
          <w:tcPr>
            <w:tcW w:w="1276" w:type="dxa"/>
            <w:shd w:val="clear" w:color="auto" w:fill="CECACE" w:themeFill="background2" w:themeFillShade="E6"/>
            <w:vAlign w:val="center"/>
          </w:tcPr>
          <w:p w14:paraId="68903B64" w14:textId="56A28546" w:rsidR="00057636" w:rsidRDefault="00057636" w:rsidP="00644ED6">
            <w:pPr>
              <w:widowControl w:val="0"/>
              <w:spacing w:after="0"/>
              <w:jc w:val="right"/>
              <w:rPr>
                <w:rFonts w:ascii="Arial" w:hAnsi="Arial" w:cs="Arial"/>
                <w:sz w:val="18"/>
                <w:szCs w:val="16"/>
              </w:rPr>
            </w:pPr>
            <w:r>
              <w:rPr>
                <w:rFonts w:ascii="Arial" w:hAnsi="Arial"/>
                <w:sz w:val="18"/>
                <w:szCs w:val="16"/>
              </w:rPr>
              <w:t>70</w:t>
            </w:r>
          </w:p>
        </w:tc>
      </w:tr>
      <w:tr w:rsidR="00057636" w:rsidRPr="006F49D0" w14:paraId="1B8A6C27" w14:textId="77777777" w:rsidTr="00057636">
        <w:trPr>
          <w:trHeight w:val="567"/>
        </w:trPr>
        <w:tc>
          <w:tcPr>
            <w:tcW w:w="2263" w:type="dxa"/>
            <w:shd w:val="clear" w:color="auto" w:fill="CECACE" w:themeFill="background2" w:themeFillShade="E6"/>
            <w:vAlign w:val="center"/>
          </w:tcPr>
          <w:p w14:paraId="13486379" w14:textId="77777777" w:rsidR="00057636" w:rsidRDefault="00057636" w:rsidP="00644ED6">
            <w:pPr>
              <w:widowControl w:val="0"/>
              <w:spacing w:after="0"/>
              <w:rPr>
                <w:rFonts w:ascii="Arial" w:hAnsi="Arial" w:cs="Arial"/>
                <w:sz w:val="18"/>
                <w:szCs w:val="16"/>
              </w:rPr>
            </w:pPr>
            <w:r>
              <w:rPr>
                <w:rFonts w:ascii="Arial" w:hAnsi="Arial"/>
                <w:sz w:val="18"/>
                <w:szCs w:val="16"/>
              </w:rPr>
              <w:t>“</w:t>
            </w:r>
            <w:proofErr w:type="spellStart"/>
            <w:r>
              <w:rPr>
                <w:rFonts w:ascii="Arial" w:hAnsi="Arial"/>
                <w:sz w:val="18"/>
                <w:szCs w:val="16"/>
              </w:rPr>
              <w:t>Mebeshaus</w:t>
            </w:r>
            <w:proofErr w:type="spellEnd"/>
            <w:r>
              <w:rPr>
                <w:rFonts w:ascii="Arial" w:hAnsi="Arial"/>
                <w:sz w:val="18"/>
                <w:szCs w:val="16"/>
              </w:rPr>
              <w:t>”</w:t>
            </w:r>
          </w:p>
          <w:p w14:paraId="0B9729FC" w14:textId="686AB774" w:rsidR="00057636" w:rsidRDefault="00057636" w:rsidP="00644ED6">
            <w:pPr>
              <w:widowControl w:val="0"/>
              <w:spacing w:after="0"/>
              <w:rPr>
                <w:rFonts w:ascii="Arial" w:hAnsi="Arial" w:cs="Arial"/>
                <w:sz w:val="18"/>
                <w:szCs w:val="16"/>
              </w:rPr>
            </w:pPr>
            <w:proofErr w:type="spellStart"/>
            <w:r>
              <w:rPr>
                <w:rFonts w:ascii="Arial" w:hAnsi="Arial"/>
                <w:sz w:val="18"/>
                <w:szCs w:val="16"/>
              </w:rPr>
              <w:t>Charlottenstrasse</w:t>
            </w:r>
            <w:proofErr w:type="spellEnd"/>
            <w:r>
              <w:rPr>
                <w:rFonts w:ascii="Arial" w:hAnsi="Arial"/>
                <w:sz w:val="18"/>
                <w:szCs w:val="16"/>
              </w:rPr>
              <w:t xml:space="preserve"> 82</w:t>
            </w:r>
          </w:p>
        </w:tc>
        <w:tc>
          <w:tcPr>
            <w:tcW w:w="1276" w:type="dxa"/>
            <w:shd w:val="clear" w:color="auto" w:fill="CECACE" w:themeFill="background2" w:themeFillShade="E6"/>
            <w:vAlign w:val="center"/>
          </w:tcPr>
          <w:p w14:paraId="41324DF0" w14:textId="25FFB57B" w:rsidR="00057636" w:rsidRDefault="00057636" w:rsidP="00644ED6">
            <w:pPr>
              <w:widowControl w:val="0"/>
              <w:spacing w:after="0"/>
              <w:rPr>
                <w:rFonts w:ascii="Arial" w:hAnsi="Arial" w:cs="Arial"/>
                <w:sz w:val="18"/>
                <w:szCs w:val="16"/>
              </w:rPr>
            </w:pPr>
            <w:proofErr w:type="spellStart"/>
            <w:r>
              <w:rPr>
                <w:rFonts w:ascii="Arial" w:hAnsi="Arial"/>
                <w:sz w:val="18"/>
                <w:szCs w:val="16"/>
              </w:rPr>
              <w:t>Mitte</w:t>
            </w:r>
            <w:proofErr w:type="spellEnd"/>
            <w:r>
              <w:rPr>
                <w:rFonts w:ascii="Arial" w:hAnsi="Arial"/>
                <w:sz w:val="18"/>
                <w:szCs w:val="16"/>
              </w:rPr>
              <w:t xml:space="preserve"> 1a</w:t>
            </w:r>
          </w:p>
        </w:tc>
        <w:tc>
          <w:tcPr>
            <w:tcW w:w="992" w:type="dxa"/>
            <w:shd w:val="clear" w:color="auto" w:fill="CECACE" w:themeFill="background2" w:themeFillShade="E6"/>
            <w:vAlign w:val="center"/>
          </w:tcPr>
          <w:p w14:paraId="41E4BC2A" w14:textId="323AF0D6" w:rsidR="00057636" w:rsidRDefault="00057636" w:rsidP="00644ED6">
            <w:pPr>
              <w:widowControl w:val="0"/>
              <w:spacing w:after="0"/>
              <w:rPr>
                <w:rFonts w:ascii="Arial" w:hAnsi="Arial" w:cs="Arial"/>
                <w:sz w:val="18"/>
                <w:szCs w:val="16"/>
              </w:rPr>
            </w:pPr>
            <w:r>
              <w:rPr>
                <w:rFonts w:ascii="Arial" w:hAnsi="Arial"/>
                <w:sz w:val="18"/>
                <w:szCs w:val="16"/>
              </w:rPr>
              <w:t>Offices</w:t>
            </w:r>
          </w:p>
        </w:tc>
        <w:tc>
          <w:tcPr>
            <w:tcW w:w="2127" w:type="dxa"/>
            <w:shd w:val="clear" w:color="auto" w:fill="CECACE" w:themeFill="background2" w:themeFillShade="E6"/>
            <w:vAlign w:val="center"/>
          </w:tcPr>
          <w:p w14:paraId="7F137823" w14:textId="61DC6876" w:rsidR="00057636" w:rsidRDefault="00057636" w:rsidP="00644ED6">
            <w:pPr>
              <w:widowControl w:val="0"/>
              <w:spacing w:after="0"/>
              <w:rPr>
                <w:rFonts w:ascii="Arial" w:hAnsi="Arial" w:cs="Arial"/>
                <w:sz w:val="18"/>
                <w:szCs w:val="16"/>
              </w:rPr>
            </w:pPr>
            <w:proofErr w:type="spellStart"/>
            <w:r>
              <w:rPr>
                <w:rFonts w:ascii="Arial" w:hAnsi="Arial"/>
                <w:sz w:val="18"/>
                <w:szCs w:val="16"/>
              </w:rPr>
              <w:t>KanAm</w:t>
            </w:r>
            <w:proofErr w:type="spellEnd"/>
            <w:r>
              <w:rPr>
                <w:rFonts w:ascii="Arial" w:hAnsi="Arial"/>
                <w:sz w:val="18"/>
                <w:szCs w:val="16"/>
              </w:rPr>
              <w:t xml:space="preserve"> for Leading Cities Invest fund</w:t>
            </w:r>
          </w:p>
        </w:tc>
        <w:tc>
          <w:tcPr>
            <w:tcW w:w="1842" w:type="dxa"/>
            <w:shd w:val="clear" w:color="auto" w:fill="CECACE" w:themeFill="background2" w:themeFillShade="E6"/>
            <w:vAlign w:val="center"/>
          </w:tcPr>
          <w:p w14:paraId="28F4D199" w14:textId="6162276A" w:rsidR="00057636" w:rsidRDefault="00057636" w:rsidP="00644ED6">
            <w:pPr>
              <w:widowControl w:val="0"/>
              <w:spacing w:after="0"/>
              <w:rPr>
                <w:rFonts w:ascii="Arial" w:hAnsi="Arial" w:cs="Arial"/>
                <w:sz w:val="18"/>
                <w:szCs w:val="16"/>
              </w:rPr>
            </w:pPr>
            <w:r>
              <w:rPr>
                <w:rFonts w:ascii="Arial" w:hAnsi="Arial"/>
                <w:sz w:val="18"/>
                <w:szCs w:val="16"/>
              </w:rPr>
              <w:t>Quest Investment Partners</w:t>
            </w:r>
          </w:p>
        </w:tc>
        <w:tc>
          <w:tcPr>
            <w:tcW w:w="1276" w:type="dxa"/>
            <w:shd w:val="clear" w:color="auto" w:fill="CECACE" w:themeFill="background2" w:themeFillShade="E6"/>
            <w:vAlign w:val="center"/>
          </w:tcPr>
          <w:p w14:paraId="5319B039" w14:textId="286BB8EE" w:rsidR="00057636" w:rsidRDefault="00057636" w:rsidP="00644ED6">
            <w:pPr>
              <w:widowControl w:val="0"/>
              <w:spacing w:after="0"/>
              <w:jc w:val="right"/>
              <w:rPr>
                <w:rFonts w:ascii="Arial" w:hAnsi="Arial" w:cs="Arial"/>
                <w:sz w:val="18"/>
                <w:szCs w:val="16"/>
              </w:rPr>
            </w:pPr>
            <w:r>
              <w:rPr>
                <w:rFonts w:ascii="Arial" w:hAnsi="Arial"/>
                <w:sz w:val="18"/>
                <w:szCs w:val="16"/>
              </w:rPr>
              <w:t>55</w:t>
            </w:r>
          </w:p>
        </w:tc>
      </w:tr>
      <w:tr w:rsidR="00B470B1" w:rsidRPr="00797E2F" w14:paraId="03C1DF19" w14:textId="77777777" w:rsidTr="00A116BB">
        <w:trPr>
          <w:trHeight w:val="455"/>
        </w:trPr>
        <w:tc>
          <w:tcPr>
            <w:tcW w:w="9776" w:type="dxa"/>
            <w:gridSpan w:val="6"/>
            <w:tcBorders>
              <w:top w:val="single" w:sz="4" w:space="0" w:color="auto"/>
              <w:left w:val="nil"/>
              <w:bottom w:val="nil"/>
              <w:right w:val="nil"/>
            </w:tcBorders>
            <w:shd w:val="clear" w:color="auto" w:fill="FFFFFF" w:themeFill="background1"/>
          </w:tcPr>
          <w:p w14:paraId="1976F5D6" w14:textId="2CD2B550" w:rsidR="00B470B1" w:rsidRPr="001871BC" w:rsidRDefault="00B470B1" w:rsidP="00942B1F">
            <w:pPr>
              <w:widowControl w:val="0"/>
              <w:spacing w:after="0"/>
              <w:ind w:left="-108"/>
              <w:rPr>
                <w:rFonts w:ascii="Arial" w:hAnsi="Arial" w:cs="Arial"/>
                <w:sz w:val="16"/>
                <w:szCs w:val="16"/>
              </w:rPr>
            </w:pPr>
            <w:r>
              <w:rPr>
                <w:rFonts w:ascii="Arial" w:hAnsi="Arial"/>
                <w:sz w:val="16"/>
                <w:szCs w:val="16"/>
              </w:rPr>
              <w:t>*The purchase prices stated are based on publicly available data, where none is available an estimate is made; new transactions or those occurring in the quarter dealt with in this report are highlighted.</w:t>
            </w:r>
          </w:p>
        </w:tc>
      </w:tr>
    </w:tbl>
    <w:p w14:paraId="06A84312" w14:textId="77777777" w:rsidR="00713D81" w:rsidRDefault="00713D81" w:rsidP="000A5ED1">
      <w:pPr>
        <w:spacing w:after="0"/>
        <w:rPr>
          <w:rFonts w:ascii="Arial" w:eastAsia="Arial" w:hAnsi="Arial" w:cs="Arial"/>
          <w:color w:val="000000" w:themeColor="text1"/>
          <w:sz w:val="20"/>
          <w:szCs w:val="20"/>
        </w:rPr>
      </w:pPr>
    </w:p>
    <w:p w14:paraId="0D624B47" w14:textId="35864042" w:rsidR="003D35C8" w:rsidRPr="000A5ED1" w:rsidRDefault="003D35C8" w:rsidP="003D35C8">
      <w:pPr>
        <w:spacing w:after="0" w:line="360" w:lineRule="auto"/>
        <w:rPr>
          <w:rFonts w:ascii="Arial" w:eastAsia="Arial" w:hAnsi="Arial" w:cs="Arial"/>
          <w:b/>
          <w:color w:val="000000" w:themeColor="text1"/>
          <w:sz w:val="20"/>
          <w:szCs w:val="20"/>
        </w:rPr>
      </w:pPr>
      <w:r>
        <w:rPr>
          <w:rFonts w:ascii="Arial" w:hAnsi="Arial"/>
          <w:color w:val="000000" w:themeColor="text1"/>
          <w:sz w:val="20"/>
          <w:szCs w:val="20"/>
        </w:rPr>
        <w:t xml:space="preserve">The complete </w:t>
      </w:r>
      <w:r>
        <w:rPr>
          <w:rFonts w:ascii="Arial" w:hAnsi="Arial"/>
          <w:sz w:val="20"/>
          <w:szCs w:val="20"/>
        </w:rPr>
        <w:t>market survey</w:t>
      </w:r>
      <w:r>
        <w:rPr>
          <w:rFonts w:ascii="Arial" w:hAnsi="Arial"/>
          <w:color w:val="000000" w:themeColor="text1"/>
          <w:sz w:val="20"/>
          <w:szCs w:val="20"/>
        </w:rPr>
        <w:t xml:space="preserve"> will soon be available and can be downloaded from our </w:t>
      </w:r>
      <w:hyperlink r:id="rId9" w:history="1">
        <w:r>
          <w:rPr>
            <w:rStyle w:val="Hyperlink"/>
            <w:rFonts w:ascii="Arial" w:hAnsi="Arial"/>
            <w:sz w:val="20"/>
            <w:szCs w:val="20"/>
          </w:rPr>
          <w:t>Website</w:t>
        </w:r>
      </w:hyperlink>
      <w:r>
        <w:rPr>
          <w:rFonts w:ascii="Arial" w:hAnsi="Arial"/>
          <w:color w:val="000000" w:themeColor="text1"/>
          <w:sz w:val="20"/>
          <w:szCs w:val="20"/>
        </w:rPr>
        <w:t>.</w:t>
      </w:r>
    </w:p>
    <w:p w14:paraId="3BB26B10" w14:textId="440FB01A" w:rsidR="006E5C9C" w:rsidRDefault="006E5C9C" w:rsidP="003A00C9">
      <w:pPr>
        <w:spacing w:after="0"/>
        <w:rPr>
          <w:rFonts w:ascii="Arial" w:hAnsi="Arial" w:cs="Arial"/>
          <w:b/>
          <w:sz w:val="16"/>
          <w:szCs w:val="16"/>
        </w:rPr>
      </w:pPr>
    </w:p>
    <w:p w14:paraId="2A899389" w14:textId="77777777" w:rsidR="006E5C9C" w:rsidRDefault="006E5C9C" w:rsidP="003A00C9">
      <w:pPr>
        <w:spacing w:after="0"/>
        <w:rPr>
          <w:rFonts w:ascii="Arial" w:hAnsi="Arial" w:cs="Arial"/>
          <w:b/>
          <w:sz w:val="16"/>
          <w:szCs w:val="16"/>
        </w:rPr>
      </w:pPr>
    </w:p>
    <w:p w14:paraId="167A49AA" w14:textId="77777777" w:rsidR="00E65AFA" w:rsidRPr="0090748B" w:rsidRDefault="00E65AFA" w:rsidP="00E65AFA">
      <w:pPr>
        <w:spacing w:after="0" w:line="360" w:lineRule="auto"/>
        <w:rPr>
          <w:rFonts w:ascii="Arial" w:hAnsi="Arial" w:cs="Arial"/>
          <w:b/>
          <w:sz w:val="16"/>
          <w:szCs w:val="16"/>
        </w:rPr>
      </w:pPr>
      <w:r>
        <w:rPr>
          <w:rFonts w:ascii="Arial" w:hAnsi="Arial"/>
          <w:b/>
          <w:sz w:val="16"/>
          <w:szCs w:val="16"/>
        </w:rPr>
        <w:t>About Grossmann &amp; Berger</w:t>
      </w:r>
    </w:p>
    <w:p w14:paraId="6C68CB2F" w14:textId="77777777" w:rsidR="00E65AFA" w:rsidRPr="00583E25" w:rsidRDefault="00B15B3E" w:rsidP="00E65AFA">
      <w:pPr>
        <w:spacing w:after="0" w:line="360" w:lineRule="auto"/>
        <w:rPr>
          <w:rFonts w:ascii="Arial" w:hAnsi="Arial" w:cs="Arial"/>
          <w:snapToGrid w:val="0"/>
          <w:sz w:val="16"/>
          <w:szCs w:val="16"/>
        </w:rPr>
      </w:pPr>
      <w:hyperlink r:id="rId10" w:history="1">
        <w:r w:rsidR="00E65AFA">
          <w:rPr>
            <w:rStyle w:val="Hyperlink"/>
            <w:rFonts w:ascii="Arial" w:hAnsi="Arial"/>
            <w:snapToGrid w:val="0"/>
            <w:sz w:val="16"/>
            <w:szCs w:val="16"/>
          </w:rPr>
          <w:t>Grossmann &amp; Berger GmbH</w:t>
        </w:r>
      </w:hyperlink>
      <w:r w:rsidR="00E65AFA">
        <w:rPr>
          <w:rFonts w:ascii="Arial" w:hAnsi="Arial"/>
          <w:snapToGrid w:val="0"/>
          <w:sz w:val="16"/>
          <w:szCs w:val="16"/>
        </w:rPr>
        <w:t xml:space="preserve"> is one of the leading service providers for selling and letting commercial and residential properties in North Germany. Headquartered in Hamburg, the Company has a branch office in Berlin, a total of fourteen property shops, and over 190 employees who cover the entire North German market. With over 85 years of experience in the business, Grossmann &amp; Berger offers a complete package of real estate expertise.</w:t>
      </w:r>
    </w:p>
    <w:p w14:paraId="0B47AE68" w14:textId="77777777" w:rsidR="00E65AFA" w:rsidRPr="00583E25" w:rsidRDefault="00E65AFA" w:rsidP="00E65AFA">
      <w:pPr>
        <w:spacing w:after="0" w:line="360" w:lineRule="auto"/>
        <w:rPr>
          <w:rFonts w:ascii="Arial" w:hAnsi="Arial" w:cs="Arial"/>
          <w:snapToGrid w:val="0"/>
          <w:sz w:val="16"/>
          <w:szCs w:val="16"/>
        </w:rPr>
      </w:pPr>
    </w:p>
    <w:p w14:paraId="57FA87A6" w14:textId="77777777" w:rsidR="00E65AFA" w:rsidRPr="00583E25" w:rsidRDefault="00E65AFA" w:rsidP="00E65AFA">
      <w:pPr>
        <w:spacing w:after="0" w:line="360" w:lineRule="auto"/>
        <w:rPr>
          <w:rFonts w:ascii="Arial" w:hAnsi="Arial" w:cs="Arial"/>
          <w:snapToGrid w:val="0"/>
          <w:sz w:val="16"/>
          <w:szCs w:val="16"/>
        </w:rPr>
      </w:pPr>
      <w:r>
        <w:rPr>
          <w:rFonts w:ascii="Arial" w:hAnsi="Arial"/>
          <w:sz w:val="16"/>
          <w:szCs w:val="16"/>
        </w:rPr>
        <w:t xml:space="preserve">Grossmann &amp; Berger is a member of the HASPA Group of Companies, which also includes Germany's largest savings bank, Hamburger </w:t>
      </w:r>
      <w:proofErr w:type="spellStart"/>
      <w:r>
        <w:rPr>
          <w:rFonts w:ascii="Arial" w:hAnsi="Arial"/>
          <w:sz w:val="16"/>
          <w:szCs w:val="16"/>
        </w:rPr>
        <w:t>Sparkasse</w:t>
      </w:r>
      <w:proofErr w:type="spellEnd"/>
      <w:r>
        <w:rPr>
          <w:rFonts w:ascii="Arial" w:hAnsi="Arial"/>
          <w:sz w:val="16"/>
          <w:szCs w:val="16"/>
        </w:rPr>
        <w:t xml:space="preserve"> (</w:t>
      </w:r>
      <w:proofErr w:type="spellStart"/>
      <w:r>
        <w:rPr>
          <w:rFonts w:ascii="Arial" w:hAnsi="Arial"/>
          <w:sz w:val="16"/>
          <w:szCs w:val="16"/>
        </w:rPr>
        <w:t>Haspa</w:t>
      </w:r>
      <w:proofErr w:type="spellEnd"/>
      <w:r>
        <w:rPr>
          <w:rFonts w:ascii="Arial" w:hAnsi="Arial"/>
          <w:sz w:val="16"/>
          <w:szCs w:val="16"/>
        </w:rPr>
        <w:t xml:space="preserve">). Moreover the Company is a founding member of the nation-wide commercial property network </w:t>
      </w:r>
      <w:hyperlink r:id="rId11" w:history="1">
        <w:r>
          <w:rPr>
            <w:rStyle w:val="Hyperlink"/>
            <w:rFonts w:ascii="Arial" w:hAnsi="Arial"/>
            <w:sz w:val="16"/>
            <w:szCs w:val="16"/>
          </w:rPr>
          <w:t>German Property Partners</w:t>
        </w:r>
      </w:hyperlink>
      <w:r>
        <w:rPr>
          <w:rFonts w:ascii="Arial" w:hAnsi="Arial"/>
          <w:sz w:val="16"/>
          <w:szCs w:val="16"/>
        </w:rPr>
        <w:t xml:space="preserve"> (GPP) and the working group of brokers associated with banks and building societies, </w:t>
      </w:r>
      <w:proofErr w:type="spellStart"/>
      <w:r>
        <w:rPr>
          <w:rFonts w:ascii="Arial" w:hAnsi="Arial"/>
          <w:sz w:val="16"/>
          <w:szCs w:val="16"/>
        </w:rPr>
        <w:t>Arbeitsgemeinschaft</w:t>
      </w:r>
      <w:proofErr w:type="spellEnd"/>
      <w:r>
        <w:rPr>
          <w:rFonts w:ascii="Arial" w:hAnsi="Arial"/>
          <w:sz w:val="16"/>
          <w:szCs w:val="16"/>
        </w:rPr>
        <w:t xml:space="preserve"> </w:t>
      </w:r>
      <w:proofErr w:type="spellStart"/>
      <w:r>
        <w:rPr>
          <w:rFonts w:ascii="Arial" w:hAnsi="Arial"/>
          <w:sz w:val="16"/>
          <w:szCs w:val="16"/>
        </w:rPr>
        <w:t>ImmobilienVermittler</w:t>
      </w:r>
      <w:proofErr w:type="spellEnd"/>
      <w:r>
        <w:rPr>
          <w:rFonts w:ascii="Arial" w:hAnsi="Arial"/>
          <w:sz w:val="16"/>
          <w:szCs w:val="16"/>
        </w:rPr>
        <w:t xml:space="preserve"> </w:t>
      </w:r>
      <w:proofErr w:type="spellStart"/>
      <w:r>
        <w:rPr>
          <w:rFonts w:ascii="Arial" w:hAnsi="Arial"/>
          <w:sz w:val="16"/>
          <w:szCs w:val="16"/>
        </w:rPr>
        <w:t>Banken</w:t>
      </w:r>
      <w:proofErr w:type="spellEnd"/>
      <w:r>
        <w:rPr>
          <w:rFonts w:ascii="Arial" w:hAnsi="Arial"/>
          <w:sz w:val="16"/>
          <w:szCs w:val="16"/>
        </w:rPr>
        <w:t xml:space="preserve"> </w:t>
      </w:r>
      <w:proofErr w:type="spellStart"/>
      <w:r>
        <w:rPr>
          <w:rFonts w:ascii="Arial" w:hAnsi="Arial"/>
          <w:sz w:val="16"/>
          <w:szCs w:val="16"/>
        </w:rPr>
        <w:t>Bausparkassen</w:t>
      </w:r>
      <w:proofErr w:type="spellEnd"/>
      <w:r>
        <w:rPr>
          <w:rFonts w:ascii="Arial" w:hAnsi="Arial"/>
          <w:sz w:val="16"/>
          <w:szCs w:val="16"/>
        </w:rPr>
        <w:t xml:space="preserve"> </w:t>
      </w:r>
      <w:proofErr w:type="spellStart"/>
      <w:r>
        <w:rPr>
          <w:rFonts w:ascii="Arial" w:hAnsi="Arial"/>
          <w:sz w:val="16"/>
          <w:szCs w:val="16"/>
        </w:rPr>
        <w:t>e.V</w:t>
      </w:r>
      <w:proofErr w:type="spellEnd"/>
      <w:r>
        <w:rPr>
          <w:rFonts w:ascii="Arial" w:hAnsi="Arial"/>
          <w:sz w:val="16"/>
          <w:szCs w:val="16"/>
        </w:rPr>
        <w:t>. (IVBB).</w:t>
      </w:r>
      <w:r>
        <w:rPr>
          <w:rFonts w:ascii="Arial" w:hAnsi="Arial"/>
          <w:snapToGrid w:val="0"/>
          <w:sz w:val="16"/>
          <w:szCs w:val="16"/>
        </w:rPr>
        <w:t xml:space="preserve"> </w:t>
      </w:r>
    </w:p>
    <w:p w14:paraId="4132CA2A" w14:textId="77777777" w:rsidR="00E65AFA" w:rsidRPr="00583E25" w:rsidRDefault="00E65AFA" w:rsidP="00E65AFA">
      <w:pPr>
        <w:spacing w:after="0" w:line="360" w:lineRule="auto"/>
        <w:rPr>
          <w:rFonts w:ascii="Arial" w:hAnsi="Arial" w:cs="Arial"/>
          <w:sz w:val="16"/>
          <w:szCs w:val="16"/>
        </w:rPr>
      </w:pPr>
    </w:p>
    <w:p w14:paraId="54828573" w14:textId="77777777" w:rsidR="00E65AFA" w:rsidRPr="00503D8C" w:rsidRDefault="00E65AFA" w:rsidP="00E65AFA">
      <w:pPr>
        <w:spacing w:after="0" w:line="360" w:lineRule="auto"/>
        <w:rPr>
          <w:rFonts w:ascii="Arial" w:hAnsi="Arial" w:cs="Arial"/>
          <w:b/>
          <w:color w:val="000000" w:themeColor="text1"/>
          <w:spacing w:val="20"/>
          <w:sz w:val="20"/>
          <w:szCs w:val="20"/>
        </w:rPr>
      </w:pPr>
      <w:r>
        <w:rPr>
          <w:rFonts w:ascii="Arial" w:hAnsi="Arial"/>
          <w:sz w:val="16"/>
          <w:szCs w:val="16"/>
        </w:rPr>
        <w:t>Please consult our website for Grossmann &amp; Berger’s</w:t>
      </w:r>
      <w:hyperlink r:id="rId12" w:history="1">
        <w:r>
          <w:rPr>
            <w:rStyle w:val="Hyperlink"/>
            <w:rFonts w:ascii="Arial" w:hAnsi="Arial"/>
            <w:sz w:val="16"/>
            <w:szCs w:val="16"/>
          </w:rPr>
          <w:t xml:space="preserve"> data privacy policy.</w:t>
        </w:r>
      </w:hyperlink>
      <w:r>
        <w:rPr>
          <w:rFonts w:ascii="Arial" w:hAnsi="Arial"/>
          <w:sz w:val="16"/>
          <w:szCs w:val="16"/>
        </w:rPr>
        <w:t xml:space="preserve">  Here you will also be able to access our </w:t>
      </w:r>
      <w:hyperlink r:id="rId13" w:history="1">
        <w:r>
          <w:rPr>
            <w:rStyle w:val="Hyperlink"/>
            <w:rFonts w:ascii="Arial" w:hAnsi="Arial"/>
            <w:sz w:val="16"/>
            <w:szCs w:val="16"/>
          </w:rPr>
          <w:t xml:space="preserve"> press kit </w:t>
        </w:r>
      </w:hyperlink>
      <w:r>
        <w:rPr>
          <w:rFonts w:ascii="Arial" w:hAnsi="Arial"/>
          <w:sz w:val="16"/>
          <w:szCs w:val="16"/>
        </w:rPr>
        <w:t xml:space="preserve"> and the associated </w:t>
      </w:r>
      <w:hyperlink r:id="rId14"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5"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p w14:paraId="627835FB" w14:textId="74483F56" w:rsidR="00503D8C" w:rsidRPr="00503D8C" w:rsidRDefault="00503D8C" w:rsidP="00503D8C">
      <w:pPr>
        <w:tabs>
          <w:tab w:val="left" w:pos="2184"/>
          <w:tab w:val="right" w:pos="7056"/>
        </w:tabs>
        <w:textAlignment w:val="baseline"/>
        <w:rPr>
          <w:rFonts w:ascii="Arial" w:hAnsi="Arial" w:cs="Arial"/>
          <w:b/>
          <w:color w:val="000000" w:themeColor="text1"/>
          <w:spacing w:val="20"/>
          <w:sz w:val="20"/>
          <w:szCs w:val="20"/>
        </w:rPr>
      </w:pPr>
    </w:p>
    <w:sectPr w:rsidR="00503D8C" w:rsidRPr="00503D8C" w:rsidSect="00D83CB7">
      <w:headerReference w:type="default" r:id="rId16"/>
      <w:footerReference w:type="default" r:id="rId17"/>
      <w:headerReference w:type="first" r:id="rId18"/>
      <w:footerReference w:type="first" r:id="rId19"/>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4FAEA" w14:textId="77777777" w:rsidR="00341DA8" w:rsidRDefault="00341DA8">
      <w:r>
        <w:separator/>
      </w:r>
    </w:p>
  </w:endnote>
  <w:endnote w:type="continuationSeparator" w:id="0">
    <w:p w14:paraId="17B618AE" w14:textId="77777777" w:rsidR="00341DA8" w:rsidRDefault="0034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Mark O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402D"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Pr>
        <w:rFonts w:ascii="Arial" w:hAnsi="Arial"/>
        <w:b/>
        <w:bCs/>
        <w:color w:val="918F90"/>
        <w:sz w:val="18"/>
        <w:szCs w:val="18"/>
      </w:rPr>
      <w:t xml:space="preserve">Grossmann &amp; Berger GmbH </w:t>
    </w:r>
    <w:r>
      <w:rPr>
        <w:rFonts w:ascii="Arial" w:hAnsi="Arial"/>
        <w:color w:val="918F90"/>
        <w:sz w:val="18"/>
        <w:szCs w:val="18"/>
      </w:rPr>
      <w:t xml:space="preserve">| </w:t>
    </w:r>
    <w:proofErr w:type="spellStart"/>
    <w:r>
      <w:rPr>
        <w:rFonts w:ascii="Arial" w:hAnsi="Arial"/>
        <w:color w:val="918F90"/>
        <w:sz w:val="18"/>
        <w:szCs w:val="18"/>
      </w:rPr>
      <w:t>Bleichenbrücke</w:t>
    </w:r>
    <w:proofErr w:type="spellEnd"/>
    <w:r>
      <w:rPr>
        <w:rFonts w:ascii="Arial" w:hAnsi="Arial"/>
        <w:color w:val="918F90"/>
        <w:sz w:val="18"/>
        <w:szCs w:val="18"/>
      </w:rPr>
      <w:t xml:space="preserve"> 9 | D-20354 Hamburg | Tel. +49 (0)40/350 80 2-0 | www.grossmann-berger.de</w:t>
    </w:r>
  </w:p>
  <w:p w14:paraId="5440A7EF" w14:textId="3EFB6889"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B15B3E">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B15B3E">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09B1" w14:textId="77777777" w:rsidR="008C608D" w:rsidRDefault="008C608D">
    <w:pPr>
      <w:pStyle w:val="Fuzeile"/>
    </w:pPr>
    <w:r>
      <w:rPr>
        <w:noProof/>
        <w:lang w:val="de-DE" w:eastAsia="de-DE"/>
      </w:rPr>
      <w:drawing>
        <wp:anchor distT="0" distB="0" distL="0" distR="0" simplePos="0" relativeHeight="251659264" behindDoc="0" locked="0" layoutInCell="0" allowOverlap="1" wp14:anchorId="3C8AE65D" wp14:editId="37B4444B">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78E6A" w14:textId="77777777" w:rsidR="00341DA8" w:rsidRDefault="00341DA8">
      <w:r>
        <w:separator/>
      </w:r>
    </w:p>
  </w:footnote>
  <w:footnote w:type="continuationSeparator" w:id="0">
    <w:p w14:paraId="663DE06A" w14:textId="77777777" w:rsidR="00341DA8" w:rsidRDefault="0034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A270" w14:textId="7482C223" w:rsidR="006138CB" w:rsidRPr="009E3ADA" w:rsidRDefault="00096455" w:rsidP="006138CB">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7456" behindDoc="0" locked="0" layoutInCell="1" allowOverlap="1" wp14:anchorId="575EA596" wp14:editId="0619C397">
              <wp:simplePos x="0" y="0"/>
              <wp:positionH relativeFrom="margin">
                <wp:posOffset>-80010</wp:posOffset>
              </wp:positionH>
              <wp:positionV relativeFrom="paragraph">
                <wp:posOffset>-1905</wp:posOffset>
              </wp:positionV>
              <wp:extent cx="4892040" cy="281940"/>
              <wp:effectExtent l="0" t="0" r="0" b="381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81940"/>
                      </a:xfrm>
                      <a:prstGeom prst="rect">
                        <a:avLst/>
                      </a:prstGeom>
                      <a:noFill/>
                      <a:ln w="9525">
                        <a:noFill/>
                        <a:miter lim="800000"/>
                        <a:headEnd/>
                        <a:tailEnd/>
                      </a:ln>
                    </wps:spPr>
                    <wps:txbx>
                      <w:txbxContent>
                        <w:p w14:paraId="12A58F9A" w14:textId="00B93D37" w:rsidR="00096455" w:rsidRDefault="00096455" w:rsidP="00096455">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Corinna Fühner | Tel</w:t>
                          </w:r>
                          <w:r w:rsidR="00B15B3E">
                            <w:rPr>
                              <w:rFonts w:ascii="Arial" w:hAnsi="Arial"/>
                              <w:sz w:val="16"/>
                              <w:szCs w:val="16"/>
                            </w:rPr>
                            <w:t>.</w:t>
                          </w:r>
                          <w:r>
                            <w:rPr>
                              <w:rFonts w:ascii="Arial" w:hAnsi="Arial"/>
                              <w:sz w:val="16"/>
                              <w:szCs w:val="16"/>
                            </w:rPr>
                            <w:t>: +49 (0)40/350 80 2-588 | c.fuehner@grossmann-berger.de.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EA596" id="_x0000_t202" coordsize="21600,21600" o:spt="202" path="m,l,21600r21600,l21600,xe">
              <v:stroke joinstyle="miter"/>
              <v:path gradientshapeok="t" o:connecttype="rect"/>
            </v:shapetype>
            <v:shape id="Textfeld 2" o:spid="_x0000_s1026" type="#_x0000_t202" style="position:absolute;left:0;text-align:left;margin-left:-6.3pt;margin-top:-.15pt;width:385.2pt;height:2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UiCAIAAPIDAAAOAAAAZHJzL2Uyb0RvYy54bWysU9tuGyEQfa/Uf0C817te2a29Mo7SpKkq&#10;pRcp6QdgYL2owFDA3k2/vgPrOFb7VpUHNDAzhzlnhs3VaA05qhA1OEbns5oS5QRI7faMfn+8e7Oi&#10;JCbuJDfgFKNPKtKr7etXm8G3qoEejFSBIIiL7eAZ7VPybVVF0SvL4wy8cujsIFie8Bj2lQx8QHRr&#10;qqau31YDBOkDCBUj3t5OTrot+F2nRPradVElYhjF2lLZQ9l3ea+2G97uA/e9Fqcy+D9UYbl2+OgZ&#10;6pYnTg5B/wVltQgQoUszAbaCrtNCFQ7IZl7/weah514VLihO9GeZ4v+DFV+O3wLRktGGEscttuhR&#10;jalTRpImqzP42GLQg8ewNL6HEbtcmEZ/D+JHJA5ueu726joEGHrFJVY3z5nVReqEEzPIbvgMEp/h&#10;hwQFaOyCzdKhGATRsUtP585gKUTg5WK1buoFugT6mtV8jXZ+grfP2T7E9FGBJdlgNGDnCzo/3sc0&#10;hT6H5Mcc3Glj8J63xpGB0fWyWZaEC4/VCYfTaMvoqs5rGpdM8oOTJTlxbSYbazHuxDoTnSincTdi&#10;YJZiB/IJ+QeYhhA/DRo9hF+UDDiAjMafBx4UJeaTQw3X80UmnMphsXzX4CFcenaXHu4EQjGaKJnM&#10;m1SmfOJ6jVp3usjwUsmpVhysIuTpE+TJvTyXqJevuv0NAAD//wMAUEsDBBQABgAIAAAAIQARiIuC&#10;3gAAAAgBAAAPAAAAZHJzL2Rvd25yZXYueG1sTI/BTsMwEETvSP0Haytxa+2UtKVpnAqBuIIotBI3&#10;N94mEfE6it0m/D3LCW47mtHsm3w3ulZcsQ+NJw3JXIFAKr1tqNLw8f48uwcRoiFrWk+o4RsD7IrJ&#10;TW4y6wd6w+s+VoJLKGRGQx1jl0kZyhqdCXPfIbF39r0zkWVfSdubgctdKxdKraQzDfGH2nT4WGP5&#10;tb84DYeX8+cxVa/Vk1t2gx+VJLeRWt9Ox4ctiIhj/AvDLz6jQ8FMJ38hG0SrYZYsVhzl4w4E++vl&#10;mqecNKRpArLI5f8BxQ8AAAD//wMAUEsBAi0AFAAGAAgAAAAhALaDOJL+AAAA4QEAABMAAAAAAAAA&#10;AAAAAAAAAAAAAFtDb250ZW50X1R5cGVzXS54bWxQSwECLQAUAAYACAAAACEAOP0h/9YAAACUAQAA&#10;CwAAAAAAAAAAAAAAAAAvAQAAX3JlbHMvLnJlbHNQSwECLQAUAAYACAAAACEAX2qFIggCAADyAwAA&#10;DgAAAAAAAAAAAAAAAAAuAgAAZHJzL2Uyb0RvYy54bWxQSwECLQAUAAYACAAAACEAEYiLgt4AAAAI&#10;AQAADwAAAAAAAAAAAAAAAABiBAAAZHJzL2Rvd25yZXYueG1sUEsFBgAAAAAEAAQA8wAAAG0FAAAA&#10;AA==&#10;" filled="f" stroked="f">
              <v:textbox>
                <w:txbxContent>
                  <w:p w14:paraId="12A58F9A" w14:textId="00B93D37" w:rsidR="00096455" w:rsidRDefault="00096455" w:rsidP="00096455">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Corinna Fühner | Tel</w:t>
                    </w:r>
                    <w:r w:rsidR="00B15B3E">
                      <w:rPr>
                        <w:rFonts w:ascii="Arial" w:hAnsi="Arial"/>
                        <w:sz w:val="16"/>
                        <w:szCs w:val="16"/>
                      </w:rPr>
                      <w:t>.</w:t>
                    </w:r>
                    <w:r>
                      <w:rPr>
                        <w:rFonts w:ascii="Arial" w:hAnsi="Arial"/>
                        <w:sz w:val="16"/>
                        <w:szCs w:val="16"/>
                      </w:rPr>
                      <w:t>: +49 (0)40/350 80 2-588 | c.fuehner@grossmann-berger.de.</w:t>
                    </w:r>
                  </w:p>
                </w:txbxContent>
              </v:textbox>
              <w10:wrap anchorx="margin"/>
            </v:shape>
          </w:pict>
        </mc:Fallback>
      </mc:AlternateContent>
    </w:r>
    <w:r>
      <w:rPr>
        <w:rFonts w:ascii="Arial" w:hAnsi="Arial"/>
        <w:color w:val="918F90"/>
        <w:sz w:val="28"/>
        <w:szCs w:val="28"/>
      </w:rPr>
      <w:t>Press release</w:t>
    </w:r>
  </w:p>
  <w:p w14:paraId="25B9848C"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58FA" w14:textId="0DBA638D" w:rsidR="00D83CB7" w:rsidRDefault="00A92A2F" w:rsidP="000C770D">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5408" behindDoc="0" locked="0" layoutInCell="1" allowOverlap="1" wp14:anchorId="7756ED11" wp14:editId="1734AD19">
              <wp:simplePos x="0" y="0"/>
              <wp:positionH relativeFrom="margin">
                <wp:posOffset>-100966</wp:posOffset>
              </wp:positionH>
              <wp:positionV relativeFrom="paragraph">
                <wp:posOffset>11430</wp:posOffset>
              </wp:positionV>
              <wp:extent cx="4905375" cy="281940"/>
              <wp:effectExtent l="0" t="0" r="0" b="381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81940"/>
                      </a:xfrm>
                      <a:prstGeom prst="rect">
                        <a:avLst/>
                      </a:prstGeom>
                      <a:noFill/>
                      <a:ln w="9525">
                        <a:noFill/>
                        <a:miter lim="800000"/>
                        <a:headEnd/>
                        <a:tailEnd/>
                      </a:ln>
                    </wps:spPr>
                    <wps:txbx>
                      <w:txbxContent>
                        <w:p w14:paraId="5CD1A4B4" w14:textId="79B4A081" w:rsidR="00A92A2F" w:rsidRDefault="00A92A2F" w:rsidP="00A92A2F">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Corinna Fühner | Tel</w:t>
                          </w:r>
                          <w:r w:rsidR="00B15B3E">
                            <w:rPr>
                              <w:rFonts w:ascii="Arial" w:hAnsi="Arial"/>
                              <w:sz w:val="16"/>
                              <w:szCs w:val="16"/>
                            </w:rPr>
                            <w:t>.</w:t>
                          </w:r>
                          <w:r>
                            <w:rPr>
                              <w:rFonts w:ascii="Arial" w:hAnsi="Arial"/>
                              <w:sz w:val="16"/>
                              <w:szCs w:val="16"/>
                            </w:rPr>
                            <w:t xml:space="preserve">: +49 (0)40/350 80 2-588 </w:t>
                          </w:r>
                          <w:r w:rsidR="00B15B3E">
                            <w:rPr>
                              <w:rFonts w:ascii="Arial" w:hAnsi="Arial"/>
                              <w:sz w:val="16"/>
                              <w:szCs w:val="16"/>
                            </w:rPr>
                            <w:t>| c.fuehner@grossmann-berger.de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6ED11" id="_x0000_t202" coordsize="21600,21600" o:spt="202" path="m,l,21600r21600,l21600,xe">
              <v:stroke joinstyle="miter"/>
              <v:path gradientshapeok="t" o:connecttype="rect"/>
            </v:shapetype>
            <v:shape id="Textfeld 3" o:spid="_x0000_s1027" type="#_x0000_t202" style="position:absolute;left:0;text-align:left;margin-left:-7.95pt;margin-top:.9pt;width:386.25pt;height:2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lADgIAAPkDAAAOAAAAZHJzL2Uyb0RvYy54bWysU9tu2zAMfR+wfxD0vti5rYkRp+jadRjQ&#10;XYB2HyDLUixMEjVJiZ19fSk5TYPtbZgfBNEkD3kOqc31YDQ5CB8U2JpOJyUlwnJold3V9MfT/bsV&#10;JSEy2zINVtT0KAK93r59s+ldJWbQgW6FJwhiQ9W7mnYxuqooAu+EYWECTlh0SvCGRTT9rmg96xHd&#10;6GJWlu+LHnzrPHARAv69G510m/GlFDx+kzKISHRNsbeYT5/PJp3FdsOqnWeuU/zUBvuHLgxTFoue&#10;oe5YZGTv1V9QRnEPAWSccDAFSKm4yByQzbT8g81jx5zIXFCc4M4yhf8Hy78evnui2prOKbHM4Iie&#10;xBCl0C2ZJ3V6FyoMenQYFocPMOCUM9PgHoD/DMTCbcfsTtx4D30nWIvdTVNmcZE64oQE0vRfoMUy&#10;bB8hAw3SmyQdikEQHad0PE8GWyEcfy7W5XJ+taSEo2+2mq4XeXQFq16ynQ/xkwBD0qWmHief0dnh&#10;IcTUDateQlIxC/dK6zx9bUlf0/VytswJFx6jIi6nVqamqzJ947okkh9tm5MjU3q8YwFtT6wT0ZFy&#10;HJohy5slSYo00B5RBg/jLuLbwUsH/jclPe5hTcOvPfOCEv3ZopTr6QK5kpiNxfJqhoa/9DSXHmY5&#10;QtU0UjJeb2Ne9pHyDUouVVbjtZNTy7hfWaTTW0gLfGnnqNcXu30GAAD//wMAUEsDBBQABgAIAAAA&#10;IQBdsSrd3QAAAAgBAAAPAAAAZHJzL2Rvd25yZXYueG1sTI9BT8JAEIXvJvyHzZh4g10ILVC7JUTj&#10;VSMoibelO7SN3dmmu9D67x1Pcpx8L2++l29H14or9qHxpGE+UyCQSm8bqjR8HF6maxAhGrKm9YQa&#10;fjDAtpjc5SazfqB3vO5jJbiEQmY01DF2mZShrNGZMPMdErOz752JfPaVtL0ZuNy1cqFUKp1piD/U&#10;psOnGsvv/cVp+Hw9fx2X6q16dkk3+FFJchup9cP9uHsEEXGM/2H402d1KNjp5C9kg2g1TOfJhqMM&#10;eAHzVZKmIE4alukCZJHL2wHFLwAAAP//AwBQSwECLQAUAAYACAAAACEAtoM4kv4AAADhAQAAEwAA&#10;AAAAAAAAAAAAAAAAAAAAW0NvbnRlbnRfVHlwZXNdLnhtbFBLAQItABQABgAIAAAAIQA4/SH/1gAA&#10;AJQBAAALAAAAAAAAAAAAAAAAAC8BAABfcmVscy8ucmVsc1BLAQItABQABgAIAAAAIQDTcwlADgIA&#10;APkDAAAOAAAAAAAAAAAAAAAAAC4CAABkcnMvZTJvRG9jLnhtbFBLAQItABQABgAIAAAAIQBdsSrd&#10;3QAAAAgBAAAPAAAAAAAAAAAAAAAAAGgEAABkcnMvZG93bnJldi54bWxQSwUGAAAAAAQABADzAAAA&#10;cgUAAAAA&#10;" filled="f" stroked="f">
              <v:textbox>
                <w:txbxContent>
                  <w:p w14:paraId="5CD1A4B4" w14:textId="79B4A081" w:rsidR="00A92A2F" w:rsidRDefault="00A92A2F" w:rsidP="00A92A2F">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Corinna Fühner | Tel</w:t>
                    </w:r>
                    <w:r w:rsidR="00B15B3E">
                      <w:rPr>
                        <w:rFonts w:ascii="Arial" w:hAnsi="Arial"/>
                        <w:sz w:val="16"/>
                        <w:szCs w:val="16"/>
                      </w:rPr>
                      <w:t>.</w:t>
                    </w:r>
                    <w:r>
                      <w:rPr>
                        <w:rFonts w:ascii="Arial" w:hAnsi="Arial"/>
                        <w:sz w:val="16"/>
                        <w:szCs w:val="16"/>
                      </w:rPr>
                      <w:t xml:space="preserve">: +49 (0)40/350 80 2-588 </w:t>
                    </w:r>
                    <w:r w:rsidR="00B15B3E">
                      <w:rPr>
                        <w:rFonts w:ascii="Arial" w:hAnsi="Arial"/>
                        <w:sz w:val="16"/>
                        <w:szCs w:val="16"/>
                      </w:rPr>
                      <w:t>| c.fuehner@grossmann-berger.de</w:t>
                    </w:r>
                  </w:p>
                </w:txbxContent>
              </v:textbox>
              <w10:wrap anchorx="margin"/>
            </v:shape>
          </w:pict>
        </mc:Fallback>
      </mc:AlternateContent>
    </w:r>
    <w:r>
      <w:rPr>
        <w:rFonts w:ascii="Arial" w:hAnsi="Arial"/>
        <w:color w:val="918F90"/>
        <w:sz w:val="28"/>
        <w:szCs w:val="28"/>
      </w:rPr>
      <w:t>Press release</w:t>
    </w:r>
  </w:p>
  <w:p w14:paraId="47ED31F5"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F305C1"/>
    <w:multiLevelType w:val="hybridMultilevel"/>
    <w:tmpl w:val="BD4E009A"/>
    <w:lvl w:ilvl="0" w:tplc="04070001">
      <w:start w:val="1"/>
      <w:numFmt w:val="bullet"/>
      <w:lvlText w:val=""/>
      <w:lvlJc w:val="left"/>
      <w:pPr>
        <w:ind w:left="428" w:hanging="360"/>
      </w:pPr>
      <w:rPr>
        <w:rFonts w:ascii="Symbol" w:hAnsi="Symbol" w:hint="default"/>
      </w:rPr>
    </w:lvl>
    <w:lvl w:ilvl="1" w:tplc="04070003" w:tentative="1">
      <w:start w:val="1"/>
      <w:numFmt w:val="bullet"/>
      <w:lvlText w:val="o"/>
      <w:lvlJc w:val="left"/>
      <w:pPr>
        <w:ind w:left="1148" w:hanging="360"/>
      </w:pPr>
      <w:rPr>
        <w:rFonts w:ascii="Courier New" w:hAnsi="Courier New" w:cs="Courier New" w:hint="default"/>
      </w:rPr>
    </w:lvl>
    <w:lvl w:ilvl="2" w:tplc="04070005" w:tentative="1">
      <w:start w:val="1"/>
      <w:numFmt w:val="bullet"/>
      <w:lvlText w:val=""/>
      <w:lvlJc w:val="left"/>
      <w:pPr>
        <w:ind w:left="1868" w:hanging="360"/>
      </w:pPr>
      <w:rPr>
        <w:rFonts w:ascii="Wingdings" w:hAnsi="Wingdings" w:hint="default"/>
      </w:rPr>
    </w:lvl>
    <w:lvl w:ilvl="3" w:tplc="04070001" w:tentative="1">
      <w:start w:val="1"/>
      <w:numFmt w:val="bullet"/>
      <w:lvlText w:val=""/>
      <w:lvlJc w:val="left"/>
      <w:pPr>
        <w:ind w:left="2588" w:hanging="360"/>
      </w:pPr>
      <w:rPr>
        <w:rFonts w:ascii="Symbol" w:hAnsi="Symbol" w:hint="default"/>
      </w:rPr>
    </w:lvl>
    <w:lvl w:ilvl="4" w:tplc="04070003" w:tentative="1">
      <w:start w:val="1"/>
      <w:numFmt w:val="bullet"/>
      <w:lvlText w:val="o"/>
      <w:lvlJc w:val="left"/>
      <w:pPr>
        <w:ind w:left="3308" w:hanging="360"/>
      </w:pPr>
      <w:rPr>
        <w:rFonts w:ascii="Courier New" w:hAnsi="Courier New" w:cs="Courier New" w:hint="default"/>
      </w:rPr>
    </w:lvl>
    <w:lvl w:ilvl="5" w:tplc="04070005" w:tentative="1">
      <w:start w:val="1"/>
      <w:numFmt w:val="bullet"/>
      <w:lvlText w:val=""/>
      <w:lvlJc w:val="left"/>
      <w:pPr>
        <w:ind w:left="4028" w:hanging="360"/>
      </w:pPr>
      <w:rPr>
        <w:rFonts w:ascii="Wingdings" w:hAnsi="Wingdings" w:hint="default"/>
      </w:rPr>
    </w:lvl>
    <w:lvl w:ilvl="6" w:tplc="04070001" w:tentative="1">
      <w:start w:val="1"/>
      <w:numFmt w:val="bullet"/>
      <w:lvlText w:val=""/>
      <w:lvlJc w:val="left"/>
      <w:pPr>
        <w:ind w:left="4748" w:hanging="360"/>
      </w:pPr>
      <w:rPr>
        <w:rFonts w:ascii="Symbol" w:hAnsi="Symbol" w:hint="default"/>
      </w:rPr>
    </w:lvl>
    <w:lvl w:ilvl="7" w:tplc="04070003" w:tentative="1">
      <w:start w:val="1"/>
      <w:numFmt w:val="bullet"/>
      <w:lvlText w:val="o"/>
      <w:lvlJc w:val="left"/>
      <w:pPr>
        <w:ind w:left="5468" w:hanging="360"/>
      </w:pPr>
      <w:rPr>
        <w:rFonts w:ascii="Courier New" w:hAnsi="Courier New" w:cs="Courier New" w:hint="default"/>
      </w:rPr>
    </w:lvl>
    <w:lvl w:ilvl="8" w:tplc="04070005" w:tentative="1">
      <w:start w:val="1"/>
      <w:numFmt w:val="bullet"/>
      <w:lvlText w:val=""/>
      <w:lvlJc w:val="left"/>
      <w:pPr>
        <w:ind w:left="6188" w:hanging="360"/>
      </w:pPr>
      <w:rPr>
        <w:rFonts w:ascii="Wingdings" w:hAnsi="Wingdings" w:hint="default"/>
      </w:rPr>
    </w:lvl>
  </w:abstractNum>
  <w:abstractNum w:abstractNumId="12" w15:restartNumberingAfterBreak="0">
    <w:nsid w:val="50296C5D"/>
    <w:multiLevelType w:val="hybridMultilevel"/>
    <w:tmpl w:val="0FA2F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4"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5"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4"/>
  </w:num>
  <w:num w:numId="15">
    <w:abstractNumId w:val="1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13938"/>
    <w:rsid w:val="000159FE"/>
    <w:rsid w:val="00015DB5"/>
    <w:rsid w:val="000174D5"/>
    <w:rsid w:val="00022F16"/>
    <w:rsid w:val="00023D78"/>
    <w:rsid w:val="0003075C"/>
    <w:rsid w:val="00033721"/>
    <w:rsid w:val="000427B8"/>
    <w:rsid w:val="00052064"/>
    <w:rsid w:val="00057636"/>
    <w:rsid w:val="00060743"/>
    <w:rsid w:val="00066796"/>
    <w:rsid w:val="0007655D"/>
    <w:rsid w:val="000766D7"/>
    <w:rsid w:val="0007670A"/>
    <w:rsid w:val="00082409"/>
    <w:rsid w:val="00093A87"/>
    <w:rsid w:val="00096455"/>
    <w:rsid w:val="000A5ED1"/>
    <w:rsid w:val="000B1606"/>
    <w:rsid w:val="000B3315"/>
    <w:rsid w:val="000C7428"/>
    <w:rsid w:val="000C770D"/>
    <w:rsid w:val="000D000B"/>
    <w:rsid w:val="000E03F3"/>
    <w:rsid w:val="000E7BC7"/>
    <w:rsid w:val="00100318"/>
    <w:rsid w:val="001029C4"/>
    <w:rsid w:val="00102BA7"/>
    <w:rsid w:val="0010423F"/>
    <w:rsid w:val="0011486D"/>
    <w:rsid w:val="00121E33"/>
    <w:rsid w:val="00122EC5"/>
    <w:rsid w:val="00126550"/>
    <w:rsid w:val="001324D6"/>
    <w:rsid w:val="00135BD2"/>
    <w:rsid w:val="00135E09"/>
    <w:rsid w:val="001532D3"/>
    <w:rsid w:val="00154825"/>
    <w:rsid w:val="0017364E"/>
    <w:rsid w:val="0017516B"/>
    <w:rsid w:val="00176F1D"/>
    <w:rsid w:val="0018068D"/>
    <w:rsid w:val="00184637"/>
    <w:rsid w:val="001871BC"/>
    <w:rsid w:val="00196F91"/>
    <w:rsid w:val="001A108C"/>
    <w:rsid w:val="001A2ABE"/>
    <w:rsid w:val="001A360C"/>
    <w:rsid w:val="001B219C"/>
    <w:rsid w:val="001B72F5"/>
    <w:rsid w:val="001B7612"/>
    <w:rsid w:val="001C35FC"/>
    <w:rsid w:val="001C4C33"/>
    <w:rsid w:val="001D14DA"/>
    <w:rsid w:val="001D43BB"/>
    <w:rsid w:val="001E1172"/>
    <w:rsid w:val="001E6995"/>
    <w:rsid w:val="001F1513"/>
    <w:rsid w:val="001F1829"/>
    <w:rsid w:val="001F3124"/>
    <w:rsid w:val="0020161B"/>
    <w:rsid w:val="00205769"/>
    <w:rsid w:val="00212FEC"/>
    <w:rsid w:val="002131BB"/>
    <w:rsid w:val="0022086D"/>
    <w:rsid w:val="00223C70"/>
    <w:rsid w:val="00227E31"/>
    <w:rsid w:val="00230F81"/>
    <w:rsid w:val="002316C0"/>
    <w:rsid w:val="002341EE"/>
    <w:rsid w:val="00237341"/>
    <w:rsid w:val="00254C6F"/>
    <w:rsid w:val="00255679"/>
    <w:rsid w:val="002601F6"/>
    <w:rsid w:val="0027266B"/>
    <w:rsid w:val="00281E80"/>
    <w:rsid w:val="002834B0"/>
    <w:rsid w:val="00283671"/>
    <w:rsid w:val="00284A5D"/>
    <w:rsid w:val="00284E27"/>
    <w:rsid w:val="0028637F"/>
    <w:rsid w:val="00287698"/>
    <w:rsid w:val="00294B7D"/>
    <w:rsid w:val="00297202"/>
    <w:rsid w:val="002A14CE"/>
    <w:rsid w:val="002A1973"/>
    <w:rsid w:val="002B14F6"/>
    <w:rsid w:val="002C055A"/>
    <w:rsid w:val="002C2392"/>
    <w:rsid w:val="002D1C5C"/>
    <w:rsid w:val="002D1E20"/>
    <w:rsid w:val="002E6860"/>
    <w:rsid w:val="002E7F4A"/>
    <w:rsid w:val="002F0411"/>
    <w:rsid w:val="002F3715"/>
    <w:rsid w:val="002F767E"/>
    <w:rsid w:val="00300A8E"/>
    <w:rsid w:val="00301F3A"/>
    <w:rsid w:val="003136B4"/>
    <w:rsid w:val="003246F0"/>
    <w:rsid w:val="00324FBC"/>
    <w:rsid w:val="00325E2A"/>
    <w:rsid w:val="003272F3"/>
    <w:rsid w:val="00341DA8"/>
    <w:rsid w:val="00345716"/>
    <w:rsid w:val="003467ED"/>
    <w:rsid w:val="0034786C"/>
    <w:rsid w:val="00350390"/>
    <w:rsid w:val="003517C9"/>
    <w:rsid w:val="00357EC4"/>
    <w:rsid w:val="00361519"/>
    <w:rsid w:val="003627E1"/>
    <w:rsid w:val="00365AF8"/>
    <w:rsid w:val="00370000"/>
    <w:rsid w:val="003705BD"/>
    <w:rsid w:val="00373507"/>
    <w:rsid w:val="0038230E"/>
    <w:rsid w:val="00382529"/>
    <w:rsid w:val="0039682E"/>
    <w:rsid w:val="003A00C9"/>
    <w:rsid w:val="003A25A4"/>
    <w:rsid w:val="003B0179"/>
    <w:rsid w:val="003B49E4"/>
    <w:rsid w:val="003B4CCF"/>
    <w:rsid w:val="003B6CD4"/>
    <w:rsid w:val="003B6FE1"/>
    <w:rsid w:val="003C6AB4"/>
    <w:rsid w:val="003D35C8"/>
    <w:rsid w:val="003E099F"/>
    <w:rsid w:val="003E4DF9"/>
    <w:rsid w:val="003F665D"/>
    <w:rsid w:val="0040086D"/>
    <w:rsid w:val="004017D8"/>
    <w:rsid w:val="00411E03"/>
    <w:rsid w:val="004123B1"/>
    <w:rsid w:val="0041456E"/>
    <w:rsid w:val="00420B6A"/>
    <w:rsid w:val="004303A1"/>
    <w:rsid w:val="0043632F"/>
    <w:rsid w:val="00440DC9"/>
    <w:rsid w:val="004440A6"/>
    <w:rsid w:val="004450C4"/>
    <w:rsid w:val="004506D2"/>
    <w:rsid w:val="00450887"/>
    <w:rsid w:val="0045101E"/>
    <w:rsid w:val="00456F40"/>
    <w:rsid w:val="004609BD"/>
    <w:rsid w:val="004661EE"/>
    <w:rsid w:val="00466741"/>
    <w:rsid w:val="00470064"/>
    <w:rsid w:val="00481377"/>
    <w:rsid w:val="00491FD6"/>
    <w:rsid w:val="004A2BEA"/>
    <w:rsid w:val="004A3C64"/>
    <w:rsid w:val="004A5AEA"/>
    <w:rsid w:val="004B2FDA"/>
    <w:rsid w:val="004B480A"/>
    <w:rsid w:val="004C0CA2"/>
    <w:rsid w:val="004C4111"/>
    <w:rsid w:val="004C63A9"/>
    <w:rsid w:val="004D50C0"/>
    <w:rsid w:val="004D772A"/>
    <w:rsid w:val="004E339B"/>
    <w:rsid w:val="004E4273"/>
    <w:rsid w:val="004E4562"/>
    <w:rsid w:val="004E5425"/>
    <w:rsid w:val="004E5647"/>
    <w:rsid w:val="004E5BEB"/>
    <w:rsid w:val="004E6D73"/>
    <w:rsid w:val="004F077F"/>
    <w:rsid w:val="005023DD"/>
    <w:rsid w:val="00503D8C"/>
    <w:rsid w:val="00520CDE"/>
    <w:rsid w:val="00522B84"/>
    <w:rsid w:val="00531850"/>
    <w:rsid w:val="00531A7F"/>
    <w:rsid w:val="00534BAD"/>
    <w:rsid w:val="005360E8"/>
    <w:rsid w:val="005428C5"/>
    <w:rsid w:val="00543C55"/>
    <w:rsid w:val="00546437"/>
    <w:rsid w:val="005470B1"/>
    <w:rsid w:val="0055393B"/>
    <w:rsid w:val="005554C7"/>
    <w:rsid w:val="00556F58"/>
    <w:rsid w:val="00567D57"/>
    <w:rsid w:val="00582B99"/>
    <w:rsid w:val="00587525"/>
    <w:rsid w:val="00590903"/>
    <w:rsid w:val="00591461"/>
    <w:rsid w:val="00595AB2"/>
    <w:rsid w:val="005A617A"/>
    <w:rsid w:val="005B0FC9"/>
    <w:rsid w:val="005B3674"/>
    <w:rsid w:val="005B66D3"/>
    <w:rsid w:val="005C4556"/>
    <w:rsid w:val="005C5302"/>
    <w:rsid w:val="005C7442"/>
    <w:rsid w:val="005D244B"/>
    <w:rsid w:val="005D307B"/>
    <w:rsid w:val="005D581F"/>
    <w:rsid w:val="005E362E"/>
    <w:rsid w:val="005E733E"/>
    <w:rsid w:val="005F7593"/>
    <w:rsid w:val="006029D7"/>
    <w:rsid w:val="00606A8B"/>
    <w:rsid w:val="0061109D"/>
    <w:rsid w:val="00612AA0"/>
    <w:rsid w:val="006131CF"/>
    <w:rsid w:val="006138CB"/>
    <w:rsid w:val="006222FC"/>
    <w:rsid w:val="006224C4"/>
    <w:rsid w:val="006225EA"/>
    <w:rsid w:val="006261DF"/>
    <w:rsid w:val="00641270"/>
    <w:rsid w:val="00642074"/>
    <w:rsid w:val="006424F8"/>
    <w:rsid w:val="00644ED6"/>
    <w:rsid w:val="0065652E"/>
    <w:rsid w:val="0066304D"/>
    <w:rsid w:val="00681CAB"/>
    <w:rsid w:val="006842EF"/>
    <w:rsid w:val="00692FD0"/>
    <w:rsid w:val="00695E58"/>
    <w:rsid w:val="0069757D"/>
    <w:rsid w:val="006A1329"/>
    <w:rsid w:val="006A66F9"/>
    <w:rsid w:val="006C17AA"/>
    <w:rsid w:val="006D024C"/>
    <w:rsid w:val="006D19C3"/>
    <w:rsid w:val="006D2A5C"/>
    <w:rsid w:val="006E5C9C"/>
    <w:rsid w:val="006F1265"/>
    <w:rsid w:val="006F1774"/>
    <w:rsid w:val="00703C64"/>
    <w:rsid w:val="007110EE"/>
    <w:rsid w:val="00713D81"/>
    <w:rsid w:val="00717A20"/>
    <w:rsid w:val="00720DFF"/>
    <w:rsid w:val="00730E23"/>
    <w:rsid w:val="00731698"/>
    <w:rsid w:val="00746A51"/>
    <w:rsid w:val="00762CC5"/>
    <w:rsid w:val="00770F73"/>
    <w:rsid w:val="007770CD"/>
    <w:rsid w:val="00786F07"/>
    <w:rsid w:val="007906B4"/>
    <w:rsid w:val="007970A0"/>
    <w:rsid w:val="007A3353"/>
    <w:rsid w:val="007B215B"/>
    <w:rsid w:val="007B4617"/>
    <w:rsid w:val="007B78E0"/>
    <w:rsid w:val="007C03BE"/>
    <w:rsid w:val="007E759D"/>
    <w:rsid w:val="007F2DBE"/>
    <w:rsid w:val="007F33B6"/>
    <w:rsid w:val="007F468E"/>
    <w:rsid w:val="007F642D"/>
    <w:rsid w:val="007F756A"/>
    <w:rsid w:val="00800409"/>
    <w:rsid w:val="00810D6D"/>
    <w:rsid w:val="00812471"/>
    <w:rsid w:val="008154E9"/>
    <w:rsid w:val="00816900"/>
    <w:rsid w:val="00816F8E"/>
    <w:rsid w:val="008261A5"/>
    <w:rsid w:val="0083382E"/>
    <w:rsid w:val="00834913"/>
    <w:rsid w:val="00855325"/>
    <w:rsid w:val="00856EB5"/>
    <w:rsid w:val="0086016E"/>
    <w:rsid w:val="00862E34"/>
    <w:rsid w:val="00865915"/>
    <w:rsid w:val="00871832"/>
    <w:rsid w:val="00875E6D"/>
    <w:rsid w:val="00875E9B"/>
    <w:rsid w:val="00886CCE"/>
    <w:rsid w:val="008942C6"/>
    <w:rsid w:val="00895710"/>
    <w:rsid w:val="00896B33"/>
    <w:rsid w:val="00896B5D"/>
    <w:rsid w:val="008A62FB"/>
    <w:rsid w:val="008A77B7"/>
    <w:rsid w:val="008B0F67"/>
    <w:rsid w:val="008B54DD"/>
    <w:rsid w:val="008C5A51"/>
    <w:rsid w:val="008C608D"/>
    <w:rsid w:val="008D4869"/>
    <w:rsid w:val="008E461D"/>
    <w:rsid w:val="008E5F6E"/>
    <w:rsid w:val="008E7AA2"/>
    <w:rsid w:val="008E7E2C"/>
    <w:rsid w:val="008F08E5"/>
    <w:rsid w:val="008F0EA4"/>
    <w:rsid w:val="008F38F6"/>
    <w:rsid w:val="008F4684"/>
    <w:rsid w:val="008F5213"/>
    <w:rsid w:val="009000CF"/>
    <w:rsid w:val="00903676"/>
    <w:rsid w:val="00906E0F"/>
    <w:rsid w:val="0090748B"/>
    <w:rsid w:val="009136FB"/>
    <w:rsid w:val="00920C9C"/>
    <w:rsid w:val="00922754"/>
    <w:rsid w:val="00925781"/>
    <w:rsid w:val="009258D0"/>
    <w:rsid w:val="009330E4"/>
    <w:rsid w:val="00935AB3"/>
    <w:rsid w:val="00942B1F"/>
    <w:rsid w:val="009567E0"/>
    <w:rsid w:val="009646C4"/>
    <w:rsid w:val="009734CE"/>
    <w:rsid w:val="009752FE"/>
    <w:rsid w:val="0098460C"/>
    <w:rsid w:val="00992DF3"/>
    <w:rsid w:val="0099413E"/>
    <w:rsid w:val="00996E1A"/>
    <w:rsid w:val="00997778"/>
    <w:rsid w:val="009A18DE"/>
    <w:rsid w:val="009A4A25"/>
    <w:rsid w:val="009B4392"/>
    <w:rsid w:val="009B7D09"/>
    <w:rsid w:val="009D24DA"/>
    <w:rsid w:val="009D5D75"/>
    <w:rsid w:val="009E0C0B"/>
    <w:rsid w:val="009F32A2"/>
    <w:rsid w:val="009F54CE"/>
    <w:rsid w:val="00A06264"/>
    <w:rsid w:val="00A116BB"/>
    <w:rsid w:val="00A1639A"/>
    <w:rsid w:val="00A215C9"/>
    <w:rsid w:val="00A24152"/>
    <w:rsid w:val="00A243C7"/>
    <w:rsid w:val="00A51563"/>
    <w:rsid w:val="00A5364B"/>
    <w:rsid w:val="00A56D22"/>
    <w:rsid w:val="00A615E0"/>
    <w:rsid w:val="00A65E2B"/>
    <w:rsid w:val="00A71F24"/>
    <w:rsid w:val="00A74AA0"/>
    <w:rsid w:val="00A7546D"/>
    <w:rsid w:val="00A77100"/>
    <w:rsid w:val="00A826E0"/>
    <w:rsid w:val="00A92A2F"/>
    <w:rsid w:val="00AA08C9"/>
    <w:rsid w:val="00AA20ED"/>
    <w:rsid w:val="00AA4D97"/>
    <w:rsid w:val="00AD17B7"/>
    <w:rsid w:val="00AD63A8"/>
    <w:rsid w:val="00AF08D2"/>
    <w:rsid w:val="00AF25CA"/>
    <w:rsid w:val="00AF35F8"/>
    <w:rsid w:val="00B00CAB"/>
    <w:rsid w:val="00B04687"/>
    <w:rsid w:val="00B0679A"/>
    <w:rsid w:val="00B069C5"/>
    <w:rsid w:val="00B06D1B"/>
    <w:rsid w:val="00B077D5"/>
    <w:rsid w:val="00B15B3E"/>
    <w:rsid w:val="00B16A78"/>
    <w:rsid w:val="00B200E4"/>
    <w:rsid w:val="00B26FFD"/>
    <w:rsid w:val="00B35B6D"/>
    <w:rsid w:val="00B35DC6"/>
    <w:rsid w:val="00B36C47"/>
    <w:rsid w:val="00B4487B"/>
    <w:rsid w:val="00B470B1"/>
    <w:rsid w:val="00B51699"/>
    <w:rsid w:val="00B53FAF"/>
    <w:rsid w:val="00B63153"/>
    <w:rsid w:val="00B6527D"/>
    <w:rsid w:val="00B73B3A"/>
    <w:rsid w:val="00B74507"/>
    <w:rsid w:val="00B75718"/>
    <w:rsid w:val="00B75E7E"/>
    <w:rsid w:val="00B93817"/>
    <w:rsid w:val="00B9391B"/>
    <w:rsid w:val="00B9682D"/>
    <w:rsid w:val="00BA0B96"/>
    <w:rsid w:val="00BA1CCA"/>
    <w:rsid w:val="00BB15DA"/>
    <w:rsid w:val="00BB340D"/>
    <w:rsid w:val="00BB6A98"/>
    <w:rsid w:val="00BC0349"/>
    <w:rsid w:val="00BC2A3A"/>
    <w:rsid w:val="00BC64EC"/>
    <w:rsid w:val="00BD04EE"/>
    <w:rsid w:val="00BD073D"/>
    <w:rsid w:val="00BE4198"/>
    <w:rsid w:val="00BF3AFD"/>
    <w:rsid w:val="00BF3BA6"/>
    <w:rsid w:val="00BF539F"/>
    <w:rsid w:val="00C05974"/>
    <w:rsid w:val="00C13DB2"/>
    <w:rsid w:val="00C1606C"/>
    <w:rsid w:val="00C21FA5"/>
    <w:rsid w:val="00C23180"/>
    <w:rsid w:val="00C23A88"/>
    <w:rsid w:val="00C26F94"/>
    <w:rsid w:val="00C41492"/>
    <w:rsid w:val="00C502EC"/>
    <w:rsid w:val="00C50874"/>
    <w:rsid w:val="00C702B5"/>
    <w:rsid w:val="00C70389"/>
    <w:rsid w:val="00C71BAA"/>
    <w:rsid w:val="00C8045D"/>
    <w:rsid w:val="00C904B6"/>
    <w:rsid w:val="00C90A75"/>
    <w:rsid w:val="00C96DF4"/>
    <w:rsid w:val="00CA3FA0"/>
    <w:rsid w:val="00CA6A66"/>
    <w:rsid w:val="00CB5310"/>
    <w:rsid w:val="00CC1337"/>
    <w:rsid w:val="00CC2514"/>
    <w:rsid w:val="00CC48DF"/>
    <w:rsid w:val="00CD4A91"/>
    <w:rsid w:val="00CD70E7"/>
    <w:rsid w:val="00CD7363"/>
    <w:rsid w:val="00CE0964"/>
    <w:rsid w:val="00CE0C1F"/>
    <w:rsid w:val="00CE455F"/>
    <w:rsid w:val="00CE74B4"/>
    <w:rsid w:val="00CF0BF9"/>
    <w:rsid w:val="00CF4C80"/>
    <w:rsid w:val="00CF5957"/>
    <w:rsid w:val="00CF7234"/>
    <w:rsid w:val="00D04BA2"/>
    <w:rsid w:val="00D073F3"/>
    <w:rsid w:val="00D077B0"/>
    <w:rsid w:val="00D128C4"/>
    <w:rsid w:val="00D13AAA"/>
    <w:rsid w:val="00D21811"/>
    <w:rsid w:val="00D22D42"/>
    <w:rsid w:val="00D36D8D"/>
    <w:rsid w:val="00D45711"/>
    <w:rsid w:val="00D500FC"/>
    <w:rsid w:val="00D51597"/>
    <w:rsid w:val="00D5326E"/>
    <w:rsid w:val="00D550B6"/>
    <w:rsid w:val="00D55867"/>
    <w:rsid w:val="00D634A3"/>
    <w:rsid w:val="00D72339"/>
    <w:rsid w:val="00D73752"/>
    <w:rsid w:val="00D73E47"/>
    <w:rsid w:val="00D74ABB"/>
    <w:rsid w:val="00D83CB7"/>
    <w:rsid w:val="00D841C3"/>
    <w:rsid w:val="00D90EF0"/>
    <w:rsid w:val="00D97FA8"/>
    <w:rsid w:val="00DB4363"/>
    <w:rsid w:val="00DC7B25"/>
    <w:rsid w:val="00DD6B73"/>
    <w:rsid w:val="00DE23F8"/>
    <w:rsid w:val="00DE7CC2"/>
    <w:rsid w:val="00E05CF6"/>
    <w:rsid w:val="00E112C9"/>
    <w:rsid w:val="00E1314C"/>
    <w:rsid w:val="00E1537F"/>
    <w:rsid w:val="00E158F7"/>
    <w:rsid w:val="00E2087E"/>
    <w:rsid w:val="00E2636D"/>
    <w:rsid w:val="00E34976"/>
    <w:rsid w:val="00E36818"/>
    <w:rsid w:val="00E47B97"/>
    <w:rsid w:val="00E5203C"/>
    <w:rsid w:val="00E634CC"/>
    <w:rsid w:val="00E65AFA"/>
    <w:rsid w:val="00E7735D"/>
    <w:rsid w:val="00E82F0E"/>
    <w:rsid w:val="00E95F89"/>
    <w:rsid w:val="00E96FAC"/>
    <w:rsid w:val="00EA129F"/>
    <w:rsid w:val="00EB0AF6"/>
    <w:rsid w:val="00EB7A31"/>
    <w:rsid w:val="00ED0582"/>
    <w:rsid w:val="00ED1262"/>
    <w:rsid w:val="00ED7374"/>
    <w:rsid w:val="00EE31F6"/>
    <w:rsid w:val="00EE36DC"/>
    <w:rsid w:val="00EF0244"/>
    <w:rsid w:val="00F01733"/>
    <w:rsid w:val="00F044EE"/>
    <w:rsid w:val="00F2313A"/>
    <w:rsid w:val="00F255D3"/>
    <w:rsid w:val="00F3320B"/>
    <w:rsid w:val="00F40E92"/>
    <w:rsid w:val="00F41947"/>
    <w:rsid w:val="00F435AA"/>
    <w:rsid w:val="00F558B4"/>
    <w:rsid w:val="00F76C6A"/>
    <w:rsid w:val="00F83BF1"/>
    <w:rsid w:val="00F90CB9"/>
    <w:rsid w:val="00F9555F"/>
    <w:rsid w:val="00F97373"/>
    <w:rsid w:val="00FA0254"/>
    <w:rsid w:val="00FA6854"/>
    <w:rsid w:val="00FB064F"/>
    <w:rsid w:val="00FB0F6B"/>
    <w:rsid w:val="00FB144F"/>
    <w:rsid w:val="00FB159A"/>
    <w:rsid w:val="00FB4D77"/>
    <w:rsid w:val="00FC497D"/>
    <w:rsid w:val="00FC6F03"/>
    <w:rsid w:val="00FD076B"/>
    <w:rsid w:val="00FF060B"/>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F9775E"/>
  <w15:docId w15:val="{F75E00CC-E7CF-49A9-A499-670F8458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table" w:customStyle="1" w:styleId="TableGrid1">
    <w:name w:val="Table Grid1"/>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rossmann-berger.de/news/pressemapp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rossmann-berger.de/datenschut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rmanpropertypartners.de/de/" TargetMode="External"/><Relationship Id="rId5" Type="http://schemas.openxmlformats.org/officeDocument/2006/relationships/webSettings" Target="webSettings.xml"/><Relationship Id="rId15" Type="http://schemas.openxmlformats.org/officeDocument/2006/relationships/hyperlink" Target="mailto:presse@grossmann-berger.de" TargetMode="External"/><Relationship Id="rId10" Type="http://schemas.openxmlformats.org/officeDocument/2006/relationships/hyperlink" Target="https://www.grossmann-berger.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rossmann-berger.de/marktbericht/gewerbe/berlin-investment/" TargetMode="External"/><Relationship Id="rId14" Type="http://schemas.openxmlformats.org/officeDocument/2006/relationships/hyperlink" Target="file:///\\file01\Marketing\Presse\5_PresseMITTEILUNGEN\Marktbericht%20B&#252;ro\2020\2020%20Q2\20180517_Dokumentation%20der%20Verarbeitungstaetigkeit%20nach%20DSGVO_Presse.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C4939-0121-442A-AC6E-B528DFD5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4396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Corinna Fühner</cp:lastModifiedBy>
  <cp:revision>3</cp:revision>
  <cp:lastPrinted>2020-07-08T09:23:00Z</cp:lastPrinted>
  <dcterms:created xsi:type="dcterms:W3CDTF">2020-07-08T13:25:00Z</dcterms:created>
  <dcterms:modified xsi:type="dcterms:W3CDTF">2020-07-08T13:34:00Z</dcterms:modified>
</cp:coreProperties>
</file>