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F9034" w14:textId="47107A29" w:rsidR="000D48D4" w:rsidRDefault="00D157A0" w:rsidP="00365AF8">
      <w:pPr>
        <w:spacing w:after="0" w:line="360" w:lineRule="auto"/>
        <w:rPr>
          <w:rFonts w:ascii="Arial" w:hAnsi="Arial" w:cs="Arial"/>
          <w:b/>
        </w:rPr>
      </w:pPr>
      <w:r>
        <w:rPr>
          <w:rFonts w:ascii="Arial" w:hAnsi="Arial"/>
          <w:b/>
        </w:rPr>
        <w:t>Hamburg: Investment market 1st-4th quarters of 2019</w:t>
      </w:r>
      <w:r>
        <w:rPr>
          <w:rFonts w:ascii="Arial" w:hAnsi="Arial"/>
          <w:b/>
        </w:rPr>
        <w:br/>
        <w:t xml:space="preserve">Portfolio trades keep Hamburg’s market afloat </w:t>
      </w:r>
    </w:p>
    <w:p w14:paraId="5DC3EAC5" w14:textId="29DB094C" w:rsidR="00590903" w:rsidRPr="00253412" w:rsidRDefault="00590903" w:rsidP="00365AF8">
      <w:pPr>
        <w:spacing w:after="0" w:line="360" w:lineRule="auto"/>
        <w:jc w:val="both"/>
        <w:rPr>
          <w:rFonts w:ascii="Arial" w:hAnsi="Arial" w:cs="Arial"/>
          <w:b/>
          <w:sz w:val="18"/>
          <w:szCs w:val="20"/>
        </w:rPr>
      </w:pPr>
    </w:p>
    <w:p w14:paraId="5FE212BF" w14:textId="6E34B29D" w:rsidR="000A5ED1" w:rsidRDefault="00E90673" w:rsidP="00906FC5">
      <w:pPr>
        <w:spacing w:after="0" w:line="360" w:lineRule="auto"/>
        <w:rPr>
          <w:rFonts w:ascii="Arial" w:hAnsi="Arial" w:cs="Arial"/>
          <w:sz w:val="20"/>
          <w:szCs w:val="20"/>
        </w:rPr>
      </w:pPr>
      <w:r>
        <w:rPr>
          <w:rFonts w:ascii="Arial" w:hAnsi="Arial"/>
          <w:b/>
          <w:sz w:val="20"/>
          <w:szCs w:val="20"/>
        </w:rPr>
        <w:t>Hamburg, 7 January 2020</w:t>
      </w:r>
      <w:r>
        <w:rPr>
          <w:rFonts w:ascii="Arial" w:hAnsi="Arial"/>
          <w:sz w:val="20"/>
          <w:szCs w:val="20"/>
        </w:rPr>
        <w:t xml:space="preserve"> - A very sluggish 1st half year on Hamburg’s market for investment in commercial real estate gave way to remarkably brisk trading in the second half. The year’s total of 120 transactions generated sales of some €4.3bn, a good 27 % lower than the result in 2018; however, the €3.2bn invested in properties in the 2nd half year was only slightly below the record set in the prior</w:t>
      </w:r>
      <w:r w:rsidR="00372601">
        <w:rPr>
          <w:rFonts w:ascii="Arial" w:hAnsi="Arial"/>
          <w:sz w:val="20"/>
          <w:szCs w:val="20"/>
        </w:rPr>
        <w:t>-</w:t>
      </w:r>
      <w:r>
        <w:rPr>
          <w:rFonts w:ascii="Arial" w:hAnsi="Arial"/>
          <w:sz w:val="20"/>
          <w:szCs w:val="20"/>
        </w:rPr>
        <w:t>year</w:t>
      </w:r>
      <w:r w:rsidR="00372601">
        <w:rPr>
          <w:rFonts w:ascii="Arial" w:hAnsi="Arial"/>
          <w:sz w:val="20"/>
          <w:szCs w:val="20"/>
        </w:rPr>
        <w:t xml:space="preserve"> period</w:t>
      </w:r>
      <w:r>
        <w:rPr>
          <w:rFonts w:ascii="Arial" w:hAnsi="Arial"/>
          <w:sz w:val="20"/>
          <w:szCs w:val="20"/>
        </w:rPr>
        <w:t xml:space="preserve">. </w:t>
      </w:r>
      <w:r>
        <w:rPr>
          <w:rFonts w:ascii="Arial" w:hAnsi="Arial"/>
          <w:i/>
          <w:sz w:val="20"/>
          <w:szCs w:val="20"/>
        </w:rPr>
        <w:t>“The record year of 2018 had left the market almost drained of investment opportunities by the start of 2019. It was July before the market began to pick up, thanks to several big-ticket portfolio sales. After a huge surge in activity, the year thus ended with a good result,”</w:t>
      </w:r>
      <w:r>
        <w:rPr>
          <w:rFonts w:ascii="Arial" w:hAnsi="Arial"/>
          <w:sz w:val="20"/>
          <w:szCs w:val="20"/>
        </w:rPr>
        <w:t xml:space="preserve"> remarks </w:t>
      </w:r>
      <w:r>
        <w:rPr>
          <w:rFonts w:ascii="Arial" w:hAnsi="Arial"/>
          <w:b/>
          <w:sz w:val="20"/>
          <w:szCs w:val="20"/>
        </w:rPr>
        <w:t xml:space="preserve">Axel </w:t>
      </w:r>
      <w:proofErr w:type="spellStart"/>
      <w:r>
        <w:rPr>
          <w:rFonts w:ascii="Arial" w:hAnsi="Arial"/>
          <w:b/>
          <w:sz w:val="20"/>
          <w:szCs w:val="20"/>
        </w:rPr>
        <w:t>Steinbrinker</w:t>
      </w:r>
      <w:proofErr w:type="spellEnd"/>
      <w:r>
        <w:rPr>
          <w:rFonts w:ascii="Arial" w:hAnsi="Arial"/>
          <w:b/>
          <w:sz w:val="20"/>
          <w:szCs w:val="20"/>
        </w:rPr>
        <w:t>,</w:t>
      </w:r>
      <w:r>
        <w:rPr>
          <w:rFonts w:ascii="Arial" w:hAnsi="Arial"/>
          <w:sz w:val="20"/>
          <w:szCs w:val="20"/>
        </w:rPr>
        <w:t xml:space="preserve"> managing director of Grossmann &amp; Berger, a member of German Property Partners (GPP). With the age of zero interest rates set to continue, demand for investment-grade real estate in Hamburg remained high but the limited supply of large individual properties hampered the market. In particular, owners of core properties were less willing to sell. </w:t>
      </w:r>
      <w:r>
        <w:rPr>
          <w:rFonts w:ascii="Arial" w:hAnsi="Arial"/>
          <w:i/>
          <w:sz w:val="20"/>
          <w:szCs w:val="20"/>
        </w:rPr>
        <w:t>“Although there was still an enormous run on real estate in Hamburg, in 2019 the number of transactions with price-tags in excess of 100 million euros was only about half of the volume seen the year before,”</w:t>
      </w:r>
      <w:r>
        <w:rPr>
          <w:rFonts w:ascii="Arial" w:hAnsi="Arial"/>
          <w:sz w:val="20"/>
          <w:szCs w:val="20"/>
        </w:rPr>
        <w:t xml:space="preserve"> adds </w:t>
      </w:r>
      <w:proofErr w:type="spellStart"/>
      <w:r>
        <w:rPr>
          <w:rFonts w:ascii="Arial" w:hAnsi="Arial"/>
          <w:b/>
          <w:sz w:val="20"/>
          <w:szCs w:val="20"/>
        </w:rPr>
        <w:t>Steinbrinker</w:t>
      </w:r>
      <w:proofErr w:type="spellEnd"/>
      <w:r>
        <w:rPr>
          <w:rFonts w:ascii="Arial" w:hAnsi="Arial"/>
          <w:b/>
          <w:sz w:val="20"/>
          <w:szCs w:val="20"/>
        </w:rPr>
        <w:t>.</w:t>
      </w:r>
      <w:r>
        <w:rPr>
          <w:rFonts w:ascii="Arial" w:hAnsi="Arial"/>
          <w:sz w:val="20"/>
          <w:szCs w:val="20"/>
        </w:rPr>
        <w:t xml:space="preserve"> </w:t>
      </w:r>
    </w:p>
    <w:p w14:paraId="2CE8AC6A" w14:textId="77777777" w:rsidR="00906FC5" w:rsidRPr="00D35A6D" w:rsidRDefault="00906FC5" w:rsidP="00906FC5">
      <w:pPr>
        <w:spacing w:after="0" w:line="360" w:lineRule="auto"/>
        <w:rPr>
          <w:rFonts w:ascii="Arial" w:hAnsi="Arial" w:cs="Arial"/>
          <w:sz w:val="18"/>
          <w:szCs w:val="20"/>
        </w:rPr>
      </w:pPr>
    </w:p>
    <w:p w14:paraId="79CA357A" w14:textId="58F908D1" w:rsidR="000A5ED1" w:rsidRPr="00D35A6D" w:rsidRDefault="00365AF8" w:rsidP="00365AF8">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5DF551F7" w14:textId="5764EA94" w:rsidR="00F45370" w:rsidRPr="00D35A6D" w:rsidRDefault="000B0335" w:rsidP="00F45370">
      <w:pPr>
        <w:pStyle w:val="Listenabsatz"/>
        <w:numPr>
          <w:ilvl w:val="0"/>
          <w:numId w:val="16"/>
        </w:numPr>
        <w:spacing w:after="0" w:line="360" w:lineRule="auto"/>
        <w:ind w:left="425" w:hanging="357"/>
        <w:textAlignment w:val="baseline"/>
        <w:rPr>
          <w:rFonts w:ascii="Arial" w:hAnsi="Arial" w:cs="Arial"/>
          <w:sz w:val="20"/>
          <w:szCs w:val="20"/>
        </w:rPr>
      </w:pPr>
      <w:r>
        <w:rPr>
          <w:rFonts w:ascii="Arial" w:hAnsi="Arial"/>
          <w:sz w:val="20"/>
          <w:szCs w:val="20"/>
        </w:rPr>
        <w:t>Portfolio transactions generated €1.8bn and thus 40 % of the total traded, a far higher proportion than a year ago (2018: 27 </w:t>
      </w:r>
      <w:proofErr w:type="gramStart"/>
      <w:r>
        <w:rPr>
          <w:rFonts w:ascii="Arial" w:hAnsi="Arial"/>
          <w:sz w:val="20"/>
          <w:szCs w:val="20"/>
        </w:rPr>
        <w:t>%</w:t>
      </w:r>
      <w:proofErr w:type="gramEnd"/>
      <w:r>
        <w:rPr>
          <w:rFonts w:ascii="Arial" w:hAnsi="Arial"/>
          <w:sz w:val="20"/>
          <w:szCs w:val="20"/>
        </w:rPr>
        <w:t xml:space="preserve">). This is partly due to the sale of portfolios such as the Millennium, Dream Global and Omega, which included several properties in Hamburg. </w:t>
      </w:r>
    </w:p>
    <w:p w14:paraId="16B50113" w14:textId="20D38556" w:rsidR="00D35A6D" w:rsidRPr="00D35A6D" w:rsidRDefault="00046FEC" w:rsidP="00D35A6D">
      <w:pPr>
        <w:pStyle w:val="Listenabsatz"/>
        <w:numPr>
          <w:ilvl w:val="0"/>
          <w:numId w:val="16"/>
        </w:numPr>
        <w:spacing w:after="0" w:line="360" w:lineRule="auto"/>
        <w:ind w:left="425" w:hanging="357"/>
        <w:textAlignment w:val="baseline"/>
        <w:rPr>
          <w:rFonts w:ascii="Arial" w:hAnsi="Arial" w:cs="Arial"/>
          <w:sz w:val="20"/>
          <w:szCs w:val="20"/>
        </w:rPr>
      </w:pPr>
      <w:r>
        <w:rPr>
          <w:rFonts w:ascii="Arial" w:hAnsi="Arial"/>
          <w:sz w:val="20"/>
          <w:szCs w:val="20"/>
        </w:rPr>
        <w:t>Once again, office properties were by far the most sought-after asset class, accounting for 75 % of the total (2018: 55 </w:t>
      </w:r>
      <w:proofErr w:type="gramStart"/>
      <w:r>
        <w:rPr>
          <w:rFonts w:ascii="Arial" w:hAnsi="Arial"/>
          <w:sz w:val="20"/>
          <w:szCs w:val="20"/>
        </w:rPr>
        <w:t>%</w:t>
      </w:r>
      <w:proofErr w:type="gramEnd"/>
      <w:r>
        <w:rPr>
          <w:rFonts w:ascii="Arial" w:hAnsi="Arial"/>
          <w:sz w:val="20"/>
          <w:szCs w:val="20"/>
        </w:rPr>
        <w:t>)</w:t>
      </w:r>
      <w:r w:rsidR="00E3246C">
        <w:rPr>
          <w:rFonts w:ascii="Arial" w:hAnsi="Arial"/>
          <w:sz w:val="20"/>
          <w:szCs w:val="20"/>
        </w:rPr>
        <w:t>.</w:t>
      </w:r>
      <w:r>
        <w:rPr>
          <w:rFonts w:ascii="Arial" w:hAnsi="Arial"/>
          <w:sz w:val="20"/>
          <w:szCs w:val="20"/>
        </w:rPr>
        <w:t xml:space="preserve"> In 2019 properties in the City district remained those preferred by investors, gener</w:t>
      </w:r>
      <w:r w:rsidR="00E3246C">
        <w:rPr>
          <w:rFonts w:ascii="Arial" w:hAnsi="Arial"/>
          <w:sz w:val="20"/>
          <w:szCs w:val="20"/>
        </w:rPr>
        <w:t>ating 42 % of the volume traded</w:t>
      </w:r>
      <w:r>
        <w:rPr>
          <w:rFonts w:ascii="Arial" w:hAnsi="Arial"/>
          <w:sz w:val="20"/>
          <w:szCs w:val="20"/>
        </w:rPr>
        <w:t xml:space="preserve"> (2</w:t>
      </w:r>
      <w:r w:rsidR="00E3246C">
        <w:rPr>
          <w:rFonts w:ascii="Arial" w:hAnsi="Arial"/>
          <w:sz w:val="20"/>
          <w:szCs w:val="20"/>
        </w:rPr>
        <w:t>018: 29 </w:t>
      </w:r>
      <w:proofErr w:type="gramStart"/>
      <w:r w:rsidR="00E3246C">
        <w:rPr>
          <w:rFonts w:ascii="Arial" w:hAnsi="Arial"/>
          <w:sz w:val="20"/>
          <w:szCs w:val="20"/>
        </w:rPr>
        <w:t>%</w:t>
      </w:r>
      <w:proofErr w:type="gramEnd"/>
      <w:r w:rsidR="00E3246C">
        <w:rPr>
          <w:rFonts w:ascii="Arial" w:hAnsi="Arial"/>
          <w:sz w:val="20"/>
          <w:szCs w:val="20"/>
        </w:rPr>
        <w:t>).</w:t>
      </w:r>
    </w:p>
    <w:p w14:paraId="33B74864" w14:textId="64ADABFE" w:rsidR="00F45370" w:rsidRPr="00D35A6D" w:rsidRDefault="00844AAC" w:rsidP="00D35A6D">
      <w:pPr>
        <w:pStyle w:val="Listenabsatz"/>
        <w:numPr>
          <w:ilvl w:val="0"/>
          <w:numId w:val="16"/>
        </w:numPr>
        <w:spacing w:after="0" w:line="360" w:lineRule="auto"/>
        <w:ind w:left="425" w:hanging="357"/>
        <w:textAlignment w:val="baseline"/>
        <w:rPr>
          <w:rFonts w:ascii="Arial" w:hAnsi="Arial" w:cs="Arial"/>
          <w:sz w:val="20"/>
          <w:szCs w:val="20"/>
        </w:rPr>
      </w:pPr>
      <w:r>
        <w:rPr>
          <w:rFonts w:ascii="Arial" w:hAnsi="Arial"/>
          <w:sz w:val="20"/>
          <w:szCs w:val="20"/>
        </w:rPr>
        <w:t xml:space="preserve">Accounting for 23 % of the volume traded, the biggest single group of vendors were listed real estate investment AGs/REITs. In large </w:t>
      </w:r>
      <w:proofErr w:type="gramStart"/>
      <w:r>
        <w:rPr>
          <w:rFonts w:ascii="Arial" w:hAnsi="Arial"/>
          <w:sz w:val="20"/>
          <w:szCs w:val="20"/>
        </w:rPr>
        <w:t>part</w:t>
      </w:r>
      <w:proofErr w:type="gramEnd"/>
      <w:r>
        <w:rPr>
          <w:rFonts w:ascii="Arial" w:hAnsi="Arial"/>
          <w:sz w:val="20"/>
          <w:szCs w:val="20"/>
        </w:rPr>
        <w:t xml:space="preserve"> this is due to Blackstone’s acquisition of the Canadian REIT Dream Global. Developers followed in second place with some 20 % of the market. Forward trades totalling around €474m contributed to the </w:t>
      </w:r>
      <w:proofErr w:type="spellStart"/>
      <w:r>
        <w:rPr>
          <w:rFonts w:ascii="Arial" w:hAnsi="Arial"/>
          <w:sz w:val="20"/>
          <w:szCs w:val="20"/>
        </w:rPr>
        <w:t>latters</w:t>
      </w:r>
      <w:proofErr w:type="spellEnd"/>
      <w:r>
        <w:rPr>
          <w:rFonts w:ascii="Arial" w:hAnsi="Arial"/>
          <w:sz w:val="20"/>
          <w:szCs w:val="20"/>
        </w:rPr>
        <w:t xml:space="preserve">’ result. On the buying side of the equation, open-ended mutual property investment funds were in the lead with a share of 26 %. </w:t>
      </w:r>
    </w:p>
    <w:p w14:paraId="5F12FD4C" w14:textId="64340BB7" w:rsidR="0080214D" w:rsidRPr="00D35A6D" w:rsidRDefault="00D35A6D" w:rsidP="00D35A6D">
      <w:pPr>
        <w:pStyle w:val="Listenabsatz"/>
        <w:numPr>
          <w:ilvl w:val="0"/>
          <w:numId w:val="16"/>
        </w:numPr>
        <w:spacing w:after="0" w:line="360" w:lineRule="auto"/>
        <w:ind w:left="425" w:hanging="357"/>
        <w:textAlignment w:val="baseline"/>
        <w:rPr>
          <w:rFonts w:ascii="Arial" w:hAnsi="Arial" w:cs="Arial"/>
          <w:sz w:val="20"/>
          <w:szCs w:val="20"/>
        </w:rPr>
      </w:pPr>
      <w:r>
        <w:rPr>
          <w:rFonts w:ascii="Arial" w:hAnsi="Arial"/>
          <w:sz w:val="20"/>
          <w:szCs w:val="20"/>
        </w:rPr>
        <w:t xml:space="preserve">As the year closed, sales </w:t>
      </w:r>
      <w:proofErr w:type="gramStart"/>
      <w:r>
        <w:rPr>
          <w:rFonts w:ascii="Arial" w:hAnsi="Arial"/>
          <w:sz w:val="20"/>
          <w:szCs w:val="20"/>
        </w:rPr>
        <w:t>were evenly distributed</w:t>
      </w:r>
      <w:proofErr w:type="gramEnd"/>
      <w:r>
        <w:rPr>
          <w:rFonts w:ascii="Arial" w:hAnsi="Arial"/>
          <w:sz w:val="20"/>
          <w:szCs w:val="20"/>
        </w:rPr>
        <w:t xml:space="preserve"> across all price categories. Properties in the €51m plus and €100m plus brackets each comprised a third of the total. However, in the whole of 2019 not a single investment property sold for more than €200m. </w:t>
      </w:r>
    </w:p>
    <w:p w14:paraId="408E5518" w14:textId="32F1E48C" w:rsidR="004B5A6D" w:rsidRPr="00E2359E" w:rsidRDefault="004B5A6D" w:rsidP="004B5A6D">
      <w:pPr>
        <w:pStyle w:val="Listenabsatz"/>
        <w:numPr>
          <w:ilvl w:val="0"/>
          <w:numId w:val="16"/>
        </w:numPr>
        <w:spacing w:after="0" w:line="360" w:lineRule="auto"/>
        <w:ind w:left="425" w:hanging="357"/>
        <w:textAlignment w:val="baseline"/>
        <w:rPr>
          <w:rFonts w:ascii="Arial" w:hAnsi="Arial" w:cs="Arial"/>
          <w:sz w:val="20"/>
          <w:szCs w:val="20"/>
        </w:rPr>
      </w:pPr>
      <w:r>
        <w:rPr>
          <w:rFonts w:ascii="Arial" w:hAnsi="Arial"/>
          <w:sz w:val="20"/>
          <w:szCs w:val="20"/>
        </w:rPr>
        <w:t xml:space="preserve">Prime yields on offices, commercial buildings and logistics properties remained practically unchanged at the low levels noted at the end of 2018. </w:t>
      </w:r>
    </w:p>
    <w:p w14:paraId="58406F60" w14:textId="327E33B8" w:rsidR="00F45370" w:rsidRPr="00D35A6D" w:rsidRDefault="0080214D" w:rsidP="0080214D">
      <w:pPr>
        <w:pStyle w:val="Listenabsatz"/>
        <w:numPr>
          <w:ilvl w:val="0"/>
          <w:numId w:val="16"/>
        </w:numPr>
        <w:spacing w:after="0" w:line="360" w:lineRule="auto"/>
        <w:ind w:left="425" w:hanging="357"/>
        <w:textAlignment w:val="baseline"/>
        <w:rPr>
          <w:rFonts w:ascii="Arial" w:hAnsi="Arial" w:cs="Arial"/>
          <w:sz w:val="20"/>
          <w:szCs w:val="20"/>
        </w:rPr>
      </w:pPr>
      <w:r>
        <w:rPr>
          <w:rFonts w:ascii="Arial" w:hAnsi="Arial"/>
          <w:sz w:val="20"/>
          <w:szCs w:val="20"/>
        </w:rPr>
        <w:t>A combination of zero interest rates, a lack of alternative investments and maturing government bonds will result in fresh capital flooding into Hamburg’s investment market and, in view of short supply, lead to rising purchase prices. Yields are likely to co</w:t>
      </w:r>
      <w:r w:rsidR="00FA60B5">
        <w:rPr>
          <w:rFonts w:ascii="Arial" w:hAnsi="Arial"/>
          <w:sz w:val="20"/>
          <w:szCs w:val="20"/>
        </w:rPr>
        <w:t xml:space="preserve">ntract further in the </w:t>
      </w:r>
      <w:proofErr w:type="gramStart"/>
      <w:r w:rsidR="00FA60B5">
        <w:rPr>
          <w:rFonts w:ascii="Arial" w:hAnsi="Arial"/>
          <w:sz w:val="20"/>
          <w:szCs w:val="20"/>
        </w:rPr>
        <w:t>new year</w:t>
      </w:r>
      <w:proofErr w:type="gramEnd"/>
      <w:r w:rsidR="00FA60B5">
        <w:rPr>
          <w:rFonts w:ascii="Arial" w:hAnsi="Arial"/>
          <w:sz w:val="20"/>
          <w:szCs w:val="20"/>
        </w:rPr>
        <w:t>.</w:t>
      </w:r>
    </w:p>
    <w:p w14:paraId="3A6BB63F" w14:textId="44C763B5" w:rsidR="000A5ED1" w:rsidRPr="00D35A6D" w:rsidRDefault="00372601" w:rsidP="00D35A6D">
      <w:pPr>
        <w:spacing w:after="0"/>
        <w:jc w:val="both"/>
        <w:rPr>
          <w:rFonts w:ascii="Arial" w:eastAsiaTheme="minorHAnsi" w:hAnsi="Arial" w:cs="Arial"/>
          <w:b/>
          <w:sz w:val="20"/>
          <w:szCs w:val="20"/>
        </w:rPr>
      </w:pPr>
      <w:r>
        <w:rPr>
          <w:rFonts w:ascii="Arial" w:eastAsiaTheme="minorHAnsi" w:hAnsi="Arial" w:cs="Arial"/>
          <w:b/>
          <w:noProof/>
          <w:sz w:val="20"/>
          <w:szCs w:val="20"/>
          <w:lang w:val="de-DE" w:eastAsia="de-DE"/>
        </w:rPr>
        <w:lastRenderedPageBreak/>
        <w:drawing>
          <wp:anchor distT="0" distB="0" distL="114300" distR="114300" simplePos="0" relativeHeight="251658240" behindDoc="1" locked="0" layoutInCell="1" allowOverlap="1" wp14:anchorId="13D8786C" wp14:editId="16393AC8">
            <wp:simplePos x="0" y="0"/>
            <wp:positionH relativeFrom="column">
              <wp:posOffset>3318869</wp:posOffset>
            </wp:positionH>
            <wp:positionV relativeFrom="paragraph">
              <wp:posOffset>238539</wp:posOffset>
            </wp:positionV>
            <wp:extent cx="2909570" cy="2215515"/>
            <wp:effectExtent l="19050" t="19050" r="24130" b="13335"/>
            <wp:wrapTight wrapText="bothSides">
              <wp:wrapPolygon edited="0">
                <wp:start x="-141" y="-186"/>
                <wp:lineTo x="-141" y="21544"/>
                <wp:lineTo x="21638" y="21544"/>
                <wp:lineTo x="21638" y="-186"/>
                <wp:lineTo x="-141" y="-18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estment market HH_4Q2019_tav_en.JPG"/>
                    <pic:cNvPicPr/>
                  </pic:nvPicPr>
                  <pic:blipFill>
                    <a:blip r:embed="rId8">
                      <a:extLst>
                        <a:ext uri="{28A0092B-C50C-407E-A947-70E740481C1C}">
                          <a14:useLocalDpi xmlns:a14="http://schemas.microsoft.com/office/drawing/2010/main" val="0"/>
                        </a:ext>
                      </a:extLst>
                    </a:blip>
                    <a:stretch>
                      <a:fillRect/>
                    </a:stretch>
                  </pic:blipFill>
                  <pic:spPr>
                    <a:xfrm>
                      <a:off x="0" y="0"/>
                      <a:ext cx="2909570" cy="2215515"/>
                    </a:xfrm>
                    <a:prstGeom prst="rect">
                      <a:avLst/>
                    </a:prstGeom>
                    <a:ln w="1270">
                      <a:solidFill>
                        <a:schemeClr val="tx1"/>
                      </a:solidFill>
                    </a:ln>
                  </pic:spPr>
                </pic:pic>
              </a:graphicData>
            </a:graphic>
            <wp14:sizeRelH relativeFrom="page">
              <wp14:pctWidth>0</wp14:pctWidth>
            </wp14:sizeRelH>
            <wp14:sizeRelV relativeFrom="page">
              <wp14:pctHeight>0</wp14:pctHeight>
            </wp14:sizeRelV>
          </wp:anchor>
        </w:drawing>
      </w:r>
    </w:p>
    <w:tbl>
      <w:tblPr>
        <w:tblStyle w:val="TableGrid2"/>
        <w:tblpPr w:leftFromText="141" w:rightFromText="141" w:vertAnchor="text" w:horzAnchor="margin" w:tblpY="106"/>
        <w:tblW w:w="0" w:type="auto"/>
        <w:tblLook w:val="04A0" w:firstRow="1" w:lastRow="0" w:firstColumn="1" w:lastColumn="0" w:noHBand="0" w:noVBand="1"/>
      </w:tblPr>
      <w:tblGrid>
        <w:gridCol w:w="3823"/>
        <w:gridCol w:w="1134"/>
      </w:tblGrid>
      <w:tr w:rsidR="000A5ED1" w:rsidRPr="006F49D0" w14:paraId="2928D7C9" w14:textId="77777777" w:rsidTr="00365AF8">
        <w:trPr>
          <w:trHeight w:val="283"/>
        </w:trPr>
        <w:tc>
          <w:tcPr>
            <w:tcW w:w="0" w:type="auto"/>
            <w:shd w:val="clear" w:color="auto" w:fill="1F242B" w:themeFill="accent2"/>
          </w:tcPr>
          <w:p w14:paraId="513B5E89" w14:textId="136172B9" w:rsidR="000A5ED1" w:rsidRPr="004712BA" w:rsidRDefault="000A5ED1" w:rsidP="0054412E">
            <w:pPr>
              <w:widowControl w:val="0"/>
              <w:spacing w:before="60" w:after="60"/>
              <w:jc w:val="both"/>
              <w:rPr>
                <w:rFonts w:ascii="Arial" w:hAnsi="Arial" w:cs="Arial"/>
                <w:b/>
                <w:sz w:val="18"/>
                <w:szCs w:val="16"/>
              </w:rPr>
            </w:pPr>
            <w:r>
              <w:rPr>
                <w:rFonts w:ascii="Arial" w:hAnsi="Arial"/>
                <w:b/>
                <w:sz w:val="20"/>
                <w:szCs w:val="20"/>
              </w:rPr>
              <w:t>Investment market | Hamburg</w:t>
            </w:r>
            <w:r>
              <w:t xml:space="preserve"> </w:t>
            </w:r>
            <w:r>
              <w:rPr>
                <w:rFonts w:ascii="Arial" w:hAnsi="Arial"/>
                <w:b/>
                <w:sz w:val="20"/>
                <w:szCs w:val="20"/>
              </w:rPr>
              <w:t>| 2019</w:t>
            </w:r>
          </w:p>
        </w:tc>
        <w:tc>
          <w:tcPr>
            <w:tcW w:w="1134" w:type="dxa"/>
            <w:shd w:val="clear" w:color="auto" w:fill="1F242B" w:themeFill="accent2"/>
          </w:tcPr>
          <w:p w14:paraId="6DA68AD4" w14:textId="479B4E71" w:rsidR="000A5ED1" w:rsidRPr="004712BA" w:rsidRDefault="000A5ED1" w:rsidP="00465B0E">
            <w:pPr>
              <w:widowControl w:val="0"/>
              <w:spacing w:before="60" w:after="60"/>
              <w:jc w:val="center"/>
              <w:rPr>
                <w:rFonts w:ascii="Arial" w:hAnsi="Arial" w:cs="Arial"/>
                <w:b/>
                <w:sz w:val="18"/>
                <w:szCs w:val="16"/>
              </w:rPr>
            </w:pPr>
            <w:r>
              <w:rPr>
                <w:rFonts w:ascii="Arial" w:hAnsi="Arial"/>
                <w:b/>
                <w:sz w:val="18"/>
                <w:szCs w:val="16"/>
              </w:rPr>
              <w:t>Q1 -</w:t>
            </w:r>
            <w:r w:rsidR="00E3246C">
              <w:rPr>
                <w:rFonts w:ascii="Arial" w:hAnsi="Arial"/>
                <w:b/>
                <w:sz w:val="18"/>
                <w:szCs w:val="16"/>
              </w:rPr>
              <w:t xml:space="preserve"> </w:t>
            </w:r>
            <w:r>
              <w:rPr>
                <w:rFonts w:ascii="Arial" w:hAnsi="Arial"/>
                <w:b/>
                <w:sz w:val="18"/>
                <w:szCs w:val="16"/>
              </w:rPr>
              <w:t>4</w:t>
            </w:r>
          </w:p>
        </w:tc>
      </w:tr>
      <w:tr w:rsidR="00797E4F" w:rsidRPr="006F49D0" w14:paraId="12A35FD1" w14:textId="77777777" w:rsidTr="00365AF8">
        <w:trPr>
          <w:trHeight w:val="283"/>
        </w:trPr>
        <w:tc>
          <w:tcPr>
            <w:tcW w:w="3823" w:type="dxa"/>
          </w:tcPr>
          <w:p w14:paraId="1EEAFBBC" w14:textId="421C87C5" w:rsidR="00797E4F" w:rsidRPr="004712BA" w:rsidRDefault="00797E4F" w:rsidP="00797E4F">
            <w:pPr>
              <w:widowControl w:val="0"/>
              <w:spacing w:before="40" w:after="40"/>
              <w:jc w:val="both"/>
              <w:rPr>
                <w:rFonts w:ascii="Arial" w:hAnsi="Arial" w:cs="Arial"/>
                <w:b/>
                <w:sz w:val="18"/>
                <w:szCs w:val="16"/>
              </w:rPr>
            </w:pPr>
            <w:r>
              <w:rPr>
                <w:rFonts w:ascii="Arial" w:hAnsi="Arial"/>
                <w:b/>
                <w:sz w:val="18"/>
                <w:szCs w:val="16"/>
              </w:rPr>
              <w:t xml:space="preserve">Transaction volume </w:t>
            </w:r>
            <w:r>
              <w:rPr>
                <w:rFonts w:ascii="Arial" w:hAnsi="Arial"/>
                <w:sz w:val="18"/>
                <w:szCs w:val="16"/>
              </w:rPr>
              <w:t>[€ millions]</w:t>
            </w:r>
          </w:p>
        </w:tc>
        <w:tc>
          <w:tcPr>
            <w:tcW w:w="1134" w:type="dxa"/>
            <w:vAlign w:val="center"/>
          </w:tcPr>
          <w:p w14:paraId="37C81A3D" w14:textId="0256EEC3" w:rsidR="00797E4F" w:rsidRPr="0080214D" w:rsidRDefault="0080214D" w:rsidP="0080214D">
            <w:pPr>
              <w:widowControl w:val="0"/>
              <w:spacing w:before="40" w:after="40"/>
              <w:jc w:val="right"/>
              <w:rPr>
                <w:rFonts w:ascii="Arial" w:hAnsi="Arial" w:cs="Arial"/>
                <w:sz w:val="18"/>
                <w:szCs w:val="16"/>
              </w:rPr>
            </w:pPr>
            <w:r>
              <w:rPr>
                <w:rFonts w:ascii="Arial" w:hAnsi="Arial"/>
                <w:sz w:val="18"/>
                <w:szCs w:val="16"/>
              </w:rPr>
              <w:t>4,340</w:t>
            </w:r>
          </w:p>
        </w:tc>
      </w:tr>
      <w:tr w:rsidR="00797E4F" w:rsidRPr="006F49D0" w14:paraId="6A7ABFCD" w14:textId="77777777" w:rsidTr="00365AF8">
        <w:trPr>
          <w:trHeight w:val="283"/>
        </w:trPr>
        <w:tc>
          <w:tcPr>
            <w:tcW w:w="3823" w:type="dxa"/>
          </w:tcPr>
          <w:p w14:paraId="209F9D9C" w14:textId="77777777" w:rsidR="00797E4F" w:rsidRPr="00A7575D" w:rsidRDefault="00797E4F" w:rsidP="00797E4F">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34" w:type="dxa"/>
            <w:vAlign w:val="center"/>
          </w:tcPr>
          <w:p w14:paraId="266E247E" w14:textId="2A49DBB8" w:rsidR="00797E4F" w:rsidRPr="0080214D" w:rsidRDefault="0080214D" w:rsidP="0080214D">
            <w:pPr>
              <w:widowControl w:val="0"/>
              <w:spacing w:before="40" w:after="40"/>
              <w:jc w:val="right"/>
              <w:rPr>
                <w:rFonts w:ascii="Arial" w:hAnsi="Arial" w:cs="Arial"/>
                <w:sz w:val="18"/>
                <w:szCs w:val="16"/>
              </w:rPr>
            </w:pPr>
            <w:r>
              <w:rPr>
                <w:rFonts w:ascii="Arial" w:hAnsi="Arial"/>
                <w:sz w:val="18"/>
                <w:szCs w:val="16"/>
              </w:rPr>
              <w:t>-27</w:t>
            </w:r>
          </w:p>
        </w:tc>
      </w:tr>
      <w:tr w:rsidR="00797E4F" w:rsidRPr="006F49D0" w14:paraId="1F46D6E3" w14:textId="77777777" w:rsidTr="00365AF8">
        <w:trPr>
          <w:trHeight w:val="283"/>
        </w:trPr>
        <w:tc>
          <w:tcPr>
            <w:tcW w:w="3823" w:type="dxa"/>
          </w:tcPr>
          <w:p w14:paraId="021D0700" w14:textId="77777777" w:rsidR="00797E4F" w:rsidRPr="00A7575D" w:rsidRDefault="00797E4F" w:rsidP="00797E4F">
            <w:pPr>
              <w:widowControl w:val="0"/>
              <w:spacing w:before="40" w:after="40"/>
              <w:jc w:val="both"/>
              <w:rPr>
                <w:rFonts w:ascii="Arial" w:hAnsi="Arial" w:cs="Arial"/>
                <w:sz w:val="18"/>
                <w:szCs w:val="16"/>
              </w:rPr>
            </w:pPr>
            <w:r>
              <w:rPr>
                <w:rFonts w:ascii="Arial" w:hAnsi="Arial"/>
                <w:b/>
                <w:sz w:val="18"/>
                <w:szCs w:val="16"/>
              </w:rPr>
              <w:t>Share of trading in CBD</w:t>
            </w:r>
            <w:r>
              <w:rPr>
                <w:rFonts w:ascii="Arial" w:hAnsi="Arial"/>
                <w:sz w:val="18"/>
                <w:szCs w:val="16"/>
              </w:rPr>
              <w:t xml:space="preserve"> [%]</w:t>
            </w:r>
          </w:p>
        </w:tc>
        <w:tc>
          <w:tcPr>
            <w:tcW w:w="1134" w:type="dxa"/>
            <w:vAlign w:val="center"/>
          </w:tcPr>
          <w:p w14:paraId="2EA23137" w14:textId="2611A7A5" w:rsidR="00797E4F" w:rsidRPr="0080214D" w:rsidRDefault="00277361" w:rsidP="00797E4F">
            <w:pPr>
              <w:widowControl w:val="0"/>
              <w:spacing w:before="40" w:after="40"/>
              <w:jc w:val="right"/>
              <w:rPr>
                <w:rFonts w:ascii="Arial" w:hAnsi="Arial" w:cs="Arial"/>
                <w:sz w:val="18"/>
                <w:szCs w:val="16"/>
              </w:rPr>
            </w:pPr>
            <w:r>
              <w:rPr>
                <w:rFonts w:ascii="Arial" w:hAnsi="Arial"/>
                <w:sz w:val="18"/>
                <w:szCs w:val="16"/>
              </w:rPr>
              <w:t>42</w:t>
            </w:r>
          </w:p>
        </w:tc>
      </w:tr>
      <w:tr w:rsidR="00797E4F" w:rsidRPr="006F49D0" w14:paraId="1F687A93" w14:textId="77777777" w:rsidTr="00365AF8">
        <w:trPr>
          <w:trHeight w:val="283"/>
        </w:trPr>
        <w:tc>
          <w:tcPr>
            <w:tcW w:w="3823" w:type="dxa"/>
          </w:tcPr>
          <w:p w14:paraId="7BAE8D04" w14:textId="281F1910" w:rsidR="00797E4F" w:rsidRPr="00CF57DD" w:rsidRDefault="00797E4F" w:rsidP="00797E4F">
            <w:pPr>
              <w:widowControl w:val="0"/>
              <w:spacing w:before="40" w:after="40"/>
              <w:jc w:val="both"/>
              <w:rPr>
                <w:rFonts w:ascii="Arial" w:hAnsi="Arial" w:cs="Arial"/>
                <w:b/>
                <w:sz w:val="18"/>
                <w:szCs w:val="16"/>
              </w:rPr>
            </w:pPr>
            <w:r>
              <w:rPr>
                <w:rFonts w:ascii="Arial" w:hAnsi="Arial"/>
                <w:b/>
                <w:sz w:val="18"/>
                <w:szCs w:val="16"/>
              </w:rPr>
              <w:t>Proportion of international investors</w:t>
            </w:r>
            <w:r>
              <w:rPr>
                <w:rFonts w:ascii="Arial" w:hAnsi="Arial"/>
                <w:sz w:val="18"/>
                <w:szCs w:val="16"/>
              </w:rPr>
              <w:t xml:space="preserve"> [%]</w:t>
            </w:r>
          </w:p>
        </w:tc>
        <w:tc>
          <w:tcPr>
            <w:tcW w:w="1134" w:type="dxa"/>
            <w:vAlign w:val="center"/>
          </w:tcPr>
          <w:p w14:paraId="7264C863" w14:textId="59E5E4D5" w:rsidR="00797E4F" w:rsidRPr="0080214D" w:rsidRDefault="0080214D" w:rsidP="00682CFC">
            <w:pPr>
              <w:widowControl w:val="0"/>
              <w:spacing w:before="40" w:after="40"/>
              <w:jc w:val="right"/>
              <w:rPr>
                <w:rFonts w:ascii="Arial" w:hAnsi="Arial" w:cs="Arial"/>
                <w:sz w:val="18"/>
                <w:szCs w:val="16"/>
              </w:rPr>
            </w:pPr>
            <w:r>
              <w:rPr>
                <w:rFonts w:ascii="Arial" w:hAnsi="Arial"/>
                <w:sz w:val="18"/>
                <w:szCs w:val="16"/>
              </w:rPr>
              <w:t>37</w:t>
            </w:r>
          </w:p>
        </w:tc>
      </w:tr>
      <w:tr w:rsidR="00797E4F" w:rsidRPr="006F49D0" w14:paraId="16A9EFD5" w14:textId="77777777" w:rsidTr="00365AF8">
        <w:trPr>
          <w:trHeight w:val="283"/>
        </w:trPr>
        <w:tc>
          <w:tcPr>
            <w:tcW w:w="3823" w:type="dxa"/>
          </w:tcPr>
          <w:p w14:paraId="776A8B5E" w14:textId="77777777" w:rsidR="00797E4F" w:rsidRPr="004712BA" w:rsidRDefault="00797E4F" w:rsidP="00797E4F">
            <w:pPr>
              <w:widowControl w:val="0"/>
              <w:spacing w:before="40" w:after="40"/>
              <w:jc w:val="both"/>
              <w:rPr>
                <w:rFonts w:ascii="Arial" w:hAnsi="Arial" w:cs="Arial"/>
                <w:b/>
                <w:sz w:val="18"/>
                <w:szCs w:val="16"/>
              </w:rPr>
            </w:pPr>
            <w:r>
              <w:rPr>
                <w:rFonts w:ascii="Arial" w:hAnsi="Arial"/>
                <w:b/>
                <w:sz w:val="18"/>
                <w:szCs w:val="16"/>
              </w:rPr>
              <w:t>Prime net yield, office</w:t>
            </w:r>
            <w:r>
              <w:rPr>
                <w:rFonts w:ascii="Arial" w:hAnsi="Arial"/>
                <w:sz w:val="18"/>
                <w:szCs w:val="16"/>
              </w:rPr>
              <w:t xml:space="preserve"> [%]</w:t>
            </w:r>
          </w:p>
        </w:tc>
        <w:tc>
          <w:tcPr>
            <w:tcW w:w="1134" w:type="dxa"/>
            <w:vAlign w:val="center"/>
          </w:tcPr>
          <w:p w14:paraId="4D71828B" w14:textId="717A48C3" w:rsidR="00797E4F" w:rsidRPr="0080214D" w:rsidRDefault="00277361" w:rsidP="00797E4F">
            <w:pPr>
              <w:widowControl w:val="0"/>
              <w:spacing w:before="40" w:after="40"/>
              <w:jc w:val="right"/>
              <w:rPr>
                <w:rFonts w:ascii="Arial" w:hAnsi="Arial" w:cs="Arial"/>
                <w:sz w:val="18"/>
                <w:szCs w:val="16"/>
              </w:rPr>
            </w:pPr>
            <w:r>
              <w:rPr>
                <w:rFonts w:ascii="Arial" w:hAnsi="Arial"/>
                <w:sz w:val="18"/>
                <w:szCs w:val="16"/>
              </w:rPr>
              <w:t>2.80</w:t>
            </w:r>
          </w:p>
        </w:tc>
      </w:tr>
      <w:tr w:rsidR="00797E4F" w14:paraId="55B3498E" w14:textId="77777777" w:rsidTr="00365AF8">
        <w:trPr>
          <w:trHeight w:val="283"/>
        </w:trPr>
        <w:tc>
          <w:tcPr>
            <w:tcW w:w="3823" w:type="dxa"/>
          </w:tcPr>
          <w:p w14:paraId="10626FFC" w14:textId="3379598B" w:rsidR="00797E4F" w:rsidRPr="00A7575D" w:rsidRDefault="00797E4F" w:rsidP="0057685F">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2B6ED377" w14:textId="3DE00338" w:rsidR="00797E4F" w:rsidRPr="0080214D" w:rsidRDefault="00277361" w:rsidP="00797E4F">
            <w:pPr>
              <w:widowControl w:val="0"/>
              <w:spacing w:before="40" w:after="40"/>
              <w:jc w:val="right"/>
              <w:rPr>
                <w:rFonts w:ascii="Arial" w:hAnsi="Arial" w:cs="Arial"/>
                <w:sz w:val="18"/>
                <w:szCs w:val="16"/>
              </w:rPr>
            </w:pPr>
            <w:r>
              <w:rPr>
                <w:rFonts w:ascii="Arial" w:hAnsi="Arial"/>
                <w:sz w:val="18"/>
                <w:szCs w:val="16"/>
              </w:rPr>
              <w:t>±0.00</w:t>
            </w:r>
          </w:p>
        </w:tc>
      </w:tr>
      <w:tr w:rsidR="00797E4F" w:rsidRPr="006F49D0" w14:paraId="3FF9A817" w14:textId="77777777" w:rsidTr="00365AF8">
        <w:trPr>
          <w:trHeight w:val="283"/>
        </w:trPr>
        <w:tc>
          <w:tcPr>
            <w:tcW w:w="3823" w:type="dxa"/>
          </w:tcPr>
          <w:p w14:paraId="5A19B7CF" w14:textId="77777777" w:rsidR="00797E4F" w:rsidRPr="004712BA" w:rsidRDefault="00797E4F" w:rsidP="00797E4F">
            <w:pPr>
              <w:widowControl w:val="0"/>
              <w:spacing w:before="40" w:after="40"/>
              <w:jc w:val="both"/>
              <w:rPr>
                <w:rFonts w:ascii="Arial" w:hAnsi="Arial" w:cs="Arial"/>
                <w:b/>
                <w:sz w:val="18"/>
                <w:szCs w:val="16"/>
              </w:rPr>
            </w:pPr>
            <w:r>
              <w:rPr>
                <w:rFonts w:ascii="Arial" w:hAnsi="Arial"/>
                <w:b/>
                <w:sz w:val="18"/>
                <w:szCs w:val="16"/>
              </w:rPr>
              <w:t>Prime net yield, commercial buildings</w:t>
            </w:r>
            <w:r>
              <w:rPr>
                <w:rFonts w:ascii="Arial" w:hAnsi="Arial"/>
                <w:sz w:val="18"/>
                <w:szCs w:val="16"/>
              </w:rPr>
              <w:t xml:space="preserve"> [%]</w:t>
            </w:r>
          </w:p>
        </w:tc>
        <w:tc>
          <w:tcPr>
            <w:tcW w:w="1134" w:type="dxa"/>
            <w:vAlign w:val="center"/>
          </w:tcPr>
          <w:p w14:paraId="27AD5745" w14:textId="50D777AC" w:rsidR="00797E4F" w:rsidRPr="0080214D" w:rsidRDefault="00277361" w:rsidP="00797E4F">
            <w:pPr>
              <w:widowControl w:val="0"/>
              <w:spacing w:before="40" w:after="40"/>
              <w:jc w:val="right"/>
              <w:rPr>
                <w:rFonts w:ascii="Arial" w:hAnsi="Arial" w:cs="Arial"/>
                <w:sz w:val="18"/>
                <w:szCs w:val="16"/>
              </w:rPr>
            </w:pPr>
            <w:r>
              <w:rPr>
                <w:rFonts w:ascii="Arial" w:hAnsi="Arial"/>
                <w:sz w:val="18"/>
                <w:szCs w:val="16"/>
              </w:rPr>
              <w:t>2.70</w:t>
            </w:r>
          </w:p>
        </w:tc>
      </w:tr>
      <w:tr w:rsidR="00797E4F" w14:paraId="0515B637" w14:textId="77777777" w:rsidTr="00365AF8">
        <w:trPr>
          <w:trHeight w:val="283"/>
        </w:trPr>
        <w:tc>
          <w:tcPr>
            <w:tcW w:w="3823" w:type="dxa"/>
          </w:tcPr>
          <w:p w14:paraId="67B252C5" w14:textId="516CED9B" w:rsidR="00797E4F" w:rsidRPr="00A7575D" w:rsidRDefault="00797E4F" w:rsidP="00797E4F">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3F1E364B" w14:textId="61527676" w:rsidR="00797E4F" w:rsidRPr="0080214D" w:rsidRDefault="00277361" w:rsidP="00797E4F">
            <w:pPr>
              <w:widowControl w:val="0"/>
              <w:spacing w:before="40" w:after="40"/>
              <w:jc w:val="right"/>
              <w:rPr>
                <w:rFonts w:ascii="Arial" w:hAnsi="Arial" w:cs="Arial"/>
                <w:sz w:val="18"/>
                <w:szCs w:val="16"/>
              </w:rPr>
            </w:pPr>
            <w:r>
              <w:rPr>
                <w:rFonts w:ascii="Arial" w:hAnsi="Arial"/>
                <w:sz w:val="18"/>
                <w:szCs w:val="16"/>
              </w:rPr>
              <w:t>±0.00</w:t>
            </w:r>
          </w:p>
        </w:tc>
      </w:tr>
      <w:tr w:rsidR="00797E4F" w:rsidRPr="006F49D0" w14:paraId="5FADA812" w14:textId="77777777" w:rsidTr="00365AF8">
        <w:trPr>
          <w:trHeight w:val="283"/>
        </w:trPr>
        <w:tc>
          <w:tcPr>
            <w:tcW w:w="3823" w:type="dxa"/>
          </w:tcPr>
          <w:p w14:paraId="2CFBFCBA" w14:textId="77777777" w:rsidR="00797E4F" w:rsidRPr="004712BA" w:rsidRDefault="00797E4F" w:rsidP="00797E4F">
            <w:pPr>
              <w:widowControl w:val="0"/>
              <w:spacing w:before="40" w:after="40"/>
              <w:jc w:val="both"/>
              <w:rPr>
                <w:rFonts w:ascii="Arial" w:hAnsi="Arial" w:cs="Arial"/>
                <w:b/>
                <w:sz w:val="18"/>
                <w:szCs w:val="16"/>
              </w:rPr>
            </w:pPr>
            <w:r>
              <w:rPr>
                <w:rFonts w:ascii="Arial" w:hAnsi="Arial"/>
                <w:b/>
                <w:sz w:val="18"/>
                <w:szCs w:val="16"/>
              </w:rPr>
              <w:t>Prime net yield, logistics properties</w:t>
            </w:r>
            <w:r>
              <w:rPr>
                <w:rFonts w:ascii="Arial" w:hAnsi="Arial"/>
                <w:sz w:val="18"/>
                <w:szCs w:val="16"/>
              </w:rPr>
              <w:t xml:space="preserve"> [%]</w:t>
            </w:r>
          </w:p>
        </w:tc>
        <w:tc>
          <w:tcPr>
            <w:tcW w:w="1134" w:type="dxa"/>
            <w:vAlign w:val="center"/>
          </w:tcPr>
          <w:p w14:paraId="5A1B2D82" w14:textId="444293A3" w:rsidR="00797E4F" w:rsidRPr="0080214D" w:rsidRDefault="00277361" w:rsidP="0080214D">
            <w:pPr>
              <w:widowControl w:val="0"/>
              <w:spacing w:before="40" w:after="40"/>
              <w:jc w:val="right"/>
              <w:rPr>
                <w:rFonts w:ascii="Arial" w:hAnsi="Arial" w:cs="Arial"/>
                <w:sz w:val="18"/>
                <w:szCs w:val="16"/>
              </w:rPr>
            </w:pPr>
            <w:r>
              <w:rPr>
                <w:rFonts w:ascii="Arial" w:hAnsi="Arial"/>
                <w:sz w:val="18"/>
                <w:szCs w:val="16"/>
              </w:rPr>
              <w:t>4.25</w:t>
            </w:r>
          </w:p>
        </w:tc>
      </w:tr>
      <w:tr w:rsidR="00797E4F" w14:paraId="20B8D9B7" w14:textId="77777777" w:rsidTr="00365AF8">
        <w:trPr>
          <w:trHeight w:val="283"/>
        </w:trPr>
        <w:tc>
          <w:tcPr>
            <w:tcW w:w="3823" w:type="dxa"/>
          </w:tcPr>
          <w:p w14:paraId="24159E32" w14:textId="5AE4316B" w:rsidR="00797E4F" w:rsidRPr="00A7575D" w:rsidRDefault="00797E4F" w:rsidP="00797E4F">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6C62ADF7" w14:textId="6F39268C" w:rsidR="00797E4F" w:rsidRPr="0080214D" w:rsidRDefault="00313876" w:rsidP="00313876">
            <w:pPr>
              <w:widowControl w:val="0"/>
              <w:spacing w:before="40" w:after="40"/>
              <w:jc w:val="right"/>
              <w:rPr>
                <w:rFonts w:ascii="Arial" w:hAnsi="Arial" w:cs="Arial"/>
                <w:sz w:val="18"/>
                <w:szCs w:val="16"/>
              </w:rPr>
            </w:pPr>
            <w:r>
              <w:rPr>
                <w:rFonts w:ascii="Arial" w:hAnsi="Arial"/>
                <w:sz w:val="18"/>
                <w:szCs w:val="16"/>
              </w:rPr>
              <w:t>-0.25</w:t>
            </w:r>
          </w:p>
        </w:tc>
      </w:tr>
      <w:tr w:rsidR="00797E4F" w:rsidRPr="006F49D0" w14:paraId="258FCBB3" w14:textId="77777777" w:rsidTr="00365AF8">
        <w:trPr>
          <w:trHeight w:val="283"/>
        </w:trPr>
        <w:tc>
          <w:tcPr>
            <w:tcW w:w="3823" w:type="dxa"/>
            <w:tcBorders>
              <w:bottom w:val="single" w:sz="4" w:space="0" w:color="auto"/>
            </w:tcBorders>
          </w:tcPr>
          <w:p w14:paraId="6E84F40E" w14:textId="77777777" w:rsidR="00797E4F" w:rsidRPr="004712BA" w:rsidRDefault="00797E4F" w:rsidP="00797E4F">
            <w:pPr>
              <w:widowControl w:val="0"/>
              <w:spacing w:before="40" w:after="40"/>
              <w:jc w:val="both"/>
              <w:rPr>
                <w:rFonts w:ascii="Arial" w:hAnsi="Arial" w:cs="Arial"/>
                <w:b/>
                <w:sz w:val="18"/>
                <w:szCs w:val="16"/>
              </w:rPr>
            </w:pPr>
            <w:r>
              <w:rPr>
                <w:rFonts w:ascii="Arial" w:hAnsi="Arial"/>
                <w:b/>
                <w:sz w:val="18"/>
                <w:szCs w:val="16"/>
              </w:rPr>
              <w:t>Strongest asset class</w:t>
            </w:r>
          </w:p>
        </w:tc>
        <w:tc>
          <w:tcPr>
            <w:tcW w:w="1134" w:type="dxa"/>
            <w:tcBorders>
              <w:bottom w:val="single" w:sz="4" w:space="0" w:color="auto"/>
            </w:tcBorders>
            <w:vAlign w:val="center"/>
          </w:tcPr>
          <w:p w14:paraId="7D93AE39" w14:textId="2423E7B8" w:rsidR="00797E4F" w:rsidRPr="0080214D" w:rsidRDefault="00277361" w:rsidP="00797E4F">
            <w:pPr>
              <w:widowControl w:val="0"/>
              <w:spacing w:before="40" w:after="40"/>
              <w:jc w:val="right"/>
              <w:rPr>
                <w:rFonts w:ascii="Arial" w:hAnsi="Arial" w:cs="Arial"/>
                <w:sz w:val="18"/>
                <w:szCs w:val="16"/>
              </w:rPr>
            </w:pPr>
            <w:r>
              <w:rPr>
                <w:rFonts w:ascii="Arial" w:hAnsi="Arial"/>
                <w:sz w:val="18"/>
                <w:szCs w:val="16"/>
              </w:rPr>
              <w:t>Offices</w:t>
            </w:r>
          </w:p>
        </w:tc>
      </w:tr>
      <w:tr w:rsidR="00797E4F" w:rsidRPr="006F49D0" w14:paraId="15F08F3E" w14:textId="77777777" w:rsidTr="00365AF8">
        <w:trPr>
          <w:trHeight w:val="283"/>
        </w:trPr>
        <w:tc>
          <w:tcPr>
            <w:tcW w:w="3823" w:type="dxa"/>
            <w:tcBorders>
              <w:bottom w:val="single" w:sz="4" w:space="0" w:color="auto"/>
            </w:tcBorders>
          </w:tcPr>
          <w:p w14:paraId="188669C5" w14:textId="77777777" w:rsidR="00797E4F" w:rsidRPr="004712BA" w:rsidRDefault="00797E4F" w:rsidP="00797E4F">
            <w:pPr>
              <w:widowControl w:val="0"/>
              <w:spacing w:before="40" w:after="40"/>
              <w:jc w:val="both"/>
              <w:rPr>
                <w:rFonts w:ascii="Arial" w:hAnsi="Arial" w:cs="Arial"/>
                <w:b/>
                <w:sz w:val="18"/>
                <w:szCs w:val="16"/>
              </w:rPr>
            </w:pPr>
            <w:r>
              <w:rPr>
                <w:rFonts w:ascii="Arial" w:hAnsi="Arial"/>
                <w:b/>
                <w:sz w:val="18"/>
                <w:szCs w:val="16"/>
              </w:rPr>
              <w:t>Strongest asset class</w:t>
            </w:r>
            <w:r>
              <w:rPr>
                <w:rFonts w:ascii="Arial" w:hAnsi="Arial"/>
                <w:sz w:val="18"/>
                <w:szCs w:val="16"/>
              </w:rPr>
              <w:t xml:space="preserve"> [%]</w:t>
            </w:r>
          </w:p>
        </w:tc>
        <w:tc>
          <w:tcPr>
            <w:tcW w:w="1134" w:type="dxa"/>
            <w:tcBorders>
              <w:bottom w:val="single" w:sz="4" w:space="0" w:color="auto"/>
            </w:tcBorders>
            <w:vAlign w:val="center"/>
          </w:tcPr>
          <w:p w14:paraId="779478F0" w14:textId="74A48D73" w:rsidR="00797E4F" w:rsidRPr="0080214D" w:rsidRDefault="0080214D" w:rsidP="00797E4F">
            <w:pPr>
              <w:widowControl w:val="0"/>
              <w:spacing w:before="40" w:after="40"/>
              <w:jc w:val="right"/>
              <w:rPr>
                <w:rFonts w:ascii="Arial" w:hAnsi="Arial" w:cs="Arial"/>
                <w:sz w:val="18"/>
                <w:szCs w:val="16"/>
              </w:rPr>
            </w:pPr>
            <w:r>
              <w:rPr>
                <w:rFonts w:ascii="Arial" w:hAnsi="Arial"/>
                <w:sz w:val="18"/>
                <w:szCs w:val="16"/>
              </w:rPr>
              <w:t>75</w:t>
            </w:r>
          </w:p>
        </w:tc>
      </w:tr>
    </w:tbl>
    <w:p w14:paraId="7AFFF209" w14:textId="30A4FE95" w:rsidR="000A5ED1" w:rsidRPr="00B26FFD" w:rsidRDefault="000A5ED1" w:rsidP="000A5ED1">
      <w:pPr>
        <w:spacing w:after="0" w:line="360" w:lineRule="auto"/>
        <w:ind w:left="66"/>
        <w:textAlignment w:val="baseline"/>
        <w:rPr>
          <w:rFonts w:ascii="Arial" w:hAnsi="Arial" w:cs="Arial"/>
          <w:sz w:val="20"/>
          <w:szCs w:val="20"/>
        </w:rPr>
      </w:pPr>
    </w:p>
    <w:p w14:paraId="25B74AE1" w14:textId="4266E894" w:rsidR="00906FC5" w:rsidRDefault="00906FC5" w:rsidP="000A5ED1">
      <w:pPr>
        <w:spacing w:after="0" w:line="360" w:lineRule="auto"/>
        <w:rPr>
          <w:rFonts w:ascii="Arial" w:eastAsia="Arial" w:hAnsi="Arial" w:cs="Arial"/>
          <w:b/>
          <w:color w:val="000000" w:themeColor="text1"/>
          <w:sz w:val="20"/>
          <w:szCs w:val="20"/>
        </w:rPr>
      </w:pPr>
    </w:p>
    <w:p w14:paraId="3E677D4E" w14:textId="5602AF2E" w:rsidR="001871BC" w:rsidRDefault="00713D81" w:rsidP="008327E5">
      <w:pPr>
        <w:rPr>
          <w:rFonts w:ascii="Arial" w:eastAsia="Arial" w:hAnsi="Arial" w:cs="Arial"/>
          <w:color w:val="000000" w:themeColor="text1"/>
          <w:sz w:val="20"/>
          <w:szCs w:val="20"/>
        </w:rPr>
      </w:pPr>
      <w:r>
        <w:rPr>
          <w:rFonts w:ascii="Arial" w:hAnsi="Arial"/>
          <w:b/>
          <w:sz w:val="20"/>
          <w:szCs w:val="20"/>
        </w:rPr>
        <w:t>Selected top transactions | investments in Hamburg | 1st to 4th quarters 2019</w:t>
      </w:r>
    </w:p>
    <w:tbl>
      <w:tblPr>
        <w:tblStyle w:val="TableGrid1"/>
        <w:tblpPr w:leftFromText="141" w:rightFromText="141" w:vertAnchor="text" w:horzAnchor="margin" w:tblpY="61"/>
        <w:tblW w:w="10038" w:type="dxa"/>
        <w:tblLayout w:type="fixed"/>
        <w:tblLook w:val="04A0" w:firstRow="1" w:lastRow="0" w:firstColumn="1" w:lastColumn="0" w:noHBand="0" w:noVBand="1"/>
      </w:tblPr>
      <w:tblGrid>
        <w:gridCol w:w="2151"/>
        <w:gridCol w:w="1106"/>
        <w:gridCol w:w="1275"/>
        <w:gridCol w:w="2173"/>
        <w:gridCol w:w="2173"/>
        <w:gridCol w:w="1137"/>
        <w:gridCol w:w="23"/>
      </w:tblGrid>
      <w:tr w:rsidR="0057685F" w:rsidRPr="006F49D0" w14:paraId="3881C746" w14:textId="77777777" w:rsidTr="00FA60B5">
        <w:trPr>
          <w:gridAfter w:val="1"/>
          <w:wAfter w:w="23" w:type="dxa"/>
          <w:trHeight w:val="567"/>
        </w:trPr>
        <w:tc>
          <w:tcPr>
            <w:tcW w:w="2151" w:type="dxa"/>
            <w:shd w:val="clear" w:color="auto" w:fill="1F242B" w:themeFill="accent2"/>
            <w:vAlign w:val="center"/>
          </w:tcPr>
          <w:p w14:paraId="2D3315CD" w14:textId="71BF6E52" w:rsidR="00713D81" w:rsidRDefault="00713D81" w:rsidP="00FA60B5">
            <w:pPr>
              <w:spacing w:after="0"/>
              <w:rPr>
                <w:rFonts w:ascii="Arial" w:hAnsi="Arial" w:cs="Arial"/>
                <w:b/>
                <w:sz w:val="18"/>
                <w:szCs w:val="16"/>
              </w:rPr>
            </w:pPr>
            <w:r>
              <w:rPr>
                <w:rFonts w:ascii="Arial" w:hAnsi="Arial"/>
                <w:b/>
                <w:sz w:val="18"/>
                <w:szCs w:val="16"/>
              </w:rPr>
              <w:t>Project/property</w:t>
            </w:r>
          </w:p>
          <w:p w14:paraId="1BD8284D" w14:textId="77777777" w:rsidR="00713D81" w:rsidRPr="00C626E7" w:rsidRDefault="00713D81" w:rsidP="00FA60B5">
            <w:pPr>
              <w:spacing w:after="0"/>
              <w:rPr>
                <w:rFonts w:ascii="Arial" w:hAnsi="Arial" w:cs="Arial"/>
                <w:b/>
                <w:sz w:val="18"/>
                <w:szCs w:val="16"/>
              </w:rPr>
            </w:pPr>
            <w:r>
              <w:rPr>
                <w:rFonts w:ascii="Arial" w:hAnsi="Arial"/>
                <w:b/>
                <w:sz w:val="18"/>
                <w:szCs w:val="16"/>
              </w:rPr>
              <w:t xml:space="preserve">Street no. </w:t>
            </w:r>
          </w:p>
        </w:tc>
        <w:tc>
          <w:tcPr>
            <w:tcW w:w="1106" w:type="dxa"/>
            <w:shd w:val="clear" w:color="auto" w:fill="1F242B" w:themeFill="accent2"/>
            <w:vAlign w:val="center"/>
          </w:tcPr>
          <w:p w14:paraId="4E8EC8BF" w14:textId="6417BD91" w:rsidR="00713D81" w:rsidRPr="009F10F1" w:rsidRDefault="00713D81" w:rsidP="00FA60B5">
            <w:pPr>
              <w:widowControl w:val="0"/>
              <w:spacing w:before="60" w:afterLines="60" w:after="144"/>
              <w:rPr>
                <w:rFonts w:ascii="Arial" w:hAnsi="Arial" w:cs="Arial"/>
                <w:b/>
                <w:sz w:val="18"/>
                <w:szCs w:val="16"/>
              </w:rPr>
            </w:pPr>
            <w:r>
              <w:rPr>
                <w:rFonts w:ascii="Arial" w:hAnsi="Arial"/>
                <w:b/>
                <w:sz w:val="18"/>
                <w:szCs w:val="16"/>
              </w:rPr>
              <w:t>Sub-market</w:t>
            </w:r>
          </w:p>
        </w:tc>
        <w:tc>
          <w:tcPr>
            <w:tcW w:w="1275" w:type="dxa"/>
            <w:shd w:val="clear" w:color="auto" w:fill="1F242B" w:themeFill="accent2"/>
            <w:vAlign w:val="center"/>
          </w:tcPr>
          <w:p w14:paraId="56B818C2" w14:textId="77777777" w:rsidR="00713D81" w:rsidRPr="009F10F1" w:rsidRDefault="00713D81" w:rsidP="00FA60B5">
            <w:pPr>
              <w:widowControl w:val="0"/>
              <w:spacing w:before="60" w:afterLines="60" w:after="144"/>
              <w:rPr>
                <w:rFonts w:ascii="Arial" w:hAnsi="Arial" w:cs="Arial"/>
                <w:b/>
                <w:sz w:val="18"/>
                <w:szCs w:val="16"/>
              </w:rPr>
            </w:pPr>
            <w:r>
              <w:rPr>
                <w:rFonts w:ascii="Arial" w:hAnsi="Arial"/>
                <w:b/>
                <w:sz w:val="18"/>
                <w:szCs w:val="16"/>
              </w:rPr>
              <w:t>Asset class</w:t>
            </w:r>
          </w:p>
        </w:tc>
        <w:tc>
          <w:tcPr>
            <w:tcW w:w="2173" w:type="dxa"/>
            <w:shd w:val="clear" w:color="auto" w:fill="1F242B" w:themeFill="accent2"/>
            <w:vAlign w:val="center"/>
          </w:tcPr>
          <w:p w14:paraId="6F9AAE5A" w14:textId="77777777" w:rsidR="00713D81" w:rsidRPr="009F10F1" w:rsidRDefault="00713D81" w:rsidP="00FA60B5">
            <w:pPr>
              <w:widowControl w:val="0"/>
              <w:spacing w:before="60" w:afterLines="60" w:after="144"/>
              <w:rPr>
                <w:rFonts w:ascii="Arial" w:hAnsi="Arial" w:cs="Arial"/>
                <w:b/>
                <w:sz w:val="18"/>
                <w:szCs w:val="16"/>
              </w:rPr>
            </w:pPr>
            <w:r>
              <w:rPr>
                <w:rFonts w:ascii="Arial" w:hAnsi="Arial"/>
                <w:b/>
                <w:sz w:val="18"/>
                <w:szCs w:val="16"/>
              </w:rPr>
              <w:t>Buyer/investor</w:t>
            </w:r>
          </w:p>
        </w:tc>
        <w:tc>
          <w:tcPr>
            <w:tcW w:w="2173" w:type="dxa"/>
            <w:shd w:val="clear" w:color="auto" w:fill="1F242B" w:themeFill="accent2"/>
            <w:vAlign w:val="center"/>
          </w:tcPr>
          <w:p w14:paraId="1C1FB7C5" w14:textId="2F527DBC" w:rsidR="00713D81" w:rsidRPr="009F10F1" w:rsidRDefault="00713D81" w:rsidP="00FA60B5">
            <w:pPr>
              <w:widowControl w:val="0"/>
              <w:spacing w:before="60" w:afterLines="60" w:after="144"/>
              <w:rPr>
                <w:rFonts w:ascii="Arial" w:hAnsi="Arial" w:cs="Arial"/>
                <w:b/>
                <w:sz w:val="18"/>
                <w:szCs w:val="16"/>
              </w:rPr>
            </w:pPr>
            <w:r>
              <w:rPr>
                <w:rFonts w:ascii="Arial" w:hAnsi="Arial"/>
                <w:b/>
                <w:sz w:val="18"/>
                <w:szCs w:val="16"/>
              </w:rPr>
              <w:t>Vendor</w:t>
            </w:r>
          </w:p>
        </w:tc>
        <w:tc>
          <w:tcPr>
            <w:tcW w:w="1137" w:type="dxa"/>
            <w:shd w:val="clear" w:color="auto" w:fill="1F242B" w:themeFill="accent2"/>
            <w:vAlign w:val="center"/>
          </w:tcPr>
          <w:p w14:paraId="07D9CAD3" w14:textId="77777777" w:rsidR="00713D81" w:rsidRPr="009F10F1" w:rsidRDefault="00713D81" w:rsidP="00E3246C">
            <w:pPr>
              <w:widowControl w:val="0"/>
              <w:spacing w:before="60" w:after="0"/>
              <w:jc w:val="right"/>
              <w:rPr>
                <w:rFonts w:ascii="Arial" w:hAnsi="Arial" w:cs="Arial"/>
                <w:b/>
                <w:sz w:val="18"/>
                <w:szCs w:val="16"/>
              </w:rPr>
            </w:pPr>
            <w:r>
              <w:rPr>
                <w:rFonts w:ascii="Arial" w:hAnsi="Arial"/>
                <w:b/>
                <w:sz w:val="18"/>
                <w:szCs w:val="16"/>
              </w:rPr>
              <w:t>Purchase price*</w:t>
            </w:r>
          </w:p>
          <w:p w14:paraId="4946B45A" w14:textId="1E52F7FD" w:rsidR="00713D81" w:rsidRPr="009F10F1" w:rsidRDefault="00713D81" w:rsidP="00E3246C">
            <w:pPr>
              <w:widowControl w:val="0"/>
              <w:spacing w:before="60" w:after="0"/>
              <w:jc w:val="right"/>
              <w:rPr>
                <w:rFonts w:ascii="Arial" w:hAnsi="Arial" w:cs="Arial"/>
                <w:b/>
                <w:sz w:val="18"/>
                <w:szCs w:val="16"/>
              </w:rPr>
            </w:pPr>
            <w:r>
              <w:rPr>
                <w:rFonts w:ascii="Arial" w:hAnsi="Arial"/>
                <w:sz w:val="18"/>
                <w:szCs w:val="16"/>
              </w:rPr>
              <w:t>[approx. €m]</w:t>
            </w:r>
          </w:p>
        </w:tc>
      </w:tr>
      <w:tr w:rsidR="00F2414C" w:rsidRPr="00F2414C" w14:paraId="536A5B8F" w14:textId="77777777" w:rsidTr="008F6B2D">
        <w:trPr>
          <w:gridAfter w:val="1"/>
          <w:wAfter w:w="23" w:type="dxa"/>
          <w:trHeight w:val="567"/>
        </w:trPr>
        <w:tc>
          <w:tcPr>
            <w:tcW w:w="2151" w:type="dxa"/>
            <w:shd w:val="clear" w:color="auto" w:fill="D9D9D9" w:themeFill="background1" w:themeFillShade="D9"/>
            <w:vAlign w:val="center"/>
          </w:tcPr>
          <w:p w14:paraId="61881AA3" w14:textId="63F129A5" w:rsidR="006321DC" w:rsidRPr="00A73C12" w:rsidRDefault="00CF2E86" w:rsidP="00CF2E86">
            <w:pPr>
              <w:widowControl w:val="0"/>
              <w:spacing w:after="0"/>
              <w:rPr>
                <w:rFonts w:ascii="Arial" w:hAnsi="Arial" w:cs="Arial"/>
                <w:color w:val="000000" w:themeColor="text1"/>
                <w:sz w:val="18"/>
                <w:szCs w:val="16"/>
              </w:rPr>
            </w:pPr>
            <w:r>
              <w:rPr>
                <w:rFonts w:ascii="Arial" w:hAnsi="Arial"/>
                <w:color w:val="000000" w:themeColor="text1"/>
                <w:sz w:val="18"/>
                <w:szCs w:val="16"/>
              </w:rPr>
              <w:t xml:space="preserve">“Euler Hermes Campus”, </w:t>
            </w:r>
            <w:proofErr w:type="spellStart"/>
            <w:r>
              <w:rPr>
                <w:rFonts w:ascii="Arial" w:hAnsi="Arial"/>
                <w:color w:val="000000" w:themeColor="text1"/>
                <w:sz w:val="18"/>
                <w:szCs w:val="16"/>
              </w:rPr>
              <w:t>Gasstrasse</w:t>
            </w:r>
            <w:proofErr w:type="spellEnd"/>
            <w:r>
              <w:rPr>
                <w:rFonts w:ascii="Arial" w:hAnsi="Arial"/>
                <w:color w:val="000000" w:themeColor="text1"/>
                <w:sz w:val="18"/>
                <w:szCs w:val="16"/>
              </w:rPr>
              <w:t xml:space="preserve"> 25+29</w:t>
            </w:r>
          </w:p>
        </w:tc>
        <w:tc>
          <w:tcPr>
            <w:tcW w:w="1106" w:type="dxa"/>
            <w:shd w:val="clear" w:color="auto" w:fill="D9D9D9" w:themeFill="background1" w:themeFillShade="D9"/>
            <w:vAlign w:val="center"/>
          </w:tcPr>
          <w:p w14:paraId="3D72BEE6" w14:textId="337C090E" w:rsidR="006321DC" w:rsidRPr="00A73C12" w:rsidRDefault="00CF2E86" w:rsidP="00797E4F">
            <w:pPr>
              <w:widowControl w:val="0"/>
              <w:spacing w:after="0"/>
              <w:rPr>
                <w:rFonts w:ascii="Arial" w:hAnsi="Arial" w:cs="Arial"/>
                <w:color w:val="000000" w:themeColor="text1"/>
                <w:sz w:val="18"/>
                <w:szCs w:val="16"/>
              </w:rPr>
            </w:pPr>
            <w:proofErr w:type="spellStart"/>
            <w:r>
              <w:rPr>
                <w:rFonts w:ascii="Arial" w:hAnsi="Arial"/>
                <w:color w:val="000000" w:themeColor="text1"/>
                <w:sz w:val="18"/>
                <w:szCs w:val="16"/>
              </w:rPr>
              <w:t>Bahrenfeld</w:t>
            </w:r>
            <w:proofErr w:type="spellEnd"/>
          </w:p>
        </w:tc>
        <w:tc>
          <w:tcPr>
            <w:tcW w:w="1275" w:type="dxa"/>
            <w:shd w:val="clear" w:color="auto" w:fill="D9D9D9" w:themeFill="background1" w:themeFillShade="D9"/>
            <w:vAlign w:val="center"/>
          </w:tcPr>
          <w:p w14:paraId="761255AB" w14:textId="716C2751" w:rsidR="006321DC" w:rsidRPr="00A73C12" w:rsidRDefault="00CF2E86" w:rsidP="00797E4F">
            <w:pPr>
              <w:widowControl w:val="0"/>
              <w:spacing w:after="0"/>
              <w:rPr>
                <w:rFonts w:ascii="Arial" w:hAnsi="Arial" w:cs="Arial"/>
                <w:color w:val="000000" w:themeColor="text1"/>
                <w:sz w:val="18"/>
                <w:szCs w:val="16"/>
              </w:rPr>
            </w:pPr>
            <w:r>
              <w:rPr>
                <w:rFonts w:ascii="Arial" w:hAnsi="Arial"/>
                <w:color w:val="000000" w:themeColor="text1"/>
                <w:sz w:val="18"/>
                <w:szCs w:val="16"/>
              </w:rPr>
              <w:t>Offices</w:t>
            </w:r>
          </w:p>
        </w:tc>
        <w:tc>
          <w:tcPr>
            <w:tcW w:w="2173" w:type="dxa"/>
            <w:shd w:val="clear" w:color="auto" w:fill="D9D9D9" w:themeFill="background1" w:themeFillShade="D9"/>
            <w:vAlign w:val="center"/>
          </w:tcPr>
          <w:p w14:paraId="386D7257" w14:textId="6BC74919" w:rsidR="006321DC" w:rsidRPr="00A73C12" w:rsidRDefault="00CF2E86" w:rsidP="003C1693">
            <w:pPr>
              <w:widowControl w:val="0"/>
              <w:spacing w:after="0"/>
              <w:rPr>
                <w:rFonts w:ascii="Arial" w:hAnsi="Arial" w:cs="Arial"/>
                <w:color w:val="000000" w:themeColor="text1"/>
                <w:sz w:val="18"/>
                <w:szCs w:val="16"/>
              </w:rPr>
            </w:pPr>
            <w:proofErr w:type="spellStart"/>
            <w:r>
              <w:rPr>
                <w:rFonts w:ascii="Arial" w:hAnsi="Arial"/>
                <w:color w:val="000000" w:themeColor="text1"/>
                <w:sz w:val="18"/>
                <w:szCs w:val="16"/>
              </w:rPr>
              <w:t>HanseMerkur</w:t>
            </w:r>
            <w:proofErr w:type="spellEnd"/>
          </w:p>
        </w:tc>
        <w:tc>
          <w:tcPr>
            <w:tcW w:w="2173" w:type="dxa"/>
            <w:shd w:val="clear" w:color="auto" w:fill="D9D9D9" w:themeFill="background1" w:themeFillShade="D9"/>
            <w:vAlign w:val="center"/>
          </w:tcPr>
          <w:p w14:paraId="59C838C3" w14:textId="71D32CEB" w:rsidR="006321DC" w:rsidRPr="00A73C12" w:rsidRDefault="00CF2E86" w:rsidP="00CF2E86">
            <w:pPr>
              <w:widowControl w:val="0"/>
              <w:spacing w:after="0"/>
              <w:rPr>
                <w:rFonts w:ascii="Arial" w:hAnsi="Arial" w:cs="Arial"/>
                <w:color w:val="000000" w:themeColor="text1"/>
                <w:sz w:val="18"/>
                <w:szCs w:val="16"/>
              </w:rPr>
            </w:pPr>
            <w:r>
              <w:rPr>
                <w:rFonts w:ascii="Arial" w:hAnsi="Arial"/>
                <w:color w:val="000000" w:themeColor="text1"/>
                <w:sz w:val="18"/>
                <w:szCs w:val="16"/>
              </w:rPr>
              <w:t xml:space="preserve">Quantum </w:t>
            </w:r>
            <w:proofErr w:type="spellStart"/>
            <w:r>
              <w:rPr>
                <w:rFonts w:ascii="Arial" w:hAnsi="Arial"/>
                <w:color w:val="000000" w:themeColor="text1"/>
                <w:sz w:val="18"/>
                <w:szCs w:val="16"/>
              </w:rPr>
              <w:t>Immobilien</w:t>
            </w:r>
            <w:proofErr w:type="spellEnd"/>
            <w:r>
              <w:rPr>
                <w:rFonts w:ascii="Arial" w:hAnsi="Arial"/>
                <w:color w:val="000000" w:themeColor="text1"/>
                <w:sz w:val="18"/>
                <w:szCs w:val="16"/>
              </w:rPr>
              <w:t xml:space="preserve"> </w:t>
            </w:r>
          </w:p>
        </w:tc>
        <w:tc>
          <w:tcPr>
            <w:tcW w:w="1137" w:type="dxa"/>
            <w:shd w:val="clear" w:color="auto" w:fill="D9D9D9" w:themeFill="background1" w:themeFillShade="D9"/>
            <w:vAlign w:val="center"/>
          </w:tcPr>
          <w:p w14:paraId="713683C7" w14:textId="5FAA33E7" w:rsidR="006321DC" w:rsidRPr="00A73C12" w:rsidRDefault="00CF2E86" w:rsidP="00E007DD">
            <w:pPr>
              <w:widowControl w:val="0"/>
              <w:spacing w:after="0"/>
              <w:jc w:val="right"/>
              <w:rPr>
                <w:rFonts w:ascii="Arial" w:hAnsi="Arial" w:cs="Arial"/>
                <w:color w:val="000000" w:themeColor="text1"/>
                <w:sz w:val="18"/>
                <w:szCs w:val="16"/>
              </w:rPr>
            </w:pPr>
            <w:r>
              <w:rPr>
                <w:rFonts w:ascii="Arial" w:hAnsi="Arial"/>
                <w:color w:val="000000" w:themeColor="text1"/>
                <w:sz w:val="18"/>
                <w:szCs w:val="16"/>
              </w:rPr>
              <w:t>166</w:t>
            </w:r>
          </w:p>
        </w:tc>
      </w:tr>
      <w:tr w:rsidR="00E007DD" w:rsidRPr="006F49D0" w14:paraId="7ED75F87" w14:textId="77777777" w:rsidTr="008F6B2D">
        <w:trPr>
          <w:gridAfter w:val="1"/>
          <w:wAfter w:w="23" w:type="dxa"/>
          <w:trHeight w:val="567"/>
        </w:trPr>
        <w:tc>
          <w:tcPr>
            <w:tcW w:w="2151" w:type="dxa"/>
            <w:shd w:val="clear" w:color="auto" w:fill="D9D9D9" w:themeFill="background1" w:themeFillShade="D9"/>
            <w:vAlign w:val="center"/>
          </w:tcPr>
          <w:p w14:paraId="23C7E9E3" w14:textId="5C94157D" w:rsidR="00E007DD" w:rsidRPr="00A73C12" w:rsidRDefault="00CF2E86" w:rsidP="00CC6FB9">
            <w:pPr>
              <w:widowControl w:val="0"/>
              <w:spacing w:after="0"/>
              <w:rPr>
                <w:rFonts w:ascii="Arial" w:hAnsi="Arial" w:cs="Arial"/>
                <w:color w:val="000000" w:themeColor="text1"/>
                <w:sz w:val="18"/>
                <w:szCs w:val="16"/>
              </w:rPr>
            </w:pPr>
            <w:r>
              <w:rPr>
                <w:rFonts w:ascii="Arial" w:hAnsi="Arial"/>
                <w:color w:val="000000" w:themeColor="text1"/>
                <w:sz w:val="18"/>
                <w:szCs w:val="16"/>
              </w:rPr>
              <w:t>“</w:t>
            </w:r>
            <w:proofErr w:type="spellStart"/>
            <w:r>
              <w:rPr>
                <w:rFonts w:ascii="Arial" w:hAnsi="Arial"/>
                <w:color w:val="000000" w:themeColor="text1"/>
                <w:sz w:val="18"/>
                <w:szCs w:val="16"/>
              </w:rPr>
              <w:t>Bleichenhof</w:t>
            </w:r>
            <w:proofErr w:type="spellEnd"/>
            <w:r>
              <w:rPr>
                <w:rFonts w:ascii="Arial" w:hAnsi="Arial"/>
                <w:color w:val="000000" w:themeColor="text1"/>
                <w:sz w:val="18"/>
                <w:szCs w:val="16"/>
              </w:rPr>
              <w:t xml:space="preserve">”, </w:t>
            </w:r>
            <w:proofErr w:type="spellStart"/>
            <w:r>
              <w:rPr>
                <w:rFonts w:ascii="Arial" w:hAnsi="Arial"/>
                <w:color w:val="000000" w:themeColor="text1"/>
                <w:sz w:val="18"/>
                <w:szCs w:val="16"/>
              </w:rPr>
              <w:t>Bleichenbrücke</w:t>
            </w:r>
            <w:proofErr w:type="spellEnd"/>
            <w:r>
              <w:rPr>
                <w:rFonts w:ascii="Arial" w:hAnsi="Arial"/>
                <w:color w:val="000000" w:themeColor="text1"/>
                <w:sz w:val="18"/>
                <w:szCs w:val="16"/>
              </w:rPr>
              <w:t xml:space="preserve"> 9-11</w:t>
            </w:r>
          </w:p>
        </w:tc>
        <w:tc>
          <w:tcPr>
            <w:tcW w:w="1106" w:type="dxa"/>
            <w:shd w:val="clear" w:color="auto" w:fill="D9D9D9" w:themeFill="background1" w:themeFillShade="D9"/>
            <w:vAlign w:val="center"/>
          </w:tcPr>
          <w:p w14:paraId="476473DE" w14:textId="3CC0D256" w:rsidR="00E007DD" w:rsidRPr="00A73C12" w:rsidRDefault="00CF2E86" w:rsidP="00797E4F">
            <w:pPr>
              <w:widowControl w:val="0"/>
              <w:spacing w:after="0"/>
              <w:rPr>
                <w:rFonts w:ascii="Arial" w:hAnsi="Arial" w:cs="Arial"/>
                <w:color w:val="000000" w:themeColor="text1"/>
                <w:sz w:val="18"/>
                <w:szCs w:val="16"/>
              </w:rPr>
            </w:pPr>
            <w:r>
              <w:rPr>
                <w:rFonts w:ascii="Arial" w:hAnsi="Arial"/>
                <w:color w:val="000000" w:themeColor="text1"/>
                <w:sz w:val="18"/>
                <w:szCs w:val="16"/>
              </w:rPr>
              <w:t>City</w:t>
            </w:r>
          </w:p>
        </w:tc>
        <w:tc>
          <w:tcPr>
            <w:tcW w:w="1275" w:type="dxa"/>
            <w:shd w:val="clear" w:color="auto" w:fill="D9D9D9" w:themeFill="background1" w:themeFillShade="D9"/>
            <w:vAlign w:val="center"/>
          </w:tcPr>
          <w:p w14:paraId="73BDF3A5" w14:textId="7006CD14" w:rsidR="00E007DD" w:rsidRPr="00A73C12" w:rsidRDefault="00CF2E86" w:rsidP="00CC6FB9">
            <w:pPr>
              <w:widowControl w:val="0"/>
              <w:spacing w:after="0"/>
              <w:rPr>
                <w:rFonts w:ascii="Arial" w:hAnsi="Arial" w:cs="Arial"/>
                <w:color w:val="000000" w:themeColor="text1"/>
                <w:sz w:val="18"/>
                <w:szCs w:val="16"/>
              </w:rPr>
            </w:pPr>
            <w:r>
              <w:rPr>
                <w:rFonts w:ascii="Arial" w:hAnsi="Arial"/>
                <w:color w:val="000000" w:themeColor="text1"/>
                <w:sz w:val="18"/>
                <w:szCs w:val="16"/>
              </w:rPr>
              <w:t>Mixed use</w:t>
            </w:r>
          </w:p>
        </w:tc>
        <w:tc>
          <w:tcPr>
            <w:tcW w:w="2173" w:type="dxa"/>
            <w:shd w:val="clear" w:color="auto" w:fill="D9D9D9" w:themeFill="background1" w:themeFillShade="D9"/>
            <w:vAlign w:val="center"/>
          </w:tcPr>
          <w:p w14:paraId="593905A3" w14:textId="19D648D4" w:rsidR="00E007DD" w:rsidRPr="00A73C12" w:rsidRDefault="008A09A1" w:rsidP="008A09A1">
            <w:pPr>
              <w:widowControl w:val="0"/>
              <w:spacing w:after="0"/>
              <w:rPr>
                <w:rFonts w:ascii="Arial" w:hAnsi="Arial" w:cs="Arial"/>
                <w:color w:val="000000" w:themeColor="text1"/>
                <w:sz w:val="18"/>
                <w:szCs w:val="16"/>
              </w:rPr>
            </w:pPr>
            <w:proofErr w:type="spellStart"/>
            <w:r>
              <w:rPr>
                <w:rFonts w:ascii="Arial" w:hAnsi="Arial"/>
                <w:color w:val="000000" w:themeColor="text1"/>
                <w:sz w:val="18"/>
                <w:szCs w:val="16"/>
              </w:rPr>
              <w:t>Niedersächsische</w:t>
            </w:r>
            <w:proofErr w:type="spellEnd"/>
            <w:r>
              <w:rPr>
                <w:rFonts w:ascii="Arial" w:hAnsi="Arial"/>
                <w:color w:val="000000" w:themeColor="text1"/>
                <w:sz w:val="18"/>
                <w:szCs w:val="16"/>
              </w:rPr>
              <w:t xml:space="preserve"> </w:t>
            </w:r>
            <w:proofErr w:type="spellStart"/>
            <w:r>
              <w:rPr>
                <w:rFonts w:ascii="Arial" w:hAnsi="Arial"/>
                <w:color w:val="000000" w:themeColor="text1"/>
                <w:sz w:val="18"/>
                <w:szCs w:val="16"/>
              </w:rPr>
              <w:t>Ärzteversorgung</w:t>
            </w:r>
            <w:proofErr w:type="spellEnd"/>
          </w:p>
        </w:tc>
        <w:tc>
          <w:tcPr>
            <w:tcW w:w="2173" w:type="dxa"/>
            <w:shd w:val="clear" w:color="auto" w:fill="D9D9D9" w:themeFill="background1" w:themeFillShade="D9"/>
            <w:vAlign w:val="center"/>
          </w:tcPr>
          <w:p w14:paraId="7B9A326D" w14:textId="4949FDE9" w:rsidR="00E007DD" w:rsidRPr="00A73C12" w:rsidRDefault="00CF2E86" w:rsidP="00797E4F">
            <w:pPr>
              <w:widowControl w:val="0"/>
              <w:spacing w:after="0"/>
              <w:rPr>
                <w:rFonts w:ascii="Arial" w:hAnsi="Arial" w:cs="Arial"/>
                <w:color w:val="000000" w:themeColor="text1"/>
                <w:sz w:val="18"/>
                <w:szCs w:val="16"/>
              </w:rPr>
            </w:pPr>
            <w:proofErr w:type="spellStart"/>
            <w:r>
              <w:rPr>
                <w:rFonts w:ascii="Arial" w:hAnsi="Arial"/>
                <w:color w:val="000000" w:themeColor="text1"/>
                <w:sz w:val="18"/>
                <w:szCs w:val="16"/>
              </w:rPr>
              <w:t>Stenprop</w:t>
            </w:r>
            <w:proofErr w:type="spellEnd"/>
            <w:r>
              <w:rPr>
                <w:rFonts w:ascii="Arial" w:hAnsi="Arial"/>
                <w:color w:val="000000" w:themeColor="text1"/>
                <w:sz w:val="18"/>
                <w:szCs w:val="16"/>
              </w:rPr>
              <w:t xml:space="preserve"> Limited</w:t>
            </w:r>
          </w:p>
        </w:tc>
        <w:tc>
          <w:tcPr>
            <w:tcW w:w="1137" w:type="dxa"/>
            <w:shd w:val="clear" w:color="auto" w:fill="D9D9D9" w:themeFill="background1" w:themeFillShade="D9"/>
            <w:vAlign w:val="center"/>
          </w:tcPr>
          <w:p w14:paraId="658D753C" w14:textId="72C89494" w:rsidR="00E007DD" w:rsidRPr="00A73C12" w:rsidRDefault="00CF2E86" w:rsidP="00E007DD">
            <w:pPr>
              <w:widowControl w:val="0"/>
              <w:spacing w:after="0"/>
              <w:jc w:val="right"/>
              <w:rPr>
                <w:rFonts w:ascii="Arial" w:hAnsi="Arial" w:cs="Arial"/>
                <w:color w:val="000000" w:themeColor="text1"/>
                <w:sz w:val="18"/>
                <w:szCs w:val="16"/>
              </w:rPr>
            </w:pPr>
            <w:r>
              <w:rPr>
                <w:rFonts w:ascii="Arial" w:hAnsi="Arial"/>
                <w:color w:val="000000" w:themeColor="text1"/>
                <w:sz w:val="18"/>
                <w:szCs w:val="16"/>
              </w:rPr>
              <w:t>160</w:t>
            </w:r>
          </w:p>
        </w:tc>
      </w:tr>
      <w:tr w:rsidR="00CF2E86" w:rsidRPr="006F49D0" w14:paraId="0B564638" w14:textId="77777777" w:rsidTr="008F6B2D">
        <w:trPr>
          <w:gridAfter w:val="1"/>
          <w:wAfter w:w="23" w:type="dxa"/>
          <w:trHeight w:val="567"/>
        </w:trPr>
        <w:tc>
          <w:tcPr>
            <w:tcW w:w="2151" w:type="dxa"/>
            <w:shd w:val="clear" w:color="auto" w:fill="auto"/>
            <w:vAlign w:val="center"/>
          </w:tcPr>
          <w:p w14:paraId="0E6078DB" w14:textId="2FE6F2E4" w:rsidR="00CF2E86" w:rsidRPr="00CF2E86" w:rsidRDefault="00CF2E86" w:rsidP="00CF2E86">
            <w:pPr>
              <w:widowControl w:val="0"/>
              <w:spacing w:after="0"/>
              <w:rPr>
                <w:rFonts w:ascii="Arial" w:hAnsi="Arial" w:cs="Arial"/>
                <w:sz w:val="18"/>
                <w:szCs w:val="16"/>
              </w:rPr>
            </w:pPr>
            <w:r>
              <w:rPr>
                <w:rFonts w:ascii="Arial" w:hAnsi="Arial"/>
                <w:color w:val="000000" w:themeColor="text1"/>
                <w:sz w:val="18"/>
                <w:szCs w:val="16"/>
              </w:rPr>
              <w:t xml:space="preserve">“Edge HafenCity”, </w:t>
            </w:r>
            <w:proofErr w:type="spellStart"/>
            <w:r>
              <w:rPr>
                <w:rFonts w:ascii="Arial" w:hAnsi="Arial"/>
                <w:color w:val="000000" w:themeColor="text1"/>
                <w:sz w:val="18"/>
                <w:szCs w:val="16"/>
              </w:rPr>
              <w:t>Amerigo</w:t>
            </w:r>
            <w:proofErr w:type="spellEnd"/>
            <w:r>
              <w:rPr>
                <w:rFonts w:ascii="Arial" w:hAnsi="Arial"/>
                <w:color w:val="000000" w:themeColor="text1"/>
                <w:sz w:val="18"/>
                <w:szCs w:val="16"/>
              </w:rPr>
              <w:t>-Vespucci-</w:t>
            </w:r>
            <w:proofErr w:type="spellStart"/>
            <w:r>
              <w:rPr>
                <w:rFonts w:ascii="Arial" w:hAnsi="Arial"/>
                <w:color w:val="000000" w:themeColor="text1"/>
                <w:sz w:val="18"/>
                <w:szCs w:val="16"/>
              </w:rPr>
              <w:t>Platz</w:t>
            </w:r>
            <w:proofErr w:type="spellEnd"/>
          </w:p>
        </w:tc>
        <w:tc>
          <w:tcPr>
            <w:tcW w:w="1106" w:type="dxa"/>
            <w:shd w:val="clear" w:color="auto" w:fill="auto"/>
            <w:vAlign w:val="center"/>
          </w:tcPr>
          <w:p w14:paraId="26092AC0" w14:textId="4A00E9CD" w:rsidR="00CF2E86" w:rsidRPr="00F2414C" w:rsidRDefault="00CF2E86" w:rsidP="00CF2E86">
            <w:pPr>
              <w:widowControl w:val="0"/>
              <w:spacing w:after="0"/>
              <w:rPr>
                <w:rFonts w:ascii="Arial" w:hAnsi="Arial" w:cs="Arial"/>
                <w:sz w:val="18"/>
                <w:szCs w:val="16"/>
              </w:rPr>
            </w:pPr>
            <w:r>
              <w:rPr>
                <w:rFonts w:ascii="Arial" w:hAnsi="Arial"/>
                <w:color w:val="000000" w:themeColor="text1"/>
                <w:sz w:val="18"/>
                <w:szCs w:val="16"/>
              </w:rPr>
              <w:t>HafenCity</w:t>
            </w:r>
          </w:p>
        </w:tc>
        <w:tc>
          <w:tcPr>
            <w:tcW w:w="1275" w:type="dxa"/>
            <w:shd w:val="clear" w:color="auto" w:fill="auto"/>
            <w:vAlign w:val="center"/>
          </w:tcPr>
          <w:p w14:paraId="48B9BC46" w14:textId="20162734" w:rsidR="00CF2E86" w:rsidRPr="00F2414C" w:rsidRDefault="00CF2E86" w:rsidP="00CF2E86">
            <w:pPr>
              <w:widowControl w:val="0"/>
              <w:spacing w:after="0"/>
              <w:rPr>
                <w:rFonts w:ascii="Arial" w:hAnsi="Arial" w:cs="Arial"/>
                <w:sz w:val="18"/>
                <w:szCs w:val="16"/>
              </w:rPr>
            </w:pPr>
            <w:r>
              <w:rPr>
                <w:rFonts w:ascii="Arial" w:hAnsi="Arial"/>
                <w:color w:val="000000" w:themeColor="text1"/>
                <w:sz w:val="18"/>
                <w:szCs w:val="16"/>
              </w:rPr>
              <w:t>Offices</w:t>
            </w:r>
          </w:p>
        </w:tc>
        <w:tc>
          <w:tcPr>
            <w:tcW w:w="2173" w:type="dxa"/>
            <w:shd w:val="clear" w:color="auto" w:fill="auto"/>
            <w:vAlign w:val="center"/>
          </w:tcPr>
          <w:p w14:paraId="1878AFEF" w14:textId="0CEAC58B" w:rsidR="00CF2E86" w:rsidRPr="00F2414C" w:rsidRDefault="00CF2E86" w:rsidP="00CF2E86">
            <w:pPr>
              <w:widowControl w:val="0"/>
              <w:spacing w:after="0"/>
              <w:rPr>
                <w:rFonts w:ascii="Arial" w:hAnsi="Arial" w:cs="Arial"/>
                <w:sz w:val="18"/>
                <w:szCs w:val="16"/>
              </w:rPr>
            </w:pPr>
            <w:r>
              <w:rPr>
                <w:rFonts w:ascii="Arial" w:hAnsi="Arial"/>
                <w:color w:val="000000" w:themeColor="text1"/>
                <w:sz w:val="18"/>
                <w:szCs w:val="16"/>
              </w:rPr>
              <w:t xml:space="preserve">Allianz Real Estate Germany GmbH </w:t>
            </w:r>
          </w:p>
        </w:tc>
        <w:tc>
          <w:tcPr>
            <w:tcW w:w="2173" w:type="dxa"/>
            <w:shd w:val="clear" w:color="auto" w:fill="auto"/>
            <w:vAlign w:val="center"/>
          </w:tcPr>
          <w:p w14:paraId="690229E1" w14:textId="4F3FA773" w:rsidR="00CF2E86" w:rsidRPr="00F2414C" w:rsidRDefault="00CF2E86" w:rsidP="00CF2E86">
            <w:pPr>
              <w:widowControl w:val="0"/>
              <w:spacing w:after="0"/>
              <w:rPr>
                <w:rFonts w:ascii="Arial" w:hAnsi="Arial" w:cs="Arial"/>
                <w:sz w:val="18"/>
                <w:szCs w:val="16"/>
              </w:rPr>
            </w:pPr>
            <w:r>
              <w:rPr>
                <w:rFonts w:ascii="Arial" w:hAnsi="Arial"/>
                <w:color w:val="000000" w:themeColor="text1"/>
                <w:sz w:val="18"/>
                <w:szCs w:val="16"/>
              </w:rPr>
              <w:t>Edge Technologies</w:t>
            </w:r>
          </w:p>
        </w:tc>
        <w:tc>
          <w:tcPr>
            <w:tcW w:w="1137" w:type="dxa"/>
            <w:shd w:val="clear" w:color="auto" w:fill="auto"/>
            <w:vAlign w:val="center"/>
          </w:tcPr>
          <w:p w14:paraId="130D9693" w14:textId="63AB7491" w:rsidR="00CF2E86" w:rsidRPr="00F2414C" w:rsidRDefault="00CF2E86" w:rsidP="00CF2E86">
            <w:pPr>
              <w:widowControl w:val="0"/>
              <w:spacing w:after="0"/>
              <w:jc w:val="right"/>
              <w:rPr>
                <w:rFonts w:ascii="Arial" w:hAnsi="Arial" w:cs="Arial"/>
                <w:sz w:val="18"/>
                <w:szCs w:val="16"/>
              </w:rPr>
            </w:pPr>
            <w:r>
              <w:rPr>
                <w:rFonts w:ascii="Arial" w:hAnsi="Arial"/>
                <w:color w:val="000000" w:themeColor="text1"/>
                <w:sz w:val="18"/>
                <w:szCs w:val="16"/>
              </w:rPr>
              <w:t>160</w:t>
            </w:r>
          </w:p>
        </w:tc>
      </w:tr>
      <w:tr w:rsidR="00CF2E86" w:rsidRPr="00F4684B" w14:paraId="451329F1" w14:textId="77777777" w:rsidTr="008F6B2D">
        <w:trPr>
          <w:gridAfter w:val="1"/>
          <w:wAfter w:w="23" w:type="dxa"/>
          <w:trHeight w:val="567"/>
        </w:trPr>
        <w:tc>
          <w:tcPr>
            <w:tcW w:w="2151" w:type="dxa"/>
            <w:tcBorders>
              <w:bottom w:val="single" w:sz="4" w:space="0" w:color="auto"/>
            </w:tcBorders>
            <w:shd w:val="clear" w:color="auto" w:fill="FFFFFF" w:themeFill="background1"/>
            <w:vAlign w:val="center"/>
          </w:tcPr>
          <w:p w14:paraId="6659F312" w14:textId="43A3C6AD" w:rsidR="00CF2E86" w:rsidRPr="009F10F1" w:rsidRDefault="00CF2E86" w:rsidP="00CF2E86">
            <w:pPr>
              <w:widowControl w:val="0"/>
              <w:spacing w:after="0"/>
              <w:rPr>
                <w:rFonts w:ascii="Arial" w:hAnsi="Arial" w:cs="Arial"/>
                <w:sz w:val="18"/>
                <w:szCs w:val="16"/>
              </w:rPr>
            </w:pPr>
            <w:r>
              <w:rPr>
                <w:rFonts w:ascii="Arial" w:hAnsi="Arial"/>
                <w:color w:val="000000" w:themeColor="text1"/>
                <w:sz w:val="18"/>
                <w:szCs w:val="16"/>
              </w:rPr>
              <w:t>“Economic Quarter”,</w:t>
            </w:r>
            <w:r>
              <w:rPr>
                <w:color w:val="000000" w:themeColor="text1"/>
              </w:rPr>
              <w:t xml:space="preserve"> </w:t>
            </w:r>
            <w:proofErr w:type="spellStart"/>
            <w:r>
              <w:rPr>
                <w:rFonts w:ascii="Arial" w:hAnsi="Arial"/>
                <w:color w:val="000000" w:themeColor="text1"/>
                <w:sz w:val="18"/>
                <w:szCs w:val="16"/>
              </w:rPr>
              <w:t>Heidenkampsweg</w:t>
            </w:r>
            <w:proofErr w:type="spellEnd"/>
            <w:r>
              <w:rPr>
                <w:rFonts w:ascii="Arial" w:hAnsi="Arial"/>
                <w:color w:val="000000" w:themeColor="text1"/>
                <w:sz w:val="18"/>
                <w:szCs w:val="16"/>
              </w:rPr>
              <w:t xml:space="preserve"> 96+98</w:t>
            </w:r>
          </w:p>
        </w:tc>
        <w:tc>
          <w:tcPr>
            <w:tcW w:w="1106" w:type="dxa"/>
            <w:tcBorders>
              <w:bottom w:val="single" w:sz="4" w:space="0" w:color="auto"/>
            </w:tcBorders>
            <w:shd w:val="clear" w:color="auto" w:fill="FFFFFF" w:themeFill="background1"/>
            <w:vAlign w:val="center"/>
          </w:tcPr>
          <w:p w14:paraId="23CEE417" w14:textId="7D09B92E" w:rsidR="00CF2E86" w:rsidRPr="009F10F1" w:rsidRDefault="00CF2E86" w:rsidP="00CF2E86">
            <w:pPr>
              <w:widowControl w:val="0"/>
              <w:spacing w:after="0"/>
              <w:rPr>
                <w:rFonts w:ascii="Arial" w:hAnsi="Arial" w:cs="Arial"/>
                <w:sz w:val="18"/>
                <w:szCs w:val="16"/>
              </w:rPr>
            </w:pPr>
            <w:r>
              <w:rPr>
                <w:rFonts w:ascii="Arial" w:hAnsi="Arial"/>
                <w:color w:val="000000" w:themeColor="text1"/>
                <w:sz w:val="18"/>
                <w:szCs w:val="16"/>
              </w:rPr>
              <w:t>City South</w:t>
            </w:r>
          </w:p>
        </w:tc>
        <w:tc>
          <w:tcPr>
            <w:tcW w:w="1275" w:type="dxa"/>
            <w:tcBorders>
              <w:bottom w:val="single" w:sz="4" w:space="0" w:color="auto"/>
            </w:tcBorders>
            <w:shd w:val="clear" w:color="auto" w:fill="FFFFFF" w:themeFill="background1"/>
            <w:vAlign w:val="center"/>
          </w:tcPr>
          <w:p w14:paraId="53110512" w14:textId="79120DD9" w:rsidR="00CF2E86" w:rsidRPr="009F10F1" w:rsidRDefault="00CF2E86" w:rsidP="00CF2E86">
            <w:pPr>
              <w:widowControl w:val="0"/>
              <w:spacing w:after="0"/>
              <w:rPr>
                <w:rFonts w:ascii="Arial" w:hAnsi="Arial" w:cs="Arial"/>
                <w:sz w:val="18"/>
                <w:szCs w:val="16"/>
              </w:rPr>
            </w:pPr>
            <w:r>
              <w:rPr>
                <w:rFonts w:ascii="Arial" w:hAnsi="Arial"/>
                <w:color w:val="000000" w:themeColor="text1"/>
                <w:sz w:val="18"/>
                <w:szCs w:val="16"/>
              </w:rPr>
              <w:t>Offices</w:t>
            </w:r>
          </w:p>
        </w:tc>
        <w:tc>
          <w:tcPr>
            <w:tcW w:w="2173" w:type="dxa"/>
            <w:tcBorders>
              <w:bottom w:val="single" w:sz="4" w:space="0" w:color="auto"/>
            </w:tcBorders>
            <w:shd w:val="clear" w:color="auto" w:fill="FFFFFF" w:themeFill="background1"/>
            <w:vAlign w:val="center"/>
          </w:tcPr>
          <w:p w14:paraId="4EFC5EA7" w14:textId="44AA2CA7" w:rsidR="00CF2E86" w:rsidRPr="009F10F1" w:rsidRDefault="00CF2E86" w:rsidP="00CF2E86">
            <w:pPr>
              <w:widowControl w:val="0"/>
              <w:spacing w:after="0"/>
              <w:rPr>
                <w:rFonts w:ascii="Arial" w:hAnsi="Arial" w:cs="Arial"/>
                <w:sz w:val="18"/>
                <w:szCs w:val="16"/>
              </w:rPr>
            </w:pPr>
            <w:r>
              <w:rPr>
                <w:rFonts w:ascii="Arial" w:hAnsi="Arial"/>
                <w:color w:val="000000" w:themeColor="text1"/>
                <w:sz w:val="18"/>
                <w:szCs w:val="16"/>
              </w:rPr>
              <w:t>LaSalle Inv</w:t>
            </w:r>
            <w:bookmarkStart w:id="0" w:name="_GoBack"/>
            <w:bookmarkEnd w:id="0"/>
            <w:r>
              <w:rPr>
                <w:rFonts w:ascii="Arial" w:hAnsi="Arial"/>
                <w:color w:val="000000" w:themeColor="text1"/>
                <w:sz w:val="18"/>
                <w:szCs w:val="16"/>
              </w:rPr>
              <w:t>estment Management</w:t>
            </w:r>
          </w:p>
        </w:tc>
        <w:tc>
          <w:tcPr>
            <w:tcW w:w="2173" w:type="dxa"/>
            <w:tcBorders>
              <w:bottom w:val="single" w:sz="4" w:space="0" w:color="auto"/>
            </w:tcBorders>
            <w:shd w:val="clear" w:color="auto" w:fill="FFFFFF" w:themeFill="background1"/>
            <w:vAlign w:val="center"/>
          </w:tcPr>
          <w:p w14:paraId="42C801B6" w14:textId="4F7FCF05" w:rsidR="00CF2E86" w:rsidRPr="00797E4F" w:rsidRDefault="00CF2E86" w:rsidP="00CF2E86">
            <w:pPr>
              <w:widowControl w:val="0"/>
              <w:spacing w:after="0"/>
              <w:rPr>
                <w:rFonts w:ascii="Arial" w:hAnsi="Arial" w:cs="Arial"/>
                <w:sz w:val="18"/>
                <w:szCs w:val="16"/>
              </w:rPr>
            </w:pPr>
            <w:r>
              <w:rPr>
                <w:rFonts w:ascii="Arial" w:hAnsi="Arial"/>
                <w:color w:val="000000" w:themeColor="text1"/>
                <w:sz w:val="18"/>
                <w:szCs w:val="16"/>
              </w:rPr>
              <w:t>Blackrock Investment Management</w:t>
            </w:r>
          </w:p>
        </w:tc>
        <w:tc>
          <w:tcPr>
            <w:tcW w:w="1137" w:type="dxa"/>
            <w:tcBorders>
              <w:bottom w:val="single" w:sz="4" w:space="0" w:color="auto"/>
            </w:tcBorders>
            <w:shd w:val="clear" w:color="auto" w:fill="FFFFFF" w:themeFill="background1"/>
            <w:vAlign w:val="center"/>
          </w:tcPr>
          <w:p w14:paraId="0DF6832E" w14:textId="7535D02D" w:rsidR="00CF2E86" w:rsidRPr="009F10F1" w:rsidRDefault="00CF2E86" w:rsidP="00CF2E86">
            <w:pPr>
              <w:widowControl w:val="0"/>
              <w:spacing w:after="0"/>
              <w:jc w:val="right"/>
              <w:rPr>
                <w:rFonts w:ascii="Arial" w:hAnsi="Arial" w:cs="Arial"/>
                <w:sz w:val="18"/>
                <w:szCs w:val="16"/>
              </w:rPr>
            </w:pPr>
            <w:r>
              <w:rPr>
                <w:rFonts w:ascii="Arial" w:hAnsi="Arial"/>
                <w:color w:val="000000" w:themeColor="text1"/>
                <w:sz w:val="18"/>
                <w:szCs w:val="16"/>
              </w:rPr>
              <w:t>140</w:t>
            </w:r>
          </w:p>
        </w:tc>
      </w:tr>
      <w:tr w:rsidR="00713D81" w:rsidRPr="00797E2F" w14:paraId="03C1DF19" w14:textId="77777777" w:rsidTr="00E007DD">
        <w:trPr>
          <w:trHeight w:val="455"/>
        </w:trPr>
        <w:tc>
          <w:tcPr>
            <w:tcW w:w="10038" w:type="dxa"/>
            <w:gridSpan w:val="7"/>
            <w:tcBorders>
              <w:top w:val="single" w:sz="4" w:space="0" w:color="auto"/>
              <w:left w:val="nil"/>
              <w:bottom w:val="nil"/>
              <w:right w:val="nil"/>
            </w:tcBorders>
            <w:shd w:val="clear" w:color="auto" w:fill="FFFFFF" w:themeFill="background1"/>
          </w:tcPr>
          <w:p w14:paraId="100331C6" w14:textId="1037782B" w:rsidR="00A56C69" w:rsidRDefault="00A56C69" w:rsidP="00FA60B5">
            <w:pPr>
              <w:widowControl w:val="0"/>
              <w:spacing w:after="0"/>
              <w:rPr>
                <w:rFonts w:ascii="Arial" w:hAnsi="Arial"/>
                <w:sz w:val="16"/>
                <w:szCs w:val="16"/>
              </w:rPr>
            </w:pPr>
          </w:p>
          <w:p w14:paraId="1976F5D6" w14:textId="4AC2033E" w:rsidR="00713D81" w:rsidRPr="001871BC" w:rsidRDefault="00713D81" w:rsidP="00FA60B5">
            <w:pPr>
              <w:widowControl w:val="0"/>
              <w:spacing w:after="0"/>
              <w:rPr>
                <w:rFonts w:ascii="Arial" w:hAnsi="Arial" w:cs="Arial"/>
                <w:sz w:val="16"/>
                <w:szCs w:val="16"/>
              </w:rPr>
            </w:pPr>
            <w:r>
              <w:rPr>
                <w:rFonts w:ascii="Arial" w:hAnsi="Arial"/>
                <w:sz w:val="16"/>
                <w:szCs w:val="16"/>
              </w:rPr>
              <w:t xml:space="preserve">*The purchase prices stated are based on publicly available data, where none is available an estimate is made; new transactions or those occurring in the quarter dealt with in this report are highlighted. </w:t>
            </w:r>
          </w:p>
        </w:tc>
      </w:tr>
    </w:tbl>
    <w:p w14:paraId="06A84312" w14:textId="77777777" w:rsidR="00713D81" w:rsidRDefault="00713D81" w:rsidP="000A5ED1">
      <w:pPr>
        <w:spacing w:after="0"/>
        <w:rPr>
          <w:rFonts w:ascii="Arial" w:eastAsia="Arial" w:hAnsi="Arial" w:cs="Arial"/>
          <w:color w:val="000000" w:themeColor="text1"/>
          <w:sz w:val="20"/>
          <w:szCs w:val="20"/>
        </w:rPr>
      </w:pPr>
    </w:p>
    <w:p w14:paraId="1CB225B7" w14:textId="56EDB444" w:rsidR="00897DBE" w:rsidRPr="00897DBE" w:rsidRDefault="00FC40F0" w:rsidP="00CE4A15">
      <w:pPr>
        <w:spacing w:after="0" w:line="360" w:lineRule="auto"/>
        <w:rPr>
          <w:rFonts w:ascii="Arial" w:hAnsi="Arial" w:cs="Arial"/>
          <w:sz w:val="20"/>
          <w:szCs w:val="20"/>
        </w:rPr>
      </w:pPr>
      <w:r>
        <w:rPr>
          <w:rFonts w:ascii="Arial" w:hAnsi="Arial"/>
          <w:color w:val="000000" w:themeColor="text1"/>
          <w:sz w:val="20"/>
          <w:szCs w:val="20"/>
        </w:rPr>
        <w:t xml:space="preserve">The complete </w:t>
      </w:r>
      <w:r>
        <w:rPr>
          <w:rFonts w:ascii="Arial" w:hAnsi="Arial"/>
          <w:sz w:val="20"/>
          <w:szCs w:val="20"/>
        </w:rPr>
        <w:t>market survey</w:t>
      </w:r>
      <w:r>
        <w:rPr>
          <w:rFonts w:ascii="Arial" w:hAnsi="Arial"/>
          <w:color w:val="000000" w:themeColor="text1"/>
          <w:sz w:val="20"/>
          <w:szCs w:val="20"/>
        </w:rPr>
        <w:t xml:space="preserve"> will soon be available and </w:t>
      </w:r>
      <w:proofErr w:type="gramStart"/>
      <w:r>
        <w:rPr>
          <w:rFonts w:ascii="Arial" w:hAnsi="Arial"/>
          <w:color w:val="000000" w:themeColor="text1"/>
          <w:sz w:val="20"/>
          <w:szCs w:val="20"/>
        </w:rPr>
        <w:t>can be downloaded</w:t>
      </w:r>
      <w:proofErr w:type="gramEnd"/>
      <w:r>
        <w:rPr>
          <w:rFonts w:ascii="Arial" w:hAnsi="Arial"/>
          <w:color w:val="000000" w:themeColor="text1"/>
          <w:sz w:val="20"/>
          <w:szCs w:val="20"/>
        </w:rPr>
        <w:t xml:space="preserve"> from our </w:t>
      </w:r>
      <w:hyperlink r:id="rId9" w:history="1">
        <w:r>
          <w:rPr>
            <w:rStyle w:val="Hyperlink"/>
            <w:rFonts w:ascii="Arial" w:hAnsi="Arial"/>
            <w:sz w:val="20"/>
            <w:szCs w:val="20"/>
          </w:rPr>
          <w:t>Website</w:t>
        </w:r>
      </w:hyperlink>
      <w:r>
        <w:rPr>
          <w:rFonts w:ascii="Arial" w:hAnsi="Arial"/>
          <w:color w:val="000000" w:themeColor="text1"/>
          <w:sz w:val="20"/>
          <w:szCs w:val="20"/>
        </w:rPr>
        <w:t>.</w:t>
      </w:r>
    </w:p>
    <w:p w14:paraId="000E86FB" w14:textId="77777777" w:rsidR="000A72C3" w:rsidRDefault="000A72C3" w:rsidP="00CE4A15">
      <w:pPr>
        <w:spacing w:after="0" w:line="360" w:lineRule="auto"/>
        <w:rPr>
          <w:rFonts w:ascii="Arial" w:hAnsi="Arial" w:cs="Arial"/>
          <w:b/>
          <w:sz w:val="16"/>
          <w:szCs w:val="16"/>
        </w:rPr>
      </w:pPr>
    </w:p>
    <w:p w14:paraId="3FEA6432" w14:textId="628E16D3" w:rsidR="0090748B" w:rsidRPr="0090748B" w:rsidRDefault="0090748B" w:rsidP="00372601">
      <w:pPr>
        <w:spacing w:after="0" w:line="360" w:lineRule="auto"/>
        <w:rPr>
          <w:rFonts w:ascii="Arial" w:hAnsi="Arial" w:cs="Arial"/>
          <w:b/>
          <w:sz w:val="16"/>
          <w:szCs w:val="16"/>
        </w:rPr>
      </w:pPr>
      <w:r>
        <w:rPr>
          <w:rFonts w:ascii="Arial" w:hAnsi="Arial"/>
          <w:b/>
          <w:sz w:val="16"/>
          <w:szCs w:val="16"/>
        </w:rPr>
        <w:t>About Grossmann &amp; Berger</w:t>
      </w:r>
    </w:p>
    <w:p w14:paraId="1E12A03E" w14:textId="6DBFA14A" w:rsidR="0090748B" w:rsidRPr="0090748B" w:rsidRDefault="008A09A1" w:rsidP="0090748B">
      <w:pPr>
        <w:spacing w:after="0" w:line="360" w:lineRule="auto"/>
        <w:rPr>
          <w:rFonts w:ascii="Arial" w:hAnsi="Arial" w:cs="Arial"/>
          <w:snapToGrid w:val="0"/>
          <w:sz w:val="16"/>
          <w:szCs w:val="16"/>
        </w:rPr>
      </w:pPr>
      <w:hyperlink r:id="rId10" w:history="1">
        <w:r w:rsidR="0090748B">
          <w:rPr>
            <w:rStyle w:val="Hyperlink"/>
            <w:rFonts w:ascii="Arial" w:hAnsi="Arial"/>
            <w:snapToGrid w:val="0"/>
            <w:sz w:val="16"/>
            <w:szCs w:val="16"/>
          </w:rPr>
          <w:t>Grossmann &amp; Berger GmbH</w:t>
        </w:r>
      </w:hyperlink>
      <w:r w:rsidR="0090748B">
        <w:rPr>
          <w:rFonts w:ascii="Arial" w:hAnsi="Arial"/>
          <w:snapToGrid w:val="0"/>
          <w:sz w:val="16"/>
          <w:szCs w:val="16"/>
        </w:rPr>
        <w:t xml:space="preserve"> is one of the leading service providers for selling and letting commercial and residential properties in North Germany. The Company has ten offices in Hamburg, and one each in Berlin, </w:t>
      </w:r>
      <w:proofErr w:type="spellStart"/>
      <w:r w:rsidR="0090748B">
        <w:rPr>
          <w:rFonts w:ascii="Arial" w:hAnsi="Arial"/>
          <w:snapToGrid w:val="0"/>
          <w:sz w:val="16"/>
          <w:szCs w:val="16"/>
        </w:rPr>
        <w:t>Ahrensburg</w:t>
      </w:r>
      <w:proofErr w:type="spellEnd"/>
      <w:r w:rsidR="0090748B">
        <w:rPr>
          <w:rFonts w:ascii="Arial" w:hAnsi="Arial"/>
          <w:snapToGrid w:val="0"/>
          <w:sz w:val="16"/>
          <w:szCs w:val="16"/>
        </w:rPr>
        <w:t xml:space="preserve">, </w:t>
      </w:r>
      <w:proofErr w:type="spellStart"/>
      <w:r w:rsidR="0090748B">
        <w:rPr>
          <w:rFonts w:ascii="Arial" w:hAnsi="Arial"/>
          <w:snapToGrid w:val="0"/>
          <w:sz w:val="16"/>
          <w:szCs w:val="16"/>
        </w:rPr>
        <w:t>Lüneburg</w:t>
      </w:r>
      <w:proofErr w:type="spellEnd"/>
      <w:r w:rsidR="0090748B">
        <w:rPr>
          <w:rFonts w:ascii="Arial" w:hAnsi="Arial"/>
          <w:snapToGrid w:val="0"/>
          <w:sz w:val="16"/>
          <w:szCs w:val="16"/>
        </w:rPr>
        <w:t xml:space="preserve">, Norderstedt and on the Island of Sylt, permitting comprehensive coverage of the North German market. With over 85 years of experience in the business, the Company offers a complete package of real estate expertise. Grossmann &amp; Berger belongs to the HASPA Group and is a founding member of the national commercial real estate network </w:t>
      </w:r>
      <w:hyperlink r:id="rId11" w:history="1">
        <w:r w:rsidR="0090748B">
          <w:rPr>
            <w:rStyle w:val="Hyperlink"/>
            <w:rFonts w:ascii="Arial" w:hAnsi="Arial"/>
            <w:snapToGrid w:val="0"/>
            <w:sz w:val="16"/>
            <w:szCs w:val="16"/>
          </w:rPr>
          <w:t>German Property Partners</w:t>
        </w:r>
      </w:hyperlink>
      <w:r w:rsidR="0090748B">
        <w:rPr>
          <w:rFonts w:ascii="Arial" w:hAnsi="Arial"/>
          <w:snapToGrid w:val="0"/>
          <w:sz w:val="16"/>
          <w:szCs w:val="16"/>
        </w:rPr>
        <w:t xml:space="preserve"> (GPP). </w:t>
      </w:r>
    </w:p>
    <w:p w14:paraId="4B9A2857" w14:textId="77777777" w:rsidR="0090748B" w:rsidRDefault="0090748B" w:rsidP="000C770D">
      <w:pPr>
        <w:spacing w:after="0" w:line="360" w:lineRule="auto"/>
        <w:rPr>
          <w:rFonts w:ascii="Arial" w:hAnsi="Arial" w:cs="Arial"/>
          <w:sz w:val="20"/>
          <w:szCs w:val="20"/>
        </w:rPr>
      </w:pPr>
    </w:p>
    <w:p w14:paraId="51C1AA4D" w14:textId="31AA48D2" w:rsidR="00046FEC" w:rsidRPr="00A73C12" w:rsidRDefault="003C6AB4" w:rsidP="00A73C12">
      <w:pPr>
        <w:spacing w:after="0" w:line="360" w:lineRule="auto"/>
        <w:rPr>
          <w:rFonts w:ascii="Arial" w:hAnsi="Arial" w:cs="Arial"/>
          <w:sz w:val="16"/>
          <w:szCs w:val="16"/>
        </w:rPr>
      </w:pPr>
      <w:r>
        <w:rPr>
          <w:rFonts w:ascii="Arial" w:hAnsi="Arial"/>
          <w:sz w:val="16"/>
          <w:szCs w:val="16"/>
        </w:rPr>
        <w:t>Please consult our website for Grossmann &amp; Berger’s</w:t>
      </w:r>
      <w:hyperlink r:id="rId12" w:history="1">
        <w:r>
          <w:rPr>
            <w:rStyle w:val="Hyperlink"/>
            <w:rFonts w:ascii="Arial" w:hAnsi="Arial"/>
            <w:sz w:val="16"/>
            <w:szCs w:val="16"/>
          </w:rPr>
          <w:t xml:space="preserve"> data privacy policy.</w:t>
        </w:r>
      </w:hyperlink>
      <w:r w:rsidR="00563F8C">
        <w:rPr>
          <w:rFonts w:ascii="Arial" w:hAnsi="Arial"/>
          <w:sz w:val="16"/>
          <w:szCs w:val="16"/>
        </w:rPr>
        <w:t xml:space="preserve"> </w:t>
      </w:r>
      <w:r>
        <w:rPr>
          <w:rFonts w:ascii="Arial" w:hAnsi="Arial"/>
          <w:sz w:val="16"/>
          <w:szCs w:val="16"/>
        </w:rPr>
        <w:t xml:space="preserve">Here you will also be able to access our </w:t>
      </w:r>
      <w:hyperlink r:id="rId13" w:history="1">
        <w:r>
          <w:rPr>
            <w:rStyle w:val="Hyperlink"/>
            <w:rFonts w:ascii="Arial" w:hAnsi="Arial"/>
            <w:sz w:val="16"/>
            <w:szCs w:val="16"/>
          </w:rPr>
          <w:t xml:space="preserve"> press kit </w:t>
        </w:r>
      </w:hyperlink>
      <w:r>
        <w:rPr>
          <w:rFonts w:ascii="Arial" w:hAnsi="Arial"/>
          <w:sz w:val="16"/>
          <w:szCs w:val="16"/>
        </w:rPr>
        <w:t xml:space="preserve"> and the associated </w:t>
      </w:r>
      <w:hyperlink r:id="rId14"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5"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046FEC" w:rsidRPr="00A73C12" w:rsidSect="00D83CB7">
      <w:headerReference w:type="default" r:id="rId16"/>
      <w:footerReference w:type="default" r:id="rId17"/>
      <w:headerReference w:type="first" r:id="rId18"/>
      <w:footerReference w:type="first" r:id="rId19"/>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FC94D" w14:textId="77777777" w:rsidR="00F66D14" w:rsidRDefault="00F66D14">
      <w:r>
        <w:separator/>
      </w:r>
    </w:p>
  </w:endnote>
  <w:endnote w:type="continuationSeparator" w:id="0">
    <w:p w14:paraId="51C4566B" w14:textId="77777777" w:rsidR="00F66D14" w:rsidRDefault="00F6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kkurat-Fet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Pr>
        <w:rFonts w:ascii="Arial" w:hAnsi="Arial"/>
        <w:b/>
        <w:bCs/>
        <w:color w:val="918F90"/>
        <w:sz w:val="18"/>
        <w:szCs w:val="18"/>
      </w:rPr>
      <w:t xml:space="preserve">Grossmann &amp; Berger GmbH </w:t>
    </w:r>
    <w:r>
      <w:rPr>
        <w:rFonts w:ascii="Arial" w:hAnsi="Arial"/>
        <w:color w:val="918F90"/>
        <w:sz w:val="18"/>
        <w:szCs w:val="18"/>
      </w:rPr>
      <w:t xml:space="preserve">| </w:t>
    </w:r>
    <w:proofErr w:type="spellStart"/>
    <w:r>
      <w:rPr>
        <w:rFonts w:ascii="Arial" w:hAnsi="Arial"/>
        <w:color w:val="918F90"/>
        <w:sz w:val="18"/>
        <w:szCs w:val="18"/>
      </w:rPr>
      <w:t>Bleichenbrücke</w:t>
    </w:r>
    <w:proofErr w:type="spellEnd"/>
    <w:r>
      <w:rPr>
        <w:rFonts w:ascii="Arial" w:hAnsi="Arial"/>
        <w:color w:val="918F90"/>
        <w:sz w:val="18"/>
        <w:szCs w:val="18"/>
      </w:rPr>
      <w:t xml:space="preserve"> 9 | D-20354 Hamburg | Tel. +49 (0)40/350 80 2-0 | www.grossmann-berger.de</w:t>
    </w:r>
  </w:p>
  <w:p w14:paraId="5440A7EF" w14:textId="660879EB"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8A09A1">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8A09A1">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val="de-DE"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5CA1F" w14:textId="77777777" w:rsidR="00F66D14" w:rsidRDefault="00F66D14">
      <w:r>
        <w:separator/>
      </w:r>
    </w:p>
  </w:footnote>
  <w:footnote w:type="continuationSeparator" w:id="0">
    <w:p w14:paraId="129F2DD8" w14:textId="77777777" w:rsidR="00F66D14" w:rsidRDefault="00F66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1353DA7E" w:rsidR="006138CB" w:rsidRPr="009E3ADA" w:rsidRDefault="003E27B4" w:rsidP="006138CB">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7456" behindDoc="0" locked="0" layoutInCell="1" allowOverlap="1" wp14:anchorId="12F1C8E7" wp14:editId="68B49657">
              <wp:simplePos x="0" y="0"/>
              <wp:positionH relativeFrom="margin">
                <wp:posOffset>-75062</wp:posOffset>
              </wp:positionH>
              <wp:positionV relativeFrom="paragraph">
                <wp:posOffset>0</wp:posOffset>
              </wp:positionV>
              <wp:extent cx="4779010" cy="2819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49DF3728" w14:textId="2C423F22" w:rsidR="003E27B4" w:rsidRDefault="003E27B4" w:rsidP="003E27B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w:t>
                          </w:r>
                          <w:r w:rsidR="00372601">
                            <w:rPr>
                              <w:rFonts w:ascii="Arial" w:hAnsi="Arial"/>
                              <w:sz w:val="16"/>
                              <w:szCs w:val="16"/>
                            </w:rPr>
                            <w:t>.</w:t>
                          </w:r>
                          <w:r>
                            <w:rPr>
                              <w:rFonts w:ascii="Arial" w:hAnsi="Arial"/>
                              <w:sz w:val="16"/>
                              <w:szCs w:val="16"/>
                            </w:rPr>
                            <w:t xml:space="preserve">: +49 (0)40/350 80 2-588 </w:t>
                          </w:r>
                          <w:r w:rsidR="00372601">
                            <w:rPr>
                              <w:rFonts w:ascii="Arial" w:hAnsi="Arial"/>
                              <w:sz w:val="16"/>
                              <w:szCs w:val="16"/>
                            </w:rPr>
                            <w:t>| c.fuehner@grossmann-berger.de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1C8E7" id="_x0000_t202" coordsize="21600,21600" o:spt="202" path="m,l,21600r21600,l21600,xe">
              <v:stroke joinstyle="miter"/>
              <v:path gradientshapeok="t" o:connecttype="rect"/>
            </v:shapetype>
            <v:shape id="Textfeld 1" o:spid="_x0000_s1026" type="#_x0000_t202" style="position:absolute;left:0;text-align:left;margin-left:-5.9pt;margin-top:0;width:376.3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" filled="f" stroked="f">
              <v:textbox>
                <w:txbxContent>
                  <w:p w14:paraId="49DF3728" w14:textId="2C423F22" w:rsidR="003E27B4" w:rsidRDefault="003E27B4" w:rsidP="003E27B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w:t>
                    </w:r>
                    <w:r w:rsidR="00372601">
                      <w:rPr>
                        <w:rFonts w:ascii="Arial" w:hAnsi="Arial"/>
                        <w:sz w:val="16"/>
                        <w:szCs w:val="16"/>
                      </w:rPr>
                      <w:t>.</w:t>
                    </w:r>
                    <w:r>
                      <w:rPr>
                        <w:rFonts w:ascii="Arial" w:hAnsi="Arial"/>
                        <w:sz w:val="16"/>
                        <w:szCs w:val="16"/>
                      </w:rPr>
                      <w:t xml:space="preserve">: +49 (0)40/350 80 2-588 </w:t>
                    </w:r>
                    <w:r w:rsidR="00372601">
                      <w:rPr>
                        <w:rFonts w:ascii="Arial" w:hAnsi="Arial"/>
                        <w:sz w:val="16"/>
                        <w:szCs w:val="16"/>
                      </w:rPr>
                      <w:t>| c.fuehner@grossmann-berger.de</w:t>
                    </w:r>
                  </w:p>
                </w:txbxContent>
              </v:textbox>
              <w10:wrap anchorx="margin"/>
            </v:shape>
          </w:pict>
        </mc:Fallback>
      </mc:AlternateContent>
    </w:r>
    <w:r>
      <w:rPr>
        <w:rFonts w:ascii="Arial" w:hAnsi="Arial"/>
        <w:color w:val="918F90"/>
        <w:sz w:val="28"/>
        <w:szCs w:val="28"/>
      </w:rPr>
      <w:t>Press release</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61381213" w:rsidR="00D83CB7" w:rsidRDefault="00CE7D16" w:rsidP="000C770D">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5408" behindDoc="0" locked="0" layoutInCell="1" allowOverlap="1" wp14:anchorId="452EA495" wp14:editId="55D8E217">
              <wp:simplePos x="0" y="0"/>
              <wp:positionH relativeFrom="margin">
                <wp:posOffset>-92267</wp:posOffset>
              </wp:positionH>
              <wp:positionV relativeFrom="paragraph">
                <wp:posOffset>9525</wp:posOffset>
              </wp:positionV>
              <wp:extent cx="4779010" cy="281940"/>
              <wp:effectExtent l="0" t="0" r="0" b="381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296CAEDD" w14:textId="24B1329A" w:rsidR="00CE7D16" w:rsidRDefault="00CE7D16" w:rsidP="00CE7D1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w:t>
                          </w:r>
                          <w:r w:rsidR="00372601">
                            <w:rPr>
                              <w:rFonts w:ascii="Arial" w:hAnsi="Arial"/>
                              <w:sz w:val="16"/>
                              <w:szCs w:val="16"/>
                            </w:rPr>
                            <w:t>.</w:t>
                          </w:r>
                          <w:r>
                            <w:rPr>
                              <w:rFonts w:ascii="Arial" w:hAnsi="Arial"/>
                              <w:sz w:val="16"/>
                              <w:szCs w:val="16"/>
                            </w:rPr>
                            <w:t>: +49 (0)40/350 80 2-588 | c.fuehner@grossmann-berger.de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EA495" id="_x0000_t202" coordsize="21600,21600" o:spt="202" path="m,l,21600r21600,l21600,xe">
              <v:stroke joinstyle="miter"/>
              <v:path gradientshapeok="t" o:connecttype="rect"/>
            </v:shapetype>
            <v:shape id="Textfeld 3" o:spid="_x0000_s1027" type="#_x0000_t202" style="position:absolute;left:0;text-align:left;margin-left:-7.25pt;margin-top:.75pt;width:376.3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" filled="f" stroked="f">
              <v:textbox>
                <w:txbxContent>
                  <w:p w14:paraId="296CAEDD" w14:textId="24B1329A" w:rsidR="00CE7D16" w:rsidRDefault="00CE7D16" w:rsidP="00CE7D1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w:t>
                    </w:r>
                    <w:r w:rsidR="00372601">
                      <w:rPr>
                        <w:rFonts w:ascii="Arial" w:hAnsi="Arial"/>
                        <w:sz w:val="16"/>
                        <w:szCs w:val="16"/>
                      </w:rPr>
                      <w:t>.</w:t>
                    </w:r>
                    <w:r>
                      <w:rPr>
                        <w:rFonts w:ascii="Arial" w:hAnsi="Arial"/>
                        <w:sz w:val="16"/>
                        <w:szCs w:val="16"/>
                      </w:rPr>
                      <w:t>: +49 (0)40/350 80 2-588 | c.fuehner@grossmann-berger.de</w:t>
                    </w:r>
                  </w:p>
                </w:txbxContent>
              </v:textbox>
              <w10:wrap anchorx="margin"/>
            </v:shape>
          </w:pict>
        </mc:Fallback>
      </mc:AlternateContent>
    </w:r>
    <w:r>
      <w:rPr>
        <w:rFonts w:ascii="Arial" w:hAnsi="Arial"/>
        <w:color w:val="918F90"/>
        <w:sz w:val="28"/>
        <w:szCs w:val="28"/>
      </w:rPr>
      <w:t>Press release</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4"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5"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4"/>
  </w:num>
  <w:num w:numId="15">
    <w:abstractNumId w:val="15"/>
  </w:num>
  <w:num w:numId="16">
    <w:abstractNumId w:val="11"/>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392D"/>
    <w:rsid w:val="000159FE"/>
    <w:rsid w:val="00022F16"/>
    <w:rsid w:val="00023D78"/>
    <w:rsid w:val="0003075C"/>
    <w:rsid w:val="00046FEC"/>
    <w:rsid w:val="00060743"/>
    <w:rsid w:val="00066796"/>
    <w:rsid w:val="00075002"/>
    <w:rsid w:val="000766D7"/>
    <w:rsid w:val="0007670A"/>
    <w:rsid w:val="000834E2"/>
    <w:rsid w:val="000A5ED1"/>
    <w:rsid w:val="000A72C3"/>
    <w:rsid w:val="000B0335"/>
    <w:rsid w:val="000B1606"/>
    <w:rsid w:val="000B3315"/>
    <w:rsid w:val="000B3A6C"/>
    <w:rsid w:val="000C74B2"/>
    <w:rsid w:val="000C770D"/>
    <w:rsid w:val="000D48D4"/>
    <w:rsid w:val="000E03F3"/>
    <w:rsid w:val="000E7BC7"/>
    <w:rsid w:val="001029C4"/>
    <w:rsid w:val="0011486D"/>
    <w:rsid w:val="00117EF7"/>
    <w:rsid w:val="00121E33"/>
    <w:rsid w:val="00126550"/>
    <w:rsid w:val="001324D6"/>
    <w:rsid w:val="00132522"/>
    <w:rsid w:val="00135BD2"/>
    <w:rsid w:val="00135E09"/>
    <w:rsid w:val="00154825"/>
    <w:rsid w:val="0017364E"/>
    <w:rsid w:val="0017516B"/>
    <w:rsid w:val="00176F1D"/>
    <w:rsid w:val="0018068D"/>
    <w:rsid w:val="00180801"/>
    <w:rsid w:val="001871BC"/>
    <w:rsid w:val="001A2ABE"/>
    <w:rsid w:val="001A360C"/>
    <w:rsid w:val="001B577C"/>
    <w:rsid w:val="001D14DA"/>
    <w:rsid w:val="001D43BB"/>
    <w:rsid w:val="001D64B8"/>
    <w:rsid w:val="001E1172"/>
    <w:rsid w:val="001E6995"/>
    <w:rsid w:val="001F1513"/>
    <w:rsid w:val="00201E4A"/>
    <w:rsid w:val="00205769"/>
    <w:rsid w:val="00212FEC"/>
    <w:rsid w:val="002131BB"/>
    <w:rsid w:val="00213F07"/>
    <w:rsid w:val="00214952"/>
    <w:rsid w:val="0022086D"/>
    <w:rsid w:val="00227E31"/>
    <w:rsid w:val="00230F81"/>
    <w:rsid w:val="002341EE"/>
    <w:rsid w:val="00237341"/>
    <w:rsid w:val="00251FC5"/>
    <w:rsid w:val="00252F40"/>
    <w:rsid w:val="00253412"/>
    <w:rsid w:val="00254C6F"/>
    <w:rsid w:val="002550BA"/>
    <w:rsid w:val="00255679"/>
    <w:rsid w:val="0027266B"/>
    <w:rsid w:val="00274734"/>
    <w:rsid w:val="00277361"/>
    <w:rsid w:val="00281E80"/>
    <w:rsid w:val="002834B0"/>
    <w:rsid w:val="00283671"/>
    <w:rsid w:val="00284A5D"/>
    <w:rsid w:val="00284E27"/>
    <w:rsid w:val="00294B7D"/>
    <w:rsid w:val="002A1973"/>
    <w:rsid w:val="002B14F6"/>
    <w:rsid w:val="002C055A"/>
    <w:rsid w:val="002C2392"/>
    <w:rsid w:val="002D1C5C"/>
    <w:rsid w:val="002D1E20"/>
    <w:rsid w:val="002E2A92"/>
    <w:rsid w:val="002E6860"/>
    <w:rsid w:val="002F0411"/>
    <w:rsid w:val="002F767E"/>
    <w:rsid w:val="00301F3A"/>
    <w:rsid w:val="00313876"/>
    <w:rsid w:val="003246F0"/>
    <w:rsid w:val="00325E2A"/>
    <w:rsid w:val="003272F3"/>
    <w:rsid w:val="0034064A"/>
    <w:rsid w:val="00345716"/>
    <w:rsid w:val="0034786C"/>
    <w:rsid w:val="00347A18"/>
    <w:rsid w:val="003517C9"/>
    <w:rsid w:val="00357EC4"/>
    <w:rsid w:val="003627E1"/>
    <w:rsid w:val="00365AF8"/>
    <w:rsid w:val="00370000"/>
    <w:rsid w:val="00372601"/>
    <w:rsid w:val="00373507"/>
    <w:rsid w:val="0038230E"/>
    <w:rsid w:val="00382529"/>
    <w:rsid w:val="003A00C9"/>
    <w:rsid w:val="003A25A4"/>
    <w:rsid w:val="003B49E4"/>
    <w:rsid w:val="003B4CCF"/>
    <w:rsid w:val="003B6CD4"/>
    <w:rsid w:val="003C1693"/>
    <w:rsid w:val="003C5218"/>
    <w:rsid w:val="003C6AB4"/>
    <w:rsid w:val="003E099F"/>
    <w:rsid w:val="003E27B4"/>
    <w:rsid w:val="003E4DF9"/>
    <w:rsid w:val="003F665D"/>
    <w:rsid w:val="0040086D"/>
    <w:rsid w:val="004017D8"/>
    <w:rsid w:val="00411E03"/>
    <w:rsid w:val="004123B1"/>
    <w:rsid w:val="00417F4D"/>
    <w:rsid w:val="004269AC"/>
    <w:rsid w:val="00426E13"/>
    <w:rsid w:val="004303A1"/>
    <w:rsid w:val="00440DC9"/>
    <w:rsid w:val="004450C4"/>
    <w:rsid w:val="00445DF9"/>
    <w:rsid w:val="004506D2"/>
    <w:rsid w:val="00456F40"/>
    <w:rsid w:val="004609BD"/>
    <w:rsid w:val="004661EE"/>
    <w:rsid w:val="00466741"/>
    <w:rsid w:val="00470064"/>
    <w:rsid w:val="004818CE"/>
    <w:rsid w:val="004966E3"/>
    <w:rsid w:val="004A2BEA"/>
    <w:rsid w:val="004A3C64"/>
    <w:rsid w:val="004A5AEA"/>
    <w:rsid w:val="004B2FDA"/>
    <w:rsid w:val="004B480A"/>
    <w:rsid w:val="004B5A6D"/>
    <w:rsid w:val="004C0CA2"/>
    <w:rsid w:val="004D50C0"/>
    <w:rsid w:val="004D772A"/>
    <w:rsid w:val="004E339B"/>
    <w:rsid w:val="004E4273"/>
    <w:rsid w:val="004E4562"/>
    <w:rsid w:val="004F077F"/>
    <w:rsid w:val="004F78B4"/>
    <w:rsid w:val="005023DD"/>
    <w:rsid w:val="00503D8C"/>
    <w:rsid w:val="00522B84"/>
    <w:rsid w:val="00531A7F"/>
    <w:rsid w:val="00534BAD"/>
    <w:rsid w:val="005360E8"/>
    <w:rsid w:val="005428C5"/>
    <w:rsid w:val="00543C55"/>
    <w:rsid w:val="0054412E"/>
    <w:rsid w:val="0055393B"/>
    <w:rsid w:val="005554C7"/>
    <w:rsid w:val="00556F58"/>
    <w:rsid w:val="00563F8C"/>
    <w:rsid w:val="00567D57"/>
    <w:rsid w:val="00571004"/>
    <w:rsid w:val="0057685F"/>
    <w:rsid w:val="00577B63"/>
    <w:rsid w:val="00582B99"/>
    <w:rsid w:val="00590903"/>
    <w:rsid w:val="005A617A"/>
    <w:rsid w:val="005B0FC9"/>
    <w:rsid w:val="005B24B2"/>
    <w:rsid w:val="005B66D3"/>
    <w:rsid w:val="005C4556"/>
    <w:rsid w:val="005C5302"/>
    <w:rsid w:val="005D307B"/>
    <w:rsid w:val="005E362E"/>
    <w:rsid w:val="005E43B3"/>
    <w:rsid w:val="005F7593"/>
    <w:rsid w:val="006029D7"/>
    <w:rsid w:val="00606E35"/>
    <w:rsid w:val="0061109D"/>
    <w:rsid w:val="00612AA0"/>
    <w:rsid w:val="006138CB"/>
    <w:rsid w:val="006224C4"/>
    <w:rsid w:val="006225EA"/>
    <w:rsid w:val="006261DF"/>
    <w:rsid w:val="006321DC"/>
    <w:rsid w:val="00641270"/>
    <w:rsid w:val="00642074"/>
    <w:rsid w:val="006424F8"/>
    <w:rsid w:val="00672C84"/>
    <w:rsid w:val="00681CAB"/>
    <w:rsid w:val="00682CFC"/>
    <w:rsid w:val="006842EF"/>
    <w:rsid w:val="00693E35"/>
    <w:rsid w:val="00695E58"/>
    <w:rsid w:val="0069757D"/>
    <w:rsid w:val="006A1329"/>
    <w:rsid w:val="006A66F9"/>
    <w:rsid w:val="006D024C"/>
    <w:rsid w:val="006E5C9C"/>
    <w:rsid w:val="006F1774"/>
    <w:rsid w:val="00713D81"/>
    <w:rsid w:val="00717A20"/>
    <w:rsid w:val="00720DFF"/>
    <w:rsid w:val="00730E23"/>
    <w:rsid w:val="00762CC5"/>
    <w:rsid w:val="007906B4"/>
    <w:rsid w:val="007970A0"/>
    <w:rsid w:val="00797E4F"/>
    <w:rsid w:val="007B215B"/>
    <w:rsid w:val="007B4617"/>
    <w:rsid w:val="007C26B6"/>
    <w:rsid w:val="007C2D96"/>
    <w:rsid w:val="007E759D"/>
    <w:rsid w:val="007F2DBE"/>
    <w:rsid w:val="007F33B6"/>
    <w:rsid w:val="007F642D"/>
    <w:rsid w:val="007F756A"/>
    <w:rsid w:val="00800E2C"/>
    <w:rsid w:val="0080214D"/>
    <w:rsid w:val="00812471"/>
    <w:rsid w:val="008261A5"/>
    <w:rsid w:val="008327E5"/>
    <w:rsid w:val="0083382E"/>
    <w:rsid w:val="00844AAC"/>
    <w:rsid w:val="00855325"/>
    <w:rsid w:val="00862E34"/>
    <w:rsid w:val="00865915"/>
    <w:rsid w:val="008661AA"/>
    <w:rsid w:val="00871832"/>
    <w:rsid w:val="00875E9B"/>
    <w:rsid w:val="00886CCE"/>
    <w:rsid w:val="008942C6"/>
    <w:rsid w:val="00896B33"/>
    <w:rsid w:val="00897DBE"/>
    <w:rsid w:val="008A09A1"/>
    <w:rsid w:val="008A2995"/>
    <w:rsid w:val="008A62FB"/>
    <w:rsid w:val="008A77B7"/>
    <w:rsid w:val="008B0F67"/>
    <w:rsid w:val="008B297B"/>
    <w:rsid w:val="008B3833"/>
    <w:rsid w:val="008C0535"/>
    <w:rsid w:val="008C608D"/>
    <w:rsid w:val="008E461D"/>
    <w:rsid w:val="008F08E5"/>
    <w:rsid w:val="008F0EA4"/>
    <w:rsid w:val="008F38F6"/>
    <w:rsid w:val="008F5213"/>
    <w:rsid w:val="008F67E7"/>
    <w:rsid w:val="008F6B2D"/>
    <w:rsid w:val="009000CF"/>
    <w:rsid w:val="009050B3"/>
    <w:rsid w:val="00906FC5"/>
    <w:rsid w:val="0090748B"/>
    <w:rsid w:val="00920C9C"/>
    <w:rsid w:val="00922754"/>
    <w:rsid w:val="00925781"/>
    <w:rsid w:val="009258D0"/>
    <w:rsid w:val="00935AB3"/>
    <w:rsid w:val="009646C4"/>
    <w:rsid w:val="009734CE"/>
    <w:rsid w:val="00974CB0"/>
    <w:rsid w:val="0098460C"/>
    <w:rsid w:val="0099413E"/>
    <w:rsid w:val="00996E1A"/>
    <w:rsid w:val="009B1E02"/>
    <w:rsid w:val="009B4392"/>
    <w:rsid w:val="009B7D09"/>
    <w:rsid w:val="009C0784"/>
    <w:rsid w:val="009D24DA"/>
    <w:rsid w:val="009D5D75"/>
    <w:rsid w:val="009E0C0B"/>
    <w:rsid w:val="009E572D"/>
    <w:rsid w:val="009F32A2"/>
    <w:rsid w:val="009F54CE"/>
    <w:rsid w:val="009F70FE"/>
    <w:rsid w:val="00A06264"/>
    <w:rsid w:val="00A1639A"/>
    <w:rsid w:val="00A215C9"/>
    <w:rsid w:val="00A5364B"/>
    <w:rsid w:val="00A56C69"/>
    <w:rsid w:val="00A615E0"/>
    <w:rsid w:val="00A65E2B"/>
    <w:rsid w:val="00A70878"/>
    <w:rsid w:val="00A73C12"/>
    <w:rsid w:val="00A74AA0"/>
    <w:rsid w:val="00A7546D"/>
    <w:rsid w:val="00A7613D"/>
    <w:rsid w:val="00A77100"/>
    <w:rsid w:val="00AA4D97"/>
    <w:rsid w:val="00AD17B7"/>
    <w:rsid w:val="00AF08D2"/>
    <w:rsid w:val="00B01A1B"/>
    <w:rsid w:val="00B02242"/>
    <w:rsid w:val="00B069C5"/>
    <w:rsid w:val="00B06D1B"/>
    <w:rsid w:val="00B077D5"/>
    <w:rsid w:val="00B16A78"/>
    <w:rsid w:val="00B200E4"/>
    <w:rsid w:val="00B26FFD"/>
    <w:rsid w:val="00B35B6D"/>
    <w:rsid w:val="00B35DC6"/>
    <w:rsid w:val="00B51699"/>
    <w:rsid w:val="00B53FAF"/>
    <w:rsid w:val="00B55D98"/>
    <w:rsid w:val="00B63153"/>
    <w:rsid w:val="00B6527D"/>
    <w:rsid w:val="00B73B3A"/>
    <w:rsid w:val="00B74507"/>
    <w:rsid w:val="00B75718"/>
    <w:rsid w:val="00B75E7E"/>
    <w:rsid w:val="00B81257"/>
    <w:rsid w:val="00B9324B"/>
    <w:rsid w:val="00B93817"/>
    <w:rsid w:val="00B9391B"/>
    <w:rsid w:val="00B9682D"/>
    <w:rsid w:val="00BA0B96"/>
    <w:rsid w:val="00BA52C9"/>
    <w:rsid w:val="00BB15DA"/>
    <w:rsid w:val="00BB340D"/>
    <w:rsid w:val="00BC2A3A"/>
    <w:rsid w:val="00BC64EC"/>
    <w:rsid w:val="00BC7BF3"/>
    <w:rsid w:val="00BD073D"/>
    <w:rsid w:val="00BD75E0"/>
    <w:rsid w:val="00BE4198"/>
    <w:rsid w:val="00BF029A"/>
    <w:rsid w:val="00BF3AFD"/>
    <w:rsid w:val="00C1606C"/>
    <w:rsid w:val="00C16E16"/>
    <w:rsid w:val="00C23180"/>
    <w:rsid w:val="00C26F94"/>
    <w:rsid w:val="00C41492"/>
    <w:rsid w:val="00C502EC"/>
    <w:rsid w:val="00C50874"/>
    <w:rsid w:val="00C702B5"/>
    <w:rsid w:val="00C70389"/>
    <w:rsid w:val="00C872F9"/>
    <w:rsid w:val="00C904B6"/>
    <w:rsid w:val="00C90A75"/>
    <w:rsid w:val="00C96DF4"/>
    <w:rsid w:val="00CA0F2C"/>
    <w:rsid w:val="00CA6A66"/>
    <w:rsid w:val="00CC1337"/>
    <w:rsid w:val="00CC2514"/>
    <w:rsid w:val="00CC48DF"/>
    <w:rsid w:val="00CC6FB9"/>
    <w:rsid w:val="00CD4A91"/>
    <w:rsid w:val="00CD70E7"/>
    <w:rsid w:val="00CD7363"/>
    <w:rsid w:val="00CE0964"/>
    <w:rsid w:val="00CE0C1F"/>
    <w:rsid w:val="00CE3191"/>
    <w:rsid w:val="00CE455F"/>
    <w:rsid w:val="00CE4A15"/>
    <w:rsid w:val="00CE74B4"/>
    <w:rsid w:val="00CE7D16"/>
    <w:rsid w:val="00CF0BF9"/>
    <w:rsid w:val="00CF2E86"/>
    <w:rsid w:val="00CF5957"/>
    <w:rsid w:val="00D04BA2"/>
    <w:rsid w:val="00D077B0"/>
    <w:rsid w:val="00D157A0"/>
    <w:rsid w:val="00D22D42"/>
    <w:rsid w:val="00D24AF1"/>
    <w:rsid w:val="00D35A6D"/>
    <w:rsid w:val="00D36D8D"/>
    <w:rsid w:val="00D45711"/>
    <w:rsid w:val="00D500FC"/>
    <w:rsid w:val="00D51597"/>
    <w:rsid w:val="00D5326E"/>
    <w:rsid w:val="00D55867"/>
    <w:rsid w:val="00D57410"/>
    <w:rsid w:val="00D634A3"/>
    <w:rsid w:val="00D72339"/>
    <w:rsid w:val="00D73E47"/>
    <w:rsid w:val="00D74ABB"/>
    <w:rsid w:val="00D83CB7"/>
    <w:rsid w:val="00D97FA8"/>
    <w:rsid w:val="00DB4363"/>
    <w:rsid w:val="00DB66BD"/>
    <w:rsid w:val="00DC7B25"/>
    <w:rsid w:val="00DD340F"/>
    <w:rsid w:val="00DD6B73"/>
    <w:rsid w:val="00DE23F8"/>
    <w:rsid w:val="00DE7CC2"/>
    <w:rsid w:val="00E007DD"/>
    <w:rsid w:val="00E05CF6"/>
    <w:rsid w:val="00E112C9"/>
    <w:rsid w:val="00E1314C"/>
    <w:rsid w:val="00E158F7"/>
    <w:rsid w:val="00E16ABE"/>
    <w:rsid w:val="00E2087E"/>
    <w:rsid w:val="00E2636D"/>
    <w:rsid w:val="00E3246C"/>
    <w:rsid w:val="00E34976"/>
    <w:rsid w:val="00E36818"/>
    <w:rsid w:val="00E47B97"/>
    <w:rsid w:val="00E5203C"/>
    <w:rsid w:val="00E634CC"/>
    <w:rsid w:val="00E81727"/>
    <w:rsid w:val="00E82F0E"/>
    <w:rsid w:val="00E90673"/>
    <w:rsid w:val="00E95F89"/>
    <w:rsid w:val="00E96FAC"/>
    <w:rsid w:val="00EA129F"/>
    <w:rsid w:val="00EB7A31"/>
    <w:rsid w:val="00EC08DC"/>
    <w:rsid w:val="00ED0582"/>
    <w:rsid w:val="00ED1262"/>
    <w:rsid w:val="00ED7374"/>
    <w:rsid w:val="00EE31F6"/>
    <w:rsid w:val="00EE36DC"/>
    <w:rsid w:val="00F044EE"/>
    <w:rsid w:val="00F21201"/>
    <w:rsid w:val="00F2414C"/>
    <w:rsid w:val="00F3320B"/>
    <w:rsid w:val="00F40E92"/>
    <w:rsid w:val="00F41947"/>
    <w:rsid w:val="00F435AA"/>
    <w:rsid w:val="00F45370"/>
    <w:rsid w:val="00F60A04"/>
    <w:rsid w:val="00F66D14"/>
    <w:rsid w:val="00F76C6A"/>
    <w:rsid w:val="00F83BF1"/>
    <w:rsid w:val="00F90CB9"/>
    <w:rsid w:val="00F97373"/>
    <w:rsid w:val="00FA0254"/>
    <w:rsid w:val="00FA60B5"/>
    <w:rsid w:val="00FA6854"/>
    <w:rsid w:val="00FB064F"/>
    <w:rsid w:val="00FB0F6B"/>
    <w:rsid w:val="00FB144F"/>
    <w:rsid w:val="00FB159A"/>
    <w:rsid w:val="00FB4D77"/>
    <w:rsid w:val="00FC40F0"/>
    <w:rsid w:val="00FC497D"/>
    <w:rsid w:val="00FD076B"/>
    <w:rsid w:val="00FD39DE"/>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F9775E"/>
  <w15:docId w15:val="{1CADC216-C586-47B3-B411-51581CCC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168377120">
      <w:bodyDiv w:val="1"/>
      <w:marLeft w:val="0"/>
      <w:marRight w:val="0"/>
      <w:marTop w:val="0"/>
      <w:marBottom w:val="0"/>
      <w:divBdr>
        <w:top w:val="none" w:sz="0" w:space="0" w:color="auto"/>
        <w:left w:val="none" w:sz="0" w:space="0" w:color="auto"/>
        <w:bottom w:val="none" w:sz="0" w:space="0" w:color="auto"/>
        <w:right w:val="none" w:sz="0" w:space="0" w:color="auto"/>
      </w:divBdr>
    </w:div>
    <w:div w:id="228268108">
      <w:bodyDiv w:val="1"/>
      <w:marLeft w:val="0"/>
      <w:marRight w:val="0"/>
      <w:marTop w:val="0"/>
      <w:marBottom w:val="0"/>
      <w:divBdr>
        <w:top w:val="none" w:sz="0" w:space="0" w:color="auto"/>
        <w:left w:val="none" w:sz="0" w:space="0" w:color="auto"/>
        <w:bottom w:val="none" w:sz="0" w:space="0" w:color="auto"/>
        <w:right w:val="none" w:sz="0" w:space="0" w:color="auto"/>
      </w:divBdr>
    </w:div>
    <w:div w:id="308095336">
      <w:bodyDiv w:val="1"/>
      <w:marLeft w:val="0"/>
      <w:marRight w:val="0"/>
      <w:marTop w:val="0"/>
      <w:marBottom w:val="0"/>
      <w:divBdr>
        <w:top w:val="none" w:sz="0" w:space="0" w:color="auto"/>
        <w:left w:val="none" w:sz="0" w:space="0" w:color="auto"/>
        <w:bottom w:val="none" w:sz="0" w:space="0" w:color="auto"/>
        <w:right w:val="none" w:sz="0" w:space="0" w:color="auto"/>
      </w:divBdr>
    </w:div>
    <w:div w:id="341660978">
      <w:bodyDiv w:val="1"/>
      <w:marLeft w:val="0"/>
      <w:marRight w:val="0"/>
      <w:marTop w:val="0"/>
      <w:marBottom w:val="0"/>
      <w:divBdr>
        <w:top w:val="none" w:sz="0" w:space="0" w:color="auto"/>
        <w:left w:val="none" w:sz="0" w:space="0" w:color="auto"/>
        <w:bottom w:val="none" w:sz="0" w:space="0" w:color="auto"/>
        <w:right w:val="none" w:sz="0" w:space="0" w:color="auto"/>
      </w:divBdr>
    </w:div>
    <w:div w:id="369644447">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897037">
      <w:bodyDiv w:val="1"/>
      <w:marLeft w:val="0"/>
      <w:marRight w:val="0"/>
      <w:marTop w:val="0"/>
      <w:marBottom w:val="0"/>
      <w:divBdr>
        <w:top w:val="none" w:sz="0" w:space="0" w:color="auto"/>
        <w:left w:val="none" w:sz="0" w:space="0" w:color="auto"/>
        <w:bottom w:val="none" w:sz="0" w:space="0" w:color="auto"/>
        <w:right w:val="none" w:sz="0" w:space="0" w:color="auto"/>
      </w:divBdr>
    </w:div>
    <w:div w:id="462619305">
      <w:bodyDiv w:val="1"/>
      <w:marLeft w:val="0"/>
      <w:marRight w:val="0"/>
      <w:marTop w:val="0"/>
      <w:marBottom w:val="0"/>
      <w:divBdr>
        <w:top w:val="none" w:sz="0" w:space="0" w:color="auto"/>
        <w:left w:val="none" w:sz="0" w:space="0" w:color="auto"/>
        <w:bottom w:val="none" w:sz="0" w:space="0" w:color="auto"/>
        <w:right w:val="none" w:sz="0" w:space="0" w:color="auto"/>
      </w:divBdr>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77752">
      <w:bodyDiv w:val="1"/>
      <w:marLeft w:val="0"/>
      <w:marRight w:val="0"/>
      <w:marTop w:val="0"/>
      <w:marBottom w:val="0"/>
      <w:divBdr>
        <w:top w:val="none" w:sz="0" w:space="0" w:color="auto"/>
        <w:left w:val="none" w:sz="0" w:space="0" w:color="auto"/>
        <w:bottom w:val="none" w:sz="0" w:space="0" w:color="auto"/>
        <w:right w:val="none" w:sz="0" w:space="0" w:color="auto"/>
      </w:divBdr>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048457314">
      <w:bodyDiv w:val="1"/>
      <w:marLeft w:val="0"/>
      <w:marRight w:val="0"/>
      <w:marTop w:val="0"/>
      <w:marBottom w:val="0"/>
      <w:divBdr>
        <w:top w:val="none" w:sz="0" w:space="0" w:color="auto"/>
        <w:left w:val="none" w:sz="0" w:space="0" w:color="auto"/>
        <w:bottom w:val="none" w:sz="0" w:space="0" w:color="auto"/>
        <w:right w:val="none" w:sz="0" w:space="0" w:color="auto"/>
      </w:divBdr>
    </w:div>
    <w:div w:id="1455558272">
      <w:bodyDiv w:val="1"/>
      <w:marLeft w:val="0"/>
      <w:marRight w:val="0"/>
      <w:marTop w:val="0"/>
      <w:marBottom w:val="0"/>
      <w:divBdr>
        <w:top w:val="none" w:sz="0" w:space="0" w:color="auto"/>
        <w:left w:val="none" w:sz="0" w:space="0" w:color="auto"/>
        <w:bottom w:val="none" w:sz="0" w:space="0" w:color="auto"/>
        <w:right w:val="none" w:sz="0" w:space="0" w:color="auto"/>
      </w:divBdr>
    </w:div>
    <w:div w:id="1463500317">
      <w:bodyDiv w:val="1"/>
      <w:marLeft w:val="0"/>
      <w:marRight w:val="0"/>
      <w:marTop w:val="0"/>
      <w:marBottom w:val="0"/>
      <w:divBdr>
        <w:top w:val="none" w:sz="0" w:space="0" w:color="auto"/>
        <w:left w:val="none" w:sz="0" w:space="0" w:color="auto"/>
        <w:bottom w:val="none" w:sz="0" w:space="0" w:color="auto"/>
        <w:right w:val="none" w:sz="0" w:space="0" w:color="auto"/>
      </w:divBdr>
    </w:div>
    <w:div w:id="1465586959">
      <w:bodyDiv w:val="1"/>
      <w:marLeft w:val="0"/>
      <w:marRight w:val="0"/>
      <w:marTop w:val="0"/>
      <w:marBottom w:val="0"/>
      <w:divBdr>
        <w:top w:val="none" w:sz="0" w:space="0" w:color="auto"/>
        <w:left w:val="none" w:sz="0" w:space="0" w:color="auto"/>
        <w:bottom w:val="none" w:sz="0" w:space="0" w:color="auto"/>
        <w:right w:val="none" w:sz="0" w:space="0" w:color="auto"/>
      </w:divBdr>
    </w:div>
    <w:div w:id="1483696168">
      <w:bodyDiv w:val="1"/>
      <w:marLeft w:val="0"/>
      <w:marRight w:val="0"/>
      <w:marTop w:val="0"/>
      <w:marBottom w:val="0"/>
      <w:divBdr>
        <w:top w:val="none" w:sz="0" w:space="0" w:color="auto"/>
        <w:left w:val="none" w:sz="0" w:space="0" w:color="auto"/>
        <w:bottom w:val="none" w:sz="0" w:space="0" w:color="auto"/>
        <w:right w:val="none" w:sz="0" w:space="0" w:color="auto"/>
      </w:divBdr>
    </w:div>
    <w:div w:id="1622608427">
      <w:bodyDiv w:val="1"/>
      <w:marLeft w:val="0"/>
      <w:marRight w:val="0"/>
      <w:marTop w:val="0"/>
      <w:marBottom w:val="0"/>
      <w:divBdr>
        <w:top w:val="none" w:sz="0" w:space="0" w:color="auto"/>
        <w:left w:val="none" w:sz="0" w:space="0" w:color="auto"/>
        <w:bottom w:val="none" w:sz="0" w:space="0" w:color="auto"/>
        <w:right w:val="none" w:sz="0" w:space="0" w:color="auto"/>
      </w:divBdr>
    </w:div>
    <w:div w:id="1796024579">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1882474938">
      <w:bodyDiv w:val="1"/>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095739872">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rossmann-berger.de/news/pressemap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ossmann-berger.de/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rmanpropertypartners.de/de/" TargetMode="External"/><Relationship Id="rId5" Type="http://schemas.openxmlformats.org/officeDocument/2006/relationships/webSettings" Target="webSettings.xml"/><Relationship Id="rId15" Type="http://schemas.openxmlformats.org/officeDocument/2006/relationships/hyperlink" Target="mailto:presse@grossmann-berger.de" TargetMode="External"/><Relationship Id="rId10" Type="http://schemas.openxmlformats.org/officeDocument/2006/relationships/hyperlink" Target="https://www.grossmann-berger.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ossmann-berger.com/marktbericht/gewerbe/hamburg-investment/" TargetMode="External"/><Relationship Id="rId14" Type="http://schemas.openxmlformats.org/officeDocument/2006/relationships/hyperlink" Target="file:///\\file01\Marketing\Presse\Vorlagen\20180517_Dokumentation%20der%20Verarbeitungstaetigkeit%20nach%20DSGVO_Press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E9C4-9458-459C-A162-E543DAC0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Corinna Fühner</cp:lastModifiedBy>
  <cp:revision>5</cp:revision>
  <cp:lastPrinted>2020-01-07T12:13:00Z</cp:lastPrinted>
  <dcterms:created xsi:type="dcterms:W3CDTF">2020-01-07T13:08:00Z</dcterms:created>
  <dcterms:modified xsi:type="dcterms:W3CDTF">2020-01-08T14:34:00Z</dcterms:modified>
</cp:coreProperties>
</file>