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172" w:rsidRPr="004A3726" w:rsidRDefault="003A22D7" w:rsidP="001E1172">
      <w:pPr>
        <w:spacing w:after="0" w:line="360" w:lineRule="auto"/>
        <w:rPr>
          <w:rFonts w:ascii="Arial" w:hAnsi="Arial" w:cs="Arial"/>
          <w:b/>
          <w:sz w:val="28"/>
          <w:szCs w:val="28"/>
        </w:rPr>
      </w:pPr>
      <w:r>
        <w:rPr>
          <w:rFonts w:ascii="Arial" w:hAnsi="Arial"/>
          <w:b/>
        </w:rPr>
        <w:t>Hamburg: Industrial and logistics property market, 1st-4th quarters of 2020</w:t>
      </w:r>
      <w:r>
        <w:rPr>
          <w:rFonts w:ascii="Arial" w:hAnsi="Arial"/>
          <w:b/>
        </w:rPr>
        <w:br/>
      </w:r>
      <w:r w:rsidRPr="004A3726">
        <w:rPr>
          <w:rFonts w:ascii="Arial" w:hAnsi="Arial"/>
          <w:b/>
          <w:sz w:val="28"/>
          <w:szCs w:val="28"/>
        </w:rPr>
        <w:t xml:space="preserve">Owner-occupier construction starts feature heavily in 2020 </w:t>
      </w:r>
    </w:p>
    <w:p w:rsidR="00590903" w:rsidRPr="0090748B" w:rsidRDefault="00590903" w:rsidP="00590903">
      <w:pPr>
        <w:spacing w:after="0" w:line="360" w:lineRule="auto"/>
        <w:jc w:val="both"/>
        <w:rPr>
          <w:rFonts w:ascii="Arial" w:hAnsi="Arial" w:cs="Arial"/>
          <w:b/>
          <w:sz w:val="20"/>
          <w:szCs w:val="20"/>
        </w:rPr>
      </w:pPr>
    </w:p>
    <w:p w:rsidR="009A3457" w:rsidRDefault="000F726E" w:rsidP="00363EAC">
      <w:pPr>
        <w:spacing w:after="0" w:line="360" w:lineRule="auto"/>
        <w:rPr>
          <w:rFonts w:ascii="Arial" w:hAnsi="Arial" w:cs="Arial"/>
          <w:sz w:val="20"/>
          <w:szCs w:val="20"/>
        </w:rPr>
      </w:pPr>
      <w:r>
        <w:rPr>
          <w:rFonts w:ascii="Arial" w:hAnsi="Arial"/>
          <w:b/>
          <w:sz w:val="20"/>
          <w:szCs w:val="20"/>
        </w:rPr>
        <w:t>Hamburg, 28 January 2020</w:t>
      </w:r>
      <w:r>
        <w:rPr>
          <w:rFonts w:ascii="Arial" w:hAnsi="Arial"/>
          <w:sz w:val="20"/>
          <w:szCs w:val="20"/>
        </w:rPr>
        <w:t xml:space="preserve"> </w:t>
      </w:r>
      <w:r w:rsidR="004A3726">
        <w:rPr>
          <w:rFonts w:ascii="Arial" w:hAnsi="Arial"/>
          <w:b/>
          <w:sz w:val="20"/>
          <w:szCs w:val="20"/>
        </w:rPr>
        <w:t>–</w:t>
      </w:r>
      <w:r w:rsidR="004A3726">
        <w:rPr>
          <w:rFonts w:ascii="Arial" w:hAnsi="Arial"/>
          <w:sz w:val="20"/>
          <w:szCs w:val="20"/>
        </w:rPr>
        <w:t xml:space="preserve"> </w:t>
      </w:r>
      <w:r>
        <w:rPr>
          <w:rFonts w:ascii="Arial" w:hAnsi="Arial"/>
          <w:sz w:val="20"/>
          <w:szCs w:val="20"/>
        </w:rPr>
        <w:t xml:space="preserve">The trends observed in the 3rd quarter of 2020 on the market for industrial and logistics properties in Hamburg and its environs continued into the last quarter of the year. By the end of 2020, despite the coronavirus pandemic, take-up of space had grown by more than a third compared with the close of 2019. The result for the year was 480,000 m². Owner-occupiers were the mainstay of the market, their share of take-up rose from just 15 % to 51 % within the space of one year. Commenting the result </w:t>
      </w:r>
      <w:r>
        <w:rPr>
          <w:rFonts w:ascii="Arial" w:hAnsi="Arial"/>
          <w:b/>
          <w:sz w:val="20"/>
          <w:szCs w:val="20"/>
        </w:rPr>
        <w:t xml:space="preserve">Felix </w:t>
      </w:r>
      <w:proofErr w:type="spellStart"/>
      <w:r>
        <w:rPr>
          <w:rFonts w:ascii="Arial" w:hAnsi="Arial"/>
          <w:b/>
          <w:sz w:val="20"/>
          <w:szCs w:val="20"/>
        </w:rPr>
        <w:t>Krumreich</w:t>
      </w:r>
      <w:proofErr w:type="spellEnd"/>
      <w:r>
        <w:rPr>
          <w:rFonts w:ascii="Arial" w:hAnsi="Arial"/>
          <w:sz w:val="20"/>
          <w:szCs w:val="20"/>
        </w:rPr>
        <w:t>, consultant for industrial and logistics real estate at Grossmann &amp; Berger, a member of German Property Partner</w:t>
      </w:r>
      <w:r w:rsidR="006A11C0">
        <w:rPr>
          <w:rFonts w:ascii="Arial" w:hAnsi="Arial"/>
          <w:sz w:val="20"/>
          <w:szCs w:val="20"/>
        </w:rPr>
        <w:t>s</w:t>
      </w:r>
      <w:r>
        <w:rPr>
          <w:rFonts w:ascii="Arial" w:hAnsi="Arial"/>
          <w:sz w:val="20"/>
          <w:szCs w:val="20"/>
        </w:rPr>
        <w:t xml:space="preserve"> (GPP), explains that</w:t>
      </w:r>
      <w:r w:rsidR="00C311A9">
        <w:rPr>
          <w:rFonts w:ascii="Arial" w:hAnsi="Arial"/>
          <w:sz w:val="20"/>
          <w:szCs w:val="20"/>
        </w:rPr>
        <w:t>,</w:t>
      </w:r>
      <w:r>
        <w:rPr>
          <w:rFonts w:ascii="Arial" w:hAnsi="Arial"/>
          <w:sz w:val="20"/>
          <w:szCs w:val="20"/>
        </w:rPr>
        <w:t xml:space="preserve"> </w:t>
      </w:r>
      <w:r>
        <w:rPr>
          <w:rFonts w:ascii="Arial" w:hAnsi="Arial"/>
          <w:i/>
          <w:sz w:val="20"/>
          <w:szCs w:val="20"/>
        </w:rPr>
        <w:t>“It is pure coincidence and a consequence of lengthy lead times that so many owner-occupiers in Hamburg and its environs started their building projects in 2020.</w:t>
      </w:r>
      <w:r>
        <w:rPr>
          <w:rFonts w:ascii="Arial" w:hAnsi="Arial"/>
          <w:sz w:val="20"/>
          <w:szCs w:val="20"/>
        </w:rPr>
        <w:t xml:space="preserve"> </w:t>
      </w:r>
      <w:r>
        <w:rPr>
          <w:rFonts w:ascii="Arial" w:hAnsi="Arial"/>
          <w:i/>
          <w:sz w:val="20"/>
          <w:szCs w:val="20"/>
        </w:rPr>
        <w:t xml:space="preserve">As the year closed, the classic letting business was still lagging behind. This is reflected in the fact that only 237,500 square metres </w:t>
      </w:r>
      <w:r w:rsidR="00C311A9">
        <w:rPr>
          <w:rFonts w:ascii="Arial" w:hAnsi="Arial"/>
          <w:i/>
          <w:sz w:val="20"/>
          <w:szCs w:val="20"/>
        </w:rPr>
        <w:t xml:space="preserve">of space </w:t>
      </w:r>
      <w:r>
        <w:rPr>
          <w:rFonts w:ascii="Arial" w:hAnsi="Arial"/>
          <w:i/>
          <w:sz w:val="20"/>
          <w:szCs w:val="20"/>
        </w:rPr>
        <w:t>was let during the whole year. Since the pandemic is not yet over, many companies have adopted a wait and see attitude.”</w:t>
      </w:r>
      <w:r w:rsidR="00ED47B1">
        <w:rPr>
          <w:rFonts w:ascii="Arial" w:hAnsi="Arial"/>
          <w:sz w:val="20"/>
          <w:szCs w:val="20"/>
        </w:rPr>
        <w:t xml:space="preserve"> </w:t>
      </w:r>
    </w:p>
    <w:p w:rsidR="000A5ED1" w:rsidRDefault="000A5ED1" w:rsidP="001E1172">
      <w:pPr>
        <w:spacing w:after="0" w:line="360" w:lineRule="auto"/>
        <w:rPr>
          <w:rFonts w:ascii="Arial" w:hAnsi="Arial" w:cs="Arial"/>
          <w:sz w:val="20"/>
          <w:szCs w:val="20"/>
        </w:rPr>
      </w:pPr>
    </w:p>
    <w:p w:rsidR="000A5ED1" w:rsidRPr="00FE43D5" w:rsidRDefault="00FE43D5" w:rsidP="006C1DD8">
      <w:pPr>
        <w:spacing w:after="0" w:line="360" w:lineRule="auto"/>
        <w:textAlignment w:val="baseline"/>
        <w:rPr>
          <w:rFonts w:ascii="Arial" w:hAnsi="Arial" w:cs="Arial"/>
          <w:b/>
          <w:sz w:val="20"/>
          <w:szCs w:val="20"/>
        </w:rPr>
      </w:pPr>
      <w:r>
        <w:rPr>
          <w:rFonts w:ascii="Arial" w:hAnsi="Arial"/>
          <w:b/>
          <w:sz w:val="20"/>
          <w:szCs w:val="20"/>
        </w:rPr>
        <w:t xml:space="preserve">Market details: </w:t>
      </w:r>
    </w:p>
    <w:p w:rsidR="00715FB9" w:rsidRPr="00105EAA" w:rsidRDefault="00B210A4" w:rsidP="00634B91">
      <w:pPr>
        <w:pStyle w:val="Listenabsatz"/>
        <w:numPr>
          <w:ilvl w:val="0"/>
          <w:numId w:val="18"/>
        </w:numPr>
        <w:spacing w:after="0" w:line="360" w:lineRule="auto"/>
        <w:rPr>
          <w:rFonts w:ascii="Arial" w:hAnsi="Arial" w:cs="Arial"/>
          <w:sz w:val="20"/>
          <w:szCs w:val="20"/>
        </w:rPr>
      </w:pPr>
      <w:r>
        <w:rPr>
          <w:rFonts w:ascii="Arial" w:hAnsi="Arial"/>
          <w:sz w:val="20"/>
          <w:szCs w:val="20"/>
        </w:rPr>
        <w:t>Four agreements for large premises were signed in the 3rd quarter, followed by three more for over 10,000 m² of space in the 4th quarter. 2020 thus closed with a total of nine agreements in this segment of the market (2019: 3). Consequently, this size category dominated the market with 53 % of take-up for the year (2019: 15 %). Six of the nine agreements for space in excess of 10,000 m² were construction starts for owner-occupiers.</w:t>
      </w:r>
    </w:p>
    <w:p w:rsidR="005C100F" w:rsidRDefault="005C100F" w:rsidP="00627692">
      <w:pPr>
        <w:pStyle w:val="Listenabsatz"/>
        <w:numPr>
          <w:ilvl w:val="0"/>
          <w:numId w:val="18"/>
        </w:numPr>
        <w:spacing w:after="0" w:line="360" w:lineRule="auto"/>
        <w:textAlignment w:val="baseline"/>
        <w:rPr>
          <w:rFonts w:ascii="Arial" w:hAnsi="Arial" w:cs="Arial"/>
          <w:sz w:val="20"/>
          <w:szCs w:val="20"/>
        </w:rPr>
      </w:pPr>
      <w:proofErr w:type="spellStart"/>
      <w:r>
        <w:rPr>
          <w:rFonts w:ascii="Arial" w:hAnsi="Arial"/>
          <w:sz w:val="20"/>
          <w:szCs w:val="20"/>
        </w:rPr>
        <w:t>Omnitrade</w:t>
      </w:r>
      <w:proofErr w:type="spellEnd"/>
      <w:r>
        <w:rPr>
          <w:rFonts w:ascii="Arial" w:hAnsi="Arial"/>
          <w:sz w:val="20"/>
          <w:szCs w:val="20"/>
        </w:rPr>
        <w:t xml:space="preserve"> </w:t>
      </w:r>
      <w:proofErr w:type="spellStart"/>
      <w:r>
        <w:rPr>
          <w:rFonts w:ascii="Arial" w:hAnsi="Arial"/>
          <w:sz w:val="20"/>
          <w:szCs w:val="20"/>
        </w:rPr>
        <w:t>Handelsgesellschaft</w:t>
      </w:r>
      <w:proofErr w:type="spellEnd"/>
      <w:r>
        <w:rPr>
          <w:rFonts w:ascii="Arial" w:hAnsi="Arial"/>
          <w:sz w:val="20"/>
          <w:szCs w:val="20"/>
        </w:rPr>
        <w:t xml:space="preserve"> signed the largest new contract of the 4th quarter. This wholesaler launched its expansion project to add 30,550 m² to its premises in the </w:t>
      </w:r>
      <w:proofErr w:type="spellStart"/>
      <w:r>
        <w:rPr>
          <w:rFonts w:ascii="Arial" w:hAnsi="Arial"/>
          <w:sz w:val="20"/>
          <w:szCs w:val="20"/>
        </w:rPr>
        <w:t>Jacobsrade</w:t>
      </w:r>
      <w:proofErr w:type="spellEnd"/>
      <w:r>
        <w:rPr>
          <w:rFonts w:ascii="Arial" w:hAnsi="Arial"/>
          <w:sz w:val="20"/>
          <w:szCs w:val="20"/>
        </w:rPr>
        <w:t xml:space="preserve"> trading estate in </w:t>
      </w:r>
      <w:proofErr w:type="spellStart"/>
      <w:r>
        <w:rPr>
          <w:rFonts w:ascii="Arial" w:hAnsi="Arial"/>
          <w:sz w:val="20"/>
          <w:szCs w:val="20"/>
        </w:rPr>
        <w:t>Siek</w:t>
      </w:r>
      <w:proofErr w:type="spellEnd"/>
      <w:r>
        <w:rPr>
          <w:rFonts w:ascii="Arial" w:hAnsi="Arial"/>
          <w:sz w:val="20"/>
          <w:szCs w:val="20"/>
        </w:rPr>
        <w:t xml:space="preserve"> (North East Environs).</w:t>
      </w:r>
    </w:p>
    <w:p w:rsidR="00FE43D5" w:rsidRDefault="00B210A4" w:rsidP="00627692">
      <w:pPr>
        <w:pStyle w:val="Listenabsatz"/>
        <w:numPr>
          <w:ilvl w:val="0"/>
          <w:numId w:val="18"/>
        </w:numPr>
        <w:spacing w:after="0" w:line="360" w:lineRule="auto"/>
        <w:textAlignment w:val="baseline"/>
        <w:rPr>
          <w:rFonts w:ascii="Arial" w:hAnsi="Arial" w:cs="Arial"/>
          <w:sz w:val="20"/>
          <w:szCs w:val="20"/>
        </w:rPr>
      </w:pPr>
      <w:r>
        <w:rPr>
          <w:rFonts w:ascii="Arial" w:hAnsi="Arial"/>
          <w:sz w:val="20"/>
          <w:szCs w:val="20"/>
        </w:rPr>
        <w:t xml:space="preserve">The biggest construction project started in the year 2020 is an 86,500-square-metre logistics and </w:t>
      </w:r>
      <w:proofErr w:type="gramStart"/>
      <w:r>
        <w:rPr>
          <w:rFonts w:ascii="Arial" w:hAnsi="Arial"/>
          <w:sz w:val="20"/>
          <w:szCs w:val="20"/>
        </w:rPr>
        <w:t>administrative</w:t>
      </w:r>
      <w:proofErr w:type="gramEnd"/>
      <w:r>
        <w:rPr>
          <w:rFonts w:ascii="Arial" w:hAnsi="Arial"/>
          <w:sz w:val="20"/>
          <w:szCs w:val="20"/>
        </w:rPr>
        <w:t xml:space="preserve"> centre for REWE in </w:t>
      </w:r>
      <w:proofErr w:type="spellStart"/>
      <w:r>
        <w:rPr>
          <w:rFonts w:ascii="Arial" w:hAnsi="Arial"/>
          <w:sz w:val="20"/>
          <w:szCs w:val="20"/>
        </w:rPr>
        <w:t>Henstedt-Ulzburg</w:t>
      </w:r>
      <w:proofErr w:type="spellEnd"/>
      <w:r>
        <w:rPr>
          <w:rFonts w:ascii="Arial" w:hAnsi="Arial"/>
          <w:sz w:val="20"/>
          <w:szCs w:val="20"/>
        </w:rPr>
        <w:t xml:space="preserve"> (North West Environs). In the 1st quarter </w:t>
      </w:r>
      <w:proofErr w:type="spellStart"/>
      <w:r>
        <w:rPr>
          <w:rFonts w:ascii="Arial" w:hAnsi="Arial"/>
          <w:sz w:val="20"/>
          <w:szCs w:val="20"/>
        </w:rPr>
        <w:t>Mickeleit</w:t>
      </w:r>
      <w:proofErr w:type="spellEnd"/>
      <w:r>
        <w:rPr>
          <w:rFonts w:ascii="Arial" w:hAnsi="Arial"/>
          <w:sz w:val="20"/>
          <w:szCs w:val="20"/>
        </w:rPr>
        <w:t xml:space="preserve">, a forwarding company, signed the biggest lease of the year, taking 28,400 m² of space at </w:t>
      </w:r>
      <w:proofErr w:type="spellStart"/>
      <w:r>
        <w:rPr>
          <w:rFonts w:ascii="Arial" w:hAnsi="Arial"/>
          <w:sz w:val="20"/>
          <w:szCs w:val="20"/>
        </w:rPr>
        <w:t>Altenwerder</w:t>
      </w:r>
      <w:proofErr w:type="spellEnd"/>
      <w:r>
        <w:rPr>
          <w:rFonts w:ascii="Arial" w:hAnsi="Arial"/>
          <w:sz w:val="20"/>
          <w:szCs w:val="20"/>
        </w:rPr>
        <w:t xml:space="preserve"> </w:t>
      </w:r>
      <w:proofErr w:type="spellStart"/>
      <w:r>
        <w:rPr>
          <w:rFonts w:ascii="Arial" w:hAnsi="Arial"/>
          <w:sz w:val="20"/>
          <w:szCs w:val="20"/>
        </w:rPr>
        <w:t>Kirchtal</w:t>
      </w:r>
      <w:proofErr w:type="spellEnd"/>
      <w:r>
        <w:rPr>
          <w:rFonts w:ascii="Arial" w:hAnsi="Arial"/>
          <w:sz w:val="20"/>
          <w:szCs w:val="20"/>
        </w:rPr>
        <w:t xml:space="preserve"> 1-5 (Hamburg South). </w:t>
      </w:r>
    </w:p>
    <w:p w:rsidR="0031494D" w:rsidRPr="0031494D" w:rsidRDefault="0031494D" w:rsidP="00547DBF">
      <w:pPr>
        <w:pStyle w:val="Listenabsatz"/>
        <w:numPr>
          <w:ilvl w:val="0"/>
          <w:numId w:val="18"/>
        </w:numPr>
        <w:spacing w:before="60" w:after="60" w:line="360" w:lineRule="auto"/>
        <w:textAlignment w:val="baseline"/>
        <w:rPr>
          <w:rFonts w:ascii="Arial" w:eastAsiaTheme="minorHAnsi" w:hAnsi="Arial" w:cs="Arial"/>
          <w:b/>
          <w:sz w:val="20"/>
          <w:szCs w:val="20"/>
        </w:rPr>
      </w:pPr>
      <w:r>
        <w:rPr>
          <w:rFonts w:ascii="Arial" w:hAnsi="Arial"/>
          <w:sz w:val="20"/>
          <w:szCs w:val="20"/>
        </w:rPr>
        <w:t>Unlike the prior year logistics firms were not the main players on the market in 2020, and relinquished their former top slot (2019: 57 %; 2020: 29 %) to trading companies (34 %).</w:t>
      </w:r>
    </w:p>
    <w:p w:rsidR="001F0C02" w:rsidRPr="001F0C02" w:rsidRDefault="004E7B3E" w:rsidP="00B02258">
      <w:pPr>
        <w:pStyle w:val="Listenabsatz"/>
        <w:numPr>
          <w:ilvl w:val="0"/>
          <w:numId w:val="18"/>
        </w:numPr>
        <w:spacing w:before="60" w:after="60" w:line="360" w:lineRule="auto"/>
        <w:textAlignment w:val="baseline"/>
        <w:rPr>
          <w:rFonts w:ascii="Arial" w:eastAsiaTheme="minorHAnsi" w:hAnsi="Arial" w:cs="Arial"/>
          <w:b/>
          <w:sz w:val="20"/>
          <w:szCs w:val="20"/>
        </w:rPr>
      </w:pPr>
      <w:r>
        <w:rPr>
          <w:rFonts w:ascii="Arial" w:hAnsi="Arial"/>
          <w:sz w:val="20"/>
          <w:szCs w:val="20"/>
        </w:rPr>
        <w:t>There was a pronounced shift from the city to the environs, where the proportion of total take-up rose from 38 % to 55 %. This was due to the fact that six of the nine high-volume agreements related to sites in the environs. The REWE construction start boosted the market share of North West Environs to a quarter; this sub-market was followed by Hamburg South, where the other three large agreements pushed its market share to one fifth.</w:t>
      </w:r>
    </w:p>
    <w:tbl>
      <w:tblPr>
        <w:tblStyle w:val="TableGrid2"/>
        <w:tblpPr w:leftFromText="141" w:rightFromText="141" w:vertAnchor="text" w:horzAnchor="margin" w:tblpY="106"/>
        <w:tblW w:w="5807" w:type="dxa"/>
        <w:tblLook w:val="04A0" w:firstRow="1" w:lastRow="0" w:firstColumn="1" w:lastColumn="0" w:noHBand="0" w:noVBand="1"/>
      </w:tblPr>
      <w:tblGrid>
        <w:gridCol w:w="3823"/>
        <w:gridCol w:w="1984"/>
      </w:tblGrid>
      <w:tr w:rsidR="009A3457" w:rsidRPr="006F49D0" w:rsidTr="00116715">
        <w:trPr>
          <w:trHeight w:val="255"/>
        </w:trPr>
        <w:tc>
          <w:tcPr>
            <w:tcW w:w="3823" w:type="dxa"/>
            <w:shd w:val="clear" w:color="auto" w:fill="1F242B" w:themeFill="accent2"/>
            <w:vAlign w:val="center"/>
          </w:tcPr>
          <w:p w:rsidR="00587FDA" w:rsidRDefault="00116715" w:rsidP="00627692">
            <w:pPr>
              <w:widowControl w:val="0"/>
              <w:spacing w:before="60" w:after="60"/>
              <w:rPr>
                <w:rFonts w:ascii="Arial" w:hAnsi="Arial" w:cs="Arial"/>
                <w:b/>
                <w:sz w:val="18"/>
                <w:szCs w:val="20"/>
              </w:rPr>
            </w:pPr>
            <w:r>
              <w:rPr>
                <w:rFonts w:ascii="Arial" w:hAnsi="Arial"/>
                <w:b/>
                <w:sz w:val="18"/>
                <w:szCs w:val="20"/>
              </w:rPr>
              <w:t>Industrial</w:t>
            </w:r>
            <w:r w:rsidR="00C311A9">
              <w:rPr>
                <w:rFonts w:ascii="Arial" w:hAnsi="Arial"/>
                <w:b/>
                <w:sz w:val="18"/>
                <w:szCs w:val="20"/>
              </w:rPr>
              <w:t xml:space="preserve">, </w:t>
            </w:r>
            <w:r>
              <w:rPr>
                <w:rFonts w:ascii="Arial" w:hAnsi="Arial"/>
                <w:b/>
                <w:sz w:val="18"/>
                <w:szCs w:val="20"/>
              </w:rPr>
              <w:t>l</w:t>
            </w:r>
            <w:r w:rsidR="00C311A9">
              <w:rPr>
                <w:rFonts w:ascii="Arial" w:hAnsi="Arial"/>
                <w:b/>
                <w:sz w:val="18"/>
                <w:szCs w:val="20"/>
              </w:rPr>
              <w:t>ogistics |</w:t>
            </w:r>
          </w:p>
          <w:p w:rsidR="009A3457" w:rsidRPr="00587FDA" w:rsidRDefault="009A3457" w:rsidP="00116715">
            <w:pPr>
              <w:widowControl w:val="0"/>
              <w:spacing w:before="60" w:after="60"/>
              <w:rPr>
                <w:rFonts w:ascii="Arial" w:hAnsi="Arial" w:cs="Arial"/>
                <w:b/>
                <w:sz w:val="18"/>
                <w:szCs w:val="20"/>
              </w:rPr>
            </w:pPr>
            <w:r>
              <w:rPr>
                <w:rFonts w:ascii="Arial" w:hAnsi="Arial"/>
                <w:b/>
                <w:sz w:val="18"/>
                <w:szCs w:val="20"/>
              </w:rPr>
              <w:t>Hamburg and environs | 2020</w:t>
            </w:r>
          </w:p>
        </w:tc>
        <w:tc>
          <w:tcPr>
            <w:tcW w:w="1984" w:type="dxa"/>
            <w:shd w:val="clear" w:color="auto" w:fill="1F242B" w:themeFill="accent2"/>
            <w:vAlign w:val="center"/>
          </w:tcPr>
          <w:p w:rsidR="009A3457" w:rsidRPr="004712BA" w:rsidRDefault="00470F4F" w:rsidP="009A3457">
            <w:pPr>
              <w:widowControl w:val="0"/>
              <w:spacing w:before="60" w:after="60"/>
              <w:jc w:val="center"/>
              <w:rPr>
                <w:rFonts w:ascii="Arial" w:hAnsi="Arial" w:cs="Arial"/>
                <w:b/>
                <w:sz w:val="18"/>
                <w:szCs w:val="16"/>
              </w:rPr>
            </w:pPr>
            <w:r>
              <w:rPr>
                <w:rFonts w:ascii="Arial" w:hAnsi="Arial"/>
                <w:b/>
                <w:sz w:val="18"/>
                <w:szCs w:val="16"/>
              </w:rPr>
              <w:t>Q1</w:t>
            </w:r>
            <w:r w:rsidR="003A22D7">
              <w:rPr>
                <w:rFonts w:ascii="Arial" w:hAnsi="Arial"/>
                <w:b/>
                <w:sz w:val="18"/>
                <w:szCs w:val="16"/>
              </w:rPr>
              <w:t>-4</w:t>
            </w:r>
          </w:p>
        </w:tc>
      </w:tr>
      <w:tr w:rsidR="009A3457" w:rsidRPr="006F49D0" w:rsidTr="00116715">
        <w:trPr>
          <w:trHeight w:val="255"/>
        </w:trPr>
        <w:tc>
          <w:tcPr>
            <w:tcW w:w="3823" w:type="dxa"/>
            <w:vAlign w:val="center"/>
          </w:tcPr>
          <w:p w:rsidR="009A3457" w:rsidRPr="004712BA" w:rsidRDefault="009A3457" w:rsidP="009A3457">
            <w:pPr>
              <w:widowControl w:val="0"/>
              <w:spacing w:before="60" w:after="60"/>
              <w:jc w:val="both"/>
              <w:rPr>
                <w:rFonts w:ascii="Arial" w:hAnsi="Arial" w:cs="Arial"/>
                <w:b/>
                <w:sz w:val="18"/>
                <w:szCs w:val="16"/>
              </w:rPr>
            </w:pPr>
            <w:r>
              <w:rPr>
                <w:rFonts w:ascii="Arial" w:hAnsi="Arial"/>
                <w:b/>
                <w:sz w:val="18"/>
                <w:szCs w:val="16"/>
              </w:rPr>
              <w:t xml:space="preserve">Space take-up </w:t>
            </w:r>
            <w:r>
              <w:rPr>
                <w:rFonts w:ascii="Arial" w:hAnsi="Arial"/>
                <w:sz w:val="18"/>
                <w:szCs w:val="16"/>
              </w:rPr>
              <w:t>[m²]</w:t>
            </w:r>
          </w:p>
        </w:tc>
        <w:tc>
          <w:tcPr>
            <w:tcW w:w="1984" w:type="dxa"/>
            <w:vAlign w:val="center"/>
          </w:tcPr>
          <w:p w:rsidR="009A3457" w:rsidRPr="004712BA" w:rsidRDefault="003A22D7" w:rsidP="009A3457">
            <w:pPr>
              <w:widowControl w:val="0"/>
              <w:spacing w:before="60" w:after="60"/>
              <w:jc w:val="right"/>
              <w:rPr>
                <w:rFonts w:ascii="Arial" w:hAnsi="Arial" w:cs="Arial"/>
                <w:sz w:val="18"/>
                <w:szCs w:val="16"/>
              </w:rPr>
            </w:pPr>
            <w:r>
              <w:rPr>
                <w:rFonts w:ascii="Arial" w:hAnsi="Arial"/>
                <w:sz w:val="18"/>
                <w:szCs w:val="16"/>
              </w:rPr>
              <w:t>480,000</w:t>
            </w:r>
          </w:p>
        </w:tc>
      </w:tr>
      <w:tr w:rsidR="009A3457" w:rsidRPr="006F49D0" w:rsidTr="00116715">
        <w:trPr>
          <w:trHeight w:val="255"/>
        </w:trPr>
        <w:tc>
          <w:tcPr>
            <w:tcW w:w="3823" w:type="dxa"/>
            <w:vAlign w:val="center"/>
          </w:tcPr>
          <w:p w:rsidR="009A3457" w:rsidRPr="00A7575D" w:rsidRDefault="009A3457" w:rsidP="009A3457">
            <w:pPr>
              <w:widowControl w:val="0"/>
              <w:spacing w:before="60" w:after="6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984" w:type="dxa"/>
            <w:vAlign w:val="center"/>
          </w:tcPr>
          <w:p w:rsidR="009A3457" w:rsidRPr="004712BA" w:rsidRDefault="003A22D7" w:rsidP="009A3457">
            <w:pPr>
              <w:widowControl w:val="0"/>
              <w:spacing w:before="60" w:after="60"/>
              <w:jc w:val="right"/>
              <w:rPr>
                <w:rFonts w:ascii="Arial" w:hAnsi="Arial" w:cs="Arial"/>
                <w:sz w:val="18"/>
                <w:szCs w:val="16"/>
              </w:rPr>
            </w:pPr>
            <w:r>
              <w:rPr>
                <w:rFonts w:ascii="Arial" w:hAnsi="Arial"/>
                <w:sz w:val="18"/>
                <w:szCs w:val="16"/>
              </w:rPr>
              <w:t>+35</w:t>
            </w:r>
          </w:p>
        </w:tc>
      </w:tr>
      <w:tr w:rsidR="009A3457" w:rsidRPr="006F49D0" w:rsidTr="00116715">
        <w:trPr>
          <w:trHeight w:val="255"/>
        </w:trPr>
        <w:tc>
          <w:tcPr>
            <w:tcW w:w="3823" w:type="dxa"/>
            <w:vAlign w:val="center"/>
          </w:tcPr>
          <w:p w:rsidR="009A3457" w:rsidRPr="009A3457" w:rsidRDefault="009A3457" w:rsidP="009A3457">
            <w:pPr>
              <w:widowControl w:val="0"/>
              <w:spacing w:before="60" w:after="60"/>
              <w:jc w:val="both"/>
              <w:rPr>
                <w:rFonts w:ascii="Arial" w:hAnsi="Arial" w:cs="Arial"/>
                <w:b/>
                <w:sz w:val="18"/>
                <w:szCs w:val="16"/>
              </w:rPr>
            </w:pPr>
            <w:r>
              <w:rPr>
                <w:rFonts w:ascii="Arial" w:hAnsi="Arial"/>
                <w:b/>
                <w:sz w:val="18"/>
                <w:szCs w:val="16"/>
              </w:rPr>
              <w:t>Ratio of owner-occupiers</w:t>
            </w:r>
            <w:r>
              <w:rPr>
                <w:rFonts w:ascii="Arial" w:hAnsi="Arial"/>
                <w:sz w:val="18"/>
                <w:szCs w:val="16"/>
              </w:rPr>
              <w:t xml:space="preserve"> [%]</w:t>
            </w:r>
          </w:p>
        </w:tc>
        <w:tc>
          <w:tcPr>
            <w:tcW w:w="1984" w:type="dxa"/>
            <w:vAlign w:val="center"/>
          </w:tcPr>
          <w:p w:rsidR="009A3457" w:rsidRPr="004712BA" w:rsidRDefault="003A22D7" w:rsidP="009A3457">
            <w:pPr>
              <w:widowControl w:val="0"/>
              <w:spacing w:before="60" w:after="60"/>
              <w:jc w:val="right"/>
              <w:rPr>
                <w:rFonts w:ascii="Arial" w:hAnsi="Arial" w:cs="Arial"/>
                <w:sz w:val="18"/>
                <w:szCs w:val="16"/>
              </w:rPr>
            </w:pPr>
            <w:r>
              <w:rPr>
                <w:rFonts w:ascii="Arial" w:hAnsi="Arial"/>
                <w:sz w:val="18"/>
                <w:szCs w:val="16"/>
              </w:rPr>
              <w:t>51</w:t>
            </w:r>
          </w:p>
        </w:tc>
      </w:tr>
      <w:tr w:rsidR="009A3457" w:rsidRPr="006F49D0" w:rsidTr="00116715">
        <w:trPr>
          <w:trHeight w:val="255"/>
        </w:trPr>
        <w:tc>
          <w:tcPr>
            <w:tcW w:w="3823" w:type="dxa"/>
            <w:vAlign w:val="center"/>
          </w:tcPr>
          <w:p w:rsidR="009A3457" w:rsidRPr="00122A77" w:rsidRDefault="009A3457" w:rsidP="009A3457">
            <w:pPr>
              <w:widowControl w:val="0"/>
              <w:spacing w:before="60" w:after="60"/>
              <w:jc w:val="both"/>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984" w:type="dxa"/>
            <w:vAlign w:val="center"/>
          </w:tcPr>
          <w:p w:rsidR="009A3457" w:rsidRPr="00122A77" w:rsidRDefault="00122A77" w:rsidP="009A3457">
            <w:pPr>
              <w:widowControl w:val="0"/>
              <w:spacing w:before="60" w:after="60"/>
              <w:jc w:val="right"/>
              <w:rPr>
                <w:rFonts w:ascii="Arial" w:hAnsi="Arial" w:cs="Arial"/>
                <w:sz w:val="18"/>
                <w:szCs w:val="16"/>
              </w:rPr>
            </w:pPr>
            <w:r>
              <w:rPr>
                <w:rFonts w:ascii="Arial" w:hAnsi="Arial"/>
                <w:sz w:val="18"/>
                <w:szCs w:val="16"/>
              </w:rPr>
              <w:t>+36</w:t>
            </w:r>
          </w:p>
        </w:tc>
      </w:tr>
      <w:tr w:rsidR="009A3457" w:rsidRPr="006F49D0" w:rsidTr="00116715">
        <w:trPr>
          <w:trHeight w:val="255"/>
        </w:trPr>
        <w:tc>
          <w:tcPr>
            <w:tcW w:w="3823" w:type="dxa"/>
            <w:vAlign w:val="center"/>
          </w:tcPr>
          <w:p w:rsidR="009A3457" w:rsidRPr="004712BA" w:rsidRDefault="009A3457" w:rsidP="009A3457">
            <w:pPr>
              <w:widowControl w:val="0"/>
              <w:spacing w:before="60" w:after="60"/>
              <w:jc w:val="both"/>
              <w:rPr>
                <w:rFonts w:ascii="Arial" w:hAnsi="Arial" w:cs="Arial"/>
                <w:b/>
                <w:sz w:val="18"/>
                <w:szCs w:val="16"/>
              </w:rPr>
            </w:pPr>
            <w:r>
              <w:rPr>
                <w:rFonts w:ascii="Arial" w:hAnsi="Arial"/>
                <w:b/>
                <w:sz w:val="18"/>
                <w:szCs w:val="16"/>
              </w:rPr>
              <w:t xml:space="preserve">Premium rent </w:t>
            </w:r>
            <w:r>
              <w:rPr>
                <w:rFonts w:ascii="Arial" w:hAnsi="Arial"/>
                <w:sz w:val="18"/>
                <w:szCs w:val="16"/>
              </w:rPr>
              <w:t>[€/m²/month net of services]</w:t>
            </w:r>
          </w:p>
        </w:tc>
        <w:tc>
          <w:tcPr>
            <w:tcW w:w="1984" w:type="dxa"/>
            <w:vAlign w:val="center"/>
          </w:tcPr>
          <w:p w:rsidR="009A3457" w:rsidRPr="004712BA" w:rsidRDefault="003A22D7" w:rsidP="00627692">
            <w:pPr>
              <w:widowControl w:val="0"/>
              <w:spacing w:before="60" w:after="60"/>
              <w:jc w:val="right"/>
              <w:rPr>
                <w:rFonts w:ascii="Arial" w:hAnsi="Arial" w:cs="Arial"/>
                <w:sz w:val="18"/>
                <w:szCs w:val="16"/>
              </w:rPr>
            </w:pPr>
            <w:r>
              <w:rPr>
                <w:rFonts w:ascii="Arial" w:hAnsi="Arial"/>
                <w:sz w:val="18"/>
                <w:szCs w:val="16"/>
              </w:rPr>
              <w:t xml:space="preserve">6.30 </w:t>
            </w:r>
          </w:p>
        </w:tc>
      </w:tr>
      <w:tr w:rsidR="009A3457" w:rsidTr="00116715">
        <w:trPr>
          <w:trHeight w:val="255"/>
        </w:trPr>
        <w:tc>
          <w:tcPr>
            <w:tcW w:w="3823" w:type="dxa"/>
            <w:vAlign w:val="center"/>
          </w:tcPr>
          <w:p w:rsidR="009A3457" w:rsidRPr="00A7575D" w:rsidRDefault="009A3457" w:rsidP="009A3457">
            <w:pPr>
              <w:widowControl w:val="0"/>
              <w:spacing w:before="60" w:after="6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984" w:type="dxa"/>
            <w:vAlign w:val="center"/>
          </w:tcPr>
          <w:p w:rsidR="009A3457" w:rsidRPr="00A7575D" w:rsidRDefault="003A22D7" w:rsidP="009A3457">
            <w:pPr>
              <w:widowControl w:val="0"/>
              <w:spacing w:before="60" w:after="60"/>
              <w:jc w:val="right"/>
              <w:rPr>
                <w:rFonts w:ascii="Arial" w:hAnsi="Arial" w:cs="Arial"/>
                <w:sz w:val="18"/>
                <w:szCs w:val="16"/>
              </w:rPr>
            </w:pPr>
            <w:r>
              <w:rPr>
                <w:rFonts w:ascii="Arial" w:hAnsi="Arial"/>
                <w:sz w:val="18"/>
                <w:szCs w:val="16"/>
              </w:rPr>
              <w:t>±0.0</w:t>
            </w:r>
          </w:p>
        </w:tc>
      </w:tr>
      <w:tr w:rsidR="009A3457" w:rsidRPr="006F49D0" w:rsidTr="00116715">
        <w:trPr>
          <w:trHeight w:val="255"/>
        </w:trPr>
        <w:tc>
          <w:tcPr>
            <w:tcW w:w="3823" w:type="dxa"/>
            <w:vAlign w:val="center"/>
          </w:tcPr>
          <w:p w:rsidR="009A3457" w:rsidRPr="004712BA" w:rsidRDefault="009A3457" w:rsidP="009A3457">
            <w:pPr>
              <w:widowControl w:val="0"/>
              <w:spacing w:before="60" w:after="60"/>
              <w:jc w:val="both"/>
              <w:rPr>
                <w:rFonts w:ascii="Arial" w:hAnsi="Arial" w:cs="Arial"/>
                <w:b/>
                <w:sz w:val="18"/>
                <w:szCs w:val="16"/>
              </w:rPr>
            </w:pPr>
            <w:r>
              <w:rPr>
                <w:rFonts w:ascii="Arial" w:hAnsi="Arial"/>
                <w:b/>
                <w:sz w:val="18"/>
                <w:szCs w:val="16"/>
              </w:rPr>
              <w:t xml:space="preserve">Average rent </w:t>
            </w:r>
            <w:r>
              <w:rPr>
                <w:rFonts w:ascii="Arial" w:hAnsi="Arial"/>
                <w:sz w:val="18"/>
                <w:szCs w:val="16"/>
              </w:rPr>
              <w:t>[€/m²/month net of services]</w:t>
            </w:r>
          </w:p>
        </w:tc>
        <w:tc>
          <w:tcPr>
            <w:tcW w:w="1984" w:type="dxa"/>
            <w:vAlign w:val="center"/>
          </w:tcPr>
          <w:p w:rsidR="009A3457" w:rsidRPr="004712BA" w:rsidRDefault="003A22D7" w:rsidP="00627692">
            <w:pPr>
              <w:widowControl w:val="0"/>
              <w:spacing w:before="60" w:after="60"/>
              <w:jc w:val="right"/>
              <w:rPr>
                <w:rFonts w:ascii="Arial" w:hAnsi="Arial" w:cs="Arial"/>
                <w:sz w:val="18"/>
                <w:szCs w:val="16"/>
              </w:rPr>
            </w:pPr>
            <w:r>
              <w:rPr>
                <w:rFonts w:ascii="Arial" w:hAnsi="Arial"/>
                <w:sz w:val="18"/>
                <w:szCs w:val="16"/>
              </w:rPr>
              <w:t xml:space="preserve">5.20 </w:t>
            </w:r>
          </w:p>
        </w:tc>
      </w:tr>
      <w:tr w:rsidR="009A3457" w:rsidTr="00116715">
        <w:trPr>
          <w:trHeight w:val="255"/>
        </w:trPr>
        <w:tc>
          <w:tcPr>
            <w:tcW w:w="3823" w:type="dxa"/>
            <w:vAlign w:val="center"/>
          </w:tcPr>
          <w:p w:rsidR="009A3457" w:rsidRPr="00A7575D" w:rsidRDefault="009A3457" w:rsidP="009A3457">
            <w:pPr>
              <w:widowControl w:val="0"/>
              <w:spacing w:before="60" w:after="6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984" w:type="dxa"/>
            <w:vAlign w:val="center"/>
          </w:tcPr>
          <w:p w:rsidR="009A3457" w:rsidRPr="00A7575D" w:rsidRDefault="003A22D7" w:rsidP="009A3457">
            <w:pPr>
              <w:widowControl w:val="0"/>
              <w:spacing w:before="60" w:after="60"/>
              <w:jc w:val="right"/>
              <w:rPr>
                <w:rFonts w:ascii="Arial" w:hAnsi="Arial" w:cs="Arial"/>
                <w:sz w:val="18"/>
                <w:szCs w:val="16"/>
              </w:rPr>
            </w:pPr>
            <w:r>
              <w:rPr>
                <w:rFonts w:ascii="Arial" w:hAnsi="Arial"/>
                <w:sz w:val="18"/>
                <w:szCs w:val="16"/>
              </w:rPr>
              <w:t>+2.0</w:t>
            </w:r>
          </w:p>
        </w:tc>
      </w:tr>
      <w:tr w:rsidR="00395ED5" w:rsidRPr="006F49D0" w:rsidTr="00116715">
        <w:trPr>
          <w:trHeight w:val="255"/>
        </w:trPr>
        <w:tc>
          <w:tcPr>
            <w:tcW w:w="3823" w:type="dxa"/>
            <w:vAlign w:val="center"/>
          </w:tcPr>
          <w:p w:rsidR="00395ED5" w:rsidRPr="00D32F4A" w:rsidRDefault="00395ED5" w:rsidP="00395ED5">
            <w:pPr>
              <w:widowControl w:val="0"/>
              <w:spacing w:after="0"/>
              <w:jc w:val="both"/>
              <w:rPr>
                <w:rFonts w:ascii="Arial" w:hAnsi="Arial" w:cs="Arial"/>
                <w:b/>
                <w:sz w:val="18"/>
                <w:szCs w:val="16"/>
              </w:rPr>
            </w:pPr>
            <w:r>
              <w:rPr>
                <w:rFonts w:ascii="Arial" w:hAnsi="Arial"/>
                <w:b/>
                <w:sz w:val="18"/>
                <w:szCs w:val="16"/>
              </w:rPr>
              <w:t>Most popular sub-market</w:t>
            </w:r>
          </w:p>
        </w:tc>
        <w:tc>
          <w:tcPr>
            <w:tcW w:w="1984" w:type="dxa"/>
            <w:vAlign w:val="center"/>
          </w:tcPr>
          <w:p w:rsidR="00395ED5" w:rsidRPr="004712BA" w:rsidRDefault="003A22D7" w:rsidP="00116715">
            <w:pPr>
              <w:widowControl w:val="0"/>
              <w:spacing w:before="60" w:after="60"/>
              <w:jc w:val="right"/>
              <w:rPr>
                <w:rFonts w:ascii="Arial" w:hAnsi="Arial" w:cs="Arial"/>
                <w:sz w:val="18"/>
                <w:szCs w:val="16"/>
              </w:rPr>
            </w:pPr>
            <w:bookmarkStart w:id="0" w:name="_GoBack"/>
            <w:r>
              <w:rPr>
                <w:rFonts w:ascii="Arial" w:hAnsi="Arial"/>
                <w:sz w:val="18"/>
                <w:szCs w:val="16"/>
              </w:rPr>
              <w:t>North-West Environs</w:t>
            </w:r>
            <w:bookmarkEnd w:id="0"/>
          </w:p>
        </w:tc>
      </w:tr>
      <w:tr w:rsidR="00395ED5" w:rsidTr="00116715">
        <w:trPr>
          <w:trHeight w:val="255"/>
        </w:trPr>
        <w:tc>
          <w:tcPr>
            <w:tcW w:w="3823" w:type="dxa"/>
            <w:vAlign w:val="center"/>
          </w:tcPr>
          <w:p w:rsidR="00395ED5" w:rsidRPr="00D32F4A" w:rsidRDefault="00395ED5" w:rsidP="00395ED5">
            <w:pPr>
              <w:widowControl w:val="0"/>
              <w:spacing w:after="0"/>
              <w:rPr>
                <w:rFonts w:ascii="Arial" w:hAnsi="Arial" w:cs="Arial"/>
                <w:sz w:val="18"/>
                <w:szCs w:val="16"/>
              </w:rPr>
            </w:pPr>
            <w:r>
              <w:rPr>
                <w:rFonts w:ascii="Arial" w:hAnsi="Arial"/>
                <w:sz w:val="18"/>
                <w:szCs w:val="16"/>
              </w:rPr>
              <w:t>Most popular sub-market [%]</w:t>
            </w:r>
          </w:p>
        </w:tc>
        <w:tc>
          <w:tcPr>
            <w:tcW w:w="1984" w:type="dxa"/>
            <w:vAlign w:val="center"/>
          </w:tcPr>
          <w:p w:rsidR="00395ED5" w:rsidRPr="004712BA" w:rsidRDefault="003A22D7" w:rsidP="00395ED5">
            <w:pPr>
              <w:widowControl w:val="0"/>
              <w:spacing w:before="60" w:after="60"/>
              <w:jc w:val="right"/>
              <w:rPr>
                <w:rFonts w:ascii="Arial" w:hAnsi="Arial" w:cs="Arial"/>
                <w:sz w:val="18"/>
                <w:szCs w:val="16"/>
              </w:rPr>
            </w:pPr>
            <w:r>
              <w:rPr>
                <w:rFonts w:ascii="Arial" w:hAnsi="Arial"/>
                <w:sz w:val="18"/>
                <w:szCs w:val="16"/>
              </w:rPr>
              <w:t>25</w:t>
            </w:r>
          </w:p>
        </w:tc>
      </w:tr>
      <w:tr w:rsidR="009A3457" w:rsidRPr="006F49D0" w:rsidTr="00116715">
        <w:trPr>
          <w:trHeight w:val="255"/>
        </w:trPr>
        <w:tc>
          <w:tcPr>
            <w:tcW w:w="3823" w:type="dxa"/>
            <w:tcBorders>
              <w:bottom w:val="single" w:sz="4" w:space="0" w:color="auto"/>
            </w:tcBorders>
            <w:vAlign w:val="center"/>
          </w:tcPr>
          <w:p w:rsidR="009A3457" w:rsidRPr="004712BA" w:rsidRDefault="009A3457" w:rsidP="009A3457">
            <w:pPr>
              <w:widowControl w:val="0"/>
              <w:spacing w:before="60" w:after="60"/>
              <w:jc w:val="both"/>
              <w:rPr>
                <w:rFonts w:ascii="Arial" w:hAnsi="Arial" w:cs="Arial"/>
                <w:b/>
                <w:sz w:val="18"/>
                <w:szCs w:val="16"/>
              </w:rPr>
            </w:pPr>
            <w:r>
              <w:rPr>
                <w:rFonts w:ascii="Arial" w:hAnsi="Arial"/>
                <w:b/>
                <w:sz w:val="18"/>
                <w:szCs w:val="16"/>
              </w:rPr>
              <w:t>Industry with highest turnover</w:t>
            </w:r>
          </w:p>
        </w:tc>
        <w:tc>
          <w:tcPr>
            <w:tcW w:w="1984" w:type="dxa"/>
            <w:tcBorders>
              <w:bottom w:val="single" w:sz="4" w:space="0" w:color="auto"/>
            </w:tcBorders>
            <w:vAlign w:val="center"/>
          </w:tcPr>
          <w:p w:rsidR="009A3457" w:rsidRPr="004712BA" w:rsidRDefault="003A22D7" w:rsidP="009A3457">
            <w:pPr>
              <w:widowControl w:val="0"/>
              <w:spacing w:before="60" w:after="60"/>
              <w:jc w:val="right"/>
              <w:rPr>
                <w:rFonts w:ascii="Arial" w:hAnsi="Arial" w:cs="Arial"/>
                <w:sz w:val="18"/>
                <w:szCs w:val="16"/>
              </w:rPr>
            </w:pPr>
            <w:r>
              <w:rPr>
                <w:rFonts w:ascii="Arial" w:hAnsi="Arial"/>
                <w:sz w:val="18"/>
                <w:szCs w:val="16"/>
              </w:rPr>
              <w:t>Trade/retail</w:t>
            </w:r>
          </w:p>
        </w:tc>
      </w:tr>
      <w:tr w:rsidR="009A3457" w:rsidRPr="006F49D0" w:rsidTr="00116715">
        <w:trPr>
          <w:trHeight w:val="255"/>
        </w:trPr>
        <w:tc>
          <w:tcPr>
            <w:tcW w:w="3823" w:type="dxa"/>
            <w:tcBorders>
              <w:bottom w:val="single" w:sz="4" w:space="0" w:color="auto"/>
            </w:tcBorders>
            <w:vAlign w:val="center"/>
          </w:tcPr>
          <w:p w:rsidR="009A3457" w:rsidRPr="004712BA" w:rsidRDefault="009A3457" w:rsidP="009A3457">
            <w:pPr>
              <w:widowControl w:val="0"/>
              <w:spacing w:before="60" w:after="60"/>
              <w:jc w:val="both"/>
              <w:rPr>
                <w:rFonts w:ascii="Arial" w:hAnsi="Arial" w:cs="Arial"/>
                <w:b/>
                <w:sz w:val="18"/>
                <w:szCs w:val="16"/>
              </w:rPr>
            </w:pPr>
            <w:r>
              <w:rPr>
                <w:rFonts w:ascii="Arial" w:hAnsi="Arial"/>
                <w:sz w:val="18"/>
                <w:szCs w:val="16"/>
              </w:rPr>
              <w:t>Industry with highest turnover [%]</w:t>
            </w:r>
          </w:p>
        </w:tc>
        <w:tc>
          <w:tcPr>
            <w:tcW w:w="1984" w:type="dxa"/>
            <w:tcBorders>
              <w:bottom w:val="single" w:sz="4" w:space="0" w:color="auto"/>
            </w:tcBorders>
            <w:vAlign w:val="center"/>
          </w:tcPr>
          <w:p w:rsidR="009A3457" w:rsidRPr="004712BA" w:rsidRDefault="003A22D7" w:rsidP="009A3457">
            <w:pPr>
              <w:widowControl w:val="0"/>
              <w:spacing w:before="60" w:after="60"/>
              <w:jc w:val="right"/>
              <w:rPr>
                <w:rFonts w:ascii="Arial" w:hAnsi="Arial" w:cs="Arial"/>
                <w:sz w:val="18"/>
                <w:szCs w:val="16"/>
              </w:rPr>
            </w:pPr>
            <w:r>
              <w:rPr>
                <w:rFonts w:ascii="Arial" w:hAnsi="Arial"/>
                <w:sz w:val="18"/>
                <w:szCs w:val="16"/>
              </w:rPr>
              <w:t>34</w:t>
            </w:r>
          </w:p>
        </w:tc>
      </w:tr>
    </w:tbl>
    <w:p w:rsidR="008E65DC" w:rsidRDefault="00116715" w:rsidP="0099386F">
      <w:pPr>
        <w:tabs>
          <w:tab w:val="left" w:pos="1730"/>
        </w:tabs>
        <w:spacing w:after="0" w:line="360" w:lineRule="auto"/>
        <w:rPr>
          <w:rFonts w:ascii="Arial" w:hAnsi="Arial" w:cs="Arial"/>
          <w:b/>
          <w:sz w:val="20"/>
          <w:szCs w:val="20"/>
        </w:rPr>
      </w:pPr>
      <w:r>
        <w:rPr>
          <w:rFonts w:ascii="Arial" w:hAnsi="Arial"/>
          <w:b/>
          <w:noProof/>
          <w:sz w:val="20"/>
          <w:szCs w:val="20"/>
          <w:lang w:val="de-DE"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19216</wp:posOffset>
            </wp:positionV>
            <wp:extent cx="2313829" cy="1630606"/>
            <wp:effectExtent l="19050" t="19050" r="10795" b="273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ustrial-logistics-Hamburg-take-up-2020Q4.jpg"/>
                    <pic:cNvPicPr/>
                  </pic:nvPicPr>
                  <pic:blipFill>
                    <a:blip r:embed="rId8">
                      <a:extLst>
                        <a:ext uri="{28A0092B-C50C-407E-A947-70E740481C1C}">
                          <a14:useLocalDpi xmlns:a14="http://schemas.microsoft.com/office/drawing/2010/main" val="0"/>
                        </a:ext>
                      </a:extLst>
                    </a:blip>
                    <a:stretch>
                      <a:fillRect/>
                    </a:stretch>
                  </pic:blipFill>
                  <pic:spPr>
                    <a:xfrm>
                      <a:off x="0" y="0"/>
                      <a:ext cx="2313829" cy="1630606"/>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00587FDA">
        <w:rPr>
          <w:rFonts w:ascii="Arial" w:hAnsi="Arial"/>
          <w:b/>
          <w:sz w:val="20"/>
          <w:szCs w:val="20"/>
        </w:rPr>
        <w:tab/>
      </w:r>
    </w:p>
    <w:p w:rsidR="001F0C02" w:rsidRDefault="001F0C02" w:rsidP="009A3457">
      <w:pPr>
        <w:spacing w:after="0" w:line="360" w:lineRule="auto"/>
        <w:rPr>
          <w:rFonts w:ascii="Arial" w:hAnsi="Arial" w:cs="Arial"/>
          <w:b/>
          <w:sz w:val="20"/>
          <w:szCs w:val="20"/>
        </w:rPr>
      </w:pPr>
    </w:p>
    <w:p w:rsidR="00C311A9" w:rsidRDefault="00C311A9" w:rsidP="009A3457">
      <w:pPr>
        <w:spacing w:after="0" w:line="360" w:lineRule="auto"/>
        <w:rPr>
          <w:rFonts w:ascii="Arial" w:hAnsi="Arial" w:cs="Arial"/>
          <w:b/>
          <w:sz w:val="20"/>
          <w:szCs w:val="20"/>
        </w:rPr>
      </w:pPr>
    </w:p>
    <w:p w:rsidR="00116715" w:rsidRDefault="00116715" w:rsidP="009A3457">
      <w:pPr>
        <w:spacing w:after="0" w:line="360" w:lineRule="auto"/>
        <w:rPr>
          <w:rFonts w:ascii="Arial" w:hAnsi="Arial"/>
          <w:b/>
          <w:sz w:val="20"/>
          <w:szCs w:val="20"/>
        </w:rPr>
      </w:pPr>
    </w:p>
    <w:p w:rsidR="00116715" w:rsidRDefault="00116715" w:rsidP="009A3457">
      <w:pPr>
        <w:spacing w:after="0" w:line="360" w:lineRule="auto"/>
        <w:rPr>
          <w:rFonts w:ascii="Arial" w:hAnsi="Arial"/>
          <w:b/>
          <w:sz w:val="20"/>
          <w:szCs w:val="20"/>
        </w:rPr>
      </w:pPr>
    </w:p>
    <w:p w:rsidR="003A22D7" w:rsidRDefault="00C36C38" w:rsidP="009A3457">
      <w:pPr>
        <w:spacing w:after="0" w:line="360" w:lineRule="auto"/>
        <w:rPr>
          <w:rFonts w:ascii="Arial" w:hAnsi="Arial" w:cs="Arial"/>
          <w:b/>
          <w:sz w:val="20"/>
          <w:szCs w:val="20"/>
        </w:rPr>
      </w:pPr>
      <w:r>
        <w:rPr>
          <w:rFonts w:ascii="Arial" w:hAnsi="Arial"/>
          <w:b/>
          <w:sz w:val="20"/>
          <w:szCs w:val="20"/>
        </w:rPr>
        <w:t>Selected top transactions | industrial and logistics market Hamburg and environs |</w:t>
      </w:r>
    </w:p>
    <w:p w:rsidR="009A3457" w:rsidRDefault="003A22D7" w:rsidP="009A3457">
      <w:pPr>
        <w:spacing w:after="0" w:line="360" w:lineRule="auto"/>
        <w:rPr>
          <w:rFonts w:ascii="Arial" w:hAnsi="Arial" w:cs="Arial"/>
          <w:b/>
          <w:sz w:val="20"/>
          <w:szCs w:val="20"/>
        </w:rPr>
      </w:pPr>
      <w:r>
        <w:rPr>
          <w:rFonts w:ascii="Arial" w:hAnsi="Arial"/>
          <w:b/>
          <w:sz w:val="20"/>
          <w:szCs w:val="20"/>
        </w:rPr>
        <w:t>1st-4th quarters of 2020</w:t>
      </w:r>
    </w:p>
    <w:tbl>
      <w:tblPr>
        <w:tblStyle w:val="Tabellenraster"/>
        <w:tblpPr w:leftFromText="141" w:rightFromText="141" w:vertAnchor="text" w:horzAnchor="margin" w:tblpY="-23"/>
        <w:tblW w:w="9634" w:type="dxa"/>
        <w:tblLook w:val="04A0" w:firstRow="1" w:lastRow="0" w:firstColumn="1" w:lastColumn="0" w:noHBand="0" w:noVBand="1"/>
      </w:tblPr>
      <w:tblGrid>
        <w:gridCol w:w="1413"/>
        <w:gridCol w:w="2551"/>
        <w:gridCol w:w="2268"/>
        <w:gridCol w:w="2268"/>
        <w:gridCol w:w="1134"/>
      </w:tblGrid>
      <w:tr w:rsidR="00C36C38" w:rsidRPr="0017364E" w:rsidTr="003A22D7">
        <w:trPr>
          <w:trHeight w:val="542"/>
        </w:trPr>
        <w:tc>
          <w:tcPr>
            <w:tcW w:w="1413" w:type="dxa"/>
            <w:shd w:val="clear" w:color="auto" w:fill="1F242B" w:themeFill="accent2"/>
          </w:tcPr>
          <w:p w:rsidR="00C36C38" w:rsidRPr="0017364E" w:rsidRDefault="00C36C38" w:rsidP="00C36C38">
            <w:pPr>
              <w:spacing w:before="60" w:after="60"/>
              <w:rPr>
                <w:rFonts w:ascii="Arial" w:hAnsi="Arial" w:cs="Arial"/>
                <w:b/>
                <w:sz w:val="18"/>
                <w:szCs w:val="16"/>
              </w:rPr>
            </w:pPr>
            <w:r>
              <w:rPr>
                <w:rFonts w:ascii="Arial" w:hAnsi="Arial"/>
                <w:b/>
                <w:sz w:val="16"/>
                <w:szCs w:val="16"/>
              </w:rPr>
              <w:t>City</w:t>
            </w:r>
          </w:p>
        </w:tc>
        <w:tc>
          <w:tcPr>
            <w:tcW w:w="2551" w:type="dxa"/>
            <w:shd w:val="clear" w:color="auto" w:fill="1F242B" w:themeFill="accent2"/>
          </w:tcPr>
          <w:p w:rsidR="00C36C38" w:rsidRPr="0017364E" w:rsidRDefault="00C36C38" w:rsidP="00C36C38">
            <w:pPr>
              <w:spacing w:before="60" w:after="60"/>
              <w:rPr>
                <w:rFonts w:ascii="Arial" w:hAnsi="Arial" w:cs="Arial"/>
                <w:b/>
                <w:sz w:val="18"/>
                <w:szCs w:val="16"/>
              </w:rPr>
            </w:pPr>
            <w:r>
              <w:rPr>
                <w:rFonts w:ascii="Arial" w:hAnsi="Arial"/>
                <w:b/>
                <w:sz w:val="16"/>
                <w:szCs w:val="16"/>
              </w:rPr>
              <w:t>Road/street</w:t>
            </w:r>
          </w:p>
        </w:tc>
        <w:tc>
          <w:tcPr>
            <w:tcW w:w="2268" w:type="dxa"/>
            <w:shd w:val="clear" w:color="auto" w:fill="1F242B" w:themeFill="accent2"/>
          </w:tcPr>
          <w:p w:rsidR="00C36C38" w:rsidRPr="0017364E" w:rsidRDefault="00C36C38" w:rsidP="00C36C38">
            <w:pPr>
              <w:spacing w:before="60" w:after="60"/>
              <w:rPr>
                <w:rFonts w:ascii="Arial" w:hAnsi="Arial" w:cs="Arial"/>
                <w:b/>
                <w:sz w:val="18"/>
                <w:szCs w:val="16"/>
              </w:rPr>
            </w:pPr>
            <w:r>
              <w:rPr>
                <w:rFonts w:ascii="Arial" w:hAnsi="Arial"/>
                <w:b/>
                <w:sz w:val="16"/>
                <w:szCs w:val="16"/>
              </w:rPr>
              <w:t>Property/project</w:t>
            </w:r>
          </w:p>
        </w:tc>
        <w:tc>
          <w:tcPr>
            <w:tcW w:w="2268" w:type="dxa"/>
            <w:shd w:val="clear" w:color="auto" w:fill="1F242B" w:themeFill="accent2"/>
          </w:tcPr>
          <w:p w:rsidR="00C36C38" w:rsidRPr="0017364E" w:rsidRDefault="00C36C38" w:rsidP="00C36C38">
            <w:pPr>
              <w:spacing w:before="60" w:after="60"/>
              <w:rPr>
                <w:rFonts w:ascii="Arial" w:hAnsi="Arial" w:cs="Arial"/>
                <w:b/>
                <w:sz w:val="18"/>
                <w:szCs w:val="16"/>
              </w:rPr>
            </w:pPr>
            <w:r>
              <w:rPr>
                <w:rFonts w:ascii="Arial" w:hAnsi="Arial"/>
                <w:b/>
                <w:sz w:val="16"/>
                <w:szCs w:val="16"/>
              </w:rPr>
              <w:t>Tenant/owner-occupier</w:t>
            </w:r>
          </w:p>
        </w:tc>
        <w:tc>
          <w:tcPr>
            <w:tcW w:w="1134" w:type="dxa"/>
            <w:shd w:val="clear" w:color="auto" w:fill="1F242B" w:themeFill="accent2"/>
          </w:tcPr>
          <w:p w:rsidR="00C36C38" w:rsidRPr="00873089" w:rsidRDefault="00C36C38" w:rsidP="00C36C38">
            <w:pPr>
              <w:spacing w:after="0"/>
              <w:rPr>
                <w:rFonts w:ascii="Arial" w:hAnsi="Arial" w:cs="Arial"/>
                <w:b/>
                <w:sz w:val="16"/>
                <w:szCs w:val="16"/>
              </w:rPr>
            </w:pPr>
            <w:r>
              <w:rPr>
                <w:rFonts w:ascii="Arial" w:hAnsi="Arial"/>
                <w:b/>
                <w:sz w:val="16"/>
                <w:szCs w:val="16"/>
              </w:rPr>
              <w:t>Floor area:</w:t>
            </w:r>
          </w:p>
          <w:p w:rsidR="00C36C38" w:rsidRPr="00627692" w:rsidRDefault="00627692" w:rsidP="00C36C38">
            <w:pPr>
              <w:spacing w:before="60" w:after="60"/>
              <w:rPr>
                <w:rFonts w:ascii="Arial" w:hAnsi="Arial" w:cs="Arial"/>
                <w:sz w:val="18"/>
                <w:szCs w:val="16"/>
              </w:rPr>
            </w:pPr>
            <w:r>
              <w:rPr>
                <w:rFonts w:ascii="Arial" w:hAnsi="Arial"/>
                <w:sz w:val="16"/>
                <w:szCs w:val="16"/>
              </w:rPr>
              <w:t>[ca. m²]</w:t>
            </w:r>
          </w:p>
        </w:tc>
      </w:tr>
      <w:tr w:rsidR="003A22D7" w:rsidRPr="0017364E" w:rsidTr="003A22D7">
        <w:trPr>
          <w:trHeight w:val="542"/>
        </w:trPr>
        <w:tc>
          <w:tcPr>
            <w:tcW w:w="1413" w:type="dxa"/>
            <w:vAlign w:val="center"/>
          </w:tcPr>
          <w:p w:rsidR="003A22D7" w:rsidRPr="003A22D7" w:rsidRDefault="003A22D7" w:rsidP="003A22D7">
            <w:pPr>
              <w:spacing w:after="0"/>
              <w:rPr>
                <w:rFonts w:ascii="Arial" w:hAnsi="Arial" w:cs="Arial"/>
                <w:sz w:val="16"/>
                <w:szCs w:val="16"/>
              </w:rPr>
            </w:pPr>
            <w:proofErr w:type="spellStart"/>
            <w:r>
              <w:rPr>
                <w:rFonts w:ascii="Arial" w:hAnsi="Arial"/>
                <w:sz w:val="16"/>
                <w:szCs w:val="16"/>
              </w:rPr>
              <w:t>Henstedt-Ulzburg</w:t>
            </w:r>
            <w:proofErr w:type="spellEnd"/>
          </w:p>
        </w:tc>
        <w:tc>
          <w:tcPr>
            <w:tcW w:w="2551" w:type="dxa"/>
            <w:vAlign w:val="center"/>
          </w:tcPr>
          <w:p w:rsidR="003A22D7" w:rsidRPr="003A22D7" w:rsidRDefault="003A22D7" w:rsidP="003A22D7">
            <w:pPr>
              <w:spacing w:after="0"/>
              <w:rPr>
                <w:rFonts w:ascii="Arial" w:hAnsi="Arial" w:cs="Arial"/>
                <w:sz w:val="16"/>
                <w:szCs w:val="16"/>
              </w:rPr>
            </w:pPr>
            <w:r>
              <w:rPr>
                <w:rFonts w:ascii="Arial" w:hAnsi="Arial"/>
                <w:sz w:val="16"/>
                <w:szCs w:val="16"/>
              </w:rPr>
              <w:t>Rudolf-Diesel-</w:t>
            </w:r>
            <w:proofErr w:type="spellStart"/>
            <w:r>
              <w:rPr>
                <w:rFonts w:ascii="Arial" w:hAnsi="Arial"/>
                <w:sz w:val="16"/>
                <w:szCs w:val="16"/>
              </w:rPr>
              <w:t>Strasse</w:t>
            </w:r>
            <w:proofErr w:type="spellEnd"/>
          </w:p>
        </w:tc>
        <w:tc>
          <w:tcPr>
            <w:tcW w:w="2268" w:type="dxa"/>
            <w:vAlign w:val="center"/>
          </w:tcPr>
          <w:p w:rsidR="003A22D7" w:rsidRPr="003A22D7" w:rsidRDefault="003A22D7" w:rsidP="003A22D7">
            <w:pPr>
              <w:spacing w:after="0"/>
              <w:rPr>
                <w:rFonts w:ascii="Arial" w:hAnsi="Arial" w:cs="Arial"/>
                <w:sz w:val="16"/>
                <w:szCs w:val="16"/>
              </w:rPr>
            </w:pPr>
            <w:r>
              <w:rPr>
                <w:rFonts w:ascii="Arial" w:hAnsi="Arial"/>
                <w:sz w:val="16"/>
                <w:szCs w:val="16"/>
              </w:rPr>
              <w:t>Logistics and administrative centre (construction start)</w:t>
            </w:r>
          </w:p>
        </w:tc>
        <w:tc>
          <w:tcPr>
            <w:tcW w:w="2268" w:type="dxa"/>
            <w:vAlign w:val="center"/>
          </w:tcPr>
          <w:p w:rsidR="003A22D7" w:rsidRPr="003A22D7" w:rsidRDefault="003A22D7" w:rsidP="003A22D7">
            <w:pPr>
              <w:spacing w:after="0"/>
              <w:rPr>
                <w:rFonts w:ascii="Arial" w:hAnsi="Arial" w:cs="Arial"/>
                <w:sz w:val="16"/>
                <w:szCs w:val="16"/>
              </w:rPr>
            </w:pPr>
            <w:r>
              <w:rPr>
                <w:rFonts w:ascii="Arial" w:hAnsi="Arial"/>
                <w:sz w:val="16"/>
                <w:szCs w:val="16"/>
              </w:rPr>
              <w:t>REWE Region North (owner-occupier)</w:t>
            </w:r>
          </w:p>
        </w:tc>
        <w:tc>
          <w:tcPr>
            <w:tcW w:w="1134" w:type="dxa"/>
            <w:vAlign w:val="center"/>
          </w:tcPr>
          <w:p w:rsidR="003A22D7" w:rsidRPr="003A22D7" w:rsidRDefault="003A22D7" w:rsidP="003A22D7">
            <w:pPr>
              <w:spacing w:after="0"/>
              <w:jc w:val="center"/>
              <w:rPr>
                <w:rFonts w:ascii="Arial" w:hAnsi="Arial" w:cs="Arial"/>
                <w:sz w:val="16"/>
                <w:szCs w:val="16"/>
              </w:rPr>
            </w:pPr>
            <w:r>
              <w:rPr>
                <w:rFonts w:ascii="Arial" w:hAnsi="Arial"/>
                <w:sz w:val="16"/>
                <w:szCs w:val="16"/>
              </w:rPr>
              <w:t>86,500</w:t>
            </w:r>
          </w:p>
        </w:tc>
      </w:tr>
      <w:tr w:rsidR="003A22D7" w:rsidRPr="0017364E" w:rsidTr="003A22D7">
        <w:trPr>
          <w:trHeight w:val="542"/>
        </w:trPr>
        <w:tc>
          <w:tcPr>
            <w:tcW w:w="1413" w:type="dxa"/>
            <w:vAlign w:val="center"/>
          </w:tcPr>
          <w:p w:rsidR="003A22D7" w:rsidRPr="003A22D7" w:rsidRDefault="003A22D7" w:rsidP="003A22D7">
            <w:pPr>
              <w:spacing w:after="0"/>
              <w:rPr>
                <w:rFonts w:ascii="Arial" w:hAnsi="Arial" w:cs="Arial"/>
                <w:sz w:val="16"/>
                <w:szCs w:val="16"/>
              </w:rPr>
            </w:pPr>
            <w:r>
              <w:rPr>
                <w:rFonts w:ascii="Arial" w:hAnsi="Arial"/>
                <w:sz w:val="16"/>
                <w:szCs w:val="16"/>
              </w:rPr>
              <w:t>Hamburg</w:t>
            </w:r>
          </w:p>
        </w:tc>
        <w:tc>
          <w:tcPr>
            <w:tcW w:w="2551" w:type="dxa"/>
            <w:vAlign w:val="center"/>
          </w:tcPr>
          <w:p w:rsidR="003A22D7" w:rsidRPr="003A22D7" w:rsidRDefault="003A22D7" w:rsidP="003A22D7">
            <w:pPr>
              <w:spacing w:after="0"/>
              <w:rPr>
                <w:rFonts w:ascii="Arial" w:hAnsi="Arial" w:cs="Arial"/>
                <w:sz w:val="16"/>
                <w:szCs w:val="16"/>
              </w:rPr>
            </w:pPr>
            <w:r>
              <w:rPr>
                <w:rFonts w:ascii="Arial" w:hAnsi="Arial"/>
                <w:sz w:val="16"/>
                <w:szCs w:val="16"/>
              </w:rPr>
              <w:t xml:space="preserve">Am </w:t>
            </w:r>
            <w:proofErr w:type="spellStart"/>
            <w:r>
              <w:rPr>
                <w:rFonts w:ascii="Arial" w:hAnsi="Arial"/>
                <w:sz w:val="16"/>
                <w:szCs w:val="16"/>
              </w:rPr>
              <w:t>Genter</w:t>
            </w:r>
            <w:proofErr w:type="spellEnd"/>
            <w:r>
              <w:rPr>
                <w:rFonts w:ascii="Arial" w:hAnsi="Arial"/>
                <w:sz w:val="16"/>
                <w:szCs w:val="16"/>
              </w:rPr>
              <w:t xml:space="preserve"> </w:t>
            </w:r>
            <w:proofErr w:type="spellStart"/>
            <w:r>
              <w:rPr>
                <w:rFonts w:ascii="Arial" w:hAnsi="Arial"/>
                <w:sz w:val="16"/>
                <w:szCs w:val="16"/>
              </w:rPr>
              <w:t>Ufer</w:t>
            </w:r>
            <w:proofErr w:type="spellEnd"/>
          </w:p>
        </w:tc>
        <w:tc>
          <w:tcPr>
            <w:tcW w:w="2268" w:type="dxa"/>
            <w:vAlign w:val="center"/>
          </w:tcPr>
          <w:p w:rsidR="003A22D7" w:rsidRPr="003A22D7" w:rsidRDefault="003A22D7" w:rsidP="003A22D7">
            <w:pPr>
              <w:spacing w:after="0"/>
              <w:rPr>
                <w:rFonts w:ascii="Arial" w:hAnsi="Arial" w:cs="Arial"/>
                <w:sz w:val="16"/>
                <w:szCs w:val="16"/>
              </w:rPr>
            </w:pPr>
            <w:r>
              <w:rPr>
                <w:rFonts w:ascii="Arial" w:hAnsi="Arial"/>
                <w:sz w:val="16"/>
                <w:szCs w:val="16"/>
              </w:rPr>
              <w:t>New build (construction start)</w:t>
            </w:r>
          </w:p>
        </w:tc>
        <w:tc>
          <w:tcPr>
            <w:tcW w:w="2268" w:type="dxa"/>
            <w:vAlign w:val="center"/>
          </w:tcPr>
          <w:p w:rsidR="003A22D7" w:rsidRPr="003A22D7" w:rsidRDefault="003A22D7" w:rsidP="003A22D7">
            <w:pPr>
              <w:spacing w:after="0"/>
              <w:rPr>
                <w:rFonts w:ascii="Arial" w:hAnsi="Arial" w:cs="Arial"/>
                <w:sz w:val="16"/>
                <w:szCs w:val="16"/>
              </w:rPr>
            </w:pPr>
            <w:r>
              <w:rPr>
                <w:rFonts w:ascii="Arial" w:hAnsi="Arial"/>
                <w:sz w:val="16"/>
                <w:szCs w:val="16"/>
              </w:rPr>
              <w:t>Airbus (owner-occupier)</w:t>
            </w:r>
          </w:p>
        </w:tc>
        <w:tc>
          <w:tcPr>
            <w:tcW w:w="1134" w:type="dxa"/>
            <w:vAlign w:val="center"/>
          </w:tcPr>
          <w:p w:rsidR="003A22D7" w:rsidRPr="003A22D7" w:rsidRDefault="003A22D7" w:rsidP="003A22D7">
            <w:pPr>
              <w:spacing w:after="0"/>
              <w:jc w:val="center"/>
              <w:rPr>
                <w:rFonts w:ascii="Arial" w:hAnsi="Arial" w:cs="Arial"/>
                <w:sz w:val="16"/>
                <w:szCs w:val="16"/>
              </w:rPr>
            </w:pPr>
            <w:r>
              <w:rPr>
                <w:rFonts w:ascii="Arial" w:hAnsi="Arial"/>
                <w:sz w:val="16"/>
                <w:szCs w:val="16"/>
              </w:rPr>
              <w:t>30,600</w:t>
            </w:r>
          </w:p>
        </w:tc>
      </w:tr>
      <w:tr w:rsidR="00C36C38" w:rsidRPr="0017364E" w:rsidTr="003A22D7">
        <w:trPr>
          <w:trHeight w:val="542"/>
        </w:trPr>
        <w:tc>
          <w:tcPr>
            <w:tcW w:w="1413" w:type="dxa"/>
            <w:shd w:val="clear" w:color="auto" w:fill="BFBFBF" w:themeFill="background1" w:themeFillShade="BF"/>
            <w:vAlign w:val="center"/>
          </w:tcPr>
          <w:p w:rsidR="00C36C38" w:rsidRPr="003A22D7" w:rsidRDefault="003A22D7" w:rsidP="00C36C38">
            <w:pPr>
              <w:spacing w:before="60" w:after="60"/>
              <w:rPr>
                <w:rFonts w:ascii="Arial" w:hAnsi="Arial" w:cs="Arial"/>
                <w:sz w:val="16"/>
                <w:szCs w:val="16"/>
              </w:rPr>
            </w:pPr>
            <w:proofErr w:type="spellStart"/>
            <w:r>
              <w:rPr>
                <w:rFonts w:ascii="Arial" w:hAnsi="Arial"/>
                <w:sz w:val="16"/>
                <w:szCs w:val="16"/>
              </w:rPr>
              <w:t>Siek</w:t>
            </w:r>
            <w:proofErr w:type="spellEnd"/>
          </w:p>
        </w:tc>
        <w:tc>
          <w:tcPr>
            <w:tcW w:w="2551" w:type="dxa"/>
            <w:shd w:val="clear" w:color="auto" w:fill="BFBFBF" w:themeFill="background1" w:themeFillShade="BF"/>
            <w:vAlign w:val="center"/>
          </w:tcPr>
          <w:p w:rsidR="00C36C38" w:rsidRPr="003A22D7" w:rsidRDefault="003A22D7" w:rsidP="00C36C38">
            <w:pPr>
              <w:spacing w:before="60" w:after="60"/>
              <w:rPr>
                <w:rFonts w:ascii="Arial" w:hAnsi="Arial" w:cs="Arial"/>
                <w:sz w:val="16"/>
                <w:szCs w:val="16"/>
              </w:rPr>
            </w:pPr>
            <w:proofErr w:type="spellStart"/>
            <w:r>
              <w:rPr>
                <w:rFonts w:ascii="Arial" w:hAnsi="Arial"/>
                <w:sz w:val="16"/>
                <w:szCs w:val="16"/>
              </w:rPr>
              <w:t>Jacobsrade</w:t>
            </w:r>
            <w:proofErr w:type="spellEnd"/>
            <w:r>
              <w:rPr>
                <w:rFonts w:ascii="Arial" w:hAnsi="Arial"/>
                <w:sz w:val="16"/>
                <w:szCs w:val="16"/>
              </w:rPr>
              <w:t xml:space="preserve"> 86</w:t>
            </w:r>
          </w:p>
        </w:tc>
        <w:tc>
          <w:tcPr>
            <w:tcW w:w="2268" w:type="dxa"/>
            <w:shd w:val="clear" w:color="auto" w:fill="BFBFBF" w:themeFill="background1" w:themeFillShade="BF"/>
            <w:vAlign w:val="center"/>
          </w:tcPr>
          <w:p w:rsidR="00C36C38" w:rsidRPr="003A22D7" w:rsidRDefault="003A22D7" w:rsidP="00C36C38">
            <w:pPr>
              <w:spacing w:before="60" w:after="60"/>
              <w:rPr>
                <w:rFonts w:ascii="Arial" w:hAnsi="Arial" w:cs="Arial"/>
                <w:sz w:val="16"/>
                <w:szCs w:val="16"/>
              </w:rPr>
            </w:pPr>
            <w:r>
              <w:rPr>
                <w:rFonts w:ascii="Arial" w:hAnsi="Arial"/>
                <w:sz w:val="16"/>
                <w:szCs w:val="16"/>
              </w:rPr>
              <w:t>Production and warehouse facilities (building start)</w:t>
            </w:r>
          </w:p>
        </w:tc>
        <w:tc>
          <w:tcPr>
            <w:tcW w:w="2268" w:type="dxa"/>
            <w:shd w:val="clear" w:color="auto" w:fill="BFBFBF" w:themeFill="background1" w:themeFillShade="BF"/>
            <w:vAlign w:val="center"/>
          </w:tcPr>
          <w:p w:rsidR="00C36C38" w:rsidRPr="003A22D7" w:rsidRDefault="003A22D7" w:rsidP="00C36C38">
            <w:pPr>
              <w:spacing w:before="60" w:after="60"/>
              <w:rPr>
                <w:rFonts w:ascii="Arial" w:hAnsi="Arial" w:cs="Arial"/>
                <w:sz w:val="16"/>
                <w:szCs w:val="16"/>
              </w:rPr>
            </w:pPr>
            <w:proofErr w:type="spellStart"/>
            <w:r>
              <w:rPr>
                <w:rFonts w:ascii="Arial" w:hAnsi="Arial"/>
                <w:sz w:val="16"/>
                <w:szCs w:val="16"/>
              </w:rPr>
              <w:t>Omnitrade</w:t>
            </w:r>
            <w:proofErr w:type="spellEnd"/>
            <w:r>
              <w:rPr>
                <w:rFonts w:ascii="Arial" w:hAnsi="Arial"/>
                <w:sz w:val="16"/>
                <w:szCs w:val="16"/>
              </w:rPr>
              <w:t xml:space="preserve"> </w:t>
            </w:r>
            <w:proofErr w:type="spellStart"/>
            <w:r>
              <w:rPr>
                <w:rFonts w:ascii="Arial" w:hAnsi="Arial"/>
                <w:sz w:val="16"/>
                <w:szCs w:val="16"/>
              </w:rPr>
              <w:t>Handelsgesellschaft</w:t>
            </w:r>
            <w:proofErr w:type="spellEnd"/>
            <w:r>
              <w:rPr>
                <w:rFonts w:ascii="Arial" w:hAnsi="Arial"/>
                <w:sz w:val="16"/>
                <w:szCs w:val="16"/>
              </w:rPr>
              <w:t xml:space="preserve"> (owner-occupier)</w:t>
            </w:r>
          </w:p>
        </w:tc>
        <w:tc>
          <w:tcPr>
            <w:tcW w:w="1134" w:type="dxa"/>
            <w:shd w:val="clear" w:color="auto" w:fill="BFBFBF" w:themeFill="background1" w:themeFillShade="BF"/>
            <w:vAlign w:val="center"/>
          </w:tcPr>
          <w:p w:rsidR="00C36C38" w:rsidRPr="003A22D7" w:rsidRDefault="003A22D7" w:rsidP="003A22D7">
            <w:pPr>
              <w:spacing w:before="60" w:after="60"/>
              <w:jc w:val="center"/>
              <w:rPr>
                <w:rFonts w:ascii="Arial" w:hAnsi="Arial" w:cs="Arial"/>
                <w:sz w:val="16"/>
                <w:szCs w:val="16"/>
              </w:rPr>
            </w:pPr>
            <w:r>
              <w:rPr>
                <w:rFonts w:ascii="Arial" w:hAnsi="Arial"/>
                <w:sz w:val="16"/>
                <w:szCs w:val="16"/>
              </w:rPr>
              <w:t>30,550</w:t>
            </w:r>
          </w:p>
        </w:tc>
      </w:tr>
      <w:tr w:rsidR="003A22D7" w:rsidRPr="0017364E" w:rsidTr="003A22D7">
        <w:trPr>
          <w:trHeight w:val="542"/>
        </w:trPr>
        <w:tc>
          <w:tcPr>
            <w:tcW w:w="1413" w:type="dxa"/>
            <w:vAlign w:val="center"/>
          </w:tcPr>
          <w:p w:rsidR="003A22D7" w:rsidRPr="003A22D7" w:rsidRDefault="003A22D7" w:rsidP="003A22D7">
            <w:pPr>
              <w:spacing w:after="0"/>
              <w:rPr>
                <w:rFonts w:ascii="Arial" w:hAnsi="Arial" w:cs="Arial"/>
                <w:sz w:val="16"/>
                <w:szCs w:val="16"/>
              </w:rPr>
            </w:pPr>
            <w:r>
              <w:rPr>
                <w:rFonts w:ascii="Arial" w:hAnsi="Arial"/>
                <w:sz w:val="16"/>
                <w:szCs w:val="16"/>
              </w:rPr>
              <w:t>Hamburg</w:t>
            </w:r>
          </w:p>
        </w:tc>
        <w:tc>
          <w:tcPr>
            <w:tcW w:w="2551" w:type="dxa"/>
            <w:vAlign w:val="center"/>
          </w:tcPr>
          <w:p w:rsidR="003A22D7" w:rsidRPr="003A22D7" w:rsidRDefault="003A22D7" w:rsidP="003A22D7">
            <w:pPr>
              <w:spacing w:after="0"/>
              <w:rPr>
                <w:rFonts w:ascii="Arial" w:hAnsi="Arial" w:cs="Arial"/>
                <w:sz w:val="16"/>
                <w:szCs w:val="16"/>
              </w:rPr>
            </w:pPr>
            <w:r>
              <w:rPr>
                <w:rFonts w:ascii="Arial" w:hAnsi="Arial"/>
                <w:sz w:val="16"/>
                <w:szCs w:val="16"/>
              </w:rPr>
              <w:t xml:space="preserve">Am </w:t>
            </w:r>
            <w:proofErr w:type="spellStart"/>
            <w:r>
              <w:rPr>
                <w:rFonts w:ascii="Arial" w:hAnsi="Arial"/>
                <w:sz w:val="16"/>
                <w:szCs w:val="16"/>
              </w:rPr>
              <w:t>Altenwerder</w:t>
            </w:r>
            <w:proofErr w:type="spellEnd"/>
            <w:r>
              <w:rPr>
                <w:rFonts w:ascii="Arial" w:hAnsi="Arial"/>
                <w:sz w:val="16"/>
                <w:szCs w:val="16"/>
              </w:rPr>
              <w:t xml:space="preserve"> </w:t>
            </w:r>
            <w:proofErr w:type="spellStart"/>
            <w:r>
              <w:rPr>
                <w:rFonts w:ascii="Arial" w:hAnsi="Arial"/>
                <w:sz w:val="16"/>
                <w:szCs w:val="16"/>
              </w:rPr>
              <w:t>Kirchtal</w:t>
            </w:r>
            <w:proofErr w:type="spellEnd"/>
            <w:r>
              <w:rPr>
                <w:rFonts w:ascii="Arial" w:hAnsi="Arial"/>
                <w:sz w:val="16"/>
                <w:szCs w:val="16"/>
              </w:rPr>
              <w:t xml:space="preserve"> 1-5</w:t>
            </w:r>
          </w:p>
        </w:tc>
        <w:tc>
          <w:tcPr>
            <w:tcW w:w="2268" w:type="dxa"/>
            <w:vAlign w:val="center"/>
          </w:tcPr>
          <w:p w:rsidR="003A22D7" w:rsidRPr="003A22D7" w:rsidRDefault="003A22D7" w:rsidP="003A22D7">
            <w:pPr>
              <w:spacing w:after="0"/>
              <w:rPr>
                <w:rFonts w:ascii="Arial" w:hAnsi="Arial" w:cs="Arial"/>
                <w:sz w:val="16"/>
                <w:szCs w:val="16"/>
              </w:rPr>
            </w:pPr>
            <w:r>
              <w:rPr>
                <w:rFonts w:ascii="Arial" w:hAnsi="Arial"/>
                <w:sz w:val="16"/>
                <w:szCs w:val="16"/>
              </w:rPr>
              <w:t>Existing building</w:t>
            </w:r>
          </w:p>
        </w:tc>
        <w:tc>
          <w:tcPr>
            <w:tcW w:w="2268" w:type="dxa"/>
            <w:vAlign w:val="center"/>
          </w:tcPr>
          <w:p w:rsidR="003A22D7" w:rsidRPr="003A22D7" w:rsidRDefault="003A22D7" w:rsidP="003A22D7">
            <w:pPr>
              <w:spacing w:after="0"/>
              <w:rPr>
                <w:rFonts w:ascii="Arial" w:hAnsi="Arial" w:cs="Arial"/>
                <w:sz w:val="16"/>
                <w:szCs w:val="16"/>
              </w:rPr>
            </w:pPr>
            <w:proofErr w:type="spellStart"/>
            <w:r>
              <w:rPr>
                <w:rFonts w:ascii="Arial" w:hAnsi="Arial"/>
                <w:sz w:val="16"/>
                <w:szCs w:val="16"/>
              </w:rPr>
              <w:t>Spedition</w:t>
            </w:r>
            <w:proofErr w:type="spellEnd"/>
            <w:r>
              <w:rPr>
                <w:rFonts w:ascii="Arial" w:hAnsi="Arial"/>
                <w:sz w:val="16"/>
                <w:szCs w:val="16"/>
              </w:rPr>
              <w:t xml:space="preserve"> </w:t>
            </w:r>
            <w:proofErr w:type="spellStart"/>
            <w:r>
              <w:rPr>
                <w:rFonts w:ascii="Arial" w:hAnsi="Arial"/>
                <w:sz w:val="16"/>
                <w:szCs w:val="16"/>
              </w:rPr>
              <w:t>Mickeleit</w:t>
            </w:r>
            <w:proofErr w:type="spellEnd"/>
          </w:p>
        </w:tc>
        <w:tc>
          <w:tcPr>
            <w:tcW w:w="1134" w:type="dxa"/>
            <w:vAlign w:val="center"/>
          </w:tcPr>
          <w:p w:rsidR="003A22D7" w:rsidRPr="003A22D7" w:rsidRDefault="003A22D7" w:rsidP="003A22D7">
            <w:pPr>
              <w:spacing w:after="0"/>
              <w:jc w:val="center"/>
              <w:rPr>
                <w:rFonts w:ascii="Arial" w:hAnsi="Arial" w:cs="Arial"/>
                <w:sz w:val="16"/>
                <w:szCs w:val="16"/>
              </w:rPr>
            </w:pPr>
            <w:r>
              <w:rPr>
                <w:rFonts w:ascii="Arial" w:hAnsi="Arial"/>
                <w:sz w:val="16"/>
                <w:szCs w:val="16"/>
              </w:rPr>
              <w:t>28,400</w:t>
            </w:r>
          </w:p>
        </w:tc>
      </w:tr>
      <w:tr w:rsidR="003A22D7" w:rsidRPr="0017364E" w:rsidTr="003A22D7">
        <w:trPr>
          <w:trHeight w:val="542"/>
        </w:trPr>
        <w:tc>
          <w:tcPr>
            <w:tcW w:w="1413" w:type="dxa"/>
            <w:vAlign w:val="center"/>
          </w:tcPr>
          <w:p w:rsidR="003A22D7" w:rsidRPr="003A22D7" w:rsidRDefault="003A22D7" w:rsidP="003A22D7">
            <w:pPr>
              <w:spacing w:after="0"/>
              <w:rPr>
                <w:rFonts w:ascii="Arial" w:hAnsi="Arial" w:cs="Arial"/>
                <w:sz w:val="16"/>
                <w:szCs w:val="16"/>
              </w:rPr>
            </w:pPr>
            <w:proofErr w:type="spellStart"/>
            <w:r>
              <w:rPr>
                <w:rFonts w:ascii="Arial" w:hAnsi="Arial"/>
                <w:sz w:val="16"/>
                <w:szCs w:val="16"/>
              </w:rPr>
              <w:t>Neu</w:t>
            </w:r>
            <w:proofErr w:type="spellEnd"/>
            <w:r>
              <w:rPr>
                <w:rFonts w:ascii="Arial" w:hAnsi="Arial"/>
                <w:sz w:val="16"/>
                <w:szCs w:val="16"/>
              </w:rPr>
              <w:t xml:space="preserve"> </w:t>
            </w:r>
            <w:proofErr w:type="spellStart"/>
            <w:r>
              <w:rPr>
                <w:rFonts w:ascii="Arial" w:hAnsi="Arial"/>
                <w:sz w:val="16"/>
                <w:szCs w:val="16"/>
              </w:rPr>
              <w:t>Wulmstorf</w:t>
            </w:r>
            <w:proofErr w:type="spellEnd"/>
          </w:p>
        </w:tc>
        <w:tc>
          <w:tcPr>
            <w:tcW w:w="2551" w:type="dxa"/>
            <w:vAlign w:val="center"/>
          </w:tcPr>
          <w:p w:rsidR="003A22D7" w:rsidRPr="003A22D7" w:rsidRDefault="003A22D7" w:rsidP="003A22D7">
            <w:pPr>
              <w:spacing w:after="0"/>
              <w:rPr>
                <w:rFonts w:ascii="Arial" w:hAnsi="Arial" w:cs="Arial"/>
                <w:sz w:val="16"/>
                <w:szCs w:val="16"/>
              </w:rPr>
            </w:pPr>
            <w:r>
              <w:rPr>
                <w:rFonts w:ascii="Arial" w:hAnsi="Arial"/>
                <w:sz w:val="16"/>
                <w:szCs w:val="16"/>
              </w:rPr>
              <w:t>Gottlieb-Daimler-</w:t>
            </w:r>
            <w:proofErr w:type="spellStart"/>
            <w:r>
              <w:rPr>
                <w:rFonts w:ascii="Arial" w:hAnsi="Arial"/>
                <w:sz w:val="16"/>
                <w:szCs w:val="16"/>
              </w:rPr>
              <w:t>Strasse</w:t>
            </w:r>
            <w:proofErr w:type="spellEnd"/>
          </w:p>
        </w:tc>
        <w:tc>
          <w:tcPr>
            <w:tcW w:w="2268" w:type="dxa"/>
            <w:vAlign w:val="center"/>
          </w:tcPr>
          <w:p w:rsidR="003A22D7" w:rsidRPr="003A22D7" w:rsidRDefault="003A22D7" w:rsidP="003A22D7">
            <w:pPr>
              <w:spacing w:after="0"/>
              <w:rPr>
                <w:rFonts w:ascii="Arial" w:hAnsi="Arial" w:cs="Arial"/>
                <w:sz w:val="16"/>
                <w:szCs w:val="16"/>
              </w:rPr>
            </w:pPr>
            <w:r>
              <w:rPr>
                <w:rFonts w:ascii="Arial" w:hAnsi="Arial"/>
                <w:sz w:val="16"/>
                <w:szCs w:val="16"/>
              </w:rPr>
              <w:t>New build (construction start)</w:t>
            </w:r>
          </w:p>
        </w:tc>
        <w:tc>
          <w:tcPr>
            <w:tcW w:w="2268" w:type="dxa"/>
            <w:vAlign w:val="center"/>
          </w:tcPr>
          <w:p w:rsidR="003A22D7" w:rsidRPr="003A22D7" w:rsidRDefault="003A22D7" w:rsidP="003A22D7">
            <w:pPr>
              <w:spacing w:after="0"/>
              <w:rPr>
                <w:rFonts w:ascii="Arial" w:hAnsi="Arial" w:cs="Arial"/>
                <w:sz w:val="16"/>
                <w:szCs w:val="16"/>
              </w:rPr>
            </w:pPr>
            <w:proofErr w:type="spellStart"/>
            <w:r>
              <w:rPr>
                <w:rFonts w:ascii="Arial" w:hAnsi="Arial"/>
                <w:sz w:val="16"/>
                <w:szCs w:val="16"/>
              </w:rPr>
              <w:t>Kroop</w:t>
            </w:r>
            <w:proofErr w:type="spellEnd"/>
            <w:r>
              <w:rPr>
                <w:rFonts w:ascii="Arial" w:hAnsi="Arial"/>
                <w:sz w:val="16"/>
                <w:szCs w:val="16"/>
              </w:rPr>
              <w:t xml:space="preserve"> &amp; Co. Transport + </w:t>
            </w:r>
            <w:proofErr w:type="spellStart"/>
            <w:r>
              <w:rPr>
                <w:rFonts w:ascii="Arial" w:hAnsi="Arial"/>
                <w:sz w:val="16"/>
                <w:szCs w:val="16"/>
              </w:rPr>
              <w:t>Logistik</w:t>
            </w:r>
            <w:proofErr w:type="spellEnd"/>
            <w:r>
              <w:rPr>
                <w:rFonts w:ascii="Arial" w:hAnsi="Arial"/>
                <w:sz w:val="16"/>
                <w:szCs w:val="16"/>
              </w:rPr>
              <w:t xml:space="preserve"> (owner-occupier)</w:t>
            </w:r>
          </w:p>
        </w:tc>
        <w:tc>
          <w:tcPr>
            <w:tcW w:w="1134" w:type="dxa"/>
            <w:vAlign w:val="center"/>
          </w:tcPr>
          <w:p w:rsidR="003A22D7" w:rsidRPr="003A22D7" w:rsidRDefault="003A22D7" w:rsidP="003A22D7">
            <w:pPr>
              <w:spacing w:after="0"/>
              <w:jc w:val="center"/>
              <w:rPr>
                <w:rFonts w:ascii="Arial" w:hAnsi="Arial" w:cs="Arial"/>
                <w:sz w:val="16"/>
                <w:szCs w:val="16"/>
              </w:rPr>
            </w:pPr>
            <w:r>
              <w:rPr>
                <w:rFonts w:ascii="Arial" w:hAnsi="Arial"/>
                <w:sz w:val="16"/>
                <w:szCs w:val="16"/>
              </w:rPr>
              <w:t>22,500</w:t>
            </w:r>
          </w:p>
        </w:tc>
      </w:tr>
    </w:tbl>
    <w:p w:rsidR="00E36AA4" w:rsidRDefault="00E36AA4" w:rsidP="00587FDA">
      <w:pPr>
        <w:widowControl w:val="0"/>
        <w:spacing w:after="0" w:line="360" w:lineRule="auto"/>
        <w:rPr>
          <w:rFonts w:ascii="Arial" w:eastAsia="Arial" w:hAnsi="Arial" w:cs="Arial"/>
          <w:color w:val="000000" w:themeColor="text1"/>
          <w:sz w:val="20"/>
          <w:szCs w:val="20"/>
        </w:rPr>
      </w:pPr>
      <w:r>
        <w:rPr>
          <w:rFonts w:ascii="Arial" w:hAnsi="Arial"/>
          <w:sz w:val="16"/>
          <w:szCs w:val="16"/>
        </w:rPr>
        <w:t>Transactions occurring in the quarter covered by this report are highlighted.</w:t>
      </w:r>
    </w:p>
    <w:p w:rsidR="009A3457" w:rsidRDefault="009A3457" w:rsidP="00587FDA">
      <w:pPr>
        <w:spacing w:after="0" w:line="360" w:lineRule="auto"/>
        <w:rPr>
          <w:rFonts w:ascii="Arial" w:eastAsia="Arial" w:hAnsi="Arial" w:cs="Arial"/>
          <w:color w:val="000000" w:themeColor="text1"/>
          <w:sz w:val="20"/>
          <w:szCs w:val="20"/>
        </w:rPr>
      </w:pPr>
    </w:p>
    <w:p w:rsidR="00E36AA4" w:rsidRPr="001C40AD" w:rsidRDefault="00E36AA4" w:rsidP="00587FDA">
      <w:pPr>
        <w:spacing w:after="0" w:line="360" w:lineRule="auto"/>
        <w:rPr>
          <w:rFonts w:ascii="Arial" w:eastAsia="Arial" w:hAnsi="Arial" w:cs="Arial"/>
          <w:b/>
          <w:color w:val="000000" w:themeColor="text1"/>
          <w:sz w:val="20"/>
          <w:szCs w:val="20"/>
        </w:rPr>
      </w:pPr>
      <w:r>
        <w:rPr>
          <w:rFonts w:ascii="Arial" w:hAnsi="Arial"/>
          <w:color w:val="000000" w:themeColor="text1"/>
          <w:sz w:val="20"/>
          <w:szCs w:val="20"/>
        </w:rPr>
        <w:t xml:space="preserve">The detailed </w:t>
      </w:r>
      <w:hyperlink r:id="rId9" w:history="1">
        <w:r w:rsidRPr="00116715">
          <w:rPr>
            <w:rStyle w:val="Hyperlink"/>
            <w:rFonts w:ascii="Arial" w:hAnsi="Arial"/>
            <w:sz w:val="20"/>
            <w:szCs w:val="20"/>
          </w:rPr>
          <w:t>market survey</w:t>
        </w:r>
      </w:hyperlink>
      <w:r>
        <w:rPr>
          <w:rFonts w:ascii="Arial" w:hAnsi="Arial"/>
          <w:color w:val="000000" w:themeColor="text1"/>
          <w:sz w:val="20"/>
          <w:szCs w:val="20"/>
        </w:rPr>
        <w:t xml:space="preserve"> will be available from our website soon.</w:t>
      </w:r>
    </w:p>
    <w:p w:rsidR="006E5C9C" w:rsidRDefault="006E5C9C" w:rsidP="00587FDA">
      <w:pPr>
        <w:spacing w:after="0" w:line="360" w:lineRule="auto"/>
        <w:rPr>
          <w:rFonts w:ascii="Arial" w:hAnsi="Arial" w:cs="Arial"/>
          <w:b/>
          <w:sz w:val="16"/>
          <w:szCs w:val="16"/>
        </w:rPr>
      </w:pPr>
    </w:p>
    <w:p w:rsidR="0090748B" w:rsidRPr="0090748B" w:rsidRDefault="0090748B" w:rsidP="006C1DD8">
      <w:pPr>
        <w:spacing w:after="0" w:line="360" w:lineRule="auto"/>
        <w:rPr>
          <w:rFonts w:ascii="Arial" w:hAnsi="Arial" w:cs="Arial"/>
          <w:b/>
          <w:sz w:val="16"/>
          <w:szCs w:val="16"/>
        </w:rPr>
      </w:pPr>
      <w:r>
        <w:rPr>
          <w:rFonts w:ascii="Arial" w:hAnsi="Arial"/>
          <w:b/>
          <w:sz w:val="16"/>
          <w:szCs w:val="16"/>
        </w:rPr>
        <w:t>About Grossmann &amp; Berger</w:t>
      </w:r>
    </w:p>
    <w:p w:rsidR="00E36AA4" w:rsidRPr="001A49B0" w:rsidRDefault="00116715" w:rsidP="00E36AA4">
      <w:pPr>
        <w:spacing w:after="0" w:line="360" w:lineRule="auto"/>
        <w:rPr>
          <w:rFonts w:ascii="Arial" w:hAnsi="Arial" w:cs="Arial"/>
          <w:sz w:val="16"/>
          <w:szCs w:val="16"/>
        </w:rPr>
      </w:pPr>
      <w:hyperlink r:id="rId10" w:history="1">
        <w:r w:rsidR="00E36AA4" w:rsidRPr="00ED47B1">
          <w:rPr>
            <w:rStyle w:val="Hyperlink"/>
            <w:rFonts w:ascii="Arial" w:hAnsi="Arial" w:cs="Arial"/>
            <w:snapToGrid w:val="0"/>
            <w:sz w:val="16"/>
            <w:szCs w:val="16"/>
          </w:rPr>
          <w:t>Grossmann &amp; Berger GmbH</w:t>
        </w:r>
      </w:hyperlink>
      <w:r w:rsidR="00E36AA4" w:rsidRPr="00ED47B1">
        <w:rPr>
          <w:rFonts w:ascii="Arial" w:hAnsi="Arial" w:cs="Arial"/>
          <w:snapToGrid w:val="0"/>
          <w:sz w:val="16"/>
          <w:szCs w:val="16"/>
        </w:rPr>
        <w:t xml:space="preserve"> is one of the leading service providers for selling and letting commercial and residential properties in North Germany. Headquartered in Hamburg, the Company has a branch office in</w:t>
      </w:r>
      <w:r w:rsidR="00E36AA4">
        <w:rPr>
          <w:rFonts w:ascii="Arial" w:hAnsi="Arial"/>
          <w:snapToGrid w:val="0"/>
          <w:sz w:val="16"/>
          <w:szCs w:val="16"/>
        </w:rPr>
        <w:t xml:space="preserve"> Berlin, a total of fourteen property shops, and over 190 employees who cover the entire North German market. With over 85 years of experience in the business, Grossmann &amp; Berger offers a complete package of real estate expertise. </w:t>
      </w:r>
      <w:r w:rsidR="00E36AA4">
        <w:rPr>
          <w:rFonts w:ascii="Arial" w:hAnsi="Arial"/>
          <w:sz w:val="16"/>
          <w:szCs w:val="16"/>
        </w:rPr>
        <w:t xml:space="preserve">Grossmann &amp; Berger is a member of the HASPA Group of Companies, which also includes Germany's largest savings bank, Hamburger </w:t>
      </w:r>
      <w:proofErr w:type="spellStart"/>
      <w:r w:rsidR="00E36AA4">
        <w:rPr>
          <w:rFonts w:ascii="Arial" w:hAnsi="Arial"/>
          <w:sz w:val="16"/>
          <w:szCs w:val="16"/>
        </w:rPr>
        <w:t>Sparkasse</w:t>
      </w:r>
      <w:proofErr w:type="spellEnd"/>
      <w:r w:rsidR="00E36AA4">
        <w:rPr>
          <w:rFonts w:ascii="Arial" w:hAnsi="Arial"/>
          <w:sz w:val="16"/>
          <w:szCs w:val="16"/>
        </w:rPr>
        <w:t xml:space="preserve"> (</w:t>
      </w:r>
      <w:proofErr w:type="spellStart"/>
      <w:r w:rsidR="00E36AA4">
        <w:rPr>
          <w:rFonts w:ascii="Arial" w:hAnsi="Arial"/>
          <w:sz w:val="16"/>
          <w:szCs w:val="16"/>
        </w:rPr>
        <w:t>Haspa</w:t>
      </w:r>
      <w:proofErr w:type="spellEnd"/>
      <w:r w:rsidR="00E36AA4">
        <w:rPr>
          <w:rFonts w:ascii="Arial" w:hAnsi="Arial"/>
          <w:sz w:val="16"/>
          <w:szCs w:val="16"/>
        </w:rPr>
        <w:t xml:space="preserve">). Moreover, the Company is a founding member of the nation-wide commercial property network </w:t>
      </w:r>
      <w:hyperlink r:id="rId11" w:history="1">
        <w:r w:rsidR="00E36AA4">
          <w:rPr>
            <w:rStyle w:val="Hyperlink"/>
            <w:rFonts w:ascii="Arial" w:hAnsi="Arial"/>
            <w:sz w:val="16"/>
            <w:szCs w:val="16"/>
          </w:rPr>
          <w:t>German Property Partners</w:t>
        </w:r>
      </w:hyperlink>
      <w:r w:rsidR="00E36AA4">
        <w:rPr>
          <w:rFonts w:ascii="Arial" w:hAnsi="Arial"/>
          <w:sz w:val="16"/>
          <w:szCs w:val="16"/>
        </w:rPr>
        <w:t xml:space="preserve"> (GPP) and the working group of brokers associated with banks and building societies, </w:t>
      </w:r>
      <w:proofErr w:type="spellStart"/>
      <w:r w:rsidR="00E36AA4">
        <w:rPr>
          <w:rFonts w:ascii="Arial" w:hAnsi="Arial"/>
          <w:sz w:val="16"/>
          <w:szCs w:val="16"/>
        </w:rPr>
        <w:t>Arbeitsgemeinschaft</w:t>
      </w:r>
      <w:proofErr w:type="spellEnd"/>
      <w:r w:rsidR="00E36AA4">
        <w:rPr>
          <w:rFonts w:ascii="Arial" w:hAnsi="Arial"/>
          <w:sz w:val="16"/>
          <w:szCs w:val="16"/>
        </w:rPr>
        <w:t xml:space="preserve"> </w:t>
      </w:r>
      <w:proofErr w:type="spellStart"/>
      <w:r w:rsidR="00E36AA4">
        <w:rPr>
          <w:rFonts w:ascii="Arial" w:hAnsi="Arial"/>
          <w:sz w:val="16"/>
          <w:szCs w:val="16"/>
        </w:rPr>
        <w:t>ImmobilienVermittler</w:t>
      </w:r>
      <w:proofErr w:type="spellEnd"/>
      <w:r w:rsidR="00E36AA4">
        <w:rPr>
          <w:rFonts w:ascii="Arial" w:hAnsi="Arial"/>
          <w:sz w:val="16"/>
          <w:szCs w:val="16"/>
        </w:rPr>
        <w:t xml:space="preserve"> </w:t>
      </w:r>
      <w:proofErr w:type="spellStart"/>
      <w:r w:rsidR="00E36AA4">
        <w:rPr>
          <w:rFonts w:ascii="Arial" w:hAnsi="Arial"/>
          <w:sz w:val="16"/>
          <w:szCs w:val="16"/>
        </w:rPr>
        <w:t>Banken</w:t>
      </w:r>
      <w:proofErr w:type="spellEnd"/>
      <w:r w:rsidR="00E36AA4">
        <w:rPr>
          <w:rFonts w:ascii="Arial" w:hAnsi="Arial"/>
          <w:sz w:val="16"/>
          <w:szCs w:val="16"/>
        </w:rPr>
        <w:t xml:space="preserve"> </w:t>
      </w:r>
      <w:proofErr w:type="spellStart"/>
      <w:r w:rsidR="00E36AA4">
        <w:rPr>
          <w:rFonts w:ascii="Arial" w:hAnsi="Arial"/>
          <w:sz w:val="16"/>
          <w:szCs w:val="16"/>
        </w:rPr>
        <w:t>Bausparkassen</w:t>
      </w:r>
      <w:proofErr w:type="spellEnd"/>
      <w:r w:rsidR="00E36AA4">
        <w:rPr>
          <w:rFonts w:ascii="Arial" w:hAnsi="Arial"/>
          <w:sz w:val="16"/>
          <w:szCs w:val="16"/>
        </w:rPr>
        <w:t xml:space="preserve"> </w:t>
      </w:r>
      <w:proofErr w:type="spellStart"/>
      <w:r w:rsidR="00E36AA4">
        <w:rPr>
          <w:rFonts w:ascii="Arial" w:hAnsi="Arial"/>
          <w:sz w:val="16"/>
          <w:szCs w:val="16"/>
        </w:rPr>
        <w:t>e.V</w:t>
      </w:r>
      <w:proofErr w:type="spellEnd"/>
      <w:r w:rsidR="00E36AA4">
        <w:rPr>
          <w:rFonts w:ascii="Arial" w:hAnsi="Arial"/>
          <w:sz w:val="16"/>
          <w:szCs w:val="16"/>
        </w:rPr>
        <w:t>. (IVBB).</w:t>
      </w:r>
    </w:p>
    <w:p w:rsidR="0090748B" w:rsidRDefault="0090748B" w:rsidP="000C770D">
      <w:pPr>
        <w:spacing w:after="0" w:line="360" w:lineRule="auto"/>
        <w:rPr>
          <w:rFonts w:ascii="Arial" w:hAnsi="Arial" w:cs="Arial"/>
          <w:sz w:val="20"/>
          <w:szCs w:val="20"/>
        </w:rPr>
      </w:pPr>
    </w:p>
    <w:p w:rsidR="00503D8C" w:rsidRPr="00503D8C" w:rsidRDefault="003C6AB4" w:rsidP="00E36AA4">
      <w:pPr>
        <w:spacing w:after="0" w:line="360" w:lineRule="auto"/>
        <w:rPr>
          <w:rFonts w:ascii="Arial" w:hAnsi="Arial" w:cs="Arial"/>
          <w:b/>
          <w:color w:val="000000" w:themeColor="text1"/>
          <w:spacing w:val="20"/>
          <w:sz w:val="20"/>
          <w:szCs w:val="20"/>
        </w:rPr>
      </w:pPr>
      <w:r>
        <w:rPr>
          <w:rFonts w:ascii="Arial" w:hAnsi="Arial"/>
          <w:sz w:val="16"/>
          <w:szCs w:val="16"/>
        </w:rPr>
        <w:t>Please consult our website for Grossmann &amp; Berger’s</w:t>
      </w:r>
      <w:hyperlink r:id="rId12" w:history="1">
        <w:r>
          <w:rPr>
            <w:rStyle w:val="Hyperlink"/>
            <w:rFonts w:ascii="Arial" w:hAnsi="Arial"/>
            <w:sz w:val="16"/>
            <w:szCs w:val="16"/>
          </w:rPr>
          <w:t xml:space="preserve"> data privacy policy.</w:t>
        </w:r>
      </w:hyperlink>
      <w:r w:rsidR="00116715">
        <w:rPr>
          <w:rFonts w:ascii="Arial" w:hAnsi="Arial"/>
          <w:sz w:val="16"/>
          <w:szCs w:val="16"/>
        </w:rPr>
        <w:t xml:space="preserve"> </w:t>
      </w:r>
      <w:r>
        <w:rPr>
          <w:rFonts w:ascii="Arial" w:hAnsi="Arial"/>
          <w:sz w:val="16"/>
          <w:szCs w:val="16"/>
        </w:rPr>
        <w:t xml:space="preserve">Here you will also be able to access our </w:t>
      </w:r>
      <w:hyperlink r:id="rId13" w:history="1">
        <w:r>
          <w:rPr>
            <w:rStyle w:val="Hyperlink"/>
            <w:rFonts w:ascii="Arial" w:hAnsi="Arial"/>
            <w:sz w:val="16"/>
            <w:szCs w:val="16"/>
          </w:rPr>
          <w:t>press kit</w:t>
        </w:r>
      </w:hyperlink>
      <w:r>
        <w:rPr>
          <w:rFonts w:ascii="Arial" w:hAnsi="Arial"/>
          <w:sz w:val="16"/>
          <w:szCs w:val="16"/>
        </w:rPr>
        <w:t xml:space="preserve"> and the associated </w:t>
      </w:r>
      <w:hyperlink r:id="rId14"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5"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sectPr w:rsidR="00503D8C" w:rsidRPr="00503D8C" w:rsidSect="00D83CB7">
      <w:headerReference w:type="default" r:id="rId16"/>
      <w:footerReference w:type="default" r:id="rId17"/>
      <w:headerReference w:type="first" r:id="rId18"/>
      <w:footerReference w:type="first" r:id="rId19"/>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42A" w:rsidRDefault="0009742A">
      <w:r>
        <w:separator/>
      </w:r>
    </w:p>
  </w:endnote>
  <w:endnote w:type="continuationSeparator" w:id="0">
    <w:p w:rsidR="0009742A" w:rsidRDefault="0009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Mark OT">
    <w:panose1 w:val="020B0504020201010104"/>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4A3726">
      <w:rPr>
        <w:rFonts w:ascii="Arial" w:hAnsi="Arial"/>
        <w:b/>
        <w:bCs/>
        <w:color w:val="918F90"/>
        <w:sz w:val="18"/>
        <w:szCs w:val="18"/>
        <w:lang w:val="de-DE"/>
      </w:rPr>
      <w:t xml:space="preserve">Grossmann &amp; Berger GmbH </w:t>
    </w:r>
    <w:r w:rsidRPr="004A3726">
      <w:rPr>
        <w:rFonts w:ascii="Arial" w:hAnsi="Arial"/>
        <w:color w:val="918F90"/>
        <w:sz w:val="18"/>
        <w:szCs w:val="18"/>
        <w:lang w:val="de-DE"/>
      </w:rPr>
      <w:t xml:space="preserve">| </w:t>
    </w:r>
    <w:proofErr w:type="spellStart"/>
    <w:r w:rsidRPr="004A3726">
      <w:rPr>
        <w:rFonts w:ascii="Arial" w:hAnsi="Arial"/>
        <w:color w:val="918F90"/>
        <w:sz w:val="18"/>
        <w:szCs w:val="18"/>
        <w:lang w:val="de-DE"/>
      </w:rPr>
      <w:t>Bleichenbrücke</w:t>
    </w:r>
    <w:proofErr w:type="spellEnd"/>
    <w:r w:rsidRPr="004A3726">
      <w:rPr>
        <w:rFonts w:ascii="Arial" w:hAnsi="Arial"/>
        <w:color w:val="918F90"/>
        <w:sz w:val="18"/>
        <w:szCs w:val="18"/>
        <w:lang w:val="de-DE"/>
      </w:rPr>
      <w:t xml:space="preserve"> 9 | 20354 Hamburg | Tel. </w:t>
    </w:r>
    <w:r>
      <w:rPr>
        <w:rFonts w:ascii="Arial" w:hAnsi="Arial"/>
        <w:color w:val="918F90"/>
        <w:sz w:val="18"/>
        <w:szCs w:val="18"/>
      </w:rPr>
      <w:t>+49 (0)40/350 80 2-0 | www.grossmann-berger.de</w:t>
    </w:r>
  </w:p>
  <w:p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116715">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116715">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08D" w:rsidRDefault="008C608D">
    <w:pPr>
      <w:pStyle w:val="Fuzeile"/>
    </w:pPr>
    <w:r>
      <w:rPr>
        <w:noProof/>
        <w:lang w:val="de-DE" w:eastAsia="de-DE"/>
      </w:rPr>
      <w:drawing>
        <wp:anchor distT="0" distB="0" distL="0" distR="0" simplePos="0" relativeHeight="251659264" behindDoc="0" locked="0" layoutInCell="0" allowOverlap="1" wp14:anchorId="3C8AE65D" wp14:editId="37B4444B">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42A" w:rsidRDefault="0009742A">
      <w:r>
        <w:separator/>
      </w:r>
    </w:p>
  </w:footnote>
  <w:footnote w:type="continuationSeparator" w:id="0">
    <w:p w:rsidR="0009742A" w:rsidRDefault="00097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8CB" w:rsidRPr="009E3ADA" w:rsidRDefault="006A7604" w:rsidP="006138CB">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7456" behindDoc="0" locked="0" layoutInCell="1" allowOverlap="1">
              <wp:simplePos x="0" y="0"/>
              <wp:positionH relativeFrom="margin">
                <wp:posOffset>-92208</wp:posOffset>
              </wp:positionH>
              <wp:positionV relativeFrom="paragraph">
                <wp:posOffset>7620</wp:posOffset>
              </wp:positionV>
              <wp:extent cx="4779010" cy="281940"/>
              <wp:effectExtent l="0" t="0" r="0" b="381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281940"/>
                      </a:xfrm>
                      <a:prstGeom prst="rect">
                        <a:avLst/>
                      </a:prstGeom>
                      <a:noFill/>
                      <a:ln w="9525">
                        <a:noFill/>
                        <a:miter lim="800000"/>
                        <a:headEnd/>
                        <a:tailEnd/>
                      </a:ln>
                    </wps:spPr>
                    <wps:txbx>
                      <w:txbxContent>
                        <w:p w:rsidR="006A7604" w:rsidRDefault="006A7604" w:rsidP="006A760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7.25pt;margin-top:.6pt;width:376.3pt;height:22.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" filled="f" stroked="f">
              <v:textbox>
                <w:txbxContent>
                  <w:p w:rsidR="006A7604" w:rsidRDefault="006A7604" w:rsidP="006A760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w10:wrap anchorx="margin"/>
            </v:shape>
          </w:pict>
        </mc:Fallback>
      </mc:AlternateContent>
    </w:r>
    <w:r>
      <w:rPr>
        <w:rFonts w:ascii="Arial" w:hAnsi="Arial"/>
        <w:color w:val="918F90"/>
        <w:sz w:val="28"/>
        <w:szCs w:val="28"/>
      </w:rPr>
      <w:t>Press release</w:t>
    </w:r>
  </w:p>
  <w:p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B7" w:rsidRDefault="006A7604" w:rsidP="000C770D">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5408" behindDoc="0" locked="0" layoutInCell="1" allowOverlap="1">
              <wp:simplePos x="0" y="0"/>
              <wp:positionH relativeFrom="margin">
                <wp:posOffset>-92203</wp:posOffset>
              </wp:positionH>
              <wp:positionV relativeFrom="paragraph">
                <wp:posOffset>8890</wp:posOffset>
              </wp:positionV>
              <wp:extent cx="4832798" cy="281940"/>
              <wp:effectExtent l="0" t="0" r="0" b="381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798" cy="281940"/>
                      </a:xfrm>
                      <a:prstGeom prst="rect">
                        <a:avLst/>
                      </a:prstGeom>
                      <a:noFill/>
                      <a:ln w="9525">
                        <a:noFill/>
                        <a:miter lim="800000"/>
                        <a:headEnd/>
                        <a:tailEnd/>
                      </a:ln>
                    </wps:spPr>
                    <wps:txbx>
                      <w:txbxContent>
                        <w:p w:rsidR="006A7604" w:rsidRDefault="006A7604" w:rsidP="006A760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7.25pt;margin-top:.7pt;width:380.55pt;height:2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" filled="f" stroked="f">
              <v:textbox>
                <w:txbxContent>
                  <w:p w:rsidR="006A7604" w:rsidRDefault="006A7604" w:rsidP="006A760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w10:wrap anchorx="margin"/>
            </v:shape>
          </w:pict>
        </mc:Fallback>
      </mc:AlternateContent>
    </w:r>
    <w:r>
      <w:rPr>
        <w:rFonts w:ascii="Arial" w:hAnsi="Arial"/>
        <w:color w:val="918F90"/>
        <w:sz w:val="28"/>
        <w:szCs w:val="28"/>
      </w:rPr>
      <w:t>Press release</w:t>
    </w:r>
  </w:p>
  <w:p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4B1188"/>
    <w:multiLevelType w:val="hybridMultilevel"/>
    <w:tmpl w:val="7DEA0DC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0296C5D"/>
    <w:multiLevelType w:val="hybridMultilevel"/>
    <w:tmpl w:val="0FA2F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5"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6"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7"/>
  </w:num>
  <w:num w:numId="14">
    <w:abstractNumId w:val="15"/>
  </w:num>
  <w:num w:numId="15">
    <w:abstractNumId w:val="16"/>
  </w:num>
  <w:num w:numId="16">
    <w:abstractNumId w:val="11"/>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159FE"/>
    <w:rsid w:val="00022F16"/>
    <w:rsid w:val="00023D78"/>
    <w:rsid w:val="0003075C"/>
    <w:rsid w:val="00060743"/>
    <w:rsid w:val="00066796"/>
    <w:rsid w:val="000766D7"/>
    <w:rsid w:val="0007670A"/>
    <w:rsid w:val="0009742A"/>
    <w:rsid w:val="000A0C99"/>
    <w:rsid w:val="000A5ED1"/>
    <w:rsid w:val="000B1606"/>
    <w:rsid w:val="000B3315"/>
    <w:rsid w:val="000C770D"/>
    <w:rsid w:val="000E03F3"/>
    <w:rsid w:val="000E7BC7"/>
    <w:rsid w:val="000F726E"/>
    <w:rsid w:val="001029C4"/>
    <w:rsid w:val="00105EAA"/>
    <w:rsid w:val="0011486D"/>
    <w:rsid w:val="00116715"/>
    <w:rsid w:val="00121E33"/>
    <w:rsid w:val="00122A77"/>
    <w:rsid w:val="00126550"/>
    <w:rsid w:val="001324D6"/>
    <w:rsid w:val="00135BD2"/>
    <w:rsid w:val="00135E09"/>
    <w:rsid w:val="00154825"/>
    <w:rsid w:val="0015550E"/>
    <w:rsid w:val="0017364E"/>
    <w:rsid w:val="0017516B"/>
    <w:rsid w:val="00176F1D"/>
    <w:rsid w:val="0018068D"/>
    <w:rsid w:val="001871BC"/>
    <w:rsid w:val="001A2ABE"/>
    <w:rsid w:val="001A360C"/>
    <w:rsid w:val="001D14DA"/>
    <w:rsid w:val="001E1172"/>
    <w:rsid w:val="001E6995"/>
    <w:rsid w:val="001F0C02"/>
    <w:rsid w:val="001F1513"/>
    <w:rsid w:val="00205769"/>
    <w:rsid w:val="00212FEC"/>
    <w:rsid w:val="002131BB"/>
    <w:rsid w:val="0022086D"/>
    <w:rsid w:val="00227E31"/>
    <w:rsid w:val="00230F81"/>
    <w:rsid w:val="002341EE"/>
    <w:rsid w:val="00237341"/>
    <w:rsid w:val="00251750"/>
    <w:rsid w:val="00254C6F"/>
    <w:rsid w:val="00255679"/>
    <w:rsid w:val="0027266B"/>
    <w:rsid w:val="00281E80"/>
    <w:rsid w:val="002834B0"/>
    <w:rsid w:val="00283671"/>
    <w:rsid w:val="00284A5D"/>
    <w:rsid w:val="00284E27"/>
    <w:rsid w:val="00294B7D"/>
    <w:rsid w:val="002A1973"/>
    <w:rsid w:val="002B14F6"/>
    <w:rsid w:val="002C055A"/>
    <w:rsid w:val="002C2392"/>
    <w:rsid w:val="002D1C5C"/>
    <w:rsid w:val="002D1E20"/>
    <w:rsid w:val="002E6860"/>
    <w:rsid w:val="002F0411"/>
    <w:rsid w:val="002F767E"/>
    <w:rsid w:val="00301F3A"/>
    <w:rsid w:val="0031494D"/>
    <w:rsid w:val="003246F0"/>
    <w:rsid w:val="00325E2A"/>
    <w:rsid w:val="003272F3"/>
    <w:rsid w:val="00345716"/>
    <w:rsid w:val="0034786C"/>
    <w:rsid w:val="003517C9"/>
    <w:rsid w:val="00357EC4"/>
    <w:rsid w:val="003627E1"/>
    <w:rsid w:val="00363EAC"/>
    <w:rsid w:val="00370000"/>
    <w:rsid w:val="00373507"/>
    <w:rsid w:val="0038230E"/>
    <w:rsid w:val="00382529"/>
    <w:rsid w:val="0039259C"/>
    <w:rsid w:val="00395ED5"/>
    <w:rsid w:val="003A00C9"/>
    <w:rsid w:val="003A22D7"/>
    <w:rsid w:val="003A25A4"/>
    <w:rsid w:val="003B49E4"/>
    <w:rsid w:val="003B4CCF"/>
    <w:rsid w:val="003B6CD4"/>
    <w:rsid w:val="003C6AB4"/>
    <w:rsid w:val="003C7E40"/>
    <w:rsid w:val="003D0A8A"/>
    <w:rsid w:val="003D2BB6"/>
    <w:rsid w:val="003E099F"/>
    <w:rsid w:val="003E4DF9"/>
    <w:rsid w:val="003F665D"/>
    <w:rsid w:val="0040086D"/>
    <w:rsid w:val="004017D8"/>
    <w:rsid w:val="00411E03"/>
    <w:rsid w:val="004123B1"/>
    <w:rsid w:val="004303A1"/>
    <w:rsid w:val="00440DC9"/>
    <w:rsid w:val="004450C4"/>
    <w:rsid w:val="004506D2"/>
    <w:rsid w:val="00456F40"/>
    <w:rsid w:val="004609BD"/>
    <w:rsid w:val="004661EE"/>
    <w:rsid w:val="00466741"/>
    <w:rsid w:val="00470064"/>
    <w:rsid w:val="00470F4F"/>
    <w:rsid w:val="004843A0"/>
    <w:rsid w:val="004A2BEA"/>
    <w:rsid w:val="004A3726"/>
    <w:rsid w:val="004A3C64"/>
    <w:rsid w:val="004A5AEA"/>
    <w:rsid w:val="004B2FDA"/>
    <w:rsid w:val="004B480A"/>
    <w:rsid w:val="004C0CA2"/>
    <w:rsid w:val="004C6712"/>
    <w:rsid w:val="004D50C0"/>
    <w:rsid w:val="004D772A"/>
    <w:rsid w:val="004E339B"/>
    <w:rsid w:val="004E4273"/>
    <w:rsid w:val="004E4562"/>
    <w:rsid w:val="004E7B3E"/>
    <w:rsid w:val="004F077F"/>
    <w:rsid w:val="005023DD"/>
    <w:rsid w:val="00503D8C"/>
    <w:rsid w:val="00510F37"/>
    <w:rsid w:val="00522B84"/>
    <w:rsid w:val="00531A7F"/>
    <w:rsid w:val="00534BAD"/>
    <w:rsid w:val="005360E8"/>
    <w:rsid w:val="005428C5"/>
    <w:rsid w:val="00543C55"/>
    <w:rsid w:val="0055393B"/>
    <w:rsid w:val="005554C7"/>
    <w:rsid w:val="00556F58"/>
    <w:rsid w:val="00565291"/>
    <w:rsid w:val="00567D57"/>
    <w:rsid w:val="00582B99"/>
    <w:rsid w:val="00587FDA"/>
    <w:rsid w:val="00590903"/>
    <w:rsid w:val="005A617A"/>
    <w:rsid w:val="005B0FC9"/>
    <w:rsid w:val="005B66D3"/>
    <w:rsid w:val="005C100F"/>
    <w:rsid w:val="005C4556"/>
    <w:rsid w:val="005C5302"/>
    <w:rsid w:val="005D307B"/>
    <w:rsid w:val="005E362E"/>
    <w:rsid w:val="005F7593"/>
    <w:rsid w:val="006029D7"/>
    <w:rsid w:val="0061109D"/>
    <w:rsid w:val="00612AA0"/>
    <w:rsid w:val="006138CB"/>
    <w:rsid w:val="006224C4"/>
    <w:rsid w:val="006225EA"/>
    <w:rsid w:val="006261DF"/>
    <w:rsid w:val="00627692"/>
    <w:rsid w:val="00641270"/>
    <w:rsid w:val="00642074"/>
    <w:rsid w:val="006424F8"/>
    <w:rsid w:val="006752B2"/>
    <w:rsid w:val="00681CAB"/>
    <w:rsid w:val="006842EF"/>
    <w:rsid w:val="00687256"/>
    <w:rsid w:val="00695E58"/>
    <w:rsid w:val="0069757D"/>
    <w:rsid w:val="006A11C0"/>
    <w:rsid w:val="006A1329"/>
    <w:rsid w:val="006A66F9"/>
    <w:rsid w:val="006A7604"/>
    <w:rsid w:val="006C1DD8"/>
    <w:rsid w:val="006D024C"/>
    <w:rsid w:val="006E5C9C"/>
    <w:rsid w:val="006F1774"/>
    <w:rsid w:val="006F625D"/>
    <w:rsid w:val="00715FB9"/>
    <w:rsid w:val="00717A20"/>
    <w:rsid w:val="00720DFF"/>
    <w:rsid w:val="00730E23"/>
    <w:rsid w:val="0074780F"/>
    <w:rsid w:val="00762CC5"/>
    <w:rsid w:val="00764E36"/>
    <w:rsid w:val="00786781"/>
    <w:rsid w:val="007906B4"/>
    <w:rsid w:val="007970A0"/>
    <w:rsid w:val="007B215B"/>
    <w:rsid w:val="007B4617"/>
    <w:rsid w:val="007E759D"/>
    <w:rsid w:val="007F2DBE"/>
    <w:rsid w:val="007F33B6"/>
    <w:rsid w:val="007F642D"/>
    <w:rsid w:val="007F756A"/>
    <w:rsid w:val="0080256B"/>
    <w:rsid w:val="00812471"/>
    <w:rsid w:val="008261A5"/>
    <w:rsid w:val="0083382E"/>
    <w:rsid w:val="00855325"/>
    <w:rsid w:val="00862E34"/>
    <w:rsid w:val="00865915"/>
    <w:rsid w:val="00871832"/>
    <w:rsid w:val="008740D8"/>
    <w:rsid w:val="00874930"/>
    <w:rsid w:val="00886CCE"/>
    <w:rsid w:val="008942C6"/>
    <w:rsid w:val="00896B33"/>
    <w:rsid w:val="008A486B"/>
    <w:rsid w:val="008A62FB"/>
    <w:rsid w:val="008A77B7"/>
    <w:rsid w:val="008B0F67"/>
    <w:rsid w:val="008C0F8D"/>
    <w:rsid w:val="008C608D"/>
    <w:rsid w:val="008E461D"/>
    <w:rsid w:val="008E65DC"/>
    <w:rsid w:val="008F08E5"/>
    <w:rsid w:val="008F0EA4"/>
    <w:rsid w:val="008F38F6"/>
    <w:rsid w:val="008F5213"/>
    <w:rsid w:val="009000CF"/>
    <w:rsid w:val="0090748B"/>
    <w:rsid w:val="009101A6"/>
    <w:rsid w:val="00920C9C"/>
    <w:rsid w:val="00922754"/>
    <w:rsid w:val="00925781"/>
    <w:rsid w:val="009258D0"/>
    <w:rsid w:val="00935AB3"/>
    <w:rsid w:val="00956905"/>
    <w:rsid w:val="009646C4"/>
    <w:rsid w:val="009734CE"/>
    <w:rsid w:val="00974E78"/>
    <w:rsid w:val="0098460C"/>
    <w:rsid w:val="0099386F"/>
    <w:rsid w:val="0099413E"/>
    <w:rsid w:val="00996E1A"/>
    <w:rsid w:val="009A3457"/>
    <w:rsid w:val="009B1E98"/>
    <w:rsid w:val="009B4392"/>
    <w:rsid w:val="009B7D09"/>
    <w:rsid w:val="009D24DA"/>
    <w:rsid w:val="009D35EC"/>
    <w:rsid w:val="009D5D75"/>
    <w:rsid w:val="009E0C0B"/>
    <w:rsid w:val="009F32A2"/>
    <w:rsid w:val="009F54CE"/>
    <w:rsid w:val="00A05C3F"/>
    <w:rsid w:val="00A06264"/>
    <w:rsid w:val="00A1639A"/>
    <w:rsid w:val="00A215C9"/>
    <w:rsid w:val="00A443FF"/>
    <w:rsid w:val="00A5364B"/>
    <w:rsid w:val="00A615E0"/>
    <w:rsid w:val="00A65E2B"/>
    <w:rsid w:val="00A74AA0"/>
    <w:rsid w:val="00A7546D"/>
    <w:rsid w:val="00A77100"/>
    <w:rsid w:val="00AA4D97"/>
    <w:rsid w:val="00AC41D5"/>
    <w:rsid w:val="00AD17B7"/>
    <w:rsid w:val="00AE4157"/>
    <w:rsid w:val="00AF08D2"/>
    <w:rsid w:val="00B069C5"/>
    <w:rsid w:val="00B06D1B"/>
    <w:rsid w:val="00B077D5"/>
    <w:rsid w:val="00B16A78"/>
    <w:rsid w:val="00B200E4"/>
    <w:rsid w:val="00B210A4"/>
    <w:rsid w:val="00B26FFD"/>
    <w:rsid w:val="00B35B6D"/>
    <w:rsid w:val="00B35DC6"/>
    <w:rsid w:val="00B42F67"/>
    <w:rsid w:val="00B51699"/>
    <w:rsid w:val="00B53FAF"/>
    <w:rsid w:val="00B60999"/>
    <w:rsid w:val="00B63153"/>
    <w:rsid w:val="00B6527D"/>
    <w:rsid w:val="00B73B3A"/>
    <w:rsid w:val="00B74507"/>
    <w:rsid w:val="00B75718"/>
    <w:rsid w:val="00B75E7E"/>
    <w:rsid w:val="00B93817"/>
    <w:rsid w:val="00B9391B"/>
    <w:rsid w:val="00B9682D"/>
    <w:rsid w:val="00BA0B96"/>
    <w:rsid w:val="00BB15DA"/>
    <w:rsid w:val="00BB340D"/>
    <w:rsid w:val="00BC14B6"/>
    <w:rsid w:val="00BC2A3A"/>
    <w:rsid w:val="00BC3E27"/>
    <w:rsid w:val="00BC64EC"/>
    <w:rsid w:val="00BD073D"/>
    <w:rsid w:val="00BE4198"/>
    <w:rsid w:val="00BF3AFD"/>
    <w:rsid w:val="00BF6593"/>
    <w:rsid w:val="00C12F1D"/>
    <w:rsid w:val="00C1606C"/>
    <w:rsid w:val="00C23180"/>
    <w:rsid w:val="00C26F94"/>
    <w:rsid w:val="00C311A9"/>
    <w:rsid w:val="00C36C38"/>
    <w:rsid w:val="00C41492"/>
    <w:rsid w:val="00C502EC"/>
    <w:rsid w:val="00C50874"/>
    <w:rsid w:val="00C702B5"/>
    <w:rsid w:val="00C70389"/>
    <w:rsid w:val="00C748A6"/>
    <w:rsid w:val="00C904B6"/>
    <w:rsid w:val="00C90A75"/>
    <w:rsid w:val="00C96DF4"/>
    <w:rsid w:val="00CA6A66"/>
    <w:rsid w:val="00CC1337"/>
    <w:rsid w:val="00CC2514"/>
    <w:rsid w:val="00CC48DF"/>
    <w:rsid w:val="00CD4A91"/>
    <w:rsid w:val="00CD70E7"/>
    <w:rsid w:val="00CD7363"/>
    <w:rsid w:val="00CE0964"/>
    <w:rsid w:val="00CE0C1F"/>
    <w:rsid w:val="00CE455F"/>
    <w:rsid w:val="00CF0BF9"/>
    <w:rsid w:val="00CF5957"/>
    <w:rsid w:val="00D02D0D"/>
    <w:rsid w:val="00D04BA2"/>
    <w:rsid w:val="00D077B0"/>
    <w:rsid w:val="00D22D42"/>
    <w:rsid w:val="00D232F7"/>
    <w:rsid w:val="00D36D8D"/>
    <w:rsid w:val="00D45711"/>
    <w:rsid w:val="00D500FC"/>
    <w:rsid w:val="00D51597"/>
    <w:rsid w:val="00D5326E"/>
    <w:rsid w:val="00D55867"/>
    <w:rsid w:val="00D634A3"/>
    <w:rsid w:val="00D72339"/>
    <w:rsid w:val="00D73E47"/>
    <w:rsid w:val="00D74ABB"/>
    <w:rsid w:val="00D83CB7"/>
    <w:rsid w:val="00D97FA8"/>
    <w:rsid w:val="00DB4363"/>
    <w:rsid w:val="00DC7B25"/>
    <w:rsid w:val="00DD422D"/>
    <w:rsid w:val="00DD6B73"/>
    <w:rsid w:val="00DE23F8"/>
    <w:rsid w:val="00DE7CC2"/>
    <w:rsid w:val="00E05CF6"/>
    <w:rsid w:val="00E112C9"/>
    <w:rsid w:val="00E1314C"/>
    <w:rsid w:val="00E158F7"/>
    <w:rsid w:val="00E2087E"/>
    <w:rsid w:val="00E2636D"/>
    <w:rsid w:val="00E34976"/>
    <w:rsid w:val="00E36818"/>
    <w:rsid w:val="00E36AA4"/>
    <w:rsid w:val="00E47B97"/>
    <w:rsid w:val="00E5010B"/>
    <w:rsid w:val="00E5203C"/>
    <w:rsid w:val="00E634CC"/>
    <w:rsid w:val="00E64B2E"/>
    <w:rsid w:val="00E82F0E"/>
    <w:rsid w:val="00E95F89"/>
    <w:rsid w:val="00E96FAC"/>
    <w:rsid w:val="00EA129F"/>
    <w:rsid w:val="00EB7A31"/>
    <w:rsid w:val="00ED0582"/>
    <w:rsid w:val="00ED1262"/>
    <w:rsid w:val="00ED47B1"/>
    <w:rsid w:val="00ED7374"/>
    <w:rsid w:val="00EE31F6"/>
    <w:rsid w:val="00EE36DC"/>
    <w:rsid w:val="00F044EE"/>
    <w:rsid w:val="00F25B1B"/>
    <w:rsid w:val="00F3320B"/>
    <w:rsid w:val="00F40E92"/>
    <w:rsid w:val="00F41947"/>
    <w:rsid w:val="00F435AA"/>
    <w:rsid w:val="00F71846"/>
    <w:rsid w:val="00F76C6A"/>
    <w:rsid w:val="00F83BF1"/>
    <w:rsid w:val="00F90CB9"/>
    <w:rsid w:val="00F93E08"/>
    <w:rsid w:val="00F97373"/>
    <w:rsid w:val="00FA0254"/>
    <w:rsid w:val="00FA6854"/>
    <w:rsid w:val="00FB064F"/>
    <w:rsid w:val="00FB0F6B"/>
    <w:rsid w:val="00FB144F"/>
    <w:rsid w:val="00FB159A"/>
    <w:rsid w:val="00FB4D77"/>
    <w:rsid w:val="00FC497D"/>
    <w:rsid w:val="00FD076B"/>
    <w:rsid w:val="00FE43D5"/>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43F865A"/>
  <w15:docId w15:val="{C83908D0-6A50-4537-9A9F-6BC1F02F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92A4C2"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2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2C055A"/>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paragraph" w:customStyle="1" w:styleId="GrafikHeadlineNL">
    <w:name w:val="Grafik Headline NL"/>
    <w:basedOn w:val="FliesstextNL"/>
    <w:uiPriority w:val="99"/>
    <w:rsid w:val="002C055A"/>
    <w:rPr>
      <w:rFonts w:ascii="Mark OT" w:hAnsi="Mark OT" w:cs="Mark OT"/>
      <w:b/>
      <w:bCs/>
    </w:rPr>
  </w:style>
  <w:style w:type="paragraph" w:customStyle="1" w:styleId="HeadlineNL">
    <w:name w:val="Headline NL"/>
    <w:basedOn w:val="FliesstextNL"/>
    <w:uiPriority w:val="99"/>
    <w:rsid w:val="002C055A"/>
    <w:pPr>
      <w:spacing w:line="400" w:lineRule="atLeast"/>
    </w:pPr>
    <w:rPr>
      <w:rFonts w:ascii="Mark OT" w:hAnsi="Mark OT" w:cs="Mark OT"/>
      <w:b/>
      <w:bCs/>
      <w:spacing w:val="0"/>
      <w:sz w:val="28"/>
      <w:szCs w:val="28"/>
    </w:rPr>
  </w:style>
  <w:style w:type="paragraph" w:customStyle="1" w:styleId="SublineNL">
    <w:name w:val="Subline NL"/>
    <w:basedOn w:val="FliesstextNL"/>
    <w:uiPriority w:val="99"/>
    <w:rsid w:val="002C055A"/>
    <w:pPr>
      <w:spacing w:line="320" w:lineRule="atLeast"/>
    </w:pPr>
    <w:rPr>
      <w:spacing w:val="0"/>
      <w:sz w:val="28"/>
      <w:szCs w:val="28"/>
    </w:rPr>
  </w:style>
  <w:style w:type="character" w:styleId="Kommentarzeichen">
    <w:name w:val="annotation reference"/>
    <w:basedOn w:val="Absatz-Standardschriftart"/>
    <w:uiPriority w:val="99"/>
    <w:semiHidden/>
    <w:unhideWhenUsed/>
    <w:rsid w:val="00567D57"/>
    <w:rPr>
      <w:sz w:val="16"/>
      <w:szCs w:val="16"/>
    </w:rPr>
  </w:style>
  <w:style w:type="paragraph" w:styleId="Kommentartext">
    <w:name w:val="annotation text"/>
    <w:basedOn w:val="Standard"/>
    <w:link w:val="KommentartextZchn"/>
    <w:uiPriority w:val="99"/>
    <w:semiHidden/>
    <w:unhideWhenUsed/>
    <w:rsid w:val="00567D57"/>
    <w:rPr>
      <w:sz w:val="20"/>
      <w:szCs w:val="20"/>
    </w:rPr>
  </w:style>
  <w:style w:type="character" w:customStyle="1" w:styleId="KommentartextZchn">
    <w:name w:val="Kommentartext Zchn"/>
    <w:basedOn w:val="Absatz-Standardschriftart"/>
    <w:link w:val="Kommentartext"/>
    <w:uiPriority w:val="99"/>
    <w:semiHidden/>
    <w:rsid w:val="00567D57"/>
    <w:rPr>
      <w:sz w:val="20"/>
      <w:szCs w:val="20"/>
      <w:lang w:eastAsia="en-US"/>
    </w:rPr>
  </w:style>
  <w:style w:type="paragraph" w:styleId="Kommentarthema">
    <w:name w:val="annotation subject"/>
    <w:basedOn w:val="Kommentartext"/>
    <w:next w:val="Kommentartext"/>
    <w:link w:val="KommentarthemaZchn"/>
    <w:uiPriority w:val="99"/>
    <w:semiHidden/>
    <w:unhideWhenUsed/>
    <w:rsid w:val="00567D57"/>
    <w:rPr>
      <w:b/>
      <w:bCs/>
    </w:rPr>
  </w:style>
  <w:style w:type="character" w:customStyle="1" w:styleId="KommentarthemaZchn">
    <w:name w:val="Kommentarthema Zchn"/>
    <w:basedOn w:val="KommentartextZchn"/>
    <w:link w:val="Kommentarthema"/>
    <w:uiPriority w:val="99"/>
    <w:semiHidden/>
    <w:rsid w:val="00567D57"/>
    <w:rPr>
      <w:b/>
      <w:bCs/>
      <w:sz w:val="20"/>
      <w:szCs w:val="20"/>
      <w:lang w:eastAsia="en-US"/>
    </w:rPr>
  </w:style>
  <w:style w:type="table" w:customStyle="1" w:styleId="TableGrid1">
    <w:name w:val="Table Grid1"/>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014411746">
      <w:bodyDiv w:val="1"/>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rossmann-berger.de/news/pressemapp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rossmann-berger.de/datenschut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rmanpropertypartners.de/de/" TargetMode="External"/><Relationship Id="rId5" Type="http://schemas.openxmlformats.org/officeDocument/2006/relationships/webSettings" Target="webSettings.xml"/><Relationship Id="rId15" Type="http://schemas.openxmlformats.org/officeDocument/2006/relationships/hyperlink" Target="mailto:presse@grossmann-berger.de" TargetMode="External"/><Relationship Id="rId10" Type="http://schemas.openxmlformats.org/officeDocument/2006/relationships/hyperlink" Target="https://www.grossmann-berger.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rossmann-berger.com/marktbericht/gewerbe/industrie-lager-logistik/" TargetMode="External"/><Relationship Id="rId14" Type="http://schemas.openxmlformats.org/officeDocument/2006/relationships/hyperlink" Target="file:///\\file01\Marketing\Presse\Vorlagen\20180517_Dokumentation%20der%20Verarbeitungstaetigkeit%20nach%20DSGVO_Presse.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amp;B Farben für Word_2019">
  <a:themeElements>
    <a:clrScheme name="G&amp;B Farben">
      <a:dk1>
        <a:srgbClr val="000000"/>
      </a:dk1>
      <a:lt1>
        <a:sysClr val="window" lastClr="FFFFFF"/>
      </a:lt1>
      <a:dk2>
        <a:srgbClr val="1F242B"/>
      </a:dk2>
      <a:lt2>
        <a:srgbClr val="E4E2E4"/>
      </a:lt2>
      <a:accent1>
        <a:srgbClr val="FDC300"/>
      </a:accent1>
      <a:accent2>
        <a:srgbClr val="1F242B"/>
      </a:accent2>
      <a:accent3>
        <a:srgbClr val="FFD444"/>
      </a:accent3>
      <a:accent4>
        <a:srgbClr val="FFE17E"/>
      </a:accent4>
      <a:accent5>
        <a:srgbClr val="838490"/>
      </a:accent5>
      <a:accent6>
        <a:srgbClr val="E4E2E4"/>
      </a:accent6>
      <a:hlink>
        <a:srgbClr val="4A5A73"/>
      </a:hlink>
      <a:folHlink>
        <a:srgbClr val="92A4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A9F9E-BB8B-4E8B-AE68-C2AC49B6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5218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Britt Finke</cp:lastModifiedBy>
  <cp:revision>4</cp:revision>
  <cp:lastPrinted>2021-01-28T09:23:00Z</cp:lastPrinted>
  <dcterms:created xsi:type="dcterms:W3CDTF">2021-01-28T09:52:00Z</dcterms:created>
  <dcterms:modified xsi:type="dcterms:W3CDTF">2021-01-29T15:33:00Z</dcterms:modified>
</cp:coreProperties>
</file>