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FF363" w14:textId="5871E3D7" w:rsidR="001E1172" w:rsidRPr="00D841EF" w:rsidRDefault="003A22D7" w:rsidP="001E1172">
      <w:pPr>
        <w:spacing w:after="0" w:line="360" w:lineRule="auto"/>
        <w:rPr>
          <w:rFonts w:ascii="Arial" w:hAnsi="Arial" w:cs="Arial"/>
          <w:b/>
          <w:sz w:val="28"/>
          <w:szCs w:val="28"/>
        </w:rPr>
      </w:pPr>
      <w:r>
        <w:rPr>
          <w:rFonts w:ascii="Arial" w:hAnsi="Arial"/>
          <w:b/>
        </w:rPr>
        <w:t>Hamburg: Industrial and logistics property market, 1</w:t>
      </w:r>
      <w:r w:rsidRPr="00D841EF">
        <w:rPr>
          <w:rFonts w:ascii="Arial" w:hAnsi="Arial"/>
          <w:b/>
          <w:vertAlign w:val="superscript"/>
        </w:rPr>
        <w:t>st</w:t>
      </w:r>
      <w:r>
        <w:rPr>
          <w:rFonts w:ascii="Arial" w:hAnsi="Arial"/>
          <w:b/>
        </w:rPr>
        <w:t>-3</w:t>
      </w:r>
      <w:r w:rsidRPr="00D841EF">
        <w:rPr>
          <w:rFonts w:ascii="Arial" w:hAnsi="Arial"/>
          <w:b/>
          <w:vertAlign w:val="superscript"/>
        </w:rPr>
        <w:t>rd</w:t>
      </w:r>
      <w:r>
        <w:rPr>
          <w:rFonts w:ascii="Arial" w:hAnsi="Arial"/>
          <w:b/>
        </w:rPr>
        <w:t xml:space="preserve"> quarters of 2021</w:t>
      </w:r>
      <w:r>
        <w:rPr>
          <w:rFonts w:ascii="Arial" w:hAnsi="Arial"/>
          <w:b/>
        </w:rPr>
        <w:br/>
      </w:r>
      <w:r w:rsidRPr="00D841EF">
        <w:rPr>
          <w:rFonts w:ascii="Arial" w:hAnsi="Arial"/>
          <w:b/>
          <w:sz w:val="28"/>
          <w:szCs w:val="28"/>
        </w:rPr>
        <w:t>Logistics firms boost letting business</w:t>
      </w:r>
    </w:p>
    <w:p w14:paraId="5188EF63" w14:textId="77777777" w:rsidR="00590903" w:rsidRPr="0090748B" w:rsidRDefault="00590903" w:rsidP="00590903">
      <w:pPr>
        <w:spacing w:after="0" w:line="360" w:lineRule="auto"/>
        <w:jc w:val="both"/>
        <w:rPr>
          <w:rFonts w:ascii="Arial" w:hAnsi="Arial" w:cs="Arial"/>
          <w:b/>
          <w:sz w:val="20"/>
          <w:szCs w:val="20"/>
        </w:rPr>
      </w:pPr>
    </w:p>
    <w:p w14:paraId="659C6C37" w14:textId="3209FFCE" w:rsidR="003D5CFE" w:rsidRDefault="000F726E" w:rsidP="00363EAC">
      <w:pPr>
        <w:spacing w:after="0" w:line="360" w:lineRule="auto"/>
        <w:rPr>
          <w:rFonts w:ascii="Arial" w:hAnsi="Arial" w:cs="Arial"/>
          <w:sz w:val="20"/>
          <w:szCs w:val="20"/>
        </w:rPr>
      </w:pPr>
      <w:r>
        <w:rPr>
          <w:rFonts w:ascii="Arial" w:hAnsi="Arial"/>
          <w:b/>
          <w:sz w:val="20"/>
          <w:szCs w:val="20"/>
        </w:rPr>
        <w:t>Hamburg, 21 October 2021</w:t>
      </w:r>
      <w:r>
        <w:rPr>
          <w:rFonts w:ascii="Arial" w:hAnsi="Arial"/>
          <w:sz w:val="20"/>
          <w:szCs w:val="20"/>
        </w:rPr>
        <w:t xml:space="preserve"> – 2021 will probably be a year in which six-figure letting results for industrial and logistics space in Hamburg are posted in each of the four quarters. Lettings and new owner-occupancies totalled 135,000 m² and 205,000 m² in the first two quarters of the year followed by 156,000 m² in the 3rd quarter; moreover, several agreements are now close to conclusion. Figures collated by Grossmann &amp; Berger, a member of German Property Partners (GPP)</w:t>
      </w:r>
      <w:r w:rsidR="0001684D">
        <w:rPr>
          <w:rFonts w:ascii="Arial" w:hAnsi="Arial"/>
          <w:sz w:val="20"/>
          <w:szCs w:val="20"/>
        </w:rPr>
        <w:t>,</w:t>
      </w:r>
      <w:r>
        <w:rPr>
          <w:rFonts w:ascii="Arial" w:hAnsi="Arial"/>
          <w:sz w:val="20"/>
          <w:szCs w:val="20"/>
        </w:rPr>
        <w:t xml:space="preserve"> show that to date the take-up of space totals 496,000 m² and is thus already higher than the five-year average of 484,000 m².</w:t>
      </w:r>
    </w:p>
    <w:p w14:paraId="690FCC2D" w14:textId="77777777" w:rsidR="003D5CFE" w:rsidRDefault="003D5CFE" w:rsidP="00363EAC">
      <w:pPr>
        <w:spacing w:after="0" w:line="360" w:lineRule="auto"/>
        <w:rPr>
          <w:rFonts w:ascii="Arial" w:hAnsi="Arial" w:cs="Arial"/>
          <w:sz w:val="20"/>
          <w:szCs w:val="20"/>
        </w:rPr>
      </w:pPr>
    </w:p>
    <w:p w14:paraId="0D547B51" w14:textId="08513791" w:rsidR="009A3457" w:rsidRPr="00F2157F" w:rsidRDefault="006966CB" w:rsidP="00363EAC">
      <w:pPr>
        <w:spacing w:after="0" w:line="360" w:lineRule="auto"/>
        <w:rPr>
          <w:rFonts w:ascii="Arial" w:hAnsi="Arial" w:cs="Arial"/>
          <w:sz w:val="20"/>
          <w:szCs w:val="20"/>
        </w:rPr>
      </w:pPr>
      <w:r>
        <w:rPr>
          <w:rFonts w:ascii="Arial" w:hAnsi="Arial"/>
          <w:i/>
          <w:sz w:val="20"/>
          <w:szCs w:val="20"/>
        </w:rPr>
        <w:t>“Apart from 2011, which was exceptional in that by the end of September 612,000 square metres had been let or absorbed in construction starts, no higher result has been posted in any other third quarter. The large proportion of let space is remarkable, because in 2020 the market was dominated by the start of construction work for owner-occupiers,</w:t>
      </w:r>
      <w:r>
        <w:rPr>
          <w:rFonts w:ascii="Arial" w:hAnsi="Arial"/>
          <w:sz w:val="20"/>
          <w:szCs w:val="20"/>
        </w:rPr>
        <w:t xml:space="preserve">” remarks </w:t>
      </w:r>
      <w:r>
        <w:rPr>
          <w:rFonts w:ascii="Arial" w:hAnsi="Arial"/>
          <w:b/>
          <w:sz w:val="20"/>
          <w:szCs w:val="20"/>
        </w:rPr>
        <w:t xml:space="preserve">Felix </w:t>
      </w:r>
      <w:proofErr w:type="spellStart"/>
      <w:r>
        <w:rPr>
          <w:rFonts w:ascii="Arial" w:hAnsi="Arial"/>
          <w:b/>
          <w:sz w:val="20"/>
          <w:szCs w:val="20"/>
        </w:rPr>
        <w:t>Krumreich</w:t>
      </w:r>
      <w:proofErr w:type="spellEnd"/>
      <w:r>
        <w:rPr>
          <w:rFonts w:ascii="Arial" w:hAnsi="Arial"/>
          <w:sz w:val="20"/>
          <w:szCs w:val="20"/>
        </w:rPr>
        <w:t>, consultant for industrial and logistics properties at Grossmann &amp; Berger. Lettings comprised 85 % of the take-up of space, a figure similar to the result in the same period in 2019.</w:t>
      </w:r>
    </w:p>
    <w:p w14:paraId="7D0B7770" w14:textId="77777777" w:rsidR="000A5ED1" w:rsidRDefault="000A5ED1" w:rsidP="001E1172">
      <w:pPr>
        <w:spacing w:after="0" w:line="360" w:lineRule="auto"/>
        <w:rPr>
          <w:rFonts w:ascii="Arial" w:hAnsi="Arial" w:cs="Arial"/>
          <w:sz w:val="20"/>
          <w:szCs w:val="20"/>
        </w:rPr>
      </w:pPr>
    </w:p>
    <w:p w14:paraId="3BF1F98D" w14:textId="77777777" w:rsidR="000A5ED1" w:rsidRPr="00FE43D5" w:rsidRDefault="00FE43D5" w:rsidP="006C1DD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3C8FC0FE" w14:textId="549BC61C" w:rsidR="00514293" w:rsidRPr="0073257C" w:rsidRDefault="00634517" w:rsidP="00926111">
      <w:pPr>
        <w:pStyle w:val="Listenabsatz"/>
        <w:numPr>
          <w:ilvl w:val="0"/>
          <w:numId w:val="18"/>
        </w:numPr>
        <w:spacing w:before="60" w:after="60" w:line="360" w:lineRule="auto"/>
        <w:textAlignment w:val="baseline"/>
        <w:rPr>
          <w:rFonts w:ascii="Arial" w:eastAsiaTheme="minorHAnsi" w:hAnsi="Arial" w:cs="Arial"/>
          <w:b/>
          <w:sz w:val="20"/>
          <w:szCs w:val="20"/>
        </w:rPr>
      </w:pPr>
      <w:r>
        <w:rPr>
          <w:rFonts w:ascii="Arial" w:hAnsi="Arial"/>
          <w:sz w:val="20"/>
          <w:szCs w:val="20"/>
        </w:rPr>
        <w:t xml:space="preserve">Between July and September an additional four agreements for more than 10,001 m² of space were signed. The number of agreements in this </w:t>
      </w:r>
      <w:r>
        <w:rPr>
          <w:rFonts w:ascii="Arial" w:hAnsi="Arial"/>
          <w:sz w:val="20"/>
          <w:szCs w:val="20"/>
          <w:u w:val="single"/>
        </w:rPr>
        <w:t>size category</w:t>
      </w:r>
      <w:r>
        <w:rPr>
          <w:rFonts w:ascii="Arial" w:hAnsi="Arial"/>
          <w:sz w:val="20"/>
          <w:szCs w:val="20"/>
        </w:rPr>
        <w:t xml:space="preserve"> doubled within the space of a year to twelve. Contracts involving over 10,001 m² accounted for 45 % of the market (3Q2020: 54 %) and the</w:t>
      </w:r>
      <w:r w:rsidR="0094582C">
        <w:rPr>
          <w:rFonts w:ascii="Arial" w:hAnsi="Arial"/>
          <w:sz w:val="20"/>
          <w:szCs w:val="20"/>
        </w:rPr>
        <w:t xml:space="preserve"> next-smaller category, 5,001</w:t>
      </w:r>
      <w:r>
        <w:rPr>
          <w:rFonts w:ascii="Arial" w:hAnsi="Arial"/>
          <w:sz w:val="20"/>
          <w:szCs w:val="20"/>
        </w:rPr>
        <w:t xml:space="preserve"> to 10,000 m²</w:t>
      </w:r>
      <w:r w:rsidR="001F3AB8">
        <w:rPr>
          <w:rFonts w:ascii="Arial" w:hAnsi="Arial"/>
          <w:sz w:val="20"/>
          <w:szCs w:val="20"/>
        </w:rPr>
        <w:t>,</w:t>
      </w:r>
      <w:r>
        <w:rPr>
          <w:rFonts w:ascii="Arial" w:hAnsi="Arial"/>
          <w:sz w:val="20"/>
          <w:szCs w:val="20"/>
        </w:rPr>
        <w:t xml:space="preserve"> comprised 33 % of the total (3Q2020: 18 %).</w:t>
      </w:r>
    </w:p>
    <w:p w14:paraId="62994E9D" w14:textId="01342289" w:rsidR="0073257C" w:rsidRPr="00143D29" w:rsidRDefault="00FC7510" w:rsidP="00926111">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Despite the low proportion of owner-occupiers, three of the nine </w:t>
      </w:r>
      <w:r>
        <w:rPr>
          <w:rFonts w:ascii="Arial" w:hAnsi="Arial"/>
          <w:sz w:val="20"/>
          <w:szCs w:val="20"/>
          <w:u w:val="single"/>
        </w:rPr>
        <w:t>large-volume agreements</w:t>
      </w:r>
      <w:r>
        <w:rPr>
          <w:rFonts w:ascii="Arial" w:hAnsi="Arial"/>
          <w:sz w:val="20"/>
          <w:szCs w:val="20"/>
        </w:rPr>
        <w:t xml:space="preserve"> mentioned earlier were construction starts. For example, building started on a new computer centre for </w:t>
      </w:r>
      <w:proofErr w:type="spellStart"/>
      <w:r>
        <w:rPr>
          <w:rFonts w:ascii="Arial" w:hAnsi="Arial"/>
          <w:sz w:val="20"/>
          <w:szCs w:val="20"/>
        </w:rPr>
        <w:t>akquinet</w:t>
      </w:r>
      <w:proofErr w:type="spellEnd"/>
      <w:r>
        <w:rPr>
          <w:rFonts w:ascii="Arial" w:hAnsi="Arial"/>
          <w:sz w:val="20"/>
          <w:szCs w:val="20"/>
        </w:rPr>
        <w:t xml:space="preserve">, a sale brokered by Grossmann &amp; Berger in 2020, on the VICTORIA PARK HAMBURG industrial estate in </w:t>
      </w:r>
      <w:proofErr w:type="spellStart"/>
      <w:r>
        <w:rPr>
          <w:rFonts w:ascii="Arial" w:hAnsi="Arial"/>
          <w:sz w:val="20"/>
          <w:szCs w:val="20"/>
        </w:rPr>
        <w:t>Rahlstedt</w:t>
      </w:r>
      <w:proofErr w:type="spellEnd"/>
      <w:r>
        <w:rPr>
          <w:rFonts w:ascii="Arial" w:hAnsi="Arial"/>
          <w:sz w:val="20"/>
          <w:szCs w:val="20"/>
        </w:rPr>
        <w:t>, to provide 10,300 m² of hall space and 3,600 m² of office space.</w:t>
      </w:r>
    </w:p>
    <w:p w14:paraId="09E8CF4C" w14:textId="69275634" w:rsidR="00BB06B9" w:rsidRDefault="00BB06B9" w:rsidP="00170928">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Most agreements fell into two </w:t>
      </w:r>
      <w:r>
        <w:rPr>
          <w:rFonts w:ascii="Arial" w:hAnsi="Arial"/>
          <w:sz w:val="20"/>
          <w:szCs w:val="20"/>
          <w:u w:val="single"/>
        </w:rPr>
        <w:t>price groups</w:t>
      </w:r>
      <w:r>
        <w:rPr>
          <w:rFonts w:ascii="Arial" w:hAnsi="Arial"/>
          <w:sz w:val="20"/>
          <w:szCs w:val="20"/>
        </w:rPr>
        <w:t xml:space="preserve">; rents of over €5.51/m²/month made up 32 % of the market, and rates between €4.51/m²/month and €5.00/m²/month accounted for 26 %. Accordingly, the </w:t>
      </w:r>
      <w:r>
        <w:rPr>
          <w:rFonts w:ascii="Arial" w:hAnsi="Arial"/>
          <w:sz w:val="20"/>
          <w:szCs w:val="20"/>
          <w:u w:val="single"/>
        </w:rPr>
        <w:t>premium rent</w:t>
      </w:r>
      <w:r>
        <w:rPr>
          <w:rFonts w:ascii="Arial" w:hAnsi="Arial"/>
          <w:sz w:val="20"/>
          <w:szCs w:val="20"/>
        </w:rPr>
        <w:t xml:space="preserve"> rose to a new high of €6.50/m²/month, while the </w:t>
      </w:r>
      <w:r>
        <w:rPr>
          <w:rFonts w:ascii="Arial" w:hAnsi="Arial"/>
          <w:sz w:val="20"/>
          <w:szCs w:val="20"/>
          <w:u w:val="single"/>
        </w:rPr>
        <w:t>average rent</w:t>
      </w:r>
      <w:r>
        <w:rPr>
          <w:rFonts w:ascii="Arial" w:hAnsi="Arial"/>
          <w:sz w:val="20"/>
          <w:szCs w:val="20"/>
        </w:rPr>
        <w:t xml:space="preserve"> remained unchanged at €5.20/m²/month.</w:t>
      </w:r>
    </w:p>
    <w:p w14:paraId="59A6CF0F" w14:textId="0369E1C4" w:rsidR="00A02793" w:rsidRPr="00170928" w:rsidRDefault="00143D29" w:rsidP="00170928">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Since ten of the twelve large-volume contracts were signed by logistics &amp; forwarding companies (8) and wholesale/retail enterprises (2) these two </w:t>
      </w:r>
      <w:r>
        <w:rPr>
          <w:rFonts w:ascii="Arial" w:hAnsi="Arial"/>
          <w:sz w:val="20"/>
          <w:szCs w:val="20"/>
          <w:u w:val="single"/>
        </w:rPr>
        <w:t>sectors of industry</w:t>
      </w:r>
      <w:r>
        <w:rPr>
          <w:rFonts w:ascii="Arial" w:hAnsi="Arial"/>
          <w:sz w:val="20"/>
          <w:szCs w:val="20"/>
        </w:rPr>
        <w:t xml:space="preserve"> accounted for 84 % of the take-up of space. Logistics firms accounted for a share of 52 % and wholesale/retail for 32 %.</w:t>
      </w:r>
    </w:p>
    <w:p w14:paraId="6B0BBC4D" w14:textId="62FA1B1C" w:rsidR="00995237" w:rsidRPr="00EE4EAA" w:rsidRDefault="00091B06" w:rsidP="00FD33E1">
      <w:pPr>
        <w:pStyle w:val="Listenabsatz"/>
        <w:numPr>
          <w:ilvl w:val="0"/>
          <w:numId w:val="18"/>
        </w:numPr>
        <w:spacing w:before="60" w:after="60" w:line="360" w:lineRule="auto"/>
        <w:textAlignment w:val="baseline"/>
        <w:rPr>
          <w:rFonts w:ascii="Arial" w:eastAsiaTheme="minorHAnsi" w:hAnsi="Arial" w:cs="Arial"/>
          <w:sz w:val="20"/>
          <w:szCs w:val="20"/>
        </w:rPr>
      </w:pPr>
      <w:r w:rsidRPr="00EE4EAA">
        <w:rPr>
          <w:rFonts w:ascii="Arial" w:hAnsi="Arial"/>
          <w:sz w:val="20"/>
          <w:szCs w:val="20"/>
        </w:rPr>
        <w:t>Year on year, a trend towards locating within city limits h</w:t>
      </w:r>
      <w:r w:rsidR="0001684D" w:rsidRPr="00EE4EAA">
        <w:rPr>
          <w:rFonts w:ascii="Arial" w:hAnsi="Arial"/>
          <w:sz w:val="20"/>
          <w:szCs w:val="20"/>
        </w:rPr>
        <w:t>a</w:t>
      </w:r>
      <w:r w:rsidRPr="00EE4EAA">
        <w:rPr>
          <w:rFonts w:ascii="Arial" w:hAnsi="Arial"/>
          <w:sz w:val="20"/>
          <w:szCs w:val="20"/>
        </w:rPr>
        <w:t xml:space="preserve">s become apparent and market activity here has risen from 44 % to 63 %. The </w:t>
      </w:r>
      <w:r w:rsidRPr="00EE4EAA">
        <w:rPr>
          <w:rFonts w:ascii="Arial" w:hAnsi="Arial"/>
          <w:sz w:val="20"/>
          <w:szCs w:val="20"/>
          <w:u w:val="single"/>
        </w:rPr>
        <w:t>sub-market</w:t>
      </w:r>
      <w:r w:rsidRPr="00EE4EAA">
        <w:rPr>
          <w:rFonts w:ascii="Arial" w:hAnsi="Arial"/>
          <w:sz w:val="20"/>
          <w:szCs w:val="20"/>
        </w:rPr>
        <w:t xml:space="preserve"> Hamburg East accounted for 36 % of take-up due to two new contracts, which have brought its total of large-volume agreements to four. Hamburg South and the North West Environs followed with about a fifth of the market each.</w:t>
      </w:r>
    </w:p>
    <w:tbl>
      <w:tblPr>
        <w:tblStyle w:val="TableGrid2"/>
        <w:tblpPr w:leftFromText="141" w:rightFromText="141" w:vertAnchor="text" w:horzAnchor="margin" w:tblpY="106"/>
        <w:tblW w:w="5949" w:type="dxa"/>
        <w:tblLayout w:type="fixed"/>
        <w:tblLook w:val="04A0" w:firstRow="1" w:lastRow="0" w:firstColumn="1" w:lastColumn="0" w:noHBand="0" w:noVBand="1"/>
      </w:tblPr>
      <w:tblGrid>
        <w:gridCol w:w="3964"/>
        <w:gridCol w:w="1985"/>
      </w:tblGrid>
      <w:tr w:rsidR="009A3457" w:rsidRPr="006F49D0" w14:paraId="0BAC8A2E" w14:textId="77777777" w:rsidTr="00EE4EAA">
        <w:trPr>
          <w:trHeight w:val="255"/>
        </w:trPr>
        <w:tc>
          <w:tcPr>
            <w:tcW w:w="3964" w:type="dxa"/>
            <w:shd w:val="clear" w:color="auto" w:fill="1F242B" w:themeFill="accent2"/>
            <w:vAlign w:val="center"/>
          </w:tcPr>
          <w:p w14:paraId="71EBB413" w14:textId="6F8DBB8B" w:rsidR="009A3457" w:rsidRPr="00587FDA" w:rsidRDefault="00587FDA" w:rsidP="00EE4EAA">
            <w:pPr>
              <w:widowControl w:val="0"/>
              <w:spacing w:before="60" w:after="60"/>
              <w:rPr>
                <w:rFonts w:ascii="Arial" w:hAnsi="Arial" w:cs="Arial"/>
                <w:b/>
                <w:sz w:val="18"/>
                <w:szCs w:val="20"/>
              </w:rPr>
            </w:pPr>
            <w:r>
              <w:rPr>
                <w:rFonts w:ascii="Arial" w:hAnsi="Arial"/>
                <w:b/>
                <w:sz w:val="18"/>
                <w:szCs w:val="20"/>
              </w:rPr>
              <w:lastRenderedPageBreak/>
              <w:t>I</w:t>
            </w:r>
            <w:r w:rsidR="00EE4EAA">
              <w:rPr>
                <w:rFonts w:ascii="Arial" w:hAnsi="Arial"/>
                <w:b/>
                <w:sz w:val="18"/>
                <w:szCs w:val="20"/>
              </w:rPr>
              <w:t xml:space="preserve">ndustrial &amp; </w:t>
            </w:r>
            <w:r>
              <w:rPr>
                <w:rFonts w:ascii="Arial" w:hAnsi="Arial"/>
                <w:b/>
                <w:sz w:val="18"/>
                <w:szCs w:val="20"/>
              </w:rPr>
              <w:t xml:space="preserve">logistics | Hamburg </w:t>
            </w:r>
            <w:r w:rsidR="00EE4EAA">
              <w:rPr>
                <w:rFonts w:ascii="Arial" w:hAnsi="Arial"/>
                <w:b/>
                <w:sz w:val="18"/>
                <w:szCs w:val="20"/>
              </w:rPr>
              <w:t>&amp;</w:t>
            </w:r>
            <w:r>
              <w:rPr>
                <w:rFonts w:ascii="Arial" w:hAnsi="Arial"/>
                <w:b/>
                <w:sz w:val="18"/>
                <w:szCs w:val="20"/>
              </w:rPr>
              <w:t xml:space="preserve"> Environs</w:t>
            </w:r>
          </w:p>
        </w:tc>
        <w:tc>
          <w:tcPr>
            <w:tcW w:w="1985" w:type="dxa"/>
            <w:shd w:val="clear" w:color="auto" w:fill="1F242B" w:themeFill="accent2"/>
            <w:vAlign w:val="center"/>
          </w:tcPr>
          <w:p w14:paraId="7A683B01" w14:textId="3ACA561A" w:rsidR="009A3457" w:rsidRPr="004712BA" w:rsidRDefault="00616335" w:rsidP="009A3457">
            <w:pPr>
              <w:widowControl w:val="0"/>
              <w:spacing w:before="60" w:after="60"/>
              <w:jc w:val="center"/>
              <w:rPr>
                <w:rFonts w:ascii="Arial" w:hAnsi="Arial" w:cs="Arial"/>
                <w:b/>
                <w:sz w:val="18"/>
                <w:szCs w:val="16"/>
              </w:rPr>
            </w:pPr>
            <w:r>
              <w:rPr>
                <w:rFonts w:ascii="Arial" w:hAnsi="Arial"/>
                <w:b/>
                <w:sz w:val="18"/>
                <w:szCs w:val="16"/>
              </w:rPr>
              <w:t>2021 | Q1-Q3</w:t>
            </w:r>
          </w:p>
        </w:tc>
      </w:tr>
      <w:tr w:rsidR="009A3457" w:rsidRPr="006F49D0" w14:paraId="70DF3AA6" w14:textId="77777777" w:rsidTr="00EE4EAA">
        <w:trPr>
          <w:trHeight w:val="255"/>
        </w:trPr>
        <w:tc>
          <w:tcPr>
            <w:tcW w:w="3964" w:type="dxa"/>
            <w:vAlign w:val="center"/>
          </w:tcPr>
          <w:p w14:paraId="753DC114"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985" w:type="dxa"/>
            <w:vAlign w:val="center"/>
          </w:tcPr>
          <w:p w14:paraId="5D250936" w14:textId="6C1B0256" w:rsidR="009A3457" w:rsidRPr="004712BA" w:rsidRDefault="00D11364" w:rsidP="009A3457">
            <w:pPr>
              <w:widowControl w:val="0"/>
              <w:spacing w:before="60" w:after="60"/>
              <w:jc w:val="right"/>
              <w:rPr>
                <w:rFonts w:ascii="Arial" w:hAnsi="Arial" w:cs="Arial"/>
                <w:sz w:val="18"/>
                <w:szCs w:val="16"/>
              </w:rPr>
            </w:pPr>
            <w:r>
              <w:rPr>
                <w:rFonts w:ascii="Arial" w:hAnsi="Arial"/>
                <w:sz w:val="18"/>
                <w:szCs w:val="16"/>
              </w:rPr>
              <w:t>496,000</w:t>
            </w:r>
          </w:p>
        </w:tc>
      </w:tr>
      <w:tr w:rsidR="009A3457" w:rsidRPr="006F49D0" w14:paraId="043AFEFC" w14:textId="77777777" w:rsidTr="00EE4EAA">
        <w:trPr>
          <w:trHeight w:val="255"/>
        </w:trPr>
        <w:tc>
          <w:tcPr>
            <w:tcW w:w="3964" w:type="dxa"/>
            <w:vAlign w:val="center"/>
          </w:tcPr>
          <w:p w14:paraId="3ED9F0EF" w14:textId="77777777"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985" w:type="dxa"/>
            <w:vAlign w:val="center"/>
          </w:tcPr>
          <w:p w14:paraId="49FCD9C4" w14:textId="06830D60" w:rsidR="009A3457" w:rsidRPr="004712BA" w:rsidRDefault="009C5E5C" w:rsidP="00D11364">
            <w:pPr>
              <w:widowControl w:val="0"/>
              <w:spacing w:before="60" w:after="60"/>
              <w:jc w:val="right"/>
              <w:rPr>
                <w:rFonts w:ascii="Arial" w:hAnsi="Arial" w:cs="Arial"/>
                <w:sz w:val="18"/>
                <w:szCs w:val="16"/>
              </w:rPr>
            </w:pPr>
            <w:r>
              <w:rPr>
                <w:rFonts w:ascii="Arial" w:hAnsi="Arial"/>
                <w:sz w:val="18"/>
                <w:szCs w:val="16"/>
              </w:rPr>
              <w:t>+36</w:t>
            </w:r>
          </w:p>
        </w:tc>
      </w:tr>
      <w:tr w:rsidR="009A3457" w:rsidRPr="006F49D0" w14:paraId="0E732110" w14:textId="77777777" w:rsidTr="00EE4EAA">
        <w:trPr>
          <w:trHeight w:val="255"/>
        </w:trPr>
        <w:tc>
          <w:tcPr>
            <w:tcW w:w="3964" w:type="dxa"/>
            <w:vAlign w:val="center"/>
          </w:tcPr>
          <w:p w14:paraId="6654C7A9" w14:textId="77777777" w:rsidR="009A3457" w:rsidRPr="009A3457" w:rsidRDefault="009A3457" w:rsidP="009A3457">
            <w:pPr>
              <w:widowControl w:val="0"/>
              <w:spacing w:before="60" w:after="60"/>
              <w:jc w:val="both"/>
              <w:rPr>
                <w:rFonts w:ascii="Arial" w:hAnsi="Arial" w:cs="Arial"/>
                <w:b/>
                <w:sz w:val="18"/>
                <w:szCs w:val="16"/>
              </w:rPr>
            </w:pPr>
            <w:r>
              <w:rPr>
                <w:rFonts w:ascii="Arial" w:hAnsi="Arial"/>
                <w:b/>
                <w:sz w:val="18"/>
                <w:szCs w:val="16"/>
              </w:rPr>
              <w:t>Ratio of owner-occupiers</w:t>
            </w:r>
            <w:r>
              <w:rPr>
                <w:rFonts w:ascii="Arial" w:hAnsi="Arial"/>
                <w:sz w:val="18"/>
                <w:szCs w:val="16"/>
              </w:rPr>
              <w:t xml:space="preserve"> [%]</w:t>
            </w:r>
          </w:p>
        </w:tc>
        <w:tc>
          <w:tcPr>
            <w:tcW w:w="1985" w:type="dxa"/>
            <w:vAlign w:val="center"/>
          </w:tcPr>
          <w:p w14:paraId="5D7C8E7C" w14:textId="5C2F6638" w:rsidR="009A3457" w:rsidRPr="004712BA" w:rsidRDefault="00D11364" w:rsidP="009A3457">
            <w:pPr>
              <w:widowControl w:val="0"/>
              <w:spacing w:before="60" w:after="60"/>
              <w:jc w:val="right"/>
              <w:rPr>
                <w:rFonts w:ascii="Arial" w:hAnsi="Arial" w:cs="Arial"/>
                <w:sz w:val="18"/>
                <w:szCs w:val="16"/>
              </w:rPr>
            </w:pPr>
            <w:r>
              <w:rPr>
                <w:rFonts w:ascii="Arial" w:hAnsi="Arial"/>
                <w:sz w:val="18"/>
                <w:szCs w:val="16"/>
              </w:rPr>
              <w:t>15</w:t>
            </w:r>
          </w:p>
        </w:tc>
      </w:tr>
      <w:tr w:rsidR="009A3457" w:rsidRPr="006F49D0" w14:paraId="7D6C7858" w14:textId="77777777" w:rsidTr="00EE4EAA">
        <w:trPr>
          <w:trHeight w:val="255"/>
        </w:trPr>
        <w:tc>
          <w:tcPr>
            <w:tcW w:w="3964" w:type="dxa"/>
            <w:vAlign w:val="center"/>
          </w:tcPr>
          <w:p w14:paraId="71C81982" w14:textId="77777777" w:rsidR="009A3457" w:rsidRPr="00122A77" w:rsidRDefault="009A3457" w:rsidP="009A3457">
            <w:pPr>
              <w:widowControl w:val="0"/>
              <w:spacing w:before="60" w:after="60"/>
              <w:jc w:val="both"/>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985" w:type="dxa"/>
            <w:vAlign w:val="center"/>
          </w:tcPr>
          <w:p w14:paraId="248780FF" w14:textId="5399991F" w:rsidR="009A3457" w:rsidRPr="00122A77" w:rsidRDefault="006021B6" w:rsidP="00F67646">
            <w:pPr>
              <w:widowControl w:val="0"/>
              <w:spacing w:before="60" w:after="60"/>
              <w:jc w:val="right"/>
              <w:rPr>
                <w:rFonts w:ascii="Arial" w:hAnsi="Arial" w:cs="Arial"/>
                <w:sz w:val="18"/>
                <w:szCs w:val="16"/>
              </w:rPr>
            </w:pPr>
            <w:r>
              <w:rPr>
                <w:rFonts w:ascii="Arial" w:hAnsi="Arial"/>
                <w:sz w:val="18"/>
                <w:szCs w:val="16"/>
              </w:rPr>
              <w:t>-38</w:t>
            </w:r>
          </w:p>
        </w:tc>
      </w:tr>
      <w:tr w:rsidR="009A3457" w:rsidRPr="006F49D0" w14:paraId="40BC7CB1" w14:textId="77777777" w:rsidTr="00EE4EAA">
        <w:trPr>
          <w:trHeight w:val="255"/>
        </w:trPr>
        <w:tc>
          <w:tcPr>
            <w:tcW w:w="3964" w:type="dxa"/>
            <w:vAlign w:val="center"/>
          </w:tcPr>
          <w:p w14:paraId="4551D3A3"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985" w:type="dxa"/>
            <w:vAlign w:val="center"/>
          </w:tcPr>
          <w:p w14:paraId="6F30DDDE" w14:textId="58344977" w:rsidR="009A3457" w:rsidRPr="004712BA" w:rsidRDefault="00D11364" w:rsidP="00627692">
            <w:pPr>
              <w:widowControl w:val="0"/>
              <w:spacing w:before="60" w:after="60"/>
              <w:jc w:val="right"/>
              <w:rPr>
                <w:rFonts w:ascii="Arial" w:hAnsi="Arial" w:cs="Arial"/>
                <w:sz w:val="18"/>
                <w:szCs w:val="16"/>
              </w:rPr>
            </w:pPr>
            <w:r>
              <w:rPr>
                <w:rFonts w:ascii="Arial" w:hAnsi="Arial"/>
                <w:sz w:val="18"/>
                <w:szCs w:val="16"/>
              </w:rPr>
              <w:t>6.50</w:t>
            </w:r>
          </w:p>
        </w:tc>
      </w:tr>
      <w:tr w:rsidR="009A3457" w14:paraId="74A56634" w14:textId="77777777" w:rsidTr="00EE4EAA">
        <w:trPr>
          <w:trHeight w:val="255"/>
        </w:trPr>
        <w:tc>
          <w:tcPr>
            <w:tcW w:w="3964" w:type="dxa"/>
            <w:vAlign w:val="center"/>
          </w:tcPr>
          <w:p w14:paraId="1A0873A3" w14:textId="77777777"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985" w:type="dxa"/>
            <w:vAlign w:val="center"/>
          </w:tcPr>
          <w:p w14:paraId="5148E5D1" w14:textId="06FF55A7" w:rsidR="009A3457" w:rsidRPr="00A7575D" w:rsidRDefault="00E04869" w:rsidP="00D11364">
            <w:pPr>
              <w:widowControl w:val="0"/>
              <w:spacing w:before="60" w:after="60"/>
              <w:jc w:val="right"/>
              <w:rPr>
                <w:rFonts w:ascii="Arial" w:hAnsi="Arial" w:cs="Arial"/>
                <w:sz w:val="18"/>
                <w:szCs w:val="16"/>
              </w:rPr>
            </w:pPr>
            <w:r>
              <w:rPr>
                <w:rFonts w:ascii="Arial" w:hAnsi="Arial"/>
                <w:sz w:val="18"/>
                <w:szCs w:val="16"/>
              </w:rPr>
              <w:t>+3.2</w:t>
            </w:r>
          </w:p>
        </w:tc>
      </w:tr>
      <w:tr w:rsidR="009A3457" w:rsidRPr="006F49D0" w14:paraId="12FCA4FB" w14:textId="77777777" w:rsidTr="00EE4EAA">
        <w:trPr>
          <w:trHeight w:val="255"/>
        </w:trPr>
        <w:tc>
          <w:tcPr>
            <w:tcW w:w="3964" w:type="dxa"/>
            <w:vAlign w:val="center"/>
          </w:tcPr>
          <w:p w14:paraId="084ECC95"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985" w:type="dxa"/>
            <w:vAlign w:val="center"/>
          </w:tcPr>
          <w:p w14:paraId="520B34FD" w14:textId="77777777" w:rsidR="009A3457" w:rsidRPr="004712BA" w:rsidRDefault="00E04869" w:rsidP="00627692">
            <w:pPr>
              <w:widowControl w:val="0"/>
              <w:spacing w:before="60" w:after="60"/>
              <w:jc w:val="right"/>
              <w:rPr>
                <w:rFonts w:ascii="Arial" w:hAnsi="Arial" w:cs="Arial"/>
                <w:sz w:val="18"/>
                <w:szCs w:val="16"/>
              </w:rPr>
            </w:pPr>
            <w:r>
              <w:rPr>
                <w:rFonts w:ascii="Arial" w:hAnsi="Arial"/>
                <w:sz w:val="18"/>
                <w:szCs w:val="16"/>
              </w:rPr>
              <w:t>5.20</w:t>
            </w:r>
          </w:p>
        </w:tc>
      </w:tr>
      <w:tr w:rsidR="009A3457" w14:paraId="6162EAD9" w14:textId="77777777" w:rsidTr="00EE4EAA">
        <w:trPr>
          <w:trHeight w:val="255"/>
        </w:trPr>
        <w:tc>
          <w:tcPr>
            <w:tcW w:w="3964" w:type="dxa"/>
            <w:vAlign w:val="center"/>
          </w:tcPr>
          <w:p w14:paraId="0151E736" w14:textId="77777777"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985" w:type="dxa"/>
            <w:vAlign w:val="center"/>
          </w:tcPr>
          <w:p w14:paraId="3E1FB4AB" w14:textId="079BA654" w:rsidR="009A3457" w:rsidRPr="00A7575D" w:rsidRDefault="00D11364" w:rsidP="00D11364">
            <w:pPr>
              <w:widowControl w:val="0"/>
              <w:spacing w:before="60" w:after="60"/>
              <w:jc w:val="right"/>
              <w:rPr>
                <w:rFonts w:ascii="Arial" w:hAnsi="Arial" w:cs="Arial"/>
                <w:sz w:val="18"/>
                <w:szCs w:val="16"/>
              </w:rPr>
            </w:pPr>
            <w:r>
              <w:rPr>
                <w:rFonts w:ascii="Arial" w:hAnsi="Arial"/>
                <w:sz w:val="18"/>
                <w:szCs w:val="16"/>
              </w:rPr>
              <w:t>±0.0</w:t>
            </w:r>
          </w:p>
        </w:tc>
      </w:tr>
      <w:tr w:rsidR="00395ED5" w:rsidRPr="006F49D0" w14:paraId="13A0ED8E" w14:textId="77777777" w:rsidTr="00EE4EAA">
        <w:trPr>
          <w:trHeight w:val="255"/>
        </w:trPr>
        <w:tc>
          <w:tcPr>
            <w:tcW w:w="3964" w:type="dxa"/>
            <w:vAlign w:val="center"/>
          </w:tcPr>
          <w:p w14:paraId="2AD86D43" w14:textId="77777777" w:rsidR="00395ED5" w:rsidRPr="00D32F4A" w:rsidRDefault="00395ED5" w:rsidP="00395ED5">
            <w:pPr>
              <w:widowControl w:val="0"/>
              <w:spacing w:after="0"/>
              <w:jc w:val="both"/>
              <w:rPr>
                <w:rFonts w:ascii="Arial" w:hAnsi="Arial" w:cs="Arial"/>
                <w:b/>
                <w:sz w:val="18"/>
                <w:szCs w:val="16"/>
              </w:rPr>
            </w:pPr>
            <w:r>
              <w:rPr>
                <w:rFonts w:ascii="Arial" w:hAnsi="Arial"/>
                <w:b/>
                <w:sz w:val="18"/>
                <w:szCs w:val="16"/>
              </w:rPr>
              <w:t>Most popular sub-market</w:t>
            </w:r>
          </w:p>
        </w:tc>
        <w:tc>
          <w:tcPr>
            <w:tcW w:w="1985" w:type="dxa"/>
            <w:vAlign w:val="center"/>
          </w:tcPr>
          <w:p w14:paraId="4BE4626E" w14:textId="77777777" w:rsidR="00395ED5" w:rsidRPr="004712BA" w:rsidRDefault="00E04869" w:rsidP="00395ED5">
            <w:pPr>
              <w:widowControl w:val="0"/>
              <w:spacing w:before="60" w:after="60"/>
              <w:jc w:val="right"/>
              <w:rPr>
                <w:rFonts w:ascii="Arial" w:hAnsi="Arial" w:cs="Arial"/>
                <w:sz w:val="18"/>
                <w:szCs w:val="16"/>
              </w:rPr>
            </w:pPr>
            <w:r>
              <w:rPr>
                <w:rFonts w:ascii="Arial" w:hAnsi="Arial"/>
                <w:sz w:val="18"/>
                <w:szCs w:val="16"/>
              </w:rPr>
              <w:t>Hamburg East</w:t>
            </w:r>
          </w:p>
        </w:tc>
      </w:tr>
      <w:tr w:rsidR="00395ED5" w14:paraId="52AFAC85" w14:textId="77777777" w:rsidTr="00EE4EAA">
        <w:trPr>
          <w:trHeight w:val="255"/>
        </w:trPr>
        <w:tc>
          <w:tcPr>
            <w:tcW w:w="3964" w:type="dxa"/>
            <w:vAlign w:val="center"/>
          </w:tcPr>
          <w:p w14:paraId="1FC62107" w14:textId="77777777" w:rsidR="00395ED5" w:rsidRPr="00D32F4A" w:rsidRDefault="00395ED5" w:rsidP="00395ED5">
            <w:pPr>
              <w:widowControl w:val="0"/>
              <w:spacing w:after="0"/>
              <w:rPr>
                <w:rFonts w:ascii="Arial" w:hAnsi="Arial" w:cs="Arial"/>
                <w:sz w:val="18"/>
                <w:szCs w:val="16"/>
              </w:rPr>
            </w:pPr>
            <w:r>
              <w:rPr>
                <w:rFonts w:ascii="Arial" w:hAnsi="Arial"/>
                <w:sz w:val="18"/>
                <w:szCs w:val="16"/>
              </w:rPr>
              <w:t>Most popular sub-market [%]</w:t>
            </w:r>
          </w:p>
        </w:tc>
        <w:tc>
          <w:tcPr>
            <w:tcW w:w="1985" w:type="dxa"/>
            <w:vAlign w:val="center"/>
          </w:tcPr>
          <w:p w14:paraId="0EEDC51D" w14:textId="6CAAEF20" w:rsidR="00395ED5" w:rsidRPr="004712BA" w:rsidRDefault="00D11364" w:rsidP="00395ED5">
            <w:pPr>
              <w:widowControl w:val="0"/>
              <w:spacing w:before="60" w:after="60"/>
              <w:jc w:val="right"/>
              <w:rPr>
                <w:rFonts w:ascii="Arial" w:hAnsi="Arial" w:cs="Arial"/>
                <w:sz w:val="18"/>
                <w:szCs w:val="16"/>
              </w:rPr>
            </w:pPr>
            <w:r>
              <w:rPr>
                <w:rFonts w:ascii="Arial" w:hAnsi="Arial"/>
                <w:sz w:val="18"/>
                <w:szCs w:val="16"/>
              </w:rPr>
              <w:t>36</w:t>
            </w:r>
          </w:p>
        </w:tc>
      </w:tr>
      <w:tr w:rsidR="009A3457" w:rsidRPr="006F49D0" w14:paraId="5E737EA1" w14:textId="77777777" w:rsidTr="00EE4EAA">
        <w:trPr>
          <w:trHeight w:val="255"/>
        </w:trPr>
        <w:tc>
          <w:tcPr>
            <w:tcW w:w="3964" w:type="dxa"/>
            <w:tcBorders>
              <w:bottom w:val="single" w:sz="4" w:space="0" w:color="auto"/>
            </w:tcBorders>
            <w:vAlign w:val="center"/>
          </w:tcPr>
          <w:p w14:paraId="387A52FE"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Industry with highest turnover</w:t>
            </w:r>
          </w:p>
        </w:tc>
        <w:tc>
          <w:tcPr>
            <w:tcW w:w="1985" w:type="dxa"/>
            <w:tcBorders>
              <w:bottom w:val="single" w:sz="4" w:space="0" w:color="auto"/>
            </w:tcBorders>
            <w:vAlign w:val="center"/>
          </w:tcPr>
          <w:p w14:paraId="47CEAA99" w14:textId="2B51D8FC" w:rsidR="009A3457" w:rsidRPr="004712BA" w:rsidRDefault="00E04869" w:rsidP="0001684D">
            <w:pPr>
              <w:widowControl w:val="0"/>
              <w:spacing w:before="60" w:after="60"/>
              <w:jc w:val="right"/>
              <w:rPr>
                <w:rFonts w:ascii="Arial" w:hAnsi="Arial" w:cs="Arial"/>
                <w:sz w:val="18"/>
                <w:szCs w:val="16"/>
              </w:rPr>
            </w:pPr>
            <w:r>
              <w:rPr>
                <w:rFonts w:ascii="Arial" w:hAnsi="Arial"/>
                <w:sz w:val="18"/>
                <w:szCs w:val="16"/>
              </w:rPr>
              <w:t>Logistics</w:t>
            </w:r>
            <w:r w:rsidR="0001684D">
              <w:rPr>
                <w:rFonts w:ascii="Arial" w:hAnsi="Arial"/>
                <w:sz w:val="18"/>
                <w:szCs w:val="16"/>
              </w:rPr>
              <w:t xml:space="preserve"> &amp; </w:t>
            </w:r>
            <w:r>
              <w:rPr>
                <w:rFonts w:ascii="Arial" w:hAnsi="Arial"/>
                <w:sz w:val="18"/>
                <w:szCs w:val="16"/>
              </w:rPr>
              <w:t>forwarding</w:t>
            </w:r>
          </w:p>
        </w:tc>
      </w:tr>
      <w:tr w:rsidR="009A3457" w:rsidRPr="006F49D0" w14:paraId="6AE22D82" w14:textId="77777777" w:rsidTr="00EE4EAA">
        <w:trPr>
          <w:trHeight w:val="255"/>
        </w:trPr>
        <w:tc>
          <w:tcPr>
            <w:tcW w:w="3964" w:type="dxa"/>
            <w:tcBorders>
              <w:bottom w:val="single" w:sz="4" w:space="0" w:color="auto"/>
            </w:tcBorders>
            <w:vAlign w:val="center"/>
          </w:tcPr>
          <w:p w14:paraId="0FCDD888" w14:textId="77777777" w:rsidR="009A3457" w:rsidRPr="004712BA" w:rsidRDefault="009A3457" w:rsidP="009A3457">
            <w:pPr>
              <w:widowControl w:val="0"/>
              <w:spacing w:before="60" w:after="60"/>
              <w:jc w:val="both"/>
              <w:rPr>
                <w:rFonts w:ascii="Arial" w:hAnsi="Arial" w:cs="Arial"/>
                <w:b/>
                <w:sz w:val="18"/>
                <w:szCs w:val="16"/>
              </w:rPr>
            </w:pPr>
            <w:r>
              <w:rPr>
                <w:rFonts w:ascii="Arial" w:hAnsi="Arial"/>
                <w:sz w:val="18"/>
                <w:szCs w:val="16"/>
              </w:rPr>
              <w:t>Industry with highest turnover [%]</w:t>
            </w:r>
          </w:p>
        </w:tc>
        <w:tc>
          <w:tcPr>
            <w:tcW w:w="1985" w:type="dxa"/>
            <w:tcBorders>
              <w:bottom w:val="single" w:sz="4" w:space="0" w:color="auto"/>
            </w:tcBorders>
            <w:vAlign w:val="center"/>
          </w:tcPr>
          <w:p w14:paraId="66F89E6A" w14:textId="1C948110" w:rsidR="009A3457" w:rsidRPr="004712BA" w:rsidRDefault="00D11364" w:rsidP="009A3457">
            <w:pPr>
              <w:widowControl w:val="0"/>
              <w:spacing w:before="60" w:after="60"/>
              <w:jc w:val="right"/>
              <w:rPr>
                <w:rFonts w:ascii="Arial" w:hAnsi="Arial" w:cs="Arial"/>
                <w:sz w:val="18"/>
                <w:szCs w:val="16"/>
              </w:rPr>
            </w:pPr>
            <w:r>
              <w:rPr>
                <w:rFonts w:ascii="Arial" w:hAnsi="Arial"/>
                <w:sz w:val="18"/>
                <w:szCs w:val="16"/>
              </w:rPr>
              <w:t>52</w:t>
            </w:r>
          </w:p>
        </w:tc>
      </w:tr>
    </w:tbl>
    <w:p w14:paraId="01F8CEBD" w14:textId="108B6728" w:rsidR="001F0C02" w:rsidRDefault="00EE4EAA" w:rsidP="009C5E5C">
      <w:pPr>
        <w:tabs>
          <w:tab w:val="left" w:pos="1730"/>
        </w:tabs>
        <w:spacing w:after="0" w:line="360" w:lineRule="auto"/>
        <w:rPr>
          <w:rFonts w:ascii="Arial" w:hAnsi="Arial" w:cs="Arial"/>
          <w:b/>
          <w:sz w:val="20"/>
          <w:szCs w:val="20"/>
        </w:rPr>
      </w:pPr>
      <w:r>
        <w:rPr>
          <w:rFonts w:ascii="Arial" w:hAnsi="Arial"/>
          <w:b/>
          <w:noProof/>
          <w:sz w:val="20"/>
          <w:szCs w:val="20"/>
          <w:lang w:val="de-DE" w:eastAsia="de-DE"/>
        </w:rPr>
        <w:drawing>
          <wp:anchor distT="0" distB="0" distL="114300" distR="114300" simplePos="0" relativeHeight="251658240" behindDoc="0" locked="0" layoutInCell="1" allowOverlap="1" wp14:anchorId="74881FBF" wp14:editId="3BC4900E">
            <wp:simplePos x="0" y="0"/>
            <wp:positionH relativeFrom="margin">
              <wp:posOffset>3826510</wp:posOffset>
            </wp:positionH>
            <wp:positionV relativeFrom="paragraph">
              <wp:posOffset>74295</wp:posOffset>
            </wp:positionV>
            <wp:extent cx="2256790" cy="1592580"/>
            <wp:effectExtent l="19050" t="19050" r="10160" b="266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ustrial-market-Hamburg-3Q2021-take-up.jpg"/>
                    <pic:cNvPicPr/>
                  </pic:nvPicPr>
                  <pic:blipFill>
                    <a:blip r:embed="rId8">
                      <a:extLst>
                        <a:ext uri="{28A0092B-C50C-407E-A947-70E740481C1C}">
                          <a14:useLocalDpi xmlns:a14="http://schemas.microsoft.com/office/drawing/2010/main" val="0"/>
                        </a:ext>
                      </a:extLst>
                    </a:blip>
                    <a:stretch>
                      <a:fillRect/>
                    </a:stretch>
                  </pic:blipFill>
                  <pic:spPr>
                    <a:xfrm>
                      <a:off x="0" y="0"/>
                      <a:ext cx="2256790" cy="159258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D11364">
        <w:rPr>
          <w:rFonts w:ascii="Arial" w:hAnsi="Arial"/>
          <w:b/>
          <w:sz w:val="20"/>
          <w:szCs w:val="20"/>
        </w:rPr>
        <w:tab/>
      </w:r>
    </w:p>
    <w:p w14:paraId="411FDB89" w14:textId="77777777" w:rsidR="00514293" w:rsidRDefault="00514293" w:rsidP="009A3457">
      <w:pPr>
        <w:spacing w:after="0" w:line="360" w:lineRule="auto"/>
        <w:rPr>
          <w:rFonts w:ascii="Arial" w:hAnsi="Arial" w:cs="Arial"/>
          <w:b/>
          <w:sz w:val="20"/>
          <w:szCs w:val="20"/>
        </w:rPr>
      </w:pPr>
    </w:p>
    <w:p w14:paraId="7E35FD6C" w14:textId="77777777" w:rsidR="00514293" w:rsidRDefault="00514293" w:rsidP="009A3457">
      <w:pPr>
        <w:spacing w:after="0" w:line="360" w:lineRule="auto"/>
        <w:rPr>
          <w:rFonts w:ascii="Arial" w:hAnsi="Arial" w:cs="Arial"/>
          <w:b/>
          <w:sz w:val="20"/>
          <w:szCs w:val="20"/>
        </w:rPr>
      </w:pPr>
    </w:p>
    <w:p w14:paraId="7DB0D6F5" w14:textId="77777777" w:rsidR="009C5E5C" w:rsidRDefault="009C5E5C" w:rsidP="009A3457">
      <w:pPr>
        <w:spacing w:after="0" w:line="360" w:lineRule="auto"/>
        <w:rPr>
          <w:rFonts w:ascii="Arial" w:hAnsi="Arial" w:cs="Arial"/>
          <w:b/>
          <w:sz w:val="20"/>
          <w:szCs w:val="20"/>
        </w:rPr>
      </w:pPr>
    </w:p>
    <w:p w14:paraId="2FB6A702" w14:textId="77777777" w:rsidR="0001684D" w:rsidRDefault="0001684D" w:rsidP="009A3457">
      <w:pPr>
        <w:spacing w:after="0" w:line="360" w:lineRule="auto"/>
        <w:rPr>
          <w:rFonts w:ascii="Arial" w:hAnsi="Arial" w:cs="Arial"/>
          <w:b/>
          <w:sz w:val="20"/>
          <w:szCs w:val="20"/>
        </w:rPr>
      </w:pPr>
    </w:p>
    <w:p w14:paraId="0D31D637" w14:textId="77777777" w:rsidR="0001684D" w:rsidRDefault="0001684D" w:rsidP="009A3457">
      <w:pPr>
        <w:spacing w:after="0" w:line="360" w:lineRule="auto"/>
        <w:rPr>
          <w:rFonts w:ascii="Arial" w:hAnsi="Arial" w:cs="Arial"/>
          <w:b/>
          <w:sz w:val="20"/>
          <w:szCs w:val="20"/>
        </w:rPr>
      </w:pPr>
    </w:p>
    <w:p w14:paraId="21D4D4AE" w14:textId="77777777" w:rsidR="00EE4EAA" w:rsidRDefault="00EE4EAA" w:rsidP="009A3457">
      <w:pPr>
        <w:spacing w:after="0" w:line="360" w:lineRule="auto"/>
        <w:rPr>
          <w:rFonts w:ascii="Arial" w:hAnsi="Arial"/>
          <w:b/>
          <w:sz w:val="20"/>
          <w:szCs w:val="20"/>
        </w:rPr>
      </w:pPr>
    </w:p>
    <w:p w14:paraId="41A36C5A" w14:textId="57062561" w:rsidR="009A3457" w:rsidRPr="004C4080" w:rsidRDefault="00C36C38" w:rsidP="009A3457">
      <w:pPr>
        <w:spacing w:after="0" w:line="360" w:lineRule="auto"/>
        <w:rPr>
          <w:rFonts w:ascii="Arial" w:hAnsi="Arial" w:cs="Arial"/>
          <w:b/>
          <w:sz w:val="20"/>
          <w:szCs w:val="20"/>
        </w:rPr>
      </w:pPr>
      <w:r>
        <w:rPr>
          <w:rFonts w:ascii="Arial" w:hAnsi="Arial"/>
          <w:b/>
          <w:sz w:val="20"/>
          <w:szCs w:val="20"/>
        </w:rPr>
        <w:t>Selected top transactions | industrial &amp; logistics | Hamburg &amp; environs |</w:t>
      </w:r>
      <w:r w:rsidR="00EE4EAA">
        <w:rPr>
          <w:rFonts w:ascii="Arial" w:hAnsi="Arial"/>
          <w:b/>
          <w:sz w:val="20"/>
          <w:szCs w:val="20"/>
        </w:rPr>
        <w:t xml:space="preserve"> </w:t>
      </w:r>
      <w:r w:rsidR="00514293">
        <w:rPr>
          <w:rFonts w:ascii="Arial" w:hAnsi="Arial"/>
          <w:b/>
          <w:sz w:val="20"/>
          <w:szCs w:val="20"/>
        </w:rPr>
        <w:t>1</w:t>
      </w:r>
      <w:r w:rsidR="00514293" w:rsidRPr="00EE4EAA">
        <w:rPr>
          <w:rFonts w:ascii="Arial" w:hAnsi="Arial"/>
          <w:b/>
          <w:sz w:val="20"/>
          <w:szCs w:val="20"/>
          <w:vertAlign w:val="superscript"/>
        </w:rPr>
        <w:t>st</w:t>
      </w:r>
      <w:r w:rsidR="00514293">
        <w:rPr>
          <w:rFonts w:ascii="Arial" w:hAnsi="Arial"/>
          <w:b/>
          <w:sz w:val="20"/>
          <w:szCs w:val="20"/>
        </w:rPr>
        <w:t>-3</w:t>
      </w:r>
      <w:r w:rsidR="00514293" w:rsidRPr="00EE4EAA">
        <w:rPr>
          <w:rFonts w:ascii="Arial" w:hAnsi="Arial"/>
          <w:b/>
          <w:sz w:val="20"/>
          <w:szCs w:val="20"/>
          <w:vertAlign w:val="superscript"/>
        </w:rPr>
        <w:t>rd</w:t>
      </w:r>
      <w:r w:rsidR="00514293">
        <w:rPr>
          <w:rFonts w:ascii="Arial" w:hAnsi="Arial"/>
          <w:b/>
          <w:sz w:val="20"/>
          <w:szCs w:val="20"/>
        </w:rPr>
        <w:t xml:space="preserve"> quarters of 2021</w:t>
      </w:r>
    </w:p>
    <w:tbl>
      <w:tblPr>
        <w:tblStyle w:val="Tabellenraster"/>
        <w:tblpPr w:leftFromText="141" w:rightFromText="141" w:vertAnchor="text" w:horzAnchor="margin" w:tblpY="-23"/>
        <w:tblW w:w="9634" w:type="dxa"/>
        <w:tblLook w:val="04A0" w:firstRow="1" w:lastRow="0" w:firstColumn="1" w:lastColumn="0" w:noHBand="0" w:noVBand="1"/>
      </w:tblPr>
      <w:tblGrid>
        <w:gridCol w:w="1080"/>
        <w:gridCol w:w="2044"/>
        <w:gridCol w:w="2292"/>
        <w:gridCol w:w="2773"/>
        <w:gridCol w:w="1445"/>
      </w:tblGrid>
      <w:tr w:rsidR="00C36C38" w:rsidRPr="0017364E" w14:paraId="2FDA1885" w14:textId="77777777" w:rsidTr="00154797">
        <w:trPr>
          <w:trHeight w:val="542"/>
        </w:trPr>
        <w:tc>
          <w:tcPr>
            <w:tcW w:w="1080" w:type="dxa"/>
            <w:shd w:val="clear" w:color="auto" w:fill="1F242B" w:themeFill="accent2"/>
          </w:tcPr>
          <w:p w14:paraId="35808679" w14:textId="77777777" w:rsidR="00C36C38" w:rsidRPr="0017364E" w:rsidRDefault="00C36C38" w:rsidP="00D11364">
            <w:pPr>
              <w:spacing w:before="60" w:after="60"/>
              <w:jc w:val="center"/>
              <w:rPr>
                <w:rFonts w:ascii="Arial" w:hAnsi="Arial" w:cs="Arial"/>
                <w:b/>
                <w:sz w:val="18"/>
                <w:szCs w:val="16"/>
              </w:rPr>
            </w:pPr>
            <w:r>
              <w:rPr>
                <w:rFonts w:ascii="Arial" w:hAnsi="Arial"/>
                <w:b/>
                <w:sz w:val="16"/>
                <w:szCs w:val="16"/>
              </w:rPr>
              <w:t>City</w:t>
            </w:r>
          </w:p>
        </w:tc>
        <w:tc>
          <w:tcPr>
            <w:tcW w:w="2176" w:type="dxa"/>
            <w:shd w:val="clear" w:color="auto" w:fill="1F242B" w:themeFill="accent2"/>
          </w:tcPr>
          <w:p w14:paraId="1EB39844" w14:textId="77777777" w:rsidR="00C36C38" w:rsidRPr="0017364E" w:rsidRDefault="00C36C38" w:rsidP="00D11364">
            <w:pPr>
              <w:spacing w:before="60" w:after="60"/>
              <w:jc w:val="center"/>
              <w:rPr>
                <w:rFonts w:ascii="Arial" w:hAnsi="Arial" w:cs="Arial"/>
                <w:b/>
                <w:sz w:val="18"/>
                <w:szCs w:val="16"/>
              </w:rPr>
            </w:pPr>
            <w:r>
              <w:rPr>
                <w:rFonts w:ascii="Arial" w:hAnsi="Arial"/>
                <w:b/>
                <w:sz w:val="16"/>
                <w:szCs w:val="16"/>
              </w:rPr>
              <w:t>Road/street</w:t>
            </w:r>
          </w:p>
        </w:tc>
        <w:tc>
          <w:tcPr>
            <w:tcW w:w="2409" w:type="dxa"/>
            <w:shd w:val="clear" w:color="auto" w:fill="1F242B" w:themeFill="accent2"/>
          </w:tcPr>
          <w:p w14:paraId="6AE5270B" w14:textId="77777777" w:rsidR="00C36C38" w:rsidRPr="0017364E" w:rsidRDefault="00C36C38" w:rsidP="00D11364">
            <w:pPr>
              <w:spacing w:before="60" w:after="60"/>
              <w:jc w:val="center"/>
              <w:rPr>
                <w:rFonts w:ascii="Arial" w:hAnsi="Arial" w:cs="Arial"/>
                <w:b/>
                <w:sz w:val="18"/>
                <w:szCs w:val="16"/>
              </w:rPr>
            </w:pPr>
            <w:r>
              <w:rPr>
                <w:rFonts w:ascii="Arial" w:hAnsi="Arial"/>
                <w:b/>
                <w:sz w:val="16"/>
                <w:szCs w:val="16"/>
              </w:rPr>
              <w:t>Property/project</w:t>
            </w:r>
          </w:p>
        </w:tc>
        <w:tc>
          <w:tcPr>
            <w:tcW w:w="2977" w:type="dxa"/>
            <w:shd w:val="clear" w:color="auto" w:fill="1F242B" w:themeFill="accent2"/>
          </w:tcPr>
          <w:p w14:paraId="7417AFA1" w14:textId="77777777" w:rsidR="00C36C38" w:rsidRPr="0017364E" w:rsidRDefault="00C36C38" w:rsidP="00D11364">
            <w:pPr>
              <w:spacing w:before="60" w:after="60"/>
              <w:jc w:val="center"/>
              <w:rPr>
                <w:rFonts w:ascii="Arial" w:hAnsi="Arial" w:cs="Arial"/>
                <w:b/>
                <w:sz w:val="18"/>
                <w:szCs w:val="16"/>
              </w:rPr>
            </w:pPr>
            <w:r>
              <w:rPr>
                <w:rFonts w:ascii="Arial" w:hAnsi="Arial"/>
                <w:b/>
                <w:sz w:val="16"/>
                <w:szCs w:val="16"/>
              </w:rPr>
              <w:t>Tenant/owner-occupier</w:t>
            </w:r>
          </w:p>
        </w:tc>
        <w:tc>
          <w:tcPr>
            <w:tcW w:w="992" w:type="dxa"/>
            <w:shd w:val="clear" w:color="auto" w:fill="1F242B" w:themeFill="accent2"/>
          </w:tcPr>
          <w:p w14:paraId="4BB99D36" w14:textId="1C4ED876" w:rsidR="00C36C38" w:rsidRPr="00873089" w:rsidRDefault="00484E96" w:rsidP="00232A4C">
            <w:pPr>
              <w:pStyle w:val="Titel"/>
              <w:rPr>
                <w:rFonts w:cs="Arial"/>
              </w:rPr>
            </w:pPr>
            <w:r>
              <w:t>Floor area</w:t>
            </w:r>
            <w:bookmarkStart w:id="0" w:name="_GoBack"/>
            <w:bookmarkEnd w:id="0"/>
          </w:p>
          <w:p w14:paraId="2AD105D9" w14:textId="77777777" w:rsidR="00C36C38" w:rsidRPr="00627692" w:rsidRDefault="00627692" w:rsidP="00D11364">
            <w:pPr>
              <w:spacing w:before="60" w:after="60"/>
              <w:jc w:val="center"/>
              <w:rPr>
                <w:rFonts w:ascii="Arial" w:hAnsi="Arial" w:cs="Arial"/>
                <w:sz w:val="18"/>
                <w:szCs w:val="16"/>
              </w:rPr>
            </w:pPr>
            <w:r>
              <w:rPr>
                <w:rFonts w:ascii="Arial" w:hAnsi="Arial"/>
                <w:sz w:val="16"/>
                <w:szCs w:val="16"/>
              </w:rPr>
              <w:t>[ca. m²]</w:t>
            </w:r>
          </w:p>
        </w:tc>
      </w:tr>
      <w:tr w:rsidR="009C5E5C" w:rsidRPr="0017364E" w14:paraId="632D8050" w14:textId="77777777" w:rsidTr="00D11364">
        <w:trPr>
          <w:trHeight w:val="542"/>
        </w:trPr>
        <w:tc>
          <w:tcPr>
            <w:tcW w:w="1080" w:type="dxa"/>
            <w:shd w:val="clear" w:color="auto" w:fill="auto"/>
            <w:vAlign w:val="center"/>
          </w:tcPr>
          <w:p w14:paraId="5CEB731E" w14:textId="77777777" w:rsidR="009C5E5C" w:rsidRPr="004C4080" w:rsidRDefault="004C4080" w:rsidP="00C36C38">
            <w:pPr>
              <w:spacing w:before="60" w:after="60"/>
              <w:rPr>
                <w:rFonts w:ascii="Arial" w:hAnsi="Arial" w:cs="Arial"/>
                <w:sz w:val="16"/>
                <w:szCs w:val="16"/>
              </w:rPr>
            </w:pPr>
            <w:proofErr w:type="spellStart"/>
            <w:r>
              <w:rPr>
                <w:rFonts w:ascii="Arial" w:hAnsi="Arial"/>
                <w:sz w:val="16"/>
                <w:szCs w:val="16"/>
              </w:rPr>
              <w:t>Nützen</w:t>
            </w:r>
            <w:proofErr w:type="spellEnd"/>
          </w:p>
        </w:tc>
        <w:tc>
          <w:tcPr>
            <w:tcW w:w="2176" w:type="dxa"/>
            <w:shd w:val="clear" w:color="auto" w:fill="auto"/>
            <w:vAlign w:val="center"/>
          </w:tcPr>
          <w:p w14:paraId="4FAC26B5" w14:textId="77777777" w:rsidR="009C5E5C" w:rsidRPr="004C4080" w:rsidRDefault="004C4080" w:rsidP="00C36C38">
            <w:pPr>
              <w:spacing w:before="60" w:after="60"/>
              <w:rPr>
                <w:rFonts w:ascii="Arial" w:hAnsi="Arial" w:cs="Arial"/>
                <w:sz w:val="16"/>
                <w:szCs w:val="16"/>
              </w:rPr>
            </w:pPr>
            <w:proofErr w:type="spellStart"/>
            <w:r>
              <w:rPr>
                <w:rFonts w:ascii="Arial" w:hAnsi="Arial"/>
                <w:sz w:val="16"/>
                <w:szCs w:val="16"/>
              </w:rPr>
              <w:t>Kirchenweg</w:t>
            </w:r>
            <w:proofErr w:type="spellEnd"/>
            <w:r>
              <w:rPr>
                <w:rFonts w:ascii="Arial" w:hAnsi="Arial"/>
                <w:sz w:val="16"/>
                <w:szCs w:val="16"/>
              </w:rPr>
              <w:t xml:space="preserve"> 12</w:t>
            </w:r>
          </w:p>
        </w:tc>
        <w:tc>
          <w:tcPr>
            <w:tcW w:w="2409" w:type="dxa"/>
            <w:shd w:val="clear" w:color="auto" w:fill="auto"/>
            <w:vAlign w:val="center"/>
          </w:tcPr>
          <w:p w14:paraId="1A55BB4F" w14:textId="77777777" w:rsidR="009C5E5C" w:rsidRPr="00154797" w:rsidRDefault="004C4080" w:rsidP="00154797">
            <w:pPr>
              <w:spacing w:before="60" w:after="60"/>
              <w:rPr>
                <w:rFonts w:ascii="Arial" w:hAnsi="Arial" w:cs="Arial"/>
                <w:sz w:val="16"/>
                <w:szCs w:val="16"/>
              </w:rPr>
            </w:pPr>
            <w:r>
              <w:rPr>
                <w:rFonts w:ascii="Arial" w:hAnsi="Arial"/>
                <w:sz w:val="16"/>
                <w:szCs w:val="16"/>
              </w:rPr>
              <w:t>“</w:t>
            </w:r>
            <w:proofErr w:type="spellStart"/>
            <w:r>
              <w:rPr>
                <w:rFonts w:ascii="Arial" w:hAnsi="Arial"/>
                <w:sz w:val="16"/>
                <w:szCs w:val="16"/>
              </w:rPr>
              <w:t>Panattoni</w:t>
            </w:r>
            <w:proofErr w:type="spellEnd"/>
            <w:r>
              <w:rPr>
                <w:rFonts w:ascii="Arial" w:hAnsi="Arial"/>
                <w:sz w:val="16"/>
                <w:szCs w:val="16"/>
              </w:rPr>
              <w:t xml:space="preserve"> Park Hamburg North”, new-build logistics halls</w:t>
            </w:r>
          </w:p>
        </w:tc>
        <w:tc>
          <w:tcPr>
            <w:tcW w:w="2977" w:type="dxa"/>
            <w:shd w:val="clear" w:color="auto" w:fill="auto"/>
            <w:vAlign w:val="center"/>
          </w:tcPr>
          <w:p w14:paraId="65FF7919" w14:textId="7855FCCA" w:rsidR="009C5E5C" w:rsidRPr="004C4080" w:rsidRDefault="006021B6" w:rsidP="00C36C38">
            <w:pPr>
              <w:spacing w:before="60" w:after="60"/>
              <w:rPr>
                <w:rFonts w:ascii="Arial" w:hAnsi="Arial" w:cs="Arial"/>
                <w:sz w:val="16"/>
                <w:szCs w:val="16"/>
              </w:rPr>
            </w:pPr>
            <w:proofErr w:type="spellStart"/>
            <w:r>
              <w:rPr>
                <w:rFonts w:ascii="Arial" w:hAnsi="Arial"/>
                <w:sz w:val="16"/>
                <w:szCs w:val="16"/>
              </w:rPr>
              <w:t>Riess-Ambiente</w:t>
            </w:r>
            <w:proofErr w:type="spellEnd"/>
          </w:p>
        </w:tc>
        <w:tc>
          <w:tcPr>
            <w:tcW w:w="992" w:type="dxa"/>
            <w:shd w:val="clear" w:color="auto" w:fill="auto"/>
            <w:vAlign w:val="center"/>
          </w:tcPr>
          <w:p w14:paraId="14D5A527" w14:textId="77777777" w:rsidR="009C5E5C" w:rsidRPr="004C4080" w:rsidRDefault="004C4080" w:rsidP="004C4080">
            <w:pPr>
              <w:spacing w:after="0"/>
              <w:jc w:val="center"/>
              <w:rPr>
                <w:rFonts w:ascii="Arial" w:hAnsi="Arial" w:cs="Arial"/>
                <w:sz w:val="16"/>
                <w:szCs w:val="16"/>
              </w:rPr>
            </w:pPr>
            <w:r>
              <w:rPr>
                <w:rFonts w:ascii="Arial" w:hAnsi="Arial"/>
                <w:sz w:val="16"/>
                <w:szCs w:val="16"/>
              </w:rPr>
              <w:t>37,700</w:t>
            </w:r>
          </w:p>
        </w:tc>
      </w:tr>
      <w:tr w:rsidR="004C4080" w:rsidRPr="0017364E" w14:paraId="1D3C0BEE" w14:textId="77777777" w:rsidTr="00D11364">
        <w:trPr>
          <w:trHeight w:val="542"/>
        </w:trPr>
        <w:tc>
          <w:tcPr>
            <w:tcW w:w="1080" w:type="dxa"/>
            <w:shd w:val="clear" w:color="auto" w:fill="auto"/>
            <w:vAlign w:val="center"/>
          </w:tcPr>
          <w:p w14:paraId="63A07146" w14:textId="77777777" w:rsidR="004C4080" w:rsidRPr="004C4080" w:rsidRDefault="004C4080" w:rsidP="00C36C38">
            <w:pPr>
              <w:spacing w:before="60" w:after="60"/>
              <w:rPr>
                <w:rFonts w:ascii="Arial" w:hAnsi="Arial" w:cs="Arial"/>
                <w:sz w:val="16"/>
                <w:szCs w:val="16"/>
              </w:rPr>
            </w:pPr>
            <w:r>
              <w:rPr>
                <w:rFonts w:ascii="Arial" w:hAnsi="Arial"/>
                <w:sz w:val="16"/>
                <w:szCs w:val="16"/>
              </w:rPr>
              <w:t>Hamburg</w:t>
            </w:r>
          </w:p>
        </w:tc>
        <w:tc>
          <w:tcPr>
            <w:tcW w:w="2176" w:type="dxa"/>
            <w:shd w:val="clear" w:color="auto" w:fill="auto"/>
            <w:vAlign w:val="center"/>
          </w:tcPr>
          <w:p w14:paraId="1D268012" w14:textId="77777777" w:rsidR="004C4080" w:rsidRDefault="004C4080" w:rsidP="00C36C38">
            <w:pPr>
              <w:spacing w:before="60" w:after="60"/>
              <w:rPr>
                <w:rFonts w:ascii="Arial" w:hAnsi="Arial" w:cs="Arial"/>
                <w:sz w:val="16"/>
                <w:szCs w:val="16"/>
              </w:rPr>
            </w:pPr>
            <w:proofErr w:type="spellStart"/>
            <w:r>
              <w:rPr>
                <w:rFonts w:ascii="Arial" w:hAnsi="Arial"/>
                <w:sz w:val="16"/>
                <w:szCs w:val="16"/>
              </w:rPr>
              <w:t>Vollhöfner</w:t>
            </w:r>
            <w:proofErr w:type="spellEnd"/>
            <w:r>
              <w:rPr>
                <w:rFonts w:ascii="Arial" w:hAnsi="Arial"/>
                <w:sz w:val="16"/>
                <w:szCs w:val="16"/>
              </w:rPr>
              <w:t xml:space="preserve"> </w:t>
            </w:r>
            <w:proofErr w:type="spellStart"/>
            <w:r>
              <w:rPr>
                <w:rFonts w:ascii="Arial" w:hAnsi="Arial"/>
                <w:sz w:val="16"/>
                <w:szCs w:val="16"/>
              </w:rPr>
              <w:t>Weiden</w:t>
            </w:r>
            <w:proofErr w:type="spellEnd"/>
            <w:r>
              <w:rPr>
                <w:rFonts w:ascii="Arial" w:hAnsi="Arial"/>
                <w:sz w:val="16"/>
                <w:szCs w:val="16"/>
              </w:rPr>
              <w:t xml:space="preserve"> 19</w:t>
            </w:r>
          </w:p>
        </w:tc>
        <w:tc>
          <w:tcPr>
            <w:tcW w:w="2409" w:type="dxa"/>
            <w:shd w:val="clear" w:color="auto" w:fill="auto"/>
            <w:vAlign w:val="center"/>
          </w:tcPr>
          <w:p w14:paraId="690BECC2" w14:textId="77777777" w:rsidR="004C4080" w:rsidRPr="006021B6" w:rsidRDefault="009919C7" w:rsidP="00C36C38">
            <w:pPr>
              <w:spacing w:before="60" w:after="60"/>
              <w:rPr>
                <w:rFonts w:ascii="Arial" w:hAnsi="Arial" w:cs="Arial"/>
                <w:sz w:val="16"/>
                <w:szCs w:val="16"/>
              </w:rPr>
            </w:pPr>
            <w:r>
              <w:rPr>
                <w:rFonts w:ascii="Arial" w:hAnsi="Arial"/>
                <w:sz w:val="16"/>
                <w:szCs w:val="16"/>
              </w:rPr>
              <w:t>Existing logistics facility</w:t>
            </w:r>
          </w:p>
        </w:tc>
        <w:tc>
          <w:tcPr>
            <w:tcW w:w="2977" w:type="dxa"/>
            <w:shd w:val="clear" w:color="auto" w:fill="auto"/>
            <w:vAlign w:val="center"/>
          </w:tcPr>
          <w:p w14:paraId="0986AD7D" w14:textId="77777777" w:rsidR="004C4080" w:rsidRDefault="00704C9B" w:rsidP="00C36C38">
            <w:pPr>
              <w:spacing w:before="60" w:after="60"/>
              <w:rPr>
                <w:rFonts w:ascii="Arial" w:hAnsi="Arial" w:cs="Arial"/>
                <w:sz w:val="16"/>
                <w:szCs w:val="16"/>
              </w:rPr>
            </w:pPr>
            <w:r>
              <w:rPr>
                <w:rFonts w:ascii="Arial" w:hAnsi="Arial"/>
                <w:sz w:val="16"/>
                <w:szCs w:val="16"/>
              </w:rPr>
              <w:t>GREIWING logistics for you</w:t>
            </w:r>
          </w:p>
        </w:tc>
        <w:tc>
          <w:tcPr>
            <w:tcW w:w="992" w:type="dxa"/>
            <w:shd w:val="clear" w:color="auto" w:fill="auto"/>
            <w:vAlign w:val="center"/>
          </w:tcPr>
          <w:p w14:paraId="0EBA542D" w14:textId="77777777" w:rsidR="004C4080" w:rsidRDefault="004C4080" w:rsidP="004C4080">
            <w:pPr>
              <w:spacing w:after="0"/>
              <w:jc w:val="center"/>
              <w:rPr>
                <w:rFonts w:ascii="Arial" w:hAnsi="Arial" w:cs="Arial"/>
                <w:sz w:val="16"/>
                <w:szCs w:val="16"/>
              </w:rPr>
            </w:pPr>
            <w:r>
              <w:rPr>
                <w:rFonts w:ascii="Arial" w:hAnsi="Arial"/>
                <w:sz w:val="16"/>
                <w:szCs w:val="16"/>
              </w:rPr>
              <w:t>29,200</w:t>
            </w:r>
          </w:p>
        </w:tc>
      </w:tr>
      <w:tr w:rsidR="00D11364" w:rsidRPr="0017364E" w14:paraId="29F73E13" w14:textId="77777777" w:rsidTr="00D11364">
        <w:trPr>
          <w:trHeight w:val="542"/>
        </w:trPr>
        <w:tc>
          <w:tcPr>
            <w:tcW w:w="1080" w:type="dxa"/>
            <w:shd w:val="clear" w:color="auto" w:fill="D9D9D9" w:themeFill="background1" w:themeFillShade="D9"/>
            <w:vAlign w:val="center"/>
          </w:tcPr>
          <w:p w14:paraId="1C7CC8B5" w14:textId="2678487F" w:rsidR="00D11364" w:rsidRDefault="00D11364" w:rsidP="00C36C38">
            <w:pPr>
              <w:spacing w:before="60" w:after="60"/>
              <w:rPr>
                <w:rFonts w:ascii="Arial" w:hAnsi="Arial" w:cs="Arial"/>
                <w:sz w:val="16"/>
                <w:szCs w:val="16"/>
              </w:rPr>
            </w:pPr>
            <w:r>
              <w:rPr>
                <w:rFonts w:ascii="Arial" w:hAnsi="Arial"/>
                <w:sz w:val="16"/>
                <w:szCs w:val="16"/>
              </w:rPr>
              <w:t>Hamburg</w:t>
            </w:r>
          </w:p>
        </w:tc>
        <w:tc>
          <w:tcPr>
            <w:tcW w:w="2176" w:type="dxa"/>
            <w:shd w:val="clear" w:color="auto" w:fill="D9D9D9" w:themeFill="background1" w:themeFillShade="D9"/>
            <w:vAlign w:val="center"/>
          </w:tcPr>
          <w:p w14:paraId="7A2C826B" w14:textId="7E401B44" w:rsidR="00D11364" w:rsidRDefault="00D11364" w:rsidP="00C36C38">
            <w:pPr>
              <w:spacing w:before="60" w:after="60"/>
              <w:rPr>
                <w:rFonts w:ascii="Arial" w:hAnsi="Arial" w:cs="Arial"/>
                <w:sz w:val="16"/>
                <w:szCs w:val="16"/>
              </w:rPr>
            </w:pPr>
            <w:proofErr w:type="spellStart"/>
            <w:r>
              <w:rPr>
                <w:rFonts w:ascii="Arial" w:hAnsi="Arial"/>
                <w:sz w:val="16"/>
                <w:szCs w:val="16"/>
              </w:rPr>
              <w:t>Pinkertweg</w:t>
            </w:r>
            <w:proofErr w:type="spellEnd"/>
            <w:r>
              <w:rPr>
                <w:rFonts w:ascii="Arial" w:hAnsi="Arial"/>
                <w:sz w:val="16"/>
                <w:szCs w:val="16"/>
              </w:rPr>
              <w:t xml:space="preserve"> 5</w:t>
            </w:r>
          </w:p>
        </w:tc>
        <w:tc>
          <w:tcPr>
            <w:tcW w:w="2409" w:type="dxa"/>
            <w:shd w:val="clear" w:color="auto" w:fill="D9D9D9" w:themeFill="background1" w:themeFillShade="D9"/>
            <w:vAlign w:val="center"/>
          </w:tcPr>
          <w:p w14:paraId="18944BB1" w14:textId="25E46D08" w:rsidR="00D11364" w:rsidRDefault="00D11364" w:rsidP="00704C9B">
            <w:pPr>
              <w:spacing w:before="60" w:after="60"/>
              <w:rPr>
                <w:rFonts w:ascii="Arial" w:hAnsi="Arial" w:cs="Arial"/>
                <w:sz w:val="16"/>
                <w:szCs w:val="16"/>
              </w:rPr>
            </w:pPr>
            <w:r>
              <w:rPr>
                <w:rFonts w:ascii="Arial" w:hAnsi="Arial"/>
                <w:sz w:val="16"/>
                <w:szCs w:val="16"/>
              </w:rPr>
              <w:t>New build logistics centre</w:t>
            </w:r>
          </w:p>
        </w:tc>
        <w:tc>
          <w:tcPr>
            <w:tcW w:w="2977" w:type="dxa"/>
            <w:shd w:val="clear" w:color="auto" w:fill="D9D9D9" w:themeFill="background1" w:themeFillShade="D9"/>
            <w:vAlign w:val="center"/>
          </w:tcPr>
          <w:p w14:paraId="0C2892DB" w14:textId="6F45E809" w:rsidR="00D11364" w:rsidRPr="006021B6" w:rsidRDefault="00D11364" w:rsidP="00C36C38">
            <w:pPr>
              <w:spacing w:before="60" w:after="60"/>
              <w:rPr>
                <w:rFonts w:ascii="Arial" w:hAnsi="Arial" w:cs="Arial"/>
                <w:sz w:val="16"/>
                <w:szCs w:val="16"/>
              </w:rPr>
            </w:pPr>
            <w:r>
              <w:rPr>
                <w:rFonts w:ascii="Arial" w:hAnsi="Arial"/>
                <w:sz w:val="16"/>
                <w:szCs w:val="16"/>
              </w:rPr>
              <w:t>Group7 (</w:t>
            </w:r>
            <w:proofErr w:type="spellStart"/>
            <w:r>
              <w:rPr>
                <w:rFonts w:ascii="Arial" w:hAnsi="Arial"/>
                <w:sz w:val="16"/>
                <w:szCs w:val="16"/>
              </w:rPr>
              <w:t>pwner</w:t>
            </w:r>
            <w:proofErr w:type="spellEnd"/>
            <w:r>
              <w:rPr>
                <w:rFonts w:ascii="Arial" w:hAnsi="Arial"/>
                <w:sz w:val="16"/>
                <w:szCs w:val="16"/>
              </w:rPr>
              <w:t>-occupier)</w:t>
            </w:r>
          </w:p>
        </w:tc>
        <w:tc>
          <w:tcPr>
            <w:tcW w:w="992" w:type="dxa"/>
            <w:shd w:val="clear" w:color="auto" w:fill="D9D9D9" w:themeFill="background1" w:themeFillShade="D9"/>
            <w:vAlign w:val="center"/>
          </w:tcPr>
          <w:p w14:paraId="0B968EF7" w14:textId="376A82F1" w:rsidR="00D11364" w:rsidRDefault="00D11364" w:rsidP="004C4080">
            <w:pPr>
              <w:spacing w:after="0"/>
              <w:jc w:val="center"/>
              <w:rPr>
                <w:rFonts w:ascii="Arial" w:hAnsi="Arial" w:cs="Arial"/>
                <w:sz w:val="16"/>
                <w:szCs w:val="16"/>
              </w:rPr>
            </w:pPr>
            <w:r>
              <w:rPr>
                <w:rFonts w:ascii="Arial" w:hAnsi="Arial"/>
                <w:sz w:val="16"/>
                <w:szCs w:val="16"/>
              </w:rPr>
              <w:t>26,000</w:t>
            </w:r>
          </w:p>
        </w:tc>
      </w:tr>
      <w:tr w:rsidR="004C4080" w:rsidRPr="0017364E" w14:paraId="6DF1E76A" w14:textId="77777777" w:rsidTr="00D11364">
        <w:trPr>
          <w:trHeight w:val="542"/>
        </w:trPr>
        <w:tc>
          <w:tcPr>
            <w:tcW w:w="1080" w:type="dxa"/>
            <w:shd w:val="clear" w:color="auto" w:fill="auto"/>
            <w:vAlign w:val="center"/>
          </w:tcPr>
          <w:p w14:paraId="23A26B2D" w14:textId="77777777" w:rsidR="004C4080" w:rsidRDefault="004C4080" w:rsidP="00C36C38">
            <w:pPr>
              <w:spacing w:before="60" w:after="60"/>
              <w:rPr>
                <w:rFonts w:ascii="Arial" w:hAnsi="Arial" w:cs="Arial"/>
                <w:sz w:val="16"/>
                <w:szCs w:val="16"/>
              </w:rPr>
            </w:pPr>
            <w:proofErr w:type="spellStart"/>
            <w:r>
              <w:rPr>
                <w:rFonts w:ascii="Arial" w:hAnsi="Arial"/>
                <w:sz w:val="16"/>
                <w:szCs w:val="16"/>
              </w:rPr>
              <w:t>Wenzendorf</w:t>
            </w:r>
            <w:proofErr w:type="spellEnd"/>
          </w:p>
        </w:tc>
        <w:tc>
          <w:tcPr>
            <w:tcW w:w="2176" w:type="dxa"/>
            <w:shd w:val="clear" w:color="auto" w:fill="auto"/>
            <w:vAlign w:val="center"/>
          </w:tcPr>
          <w:p w14:paraId="28F65C4A" w14:textId="77777777" w:rsidR="004C4080" w:rsidRDefault="004C4080" w:rsidP="00C36C38">
            <w:pPr>
              <w:spacing w:before="60" w:after="60"/>
              <w:rPr>
                <w:rFonts w:ascii="Arial" w:hAnsi="Arial" w:cs="Arial"/>
                <w:sz w:val="16"/>
                <w:szCs w:val="16"/>
              </w:rPr>
            </w:pPr>
            <w:r>
              <w:rPr>
                <w:rFonts w:ascii="Arial" w:hAnsi="Arial"/>
                <w:sz w:val="16"/>
                <w:szCs w:val="16"/>
              </w:rPr>
              <w:t>Otto-Lilienthal-</w:t>
            </w:r>
            <w:proofErr w:type="spellStart"/>
            <w:r>
              <w:rPr>
                <w:rFonts w:ascii="Arial" w:hAnsi="Arial"/>
                <w:sz w:val="16"/>
                <w:szCs w:val="16"/>
              </w:rPr>
              <w:t>Strasse</w:t>
            </w:r>
            <w:proofErr w:type="spellEnd"/>
            <w:r>
              <w:rPr>
                <w:rFonts w:ascii="Arial" w:hAnsi="Arial"/>
                <w:sz w:val="16"/>
                <w:szCs w:val="16"/>
              </w:rPr>
              <w:t xml:space="preserve"> 1a-d</w:t>
            </w:r>
          </w:p>
        </w:tc>
        <w:tc>
          <w:tcPr>
            <w:tcW w:w="2409" w:type="dxa"/>
            <w:shd w:val="clear" w:color="auto" w:fill="auto"/>
            <w:vAlign w:val="center"/>
          </w:tcPr>
          <w:p w14:paraId="0E3F4C8A" w14:textId="77777777" w:rsidR="004C4080" w:rsidRDefault="00154797" w:rsidP="00704C9B">
            <w:pPr>
              <w:spacing w:before="60" w:after="60"/>
              <w:rPr>
                <w:rFonts w:ascii="Arial" w:hAnsi="Arial" w:cs="Arial"/>
                <w:sz w:val="16"/>
                <w:szCs w:val="16"/>
              </w:rPr>
            </w:pPr>
            <w:r>
              <w:rPr>
                <w:rFonts w:ascii="Arial" w:hAnsi="Arial"/>
                <w:sz w:val="16"/>
                <w:szCs w:val="16"/>
              </w:rPr>
              <w:t>“</w:t>
            </w:r>
            <w:proofErr w:type="spellStart"/>
            <w:r>
              <w:rPr>
                <w:rFonts w:ascii="Arial" w:hAnsi="Arial"/>
                <w:sz w:val="16"/>
                <w:szCs w:val="16"/>
              </w:rPr>
              <w:t>Logistikpark</w:t>
            </w:r>
            <w:proofErr w:type="spellEnd"/>
            <w:r>
              <w:rPr>
                <w:rFonts w:ascii="Arial" w:hAnsi="Arial"/>
                <w:sz w:val="16"/>
                <w:szCs w:val="16"/>
              </w:rPr>
              <w:t xml:space="preserve"> </w:t>
            </w:r>
            <w:proofErr w:type="spellStart"/>
            <w:r>
              <w:rPr>
                <w:rFonts w:ascii="Arial" w:hAnsi="Arial"/>
                <w:sz w:val="16"/>
                <w:szCs w:val="16"/>
              </w:rPr>
              <w:t>Eurolog</w:t>
            </w:r>
            <w:proofErr w:type="spellEnd"/>
            <w:r>
              <w:rPr>
                <w:rFonts w:ascii="Arial" w:hAnsi="Arial"/>
                <w:sz w:val="16"/>
                <w:szCs w:val="16"/>
              </w:rPr>
              <w:t xml:space="preserve"> </w:t>
            </w:r>
            <w:proofErr w:type="spellStart"/>
            <w:r>
              <w:rPr>
                <w:rFonts w:ascii="Arial" w:hAnsi="Arial"/>
                <w:sz w:val="16"/>
                <w:szCs w:val="16"/>
              </w:rPr>
              <w:t>Rade</w:t>
            </w:r>
            <w:proofErr w:type="spellEnd"/>
            <w:r>
              <w:rPr>
                <w:rFonts w:ascii="Arial" w:hAnsi="Arial"/>
                <w:sz w:val="16"/>
                <w:szCs w:val="16"/>
              </w:rPr>
              <w:t>”, Logistics hall</w:t>
            </w:r>
          </w:p>
        </w:tc>
        <w:tc>
          <w:tcPr>
            <w:tcW w:w="2977" w:type="dxa"/>
            <w:shd w:val="clear" w:color="auto" w:fill="auto"/>
            <w:vAlign w:val="center"/>
          </w:tcPr>
          <w:p w14:paraId="2D6812D1" w14:textId="5D97F2EB" w:rsidR="004C4080" w:rsidRPr="006021B6" w:rsidRDefault="006021B6" w:rsidP="00C36C38">
            <w:pPr>
              <w:spacing w:before="60" w:after="60"/>
              <w:rPr>
                <w:rFonts w:ascii="Arial" w:hAnsi="Arial" w:cs="Arial"/>
                <w:sz w:val="16"/>
                <w:szCs w:val="16"/>
              </w:rPr>
            </w:pPr>
            <w:r>
              <w:rPr>
                <w:rFonts w:ascii="Arial" w:hAnsi="Arial"/>
                <w:sz w:val="16"/>
                <w:szCs w:val="16"/>
              </w:rPr>
              <w:t>confidential</w:t>
            </w:r>
          </w:p>
        </w:tc>
        <w:tc>
          <w:tcPr>
            <w:tcW w:w="992" w:type="dxa"/>
            <w:shd w:val="clear" w:color="auto" w:fill="auto"/>
            <w:vAlign w:val="center"/>
          </w:tcPr>
          <w:p w14:paraId="0CA696BF" w14:textId="77777777" w:rsidR="004C4080" w:rsidRDefault="004C4080" w:rsidP="004C4080">
            <w:pPr>
              <w:spacing w:after="0"/>
              <w:jc w:val="center"/>
              <w:rPr>
                <w:rFonts w:ascii="Arial" w:hAnsi="Arial" w:cs="Arial"/>
                <w:sz w:val="16"/>
                <w:szCs w:val="16"/>
              </w:rPr>
            </w:pPr>
            <w:r>
              <w:rPr>
                <w:rFonts w:ascii="Arial" w:hAnsi="Arial"/>
                <w:sz w:val="16"/>
                <w:szCs w:val="16"/>
              </w:rPr>
              <w:t>15,500</w:t>
            </w:r>
          </w:p>
        </w:tc>
      </w:tr>
    </w:tbl>
    <w:p w14:paraId="3336185C" w14:textId="77777777" w:rsidR="009A3457" w:rsidRPr="00154797" w:rsidRDefault="00154797" w:rsidP="00587FDA">
      <w:pPr>
        <w:spacing w:after="0" w:line="360" w:lineRule="auto"/>
        <w:rPr>
          <w:rFonts w:ascii="Arial" w:eastAsia="Arial" w:hAnsi="Arial" w:cs="Arial"/>
          <w:color w:val="000000" w:themeColor="text1"/>
          <w:sz w:val="16"/>
          <w:szCs w:val="16"/>
        </w:rPr>
      </w:pPr>
      <w:r>
        <w:rPr>
          <w:rFonts w:ascii="Arial" w:hAnsi="Arial"/>
          <w:color w:val="000000" w:themeColor="text1"/>
          <w:sz w:val="16"/>
          <w:szCs w:val="16"/>
        </w:rPr>
        <w:t>New agreements are colour-marked</w:t>
      </w:r>
    </w:p>
    <w:p w14:paraId="3D515F75" w14:textId="77777777" w:rsidR="00154797" w:rsidRDefault="00154797" w:rsidP="00587FDA">
      <w:pPr>
        <w:spacing w:after="0" w:line="360" w:lineRule="auto"/>
        <w:rPr>
          <w:rFonts w:ascii="Arial" w:eastAsia="Arial" w:hAnsi="Arial" w:cs="Arial"/>
          <w:color w:val="000000" w:themeColor="text1"/>
          <w:sz w:val="20"/>
          <w:szCs w:val="20"/>
        </w:rPr>
      </w:pPr>
    </w:p>
    <w:p w14:paraId="75C7E3C4" w14:textId="48CE074A" w:rsidR="006E5C9C" w:rsidRPr="0001684D" w:rsidRDefault="006D360D" w:rsidP="00587FDA">
      <w:pPr>
        <w:spacing w:after="0" w:line="360" w:lineRule="auto"/>
        <w:rPr>
          <w:rFonts w:ascii="Arial" w:hAnsi="Arial" w:cs="Arial"/>
          <w:b/>
          <w:sz w:val="18"/>
          <w:szCs w:val="18"/>
        </w:rPr>
      </w:pPr>
      <w:r w:rsidRPr="0001684D">
        <w:rPr>
          <w:rFonts w:ascii="Arial" w:hAnsi="Arial" w:cs="Arial"/>
          <w:sz w:val="18"/>
          <w:szCs w:val="18"/>
        </w:rPr>
        <w:t xml:space="preserve">Our next </w:t>
      </w:r>
      <w:hyperlink r:id="rId9" w:history="1">
        <w:r w:rsidRPr="0001684D">
          <w:rPr>
            <w:rStyle w:val="Hyperlink"/>
            <w:rFonts w:ascii="Arial" w:hAnsi="Arial" w:cs="Arial"/>
            <w:sz w:val="18"/>
            <w:szCs w:val="18"/>
          </w:rPr>
          <w:t>Market Survey Industrial, Hamburg</w:t>
        </w:r>
      </w:hyperlink>
      <w:r w:rsidRPr="0001684D">
        <w:rPr>
          <w:rFonts w:ascii="Arial" w:hAnsi="Arial" w:cs="Arial"/>
          <w:color w:val="000000" w:themeColor="text1"/>
          <w:sz w:val="18"/>
          <w:szCs w:val="18"/>
        </w:rPr>
        <w:t xml:space="preserve"> will be available at the end of the 4</w:t>
      </w:r>
      <w:r w:rsidRPr="00EE4EAA">
        <w:rPr>
          <w:rFonts w:ascii="Arial" w:hAnsi="Arial" w:cs="Arial"/>
          <w:color w:val="000000" w:themeColor="text1"/>
          <w:sz w:val="18"/>
          <w:szCs w:val="18"/>
          <w:vertAlign w:val="superscript"/>
        </w:rPr>
        <w:t>th</w:t>
      </w:r>
      <w:r w:rsidRPr="0001684D">
        <w:rPr>
          <w:rFonts w:ascii="Arial" w:hAnsi="Arial" w:cs="Arial"/>
          <w:color w:val="000000" w:themeColor="text1"/>
          <w:sz w:val="18"/>
          <w:szCs w:val="18"/>
        </w:rPr>
        <w:t xml:space="preserve"> quarter of 2021 as download in PDF format.</w:t>
      </w:r>
    </w:p>
    <w:p w14:paraId="1079D55C" w14:textId="77777777" w:rsidR="00514293" w:rsidRDefault="00514293" w:rsidP="00587FDA">
      <w:pPr>
        <w:spacing w:after="0" w:line="360" w:lineRule="auto"/>
        <w:rPr>
          <w:rFonts w:ascii="Arial" w:hAnsi="Arial" w:cs="Arial"/>
          <w:b/>
          <w:sz w:val="16"/>
          <w:szCs w:val="16"/>
        </w:rPr>
      </w:pPr>
    </w:p>
    <w:p w14:paraId="2CFAE757" w14:textId="77777777" w:rsidR="0090748B" w:rsidRPr="0090748B" w:rsidRDefault="0090748B" w:rsidP="006C1DD8">
      <w:pPr>
        <w:spacing w:after="0" w:line="360" w:lineRule="auto"/>
        <w:rPr>
          <w:rFonts w:ascii="Arial" w:hAnsi="Arial" w:cs="Arial"/>
          <w:b/>
          <w:sz w:val="16"/>
          <w:szCs w:val="16"/>
        </w:rPr>
      </w:pPr>
      <w:r>
        <w:rPr>
          <w:rFonts w:ascii="Arial" w:hAnsi="Arial"/>
          <w:b/>
          <w:sz w:val="16"/>
          <w:szCs w:val="16"/>
        </w:rPr>
        <w:t>About Grossmann &amp; Berger</w:t>
      </w:r>
    </w:p>
    <w:p w14:paraId="3089C1EF" w14:textId="77777777" w:rsidR="009C5E5C" w:rsidRPr="00FE68A0" w:rsidRDefault="00232A4C" w:rsidP="009C5E5C">
      <w:pPr>
        <w:spacing w:after="0" w:line="360" w:lineRule="auto"/>
        <w:rPr>
          <w:rFonts w:ascii="Arial" w:hAnsi="Arial" w:cs="Arial"/>
          <w:vanish/>
          <w:sz w:val="16"/>
          <w:szCs w:val="16"/>
          <w:specVanish/>
        </w:rPr>
      </w:pPr>
      <w:hyperlink r:id="rId10" w:history="1">
        <w:r w:rsidR="009C5E5C">
          <w:rPr>
            <w:rStyle w:val="Hyperlink"/>
            <w:rFonts w:ascii="Arial" w:hAnsi="Arial"/>
            <w:snapToGrid w:val="0"/>
            <w:sz w:val="16"/>
            <w:szCs w:val="16"/>
          </w:rPr>
          <w:t>Grossmann &amp; Berger GmbH</w:t>
        </w:r>
      </w:hyperlink>
      <w:r w:rsidR="009C5E5C">
        <w:rPr>
          <w:rFonts w:ascii="Arial" w:hAnsi="Arial"/>
          <w:snapToGrid w:val="0"/>
          <w:sz w:val="16"/>
          <w:szCs w:val="16"/>
        </w:rPr>
        <w:t xml:space="preserve"> is one of the leading service providers in the business of selling and letting commercial and residential properties in North Germany. In addition to its main office in Hamburg, the company has 20 local offices. This allows Grossmann &amp; Berger to cover the entire North German market. In May 2021 the company was augmented by </w:t>
      </w:r>
      <w:hyperlink r:id="rId11" w:history="1">
        <w:r w:rsidR="009C5E5C">
          <w:rPr>
            <w:rStyle w:val="Hyperlink"/>
            <w:rFonts w:ascii="Arial" w:hAnsi="Arial"/>
            <w:snapToGrid w:val="0"/>
            <w:sz w:val="16"/>
            <w:szCs w:val="16"/>
          </w:rPr>
          <w:t>E &amp; G Real Estate</w:t>
        </w:r>
      </w:hyperlink>
      <w:r w:rsidR="009C5E5C">
        <w:rPr>
          <w:rFonts w:ascii="Arial" w:hAnsi="Arial"/>
          <w:snapToGrid w:val="0"/>
          <w:sz w:val="16"/>
          <w:szCs w:val="16"/>
        </w:rPr>
        <w:t xml:space="preserve"> and</w:t>
      </w:r>
      <w:r w:rsidR="009C5E5C">
        <w:rPr>
          <w:rFonts w:ascii="Arial" w:hAnsi="Arial"/>
          <w:snapToGrid w:val="0"/>
          <w:sz w:val="16"/>
          <w:szCs w:val="16"/>
        </w:rPr>
        <w:br/>
      </w:r>
      <w:hyperlink r:id="rId12" w:history="1">
        <w:r w:rsidR="009C5E5C">
          <w:rPr>
            <w:rStyle w:val="Hyperlink"/>
            <w:rFonts w:ascii="Arial" w:hAnsi="Arial"/>
            <w:snapToGrid w:val="0"/>
            <w:sz w:val="16"/>
            <w:szCs w:val="16"/>
          </w:rPr>
          <w:t xml:space="preserve">E &amp; G Private </w:t>
        </w:r>
        <w:proofErr w:type="spellStart"/>
        <w:r w:rsidR="009C5E5C">
          <w:rPr>
            <w:rStyle w:val="Hyperlink"/>
            <w:rFonts w:ascii="Arial" w:hAnsi="Arial"/>
            <w:snapToGrid w:val="0"/>
            <w:sz w:val="16"/>
            <w:szCs w:val="16"/>
          </w:rPr>
          <w:t>Immobilien</w:t>
        </w:r>
        <w:proofErr w:type="spellEnd"/>
      </w:hyperlink>
      <w:r w:rsidR="009C5E5C">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250 employees provide the full range of relevant services. They also benefit from the company’s more than 85 years standing in the industry. </w:t>
      </w:r>
      <w:r w:rsidR="009C5E5C">
        <w:rPr>
          <w:rFonts w:ascii="Arial" w:hAnsi="Arial"/>
          <w:sz w:val="16"/>
          <w:szCs w:val="16"/>
        </w:rPr>
        <w:t xml:space="preserve">Grossmann &amp; Berger belongs to the HASPA Group and is a founding member of the national commercial real estate network </w:t>
      </w:r>
      <w:hyperlink r:id="rId13" w:history="1">
        <w:r w:rsidR="009C5E5C">
          <w:rPr>
            <w:rStyle w:val="Hyperlink"/>
            <w:rFonts w:ascii="Arial" w:hAnsi="Arial"/>
            <w:sz w:val="16"/>
            <w:szCs w:val="16"/>
          </w:rPr>
          <w:t>German Property Partners</w:t>
        </w:r>
      </w:hyperlink>
      <w:r w:rsidR="009C5E5C">
        <w:rPr>
          <w:rFonts w:ascii="Arial" w:hAnsi="Arial"/>
          <w:sz w:val="16"/>
          <w:szCs w:val="16"/>
        </w:rPr>
        <w:t xml:space="preserve"> (GPP).</w:t>
      </w:r>
    </w:p>
    <w:p w14:paraId="2FE1B2AF" w14:textId="77777777" w:rsidR="00E36AA4" w:rsidRPr="001A49B0" w:rsidRDefault="00E36AA4" w:rsidP="00E36AA4">
      <w:pPr>
        <w:spacing w:after="0" w:line="360" w:lineRule="auto"/>
        <w:rPr>
          <w:rFonts w:ascii="Arial" w:hAnsi="Arial" w:cs="Arial"/>
          <w:sz w:val="16"/>
          <w:szCs w:val="16"/>
        </w:rPr>
      </w:pPr>
    </w:p>
    <w:p w14:paraId="0090BAA5" w14:textId="77777777" w:rsidR="0090748B" w:rsidRDefault="0090748B" w:rsidP="000C770D">
      <w:pPr>
        <w:spacing w:after="0" w:line="360" w:lineRule="auto"/>
        <w:rPr>
          <w:rFonts w:ascii="Arial" w:hAnsi="Arial" w:cs="Arial"/>
          <w:sz w:val="20"/>
          <w:szCs w:val="20"/>
        </w:rPr>
      </w:pPr>
    </w:p>
    <w:p w14:paraId="4B5501F7" w14:textId="77777777" w:rsidR="00503D8C" w:rsidRPr="00503D8C" w:rsidRDefault="003C6AB4" w:rsidP="00E36AA4">
      <w:pPr>
        <w:spacing w:after="0" w:line="360" w:lineRule="auto"/>
        <w:rPr>
          <w:rFonts w:ascii="Arial" w:hAnsi="Arial" w:cs="Arial"/>
          <w:b/>
          <w:color w:val="000000" w:themeColor="text1"/>
          <w:spacing w:val="20"/>
          <w:sz w:val="20"/>
          <w:szCs w:val="20"/>
        </w:rPr>
      </w:pPr>
      <w:r>
        <w:rPr>
          <w:rFonts w:ascii="Arial" w:hAnsi="Arial"/>
          <w:sz w:val="16"/>
          <w:szCs w:val="16"/>
        </w:rPr>
        <w:lastRenderedPageBreak/>
        <w:t>Please consult our website for Grossmann &amp; Berger’s</w:t>
      </w:r>
      <w:hyperlink r:id="rId14"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503D8C"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FD0C" w14:textId="77777777" w:rsidR="00C56AD7" w:rsidRDefault="00C56AD7">
      <w:r>
        <w:separator/>
      </w:r>
    </w:p>
  </w:endnote>
  <w:endnote w:type="continuationSeparator" w:id="0">
    <w:p w14:paraId="02A223AC" w14:textId="77777777" w:rsidR="00C56AD7" w:rsidRDefault="00C5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E4DE"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161708D2" w14:textId="1D9A5D8D"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232A4C">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232A4C">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F838" w14:textId="77777777" w:rsidR="008C608D" w:rsidRDefault="008C608D">
    <w:pPr>
      <w:pStyle w:val="Fuzeile"/>
    </w:pPr>
    <w:r>
      <w:rPr>
        <w:noProof/>
        <w:lang w:val="de-DE" w:eastAsia="de-DE"/>
      </w:rPr>
      <w:drawing>
        <wp:anchor distT="0" distB="0" distL="0" distR="0" simplePos="0" relativeHeight="251659264" behindDoc="0" locked="0" layoutInCell="0" allowOverlap="1" wp14:anchorId="1E89235B" wp14:editId="0E1E20DF">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33A4C" w14:textId="77777777" w:rsidR="00C56AD7" w:rsidRDefault="00C56AD7">
      <w:r>
        <w:separator/>
      </w:r>
    </w:p>
  </w:footnote>
  <w:footnote w:type="continuationSeparator" w:id="0">
    <w:p w14:paraId="60C85482" w14:textId="77777777" w:rsidR="00C56AD7" w:rsidRDefault="00C5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1852" w14:textId="77777777" w:rsidR="006138CB" w:rsidRPr="009E3ADA" w:rsidRDefault="006A760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46BAE9B7" wp14:editId="0BA4DF2F">
              <wp:simplePos x="0" y="0"/>
              <wp:positionH relativeFrom="margin">
                <wp:posOffset>-92208</wp:posOffset>
              </wp:positionH>
              <wp:positionV relativeFrom="paragraph">
                <wp:posOffset>7620</wp:posOffset>
              </wp:positionV>
              <wp:extent cx="4779010" cy="281940"/>
              <wp:effectExtent l="0" t="0" r="0"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34DFB114"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AE9B7" id="_x0000_t202" coordsize="21600,21600" o:spt="202" path="m,l,21600r21600,l21600,xe">
              <v:stroke joinstyle="miter"/>
              <v:path gradientshapeok="t" o:connecttype="rect"/>
            </v:shapetype>
            <v:shape id="Textfeld 4" o:spid="_x0000_s1026" type="#_x0000_t202" style="position:absolute;left:0;text-align:left;margin-left:-7.25pt;margin-top:.6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" filled="f" stroked="f">
              <v:textbox>
                <w:txbxContent>
                  <w:p w14:paraId="34DFB114"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622F1146"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5D4E" w14:textId="77777777" w:rsidR="00D83CB7" w:rsidRDefault="006A7604"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F12CF69" wp14:editId="1FABD7F9">
              <wp:simplePos x="0" y="0"/>
              <wp:positionH relativeFrom="margin">
                <wp:posOffset>-74626</wp:posOffset>
              </wp:positionH>
              <wp:positionV relativeFrom="paragraph">
                <wp:posOffset>8890</wp:posOffset>
              </wp:positionV>
              <wp:extent cx="4832798"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798" cy="281940"/>
                      </a:xfrm>
                      <a:prstGeom prst="rect">
                        <a:avLst/>
                      </a:prstGeom>
                      <a:noFill/>
                      <a:ln w="9525">
                        <a:noFill/>
                        <a:miter lim="800000"/>
                        <a:headEnd/>
                        <a:tailEnd/>
                      </a:ln>
                    </wps:spPr>
                    <wps:txbx>
                      <w:txbxContent>
                        <w:p w14:paraId="7E2A5B96"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2CF69" id="_x0000_t202" coordsize="21600,21600" o:spt="202" path="m,l,21600r21600,l21600,xe">
              <v:stroke joinstyle="miter"/>
              <v:path gradientshapeok="t" o:connecttype="rect"/>
            </v:shapetype>
            <v:shape id="Textfeld 1" o:spid="_x0000_s1027" type="#_x0000_t202" style="position:absolute;left:0;text-align:left;margin-left:-5.9pt;margin-top:.7pt;width:380.5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" filled="f" stroked="f">
              <v:textbox>
                <w:txbxContent>
                  <w:p w14:paraId="7E2A5B96" w14:textId="77777777"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3034665C"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B1188"/>
    <w:multiLevelType w:val="hybridMultilevel"/>
    <w:tmpl w:val="034E41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6"/>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49B"/>
    <w:rsid w:val="000159FE"/>
    <w:rsid w:val="0001684D"/>
    <w:rsid w:val="00016DDB"/>
    <w:rsid w:val="00022F16"/>
    <w:rsid w:val="00023D78"/>
    <w:rsid w:val="0003075C"/>
    <w:rsid w:val="00037015"/>
    <w:rsid w:val="00041728"/>
    <w:rsid w:val="00044CC7"/>
    <w:rsid w:val="00060743"/>
    <w:rsid w:val="00066796"/>
    <w:rsid w:val="000766D7"/>
    <w:rsid w:val="0007670A"/>
    <w:rsid w:val="00082FDC"/>
    <w:rsid w:val="00083FC2"/>
    <w:rsid w:val="00091B06"/>
    <w:rsid w:val="000A0C99"/>
    <w:rsid w:val="000A5ED1"/>
    <w:rsid w:val="000B1606"/>
    <w:rsid w:val="000B3315"/>
    <w:rsid w:val="000C770D"/>
    <w:rsid w:val="000E03F3"/>
    <w:rsid w:val="000E0716"/>
    <w:rsid w:val="000E3494"/>
    <w:rsid w:val="000E7BC7"/>
    <w:rsid w:val="000F726E"/>
    <w:rsid w:val="001029C4"/>
    <w:rsid w:val="00105EAA"/>
    <w:rsid w:val="0011079D"/>
    <w:rsid w:val="0011486D"/>
    <w:rsid w:val="00121E33"/>
    <w:rsid w:val="00122A77"/>
    <w:rsid w:val="00123619"/>
    <w:rsid w:val="00126550"/>
    <w:rsid w:val="001324D6"/>
    <w:rsid w:val="00135BD2"/>
    <w:rsid w:val="00135E09"/>
    <w:rsid w:val="0014179B"/>
    <w:rsid w:val="00141FCC"/>
    <w:rsid w:val="00143504"/>
    <w:rsid w:val="00143D29"/>
    <w:rsid w:val="00154797"/>
    <w:rsid w:val="00154825"/>
    <w:rsid w:val="0015550E"/>
    <w:rsid w:val="00162BD4"/>
    <w:rsid w:val="00163DB4"/>
    <w:rsid w:val="00170928"/>
    <w:rsid w:val="0017364E"/>
    <w:rsid w:val="0017516B"/>
    <w:rsid w:val="00176F1D"/>
    <w:rsid w:val="0018068D"/>
    <w:rsid w:val="0018568C"/>
    <w:rsid w:val="001871BC"/>
    <w:rsid w:val="001A2ABE"/>
    <w:rsid w:val="001A360C"/>
    <w:rsid w:val="001C72E7"/>
    <w:rsid w:val="001D14DA"/>
    <w:rsid w:val="001E1172"/>
    <w:rsid w:val="001E6995"/>
    <w:rsid w:val="001F0C02"/>
    <w:rsid w:val="001F1513"/>
    <w:rsid w:val="001F3AB8"/>
    <w:rsid w:val="00205769"/>
    <w:rsid w:val="00212FEC"/>
    <w:rsid w:val="002131BB"/>
    <w:rsid w:val="0022086D"/>
    <w:rsid w:val="00223A7F"/>
    <w:rsid w:val="00227E31"/>
    <w:rsid w:val="00230F81"/>
    <w:rsid w:val="00232A4C"/>
    <w:rsid w:val="002341EE"/>
    <w:rsid w:val="00237341"/>
    <w:rsid w:val="00251750"/>
    <w:rsid w:val="00252F48"/>
    <w:rsid w:val="00254C6F"/>
    <w:rsid w:val="00255679"/>
    <w:rsid w:val="0027266B"/>
    <w:rsid w:val="00281E80"/>
    <w:rsid w:val="002834B0"/>
    <w:rsid w:val="00283671"/>
    <w:rsid w:val="00284A5D"/>
    <w:rsid w:val="00284E27"/>
    <w:rsid w:val="00294B7D"/>
    <w:rsid w:val="002A1973"/>
    <w:rsid w:val="002B14F6"/>
    <w:rsid w:val="002C055A"/>
    <w:rsid w:val="002C2392"/>
    <w:rsid w:val="002D1C5C"/>
    <w:rsid w:val="002D1E20"/>
    <w:rsid w:val="002E6200"/>
    <w:rsid w:val="002E6860"/>
    <w:rsid w:val="002F0411"/>
    <w:rsid w:val="002F4176"/>
    <w:rsid w:val="002F4A7D"/>
    <w:rsid w:val="002F767E"/>
    <w:rsid w:val="00301F3A"/>
    <w:rsid w:val="0031494D"/>
    <w:rsid w:val="00323411"/>
    <w:rsid w:val="003246F0"/>
    <w:rsid w:val="00325E2A"/>
    <w:rsid w:val="003272F3"/>
    <w:rsid w:val="003377DF"/>
    <w:rsid w:val="00345716"/>
    <w:rsid w:val="0034786C"/>
    <w:rsid w:val="003517C9"/>
    <w:rsid w:val="00357EC4"/>
    <w:rsid w:val="003627E1"/>
    <w:rsid w:val="00363EAC"/>
    <w:rsid w:val="00370000"/>
    <w:rsid w:val="003709DA"/>
    <w:rsid w:val="00373507"/>
    <w:rsid w:val="00375B11"/>
    <w:rsid w:val="00381BED"/>
    <w:rsid w:val="0038230E"/>
    <w:rsid w:val="00382529"/>
    <w:rsid w:val="0039259C"/>
    <w:rsid w:val="00395ED5"/>
    <w:rsid w:val="003A00C9"/>
    <w:rsid w:val="003A22D7"/>
    <w:rsid w:val="003A25A4"/>
    <w:rsid w:val="003A6BDC"/>
    <w:rsid w:val="003B49E4"/>
    <w:rsid w:val="003B4CCF"/>
    <w:rsid w:val="003B6CD4"/>
    <w:rsid w:val="003C6AB4"/>
    <w:rsid w:val="003C7E40"/>
    <w:rsid w:val="003D0A8A"/>
    <w:rsid w:val="003D1B49"/>
    <w:rsid w:val="003D2BB6"/>
    <w:rsid w:val="003D5CFE"/>
    <w:rsid w:val="003E099F"/>
    <w:rsid w:val="003E4DF9"/>
    <w:rsid w:val="003F665D"/>
    <w:rsid w:val="003F7C37"/>
    <w:rsid w:val="0040086D"/>
    <w:rsid w:val="004017D8"/>
    <w:rsid w:val="00411E03"/>
    <w:rsid w:val="004123B1"/>
    <w:rsid w:val="004303A1"/>
    <w:rsid w:val="00440DC9"/>
    <w:rsid w:val="004450C4"/>
    <w:rsid w:val="004506D2"/>
    <w:rsid w:val="00455FC3"/>
    <w:rsid w:val="00456F40"/>
    <w:rsid w:val="004609BD"/>
    <w:rsid w:val="004661EE"/>
    <w:rsid w:val="00466741"/>
    <w:rsid w:val="00470064"/>
    <w:rsid w:val="004843A0"/>
    <w:rsid w:val="00484E96"/>
    <w:rsid w:val="004875DB"/>
    <w:rsid w:val="004A2BEA"/>
    <w:rsid w:val="004A3C64"/>
    <w:rsid w:val="004A5AEA"/>
    <w:rsid w:val="004B2FDA"/>
    <w:rsid w:val="004B480A"/>
    <w:rsid w:val="004C0CA2"/>
    <w:rsid w:val="004C4080"/>
    <w:rsid w:val="004C6712"/>
    <w:rsid w:val="004C6E6E"/>
    <w:rsid w:val="004D50C0"/>
    <w:rsid w:val="004D772A"/>
    <w:rsid w:val="004E339B"/>
    <w:rsid w:val="004E4273"/>
    <w:rsid w:val="004E4562"/>
    <w:rsid w:val="004E7B3E"/>
    <w:rsid w:val="004F077F"/>
    <w:rsid w:val="005023DD"/>
    <w:rsid w:val="00503D8C"/>
    <w:rsid w:val="00510F37"/>
    <w:rsid w:val="00514293"/>
    <w:rsid w:val="00522B84"/>
    <w:rsid w:val="00530EB4"/>
    <w:rsid w:val="00531A7F"/>
    <w:rsid w:val="00534BAD"/>
    <w:rsid w:val="005360E8"/>
    <w:rsid w:val="005428C5"/>
    <w:rsid w:val="00543C55"/>
    <w:rsid w:val="0055393B"/>
    <w:rsid w:val="005554C7"/>
    <w:rsid w:val="00556F58"/>
    <w:rsid w:val="005606A6"/>
    <w:rsid w:val="00567D57"/>
    <w:rsid w:val="00580EB7"/>
    <w:rsid w:val="00582B99"/>
    <w:rsid w:val="005860E2"/>
    <w:rsid w:val="00587FDA"/>
    <w:rsid w:val="00590903"/>
    <w:rsid w:val="005A617A"/>
    <w:rsid w:val="005A76EE"/>
    <w:rsid w:val="005B0FC9"/>
    <w:rsid w:val="005B66D3"/>
    <w:rsid w:val="005C100F"/>
    <w:rsid w:val="005C29E5"/>
    <w:rsid w:val="005C4556"/>
    <w:rsid w:val="005C5302"/>
    <w:rsid w:val="005D307B"/>
    <w:rsid w:val="005D515A"/>
    <w:rsid w:val="005E362E"/>
    <w:rsid w:val="005F7593"/>
    <w:rsid w:val="006021B6"/>
    <w:rsid w:val="006029D7"/>
    <w:rsid w:val="00603A68"/>
    <w:rsid w:val="0061109D"/>
    <w:rsid w:val="00612AA0"/>
    <w:rsid w:val="006138CB"/>
    <w:rsid w:val="00616335"/>
    <w:rsid w:val="006224C4"/>
    <w:rsid w:val="006225EA"/>
    <w:rsid w:val="006261DF"/>
    <w:rsid w:val="00627588"/>
    <w:rsid w:val="00627692"/>
    <w:rsid w:val="00634517"/>
    <w:rsid w:val="00641270"/>
    <w:rsid w:val="00642074"/>
    <w:rsid w:val="006424F8"/>
    <w:rsid w:val="006752B2"/>
    <w:rsid w:val="00681CAB"/>
    <w:rsid w:val="006842EF"/>
    <w:rsid w:val="0068555F"/>
    <w:rsid w:val="00687256"/>
    <w:rsid w:val="00692D1D"/>
    <w:rsid w:val="0069320C"/>
    <w:rsid w:val="00695E58"/>
    <w:rsid w:val="006966CB"/>
    <w:rsid w:val="0069757D"/>
    <w:rsid w:val="006A1329"/>
    <w:rsid w:val="006A66F9"/>
    <w:rsid w:val="006A7604"/>
    <w:rsid w:val="006C1DD8"/>
    <w:rsid w:val="006D024C"/>
    <w:rsid w:val="006D0A0A"/>
    <w:rsid w:val="006D360D"/>
    <w:rsid w:val="006D58B9"/>
    <w:rsid w:val="006E5C9C"/>
    <w:rsid w:val="006F1774"/>
    <w:rsid w:val="006F625D"/>
    <w:rsid w:val="0070224E"/>
    <w:rsid w:val="00704C9B"/>
    <w:rsid w:val="00715FB9"/>
    <w:rsid w:val="00717A20"/>
    <w:rsid w:val="00720DFF"/>
    <w:rsid w:val="00730E23"/>
    <w:rsid w:val="0073257C"/>
    <w:rsid w:val="0074780F"/>
    <w:rsid w:val="0075428A"/>
    <w:rsid w:val="00762CC5"/>
    <w:rsid w:val="00764E36"/>
    <w:rsid w:val="0076692B"/>
    <w:rsid w:val="00786781"/>
    <w:rsid w:val="007906B4"/>
    <w:rsid w:val="007970A0"/>
    <w:rsid w:val="00797657"/>
    <w:rsid w:val="007A592B"/>
    <w:rsid w:val="007B215B"/>
    <w:rsid w:val="007B4617"/>
    <w:rsid w:val="007C2AF5"/>
    <w:rsid w:val="007E759D"/>
    <w:rsid w:val="007F2DBE"/>
    <w:rsid w:val="007F33B6"/>
    <w:rsid w:val="007F5D65"/>
    <w:rsid w:val="007F642D"/>
    <w:rsid w:val="007F756A"/>
    <w:rsid w:val="0080256B"/>
    <w:rsid w:val="008044B3"/>
    <w:rsid w:val="00812471"/>
    <w:rsid w:val="008261A5"/>
    <w:rsid w:val="0083382E"/>
    <w:rsid w:val="00850B30"/>
    <w:rsid w:val="00855325"/>
    <w:rsid w:val="00855494"/>
    <w:rsid w:val="00855D4A"/>
    <w:rsid w:val="00862E34"/>
    <w:rsid w:val="00865915"/>
    <w:rsid w:val="00871832"/>
    <w:rsid w:val="008740D8"/>
    <w:rsid w:val="00874930"/>
    <w:rsid w:val="008775C5"/>
    <w:rsid w:val="00883410"/>
    <w:rsid w:val="00886360"/>
    <w:rsid w:val="00886CCE"/>
    <w:rsid w:val="008942C6"/>
    <w:rsid w:val="00896B33"/>
    <w:rsid w:val="008A486B"/>
    <w:rsid w:val="008A62FB"/>
    <w:rsid w:val="008A77B7"/>
    <w:rsid w:val="008B0F67"/>
    <w:rsid w:val="008C0F8D"/>
    <w:rsid w:val="008C608D"/>
    <w:rsid w:val="008C7E5F"/>
    <w:rsid w:val="008E461D"/>
    <w:rsid w:val="008E65DC"/>
    <w:rsid w:val="008F08E5"/>
    <w:rsid w:val="008F0EA4"/>
    <w:rsid w:val="008F38F6"/>
    <w:rsid w:val="008F5213"/>
    <w:rsid w:val="009000CF"/>
    <w:rsid w:val="0090748B"/>
    <w:rsid w:val="009101A6"/>
    <w:rsid w:val="00920C9C"/>
    <w:rsid w:val="00922754"/>
    <w:rsid w:val="00925781"/>
    <w:rsid w:val="009258D0"/>
    <w:rsid w:val="00926F5D"/>
    <w:rsid w:val="0092736D"/>
    <w:rsid w:val="00932E7E"/>
    <w:rsid w:val="00935AB3"/>
    <w:rsid w:val="0094505A"/>
    <w:rsid w:val="0094582C"/>
    <w:rsid w:val="009526DF"/>
    <w:rsid w:val="00956905"/>
    <w:rsid w:val="00963140"/>
    <w:rsid w:val="009646C4"/>
    <w:rsid w:val="00965108"/>
    <w:rsid w:val="009734CE"/>
    <w:rsid w:val="00974E78"/>
    <w:rsid w:val="00976B5A"/>
    <w:rsid w:val="0098460C"/>
    <w:rsid w:val="009919C7"/>
    <w:rsid w:val="0099386F"/>
    <w:rsid w:val="0099413E"/>
    <w:rsid w:val="00995237"/>
    <w:rsid w:val="00996E1A"/>
    <w:rsid w:val="009A3457"/>
    <w:rsid w:val="009A504F"/>
    <w:rsid w:val="009A6689"/>
    <w:rsid w:val="009B1E98"/>
    <w:rsid w:val="009B4392"/>
    <w:rsid w:val="009B7D09"/>
    <w:rsid w:val="009C5E5C"/>
    <w:rsid w:val="009D24DA"/>
    <w:rsid w:val="009D35EC"/>
    <w:rsid w:val="009D5D75"/>
    <w:rsid w:val="009E0C0B"/>
    <w:rsid w:val="009E6514"/>
    <w:rsid w:val="009F32A2"/>
    <w:rsid w:val="009F54CE"/>
    <w:rsid w:val="00A02793"/>
    <w:rsid w:val="00A05C3F"/>
    <w:rsid w:val="00A06264"/>
    <w:rsid w:val="00A1639A"/>
    <w:rsid w:val="00A215C9"/>
    <w:rsid w:val="00A42A17"/>
    <w:rsid w:val="00A443FF"/>
    <w:rsid w:val="00A46F56"/>
    <w:rsid w:val="00A5364B"/>
    <w:rsid w:val="00A615E0"/>
    <w:rsid w:val="00A65E2B"/>
    <w:rsid w:val="00A74AA0"/>
    <w:rsid w:val="00A7546D"/>
    <w:rsid w:val="00A77100"/>
    <w:rsid w:val="00A8792D"/>
    <w:rsid w:val="00A90C63"/>
    <w:rsid w:val="00AA4D97"/>
    <w:rsid w:val="00AB6E54"/>
    <w:rsid w:val="00AC41D5"/>
    <w:rsid w:val="00AD17B7"/>
    <w:rsid w:val="00AE4157"/>
    <w:rsid w:val="00AF08D2"/>
    <w:rsid w:val="00B069C5"/>
    <w:rsid w:val="00B06D1B"/>
    <w:rsid w:val="00B077D5"/>
    <w:rsid w:val="00B16A78"/>
    <w:rsid w:val="00B200E4"/>
    <w:rsid w:val="00B210A4"/>
    <w:rsid w:val="00B26FFD"/>
    <w:rsid w:val="00B35B6D"/>
    <w:rsid w:val="00B35DC6"/>
    <w:rsid w:val="00B42B8C"/>
    <w:rsid w:val="00B42F67"/>
    <w:rsid w:val="00B4491B"/>
    <w:rsid w:val="00B500A5"/>
    <w:rsid w:val="00B51699"/>
    <w:rsid w:val="00B53FAF"/>
    <w:rsid w:val="00B60999"/>
    <w:rsid w:val="00B63153"/>
    <w:rsid w:val="00B6527D"/>
    <w:rsid w:val="00B73B3A"/>
    <w:rsid w:val="00B74507"/>
    <w:rsid w:val="00B75718"/>
    <w:rsid w:val="00B75E7E"/>
    <w:rsid w:val="00B93817"/>
    <w:rsid w:val="00B9391B"/>
    <w:rsid w:val="00B9682D"/>
    <w:rsid w:val="00BA0849"/>
    <w:rsid w:val="00BA0B96"/>
    <w:rsid w:val="00BA1A9C"/>
    <w:rsid w:val="00BB06B9"/>
    <w:rsid w:val="00BB15DA"/>
    <w:rsid w:val="00BB340D"/>
    <w:rsid w:val="00BC2A3A"/>
    <w:rsid w:val="00BC3E27"/>
    <w:rsid w:val="00BC64EC"/>
    <w:rsid w:val="00BD029E"/>
    <w:rsid w:val="00BD073D"/>
    <w:rsid w:val="00BD2E2F"/>
    <w:rsid w:val="00BE4198"/>
    <w:rsid w:val="00BF3AFD"/>
    <w:rsid w:val="00BF6593"/>
    <w:rsid w:val="00C12F1D"/>
    <w:rsid w:val="00C1606C"/>
    <w:rsid w:val="00C23180"/>
    <w:rsid w:val="00C26F94"/>
    <w:rsid w:val="00C2798B"/>
    <w:rsid w:val="00C36C38"/>
    <w:rsid w:val="00C41492"/>
    <w:rsid w:val="00C502EC"/>
    <w:rsid w:val="00C50874"/>
    <w:rsid w:val="00C51419"/>
    <w:rsid w:val="00C56AD7"/>
    <w:rsid w:val="00C702B5"/>
    <w:rsid w:val="00C70389"/>
    <w:rsid w:val="00C748A6"/>
    <w:rsid w:val="00C904B6"/>
    <w:rsid w:val="00C90A75"/>
    <w:rsid w:val="00C96DF4"/>
    <w:rsid w:val="00CA6A66"/>
    <w:rsid w:val="00CB6245"/>
    <w:rsid w:val="00CC1337"/>
    <w:rsid w:val="00CC18EA"/>
    <w:rsid w:val="00CC2514"/>
    <w:rsid w:val="00CC48DF"/>
    <w:rsid w:val="00CD4A91"/>
    <w:rsid w:val="00CD70E7"/>
    <w:rsid w:val="00CD7363"/>
    <w:rsid w:val="00CE0964"/>
    <w:rsid w:val="00CE0C1F"/>
    <w:rsid w:val="00CE455F"/>
    <w:rsid w:val="00CF0BF9"/>
    <w:rsid w:val="00CF5957"/>
    <w:rsid w:val="00D01D40"/>
    <w:rsid w:val="00D02D0D"/>
    <w:rsid w:val="00D04BA2"/>
    <w:rsid w:val="00D077B0"/>
    <w:rsid w:val="00D11364"/>
    <w:rsid w:val="00D13F86"/>
    <w:rsid w:val="00D1670A"/>
    <w:rsid w:val="00D22D42"/>
    <w:rsid w:val="00D232F7"/>
    <w:rsid w:val="00D252B7"/>
    <w:rsid w:val="00D36D8D"/>
    <w:rsid w:val="00D45711"/>
    <w:rsid w:val="00D500FC"/>
    <w:rsid w:val="00D51597"/>
    <w:rsid w:val="00D5326E"/>
    <w:rsid w:val="00D55867"/>
    <w:rsid w:val="00D634A3"/>
    <w:rsid w:val="00D64886"/>
    <w:rsid w:val="00D7059B"/>
    <w:rsid w:val="00D713A7"/>
    <w:rsid w:val="00D72339"/>
    <w:rsid w:val="00D73E47"/>
    <w:rsid w:val="00D74ABB"/>
    <w:rsid w:val="00D77B6E"/>
    <w:rsid w:val="00D83CB0"/>
    <w:rsid w:val="00D83CB7"/>
    <w:rsid w:val="00D841EF"/>
    <w:rsid w:val="00D97FA8"/>
    <w:rsid w:val="00DA2E1E"/>
    <w:rsid w:val="00DA3063"/>
    <w:rsid w:val="00DB4363"/>
    <w:rsid w:val="00DC7B25"/>
    <w:rsid w:val="00DD422D"/>
    <w:rsid w:val="00DD5942"/>
    <w:rsid w:val="00DD6B73"/>
    <w:rsid w:val="00DE23F8"/>
    <w:rsid w:val="00DE7CC2"/>
    <w:rsid w:val="00E036F9"/>
    <w:rsid w:val="00E04521"/>
    <w:rsid w:val="00E04869"/>
    <w:rsid w:val="00E05CF6"/>
    <w:rsid w:val="00E112C9"/>
    <w:rsid w:val="00E1314C"/>
    <w:rsid w:val="00E138AB"/>
    <w:rsid w:val="00E158F7"/>
    <w:rsid w:val="00E175DE"/>
    <w:rsid w:val="00E2087E"/>
    <w:rsid w:val="00E2636D"/>
    <w:rsid w:val="00E33631"/>
    <w:rsid w:val="00E34976"/>
    <w:rsid w:val="00E36818"/>
    <w:rsid w:val="00E36AA4"/>
    <w:rsid w:val="00E47B97"/>
    <w:rsid w:val="00E5010B"/>
    <w:rsid w:val="00E5203C"/>
    <w:rsid w:val="00E634CC"/>
    <w:rsid w:val="00E64B2E"/>
    <w:rsid w:val="00E66DFA"/>
    <w:rsid w:val="00E70EF5"/>
    <w:rsid w:val="00E76BD6"/>
    <w:rsid w:val="00E82F0E"/>
    <w:rsid w:val="00E90644"/>
    <w:rsid w:val="00E95F89"/>
    <w:rsid w:val="00E96FAC"/>
    <w:rsid w:val="00EA129F"/>
    <w:rsid w:val="00EA1CAA"/>
    <w:rsid w:val="00EB7A31"/>
    <w:rsid w:val="00ED0582"/>
    <w:rsid w:val="00ED1262"/>
    <w:rsid w:val="00ED7374"/>
    <w:rsid w:val="00EE12FE"/>
    <w:rsid w:val="00EE31F6"/>
    <w:rsid w:val="00EE36DC"/>
    <w:rsid w:val="00EE4EAA"/>
    <w:rsid w:val="00EF47B8"/>
    <w:rsid w:val="00F044EE"/>
    <w:rsid w:val="00F2157F"/>
    <w:rsid w:val="00F25B1B"/>
    <w:rsid w:val="00F32201"/>
    <w:rsid w:val="00F3320B"/>
    <w:rsid w:val="00F40E92"/>
    <w:rsid w:val="00F41947"/>
    <w:rsid w:val="00F435AA"/>
    <w:rsid w:val="00F46168"/>
    <w:rsid w:val="00F6611E"/>
    <w:rsid w:val="00F67646"/>
    <w:rsid w:val="00F71846"/>
    <w:rsid w:val="00F76C6A"/>
    <w:rsid w:val="00F83BF1"/>
    <w:rsid w:val="00F856C4"/>
    <w:rsid w:val="00F869C3"/>
    <w:rsid w:val="00F90CB9"/>
    <w:rsid w:val="00F93E08"/>
    <w:rsid w:val="00F97373"/>
    <w:rsid w:val="00FA0254"/>
    <w:rsid w:val="00FA6854"/>
    <w:rsid w:val="00FB064F"/>
    <w:rsid w:val="00FB0F6B"/>
    <w:rsid w:val="00FB144F"/>
    <w:rsid w:val="00FB159A"/>
    <w:rsid w:val="00FB4D77"/>
    <w:rsid w:val="00FB7BBA"/>
    <w:rsid w:val="00FC497D"/>
    <w:rsid w:val="00FC7510"/>
    <w:rsid w:val="00FD076B"/>
    <w:rsid w:val="00FE1986"/>
    <w:rsid w:val="00FE43D5"/>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2740B3"/>
  <w15:docId w15:val="{19F9BCAC-C83D-421A-899E-BBA7AA1E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locked/>
    <w:rsid w:val="00232A4C"/>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32A4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Vorlagen\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com/marktbericht/gewerbe/industrie-lager-logistik/"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084F-97B6-4C48-B957-CDFEDCC0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8</cp:revision>
  <cp:lastPrinted>2021-10-21T14:16:00Z</cp:lastPrinted>
  <dcterms:created xsi:type="dcterms:W3CDTF">2021-10-22T08:15:00Z</dcterms:created>
  <dcterms:modified xsi:type="dcterms:W3CDTF">2021-10-22T10:15:00Z</dcterms:modified>
</cp:coreProperties>
</file>