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FF363" w14:textId="510AAAE9" w:rsidR="001E1172" w:rsidRPr="00C5230C" w:rsidRDefault="003A22D7" w:rsidP="001E1172">
      <w:pPr>
        <w:spacing w:after="0" w:line="360" w:lineRule="auto"/>
        <w:rPr>
          <w:rFonts w:ascii="Arial" w:hAnsi="Arial"/>
          <w:b/>
        </w:rPr>
      </w:pPr>
      <w:r>
        <w:rPr>
          <w:rFonts w:ascii="Arial" w:hAnsi="Arial"/>
          <w:b/>
        </w:rPr>
        <w:t>Hamburg: Industrial and l</w:t>
      </w:r>
      <w:r w:rsidR="00C5230C">
        <w:rPr>
          <w:rFonts w:ascii="Arial" w:hAnsi="Arial"/>
          <w:b/>
        </w:rPr>
        <w:t>ogistics property market, 1</w:t>
      </w:r>
      <w:r w:rsidR="00C5230C" w:rsidRPr="00C5230C">
        <w:rPr>
          <w:rFonts w:ascii="Arial" w:hAnsi="Arial"/>
          <w:b/>
          <w:vertAlign w:val="superscript"/>
        </w:rPr>
        <w:t>st</w:t>
      </w:r>
      <w:r w:rsidR="00C5230C">
        <w:rPr>
          <w:rFonts w:ascii="Arial" w:hAnsi="Arial"/>
          <w:b/>
        </w:rPr>
        <w:t>-2</w:t>
      </w:r>
      <w:r w:rsidR="00C5230C" w:rsidRPr="00C5230C">
        <w:rPr>
          <w:rFonts w:ascii="Arial" w:hAnsi="Arial"/>
          <w:b/>
          <w:vertAlign w:val="superscript"/>
        </w:rPr>
        <w:t>nd</w:t>
      </w:r>
      <w:r w:rsidR="00C5230C">
        <w:rPr>
          <w:rFonts w:ascii="Arial" w:hAnsi="Arial"/>
          <w:b/>
        </w:rPr>
        <w:t xml:space="preserve"> </w:t>
      </w:r>
      <w:r>
        <w:rPr>
          <w:rFonts w:ascii="Arial" w:hAnsi="Arial"/>
          <w:b/>
        </w:rPr>
        <w:t>quarters of 2021</w:t>
      </w:r>
      <w:r>
        <w:rPr>
          <w:rFonts w:ascii="Arial" w:hAnsi="Arial"/>
          <w:b/>
        </w:rPr>
        <w:br/>
        <w:t>Half year result a resounding success</w:t>
      </w:r>
    </w:p>
    <w:p w14:paraId="5188EF63" w14:textId="77777777" w:rsidR="00590903" w:rsidRPr="0090748B" w:rsidRDefault="00590903" w:rsidP="00590903">
      <w:pPr>
        <w:spacing w:after="0" w:line="360" w:lineRule="auto"/>
        <w:jc w:val="both"/>
        <w:rPr>
          <w:rFonts w:ascii="Arial" w:hAnsi="Arial" w:cs="Arial"/>
          <w:b/>
          <w:sz w:val="20"/>
          <w:szCs w:val="20"/>
        </w:rPr>
      </w:pPr>
    </w:p>
    <w:p w14:paraId="0D547B51" w14:textId="56AB4D08" w:rsidR="009A3457" w:rsidRPr="00F2157F" w:rsidRDefault="000F726E" w:rsidP="00363EAC">
      <w:pPr>
        <w:spacing w:after="0" w:line="360" w:lineRule="auto"/>
        <w:rPr>
          <w:rFonts w:ascii="Arial" w:hAnsi="Arial" w:cs="Arial"/>
          <w:sz w:val="20"/>
          <w:szCs w:val="20"/>
        </w:rPr>
      </w:pPr>
      <w:r>
        <w:rPr>
          <w:rFonts w:ascii="Arial" w:hAnsi="Arial"/>
          <w:b/>
          <w:sz w:val="20"/>
          <w:szCs w:val="20"/>
        </w:rPr>
        <w:t>Hamburg, 14 July 2021</w:t>
      </w:r>
      <w:r>
        <w:rPr>
          <w:rFonts w:ascii="Arial" w:hAnsi="Arial"/>
          <w:sz w:val="20"/>
          <w:szCs w:val="20"/>
        </w:rPr>
        <w:t xml:space="preserve"> - It is as if the market for industrial and logistics properties in Hamburg had decided to leap into action after a long period of slumber; it could explain why take-up of space doubled within a year to close the </w:t>
      </w:r>
      <w:r w:rsidR="00252E36">
        <w:rPr>
          <w:rFonts w:ascii="Arial" w:hAnsi="Arial"/>
          <w:sz w:val="20"/>
          <w:szCs w:val="20"/>
        </w:rPr>
        <w:t>1st</w:t>
      </w:r>
      <w:r>
        <w:rPr>
          <w:rFonts w:ascii="Arial" w:hAnsi="Arial"/>
          <w:sz w:val="20"/>
          <w:szCs w:val="20"/>
        </w:rPr>
        <w:t xml:space="preserve"> half of 2021 at 340,000 m². Only once before, in the absolutely exceptional year 2011, was more space leased or taken up by owner-occupiers in a 2nd quarter; in 2011 the total was 235,000 m², ten years later 205,000 m². </w:t>
      </w:r>
      <w:r>
        <w:rPr>
          <w:rFonts w:ascii="Arial" w:hAnsi="Arial"/>
          <w:i/>
          <w:sz w:val="20"/>
          <w:szCs w:val="20"/>
        </w:rPr>
        <w:t>“Many talks that had been put on ice due to the uncertainties of the pandemic have been resumed and agreements finalized between April and June,”</w:t>
      </w:r>
      <w:r>
        <w:rPr>
          <w:rFonts w:ascii="Arial" w:hAnsi="Arial"/>
          <w:sz w:val="20"/>
          <w:szCs w:val="20"/>
        </w:rPr>
        <w:t xml:space="preserve"> says</w:t>
      </w:r>
      <w:r>
        <w:rPr>
          <w:rFonts w:ascii="Arial" w:hAnsi="Arial"/>
          <w:b/>
          <w:sz w:val="20"/>
          <w:szCs w:val="20"/>
        </w:rPr>
        <w:t xml:space="preserve"> Felix </w:t>
      </w:r>
      <w:proofErr w:type="spellStart"/>
      <w:r>
        <w:rPr>
          <w:rFonts w:ascii="Arial" w:hAnsi="Arial"/>
          <w:b/>
          <w:sz w:val="20"/>
          <w:szCs w:val="20"/>
        </w:rPr>
        <w:t>Krumreich</w:t>
      </w:r>
      <w:proofErr w:type="spellEnd"/>
      <w:r>
        <w:rPr>
          <w:rFonts w:ascii="Arial" w:hAnsi="Arial"/>
          <w:sz w:val="20"/>
          <w:szCs w:val="20"/>
        </w:rPr>
        <w:t>,</w:t>
      </w:r>
      <w:r w:rsidR="00620010">
        <w:rPr>
          <w:rFonts w:ascii="Arial" w:hAnsi="Arial"/>
          <w:sz w:val="20"/>
          <w:szCs w:val="20"/>
        </w:rPr>
        <w:t xml:space="preserve"> </w:t>
      </w:r>
      <w:r>
        <w:rPr>
          <w:rFonts w:ascii="Arial" w:hAnsi="Arial"/>
          <w:sz w:val="20"/>
          <w:szCs w:val="20"/>
        </w:rPr>
        <w:t xml:space="preserve">consultant for industrial and logistics properties at Grossmann &amp; Berger, a member of GPP. </w:t>
      </w:r>
      <w:r>
        <w:rPr>
          <w:rFonts w:ascii="Arial" w:hAnsi="Arial"/>
          <w:i/>
          <w:sz w:val="20"/>
          <w:szCs w:val="20"/>
        </w:rPr>
        <w:t>“In the first half year 23 leases were signed for premises offering 5,000 square metres of space or more. Last year, when the coronavirus first hit, only seven such leases were concluded.”</w:t>
      </w:r>
    </w:p>
    <w:p w14:paraId="7D0B7770" w14:textId="77777777" w:rsidR="000A5ED1" w:rsidRDefault="000A5ED1" w:rsidP="001E1172">
      <w:pPr>
        <w:spacing w:after="0" w:line="360" w:lineRule="auto"/>
        <w:rPr>
          <w:rFonts w:ascii="Arial" w:hAnsi="Arial" w:cs="Arial"/>
          <w:sz w:val="20"/>
          <w:szCs w:val="20"/>
        </w:rPr>
      </w:pPr>
    </w:p>
    <w:p w14:paraId="3BF1F98D" w14:textId="77777777" w:rsidR="000A5ED1" w:rsidRPr="00FE43D5" w:rsidRDefault="00FE43D5" w:rsidP="006C1DD8">
      <w:pPr>
        <w:spacing w:after="0" w:line="360" w:lineRule="auto"/>
        <w:textAlignment w:val="baseline"/>
        <w:rPr>
          <w:rFonts w:ascii="Arial" w:hAnsi="Arial" w:cs="Arial"/>
          <w:b/>
          <w:sz w:val="20"/>
          <w:szCs w:val="20"/>
        </w:rPr>
      </w:pPr>
      <w:r>
        <w:rPr>
          <w:rFonts w:ascii="Arial" w:hAnsi="Arial"/>
          <w:b/>
          <w:sz w:val="20"/>
          <w:szCs w:val="20"/>
        </w:rPr>
        <w:t xml:space="preserve">Market details: </w:t>
      </w:r>
    </w:p>
    <w:p w14:paraId="4CFF656C" w14:textId="41334A93" w:rsidR="00143504" w:rsidRPr="00105EAA" w:rsidRDefault="00143504" w:rsidP="00143504">
      <w:pPr>
        <w:pStyle w:val="Listenabsatz"/>
        <w:numPr>
          <w:ilvl w:val="0"/>
          <w:numId w:val="18"/>
        </w:numPr>
        <w:spacing w:after="0" w:line="360" w:lineRule="auto"/>
        <w:rPr>
          <w:rFonts w:ascii="Arial" w:hAnsi="Arial" w:cs="Arial"/>
          <w:sz w:val="20"/>
          <w:szCs w:val="20"/>
        </w:rPr>
      </w:pPr>
      <w:r>
        <w:rPr>
          <w:rFonts w:ascii="Arial" w:hAnsi="Arial"/>
          <w:sz w:val="20"/>
          <w:szCs w:val="20"/>
        </w:rPr>
        <w:t xml:space="preserve">Whereas 44 % of the take-up of space (2Q2020: 35 %) involved leases for over 10,000 m² of space, the next-largest </w:t>
      </w:r>
      <w:r>
        <w:rPr>
          <w:rFonts w:ascii="Arial" w:hAnsi="Arial"/>
          <w:sz w:val="20"/>
          <w:szCs w:val="20"/>
          <w:u w:val="single"/>
        </w:rPr>
        <w:t>size segment</w:t>
      </w:r>
      <w:r>
        <w:rPr>
          <w:rFonts w:ascii="Arial" w:hAnsi="Arial"/>
          <w:sz w:val="20"/>
          <w:szCs w:val="20"/>
        </w:rPr>
        <w:t xml:space="preserve">, 5,001 to 10,000 m², also accounted for the second-largest share of the market at 33 % (2Q2020: 23 %). </w:t>
      </w:r>
      <w:r>
        <w:rPr>
          <w:rFonts w:ascii="Arial" w:hAnsi="Arial"/>
          <w:i/>
          <w:sz w:val="20"/>
          <w:szCs w:val="20"/>
        </w:rPr>
        <w:t>“Leases for large amounts of space constitute over three quarters of total take-up,”</w:t>
      </w:r>
      <w:r>
        <w:rPr>
          <w:rFonts w:ascii="Arial" w:hAnsi="Arial"/>
          <w:sz w:val="20"/>
          <w:szCs w:val="20"/>
        </w:rPr>
        <w:t xml:space="preserve"> </w:t>
      </w:r>
      <w:proofErr w:type="spellStart"/>
      <w:r>
        <w:rPr>
          <w:rFonts w:ascii="Arial" w:hAnsi="Arial"/>
          <w:b/>
          <w:sz w:val="20"/>
          <w:szCs w:val="20"/>
        </w:rPr>
        <w:t>Krumreich</w:t>
      </w:r>
      <w:proofErr w:type="spellEnd"/>
      <w:r>
        <w:rPr>
          <w:rFonts w:ascii="Arial" w:hAnsi="Arial"/>
          <w:sz w:val="20"/>
          <w:szCs w:val="20"/>
        </w:rPr>
        <w:t xml:space="preserve"> remarks.</w:t>
      </w:r>
    </w:p>
    <w:p w14:paraId="7CE2B9D8" w14:textId="77777777" w:rsidR="00D83CB0" w:rsidRDefault="00D83CB0" w:rsidP="00634B91">
      <w:pPr>
        <w:pStyle w:val="Listenabsatz"/>
        <w:numPr>
          <w:ilvl w:val="0"/>
          <w:numId w:val="18"/>
        </w:numPr>
        <w:spacing w:after="0" w:line="360" w:lineRule="auto"/>
        <w:rPr>
          <w:rFonts w:ascii="Arial" w:hAnsi="Arial" w:cs="Arial"/>
          <w:sz w:val="20"/>
          <w:szCs w:val="20"/>
        </w:rPr>
      </w:pPr>
      <w:r>
        <w:rPr>
          <w:rFonts w:ascii="Arial" w:hAnsi="Arial"/>
          <w:sz w:val="20"/>
          <w:szCs w:val="20"/>
        </w:rPr>
        <w:t xml:space="preserve">Considering that the </w:t>
      </w:r>
      <w:r>
        <w:rPr>
          <w:rFonts w:ascii="Arial" w:hAnsi="Arial"/>
          <w:sz w:val="20"/>
          <w:szCs w:val="20"/>
          <w:u w:val="single"/>
        </w:rPr>
        <w:t>owner-occupier ratio</w:t>
      </w:r>
      <w:r>
        <w:rPr>
          <w:rFonts w:ascii="Arial" w:hAnsi="Arial"/>
          <w:sz w:val="20"/>
          <w:szCs w:val="20"/>
        </w:rPr>
        <w:t xml:space="preserve"> was 11 %, rental take-up was very high at 302,600 m².</w:t>
      </w:r>
    </w:p>
    <w:p w14:paraId="21009CF7" w14:textId="6A6CBCBE" w:rsidR="005C100F" w:rsidRDefault="005606A6" w:rsidP="00627692">
      <w:pPr>
        <w:pStyle w:val="Listenabsatz"/>
        <w:numPr>
          <w:ilvl w:val="0"/>
          <w:numId w:val="18"/>
        </w:numPr>
        <w:spacing w:after="0" w:line="360" w:lineRule="auto"/>
        <w:textAlignment w:val="baseline"/>
        <w:rPr>
          <w:rFonts w:ascii="Arial" w:hAnsi="Arial" w:cs="Arial"/>
          <w:sz w:val="20"/>
          <w:szCs w:val="20"/>
        </w:rPr>
      </w:pPr>
      <w:r>
        <w:rPr>
          <w:rFonts w:ascii="Arial" w:hAnsi="Arial"/>
          <w:sz w:val="20"/>
          <w:szCs w:val="20"/>
        </w:rPr>
        <w:t>The two agreements for the biggest amounts of space previously noted were built-to-suit properties - similar to owner-occupier transactions - and a new contract in this category is at the same tim</w:t>
      </w:r>
      <w:r w:rsidR="00252E36">
        <w:rPr>
          <w:rFonts w:ascii="Arial" w:hAnsi="Arial"/>
          <w:sz w:val="20"/>
          <w:szCs w:val="20"/>
        </w:rPr>
        <w:t xml:space="preserve">e the </w:t>
      </w:r>
      <w:r>
        <w:rPr>
          <w:rFonts w:ascii="Arial" w:hAnsi="Arial"/>
          <w:sz w:val="20"/>
          <w:szCs w:val="20"/>
          <w:u w:val="single"/>
        </w:rPr>
        <w:t>largest-volume lease</w:t>
      </w:r>
      <w:r>
        <w:rPr>
          <w:rFonts w:ascii="Arial" w:hAnsi="Arial"/>
          <w:sz w:val="20"/>
          <w:szCs w:val="20"/>
        </w:rPr>
        <w:t xml:space="preserve"> to date. In </w:t>
      </w:r>
      <w:proofErr w:type="spellStart"/>
      <w:r>
        <w:rPr>
          <w:rFonts w:ascii="Arial" w:hAnsi="Arial"/>
          <w:sz w:val="20"/>
          <w:szCs w:val="20"/>
        </w:rPr>
        <w:t>Nützen</w:t>
      </w:r>
      <w:proofErr w:type="spellEnd"/>
      <w:r>
        <w:rPr>
          <w:rFonts w:ascii="Arial" w:hAnsi="Arial"/>
          <w:sz w:val="20"/>
          <w:szCs w:val="20"/>
        </w:rPr>
        <w:t xml:space="preserve">, near </w:t>
      </w:r>
      <w:proofErr w:type="spellStart"/>
      <w:r>
        <w:rPr>
          <w:rFonts w:ascii="Arial" w:hAnsi="Arial"/>
          <w:sz w:val="20"/>
          <w:szCs w:val="20"/>
        </w:rPr>
        <w:t>Kaltenkirchen</w:t>
      </w:r>
      <w:proofErr w:type="spellEnd"/>
      <w:r>
        <w:rPr>
          <w:rFonts w:ascii="Arial" w:hAnsi="Arial"/>
          <w:sz w:val="20"/>
          <w:szCs w:val="20"/>
        </w:rPr>
        <w:t xml:space="preserve">, </w:t>
      </w:r>
      <w:proofErr w:type="spellStart"/>
      <w:r>
        <w:rPr>
          <w:rFonts w:ascii="Arial" w:hAnsi="Arial"/>
          <w:sz w:val="20"/>
          <w:szCs w:val="20"/>
        </w:rPr>
        <w:t>Panattoni</w:t>
      </w:r>
      <w:proofErr w:type="spellEnd"/>
      <w:r>
        <w:rPr>
          <w:rFonts w:ascii="Arial" w:hAnsi="Arial"/>
          <w:sz w:val="20"/>
          <w:szCs w:val="20"/>
        </w:rPr>
        <w:t xml:space="preserve"> is developing two halls providing</w:t>
      </w:r>
      <w:r w:rsidR="009449EC">
        <w:rPr>
          <w:rFonts w:ascii="Arial" w:hAnsi="Arial"/>
          <w:sz w:val="20"/>
          <w:szCs w:val="20"/>
        </w:rPr>
        <w:t xml:space="preserve"> 37,700 m² of space and 3,750 m²</w:t>
      </w:r>
      <w:r>
        <w:rPr>
          <w:rFonts w:ascii="Arial" w:hAnsi="Arial"/>
          <w:sz w:val="20"/>
          <w:szCs w:val="20"/>
        </w:rPr>
        <w:t xml:space="preserve"> of offices on behalf of </w:t>
      </w:r>
      <w:proofErr w:type="spellStart"/>
      <w:r>
        <w:rPr>
          <w:rFonts w:ascii="Arial" w:hAnsi="Arial"/>
          <w:sz w:val="20"/>
          <w:szCs w:val="20"/>
        </w:rPr>
        <w:t>Riess-Ambiente</w:t>
      </w:r>
      <w:proofErr w:type="spellEnd"/>
      <w:r>
        <w:rPr>
          <w:rFonts w:ascii="Arial" w:hAnsi="Arial"/>
          <w:sz w:val="20"/>
          <w:szCs w:val="20"/>
        </w:rPr>
        <w:t>, an online retailer of designer furniture.</w:t>
      </w:r>
    </w:p>
    <w:p w14:paraId="2F926F32" w14:textId="77777777" w:rsidR="00FE43D5" w:rsidRDefault="00976B5A" w:rsidP="00627692">
      <w:pPr>
        <w:pStyle w:val="Listenabsatz"/>
        <w:numPr>
          <w:ilvl w:val="0"/>
          <w:numId w:val="18"/>
        </w:numPr>
        <w:spacing w:after="0" w:line="360" w:lineRule="auto"/>
        <w:textAlignment w:val="baseline"/>
        <w:rPr>
          <w:rFonts w:ascii="Arial" w:hAnsi="Arial" w:cs="Arial"/>
          <w:sz w:val="20"/>
          <w:szCs w:val="20"/>
        </w:rPr>
      </w:pPr>
      <w:r>
        <w:rPr>
          <w:rFonts w:ascii="Arial" w:hAnsi="Arial"/>
          <w:sz w:val="20"/>
          <w:szCs w:val="20"/>
        </w:rPr>
        <w:t xml:space="preserve">The </w:t>
      </w:r>
      <w:r>
        <w:rPr>
          <w:rFonts w:ascii="Arial" w:hAnsi="Arial"/>
          <w:sz w:val="20"/>
          <w:szCs w:val="20"/>
          <w:u w:val="single"/>
        </w:rPr>
        <w:t>average rent</w:t>
      </w:r>
      <w:r>
        <w:rPr>
          <w:rFonts w:ascii="Arial" w:hAnsi="Arial"/>
          <w:sz w:val="20"/>
          <w:szCs w:val="20"/>
        </w:rPr>
        <w:t xml:space="preserve"> paid by corporate clients for industrial and logistics space in Hamburg and the environs is €5.20/m²/month. This rate is 10 cents/m²/month higher than a year ago. The </w:t>
      </w:r>
      <w:r>
        <w:rPr>
          <w:rFonts w:ascii="Arial" w:hAnsi="Arial"/>
          <w:sz w:val="20"/>
          <w:szCs w:val="20"/>
          <w:u w:val="single"/>
        </w:rPr>
        <w:t>premium rent</w:t>
      </w:r>
      <w:r>
        <w:rPr>
          <w:rFonts w:ascii="Arial" w:hAnsi="Arial"/>
          <w:sz w:val="20"/>
          <w:szCs w:val="20"/>
        </w:rPr>
        <w:t xml:space="preserve"> rose by the same amount to €6.40/m²/month.</w:t>
      </w:r>
    </w:p>
    <w:p w14:paraId="1FC0A53C" w14:textId="2902978A" w:rsidR="001F0C02" w:rsidRPr="00E76BD6" w:rsidRDefault="00E76BD6" w:rsidP="00B02258">
      <w:pPr>
        <w:pStyle w:val="Listenabsatz"/>
        <w:numPr>
          <w:ilvl w:val="0"/>
          <w:numId w:val="18"/>
        </w:numPr>
        <w:spacing w:before="60" w:after="60" w:line="360" w:lineRule="auto"/>
        <w:textAlignment w:val="baseline"/>
        <w:rPr>
          <w:rFonts w:ascii="Arial" w:eastAsiaTheme="minorHAnsi" w:hAnsi="Arial" w:cs="Arial"/>
          <w:b/>
          <w:sz w:val="20"/>
          <w:szCs w:val="20"/>
        </w:rPr>
      </w:pPr>
      <w:r>
        <w:rPr>
          <w:rFonts w:ascii="Arial" w:hAnsi="Arial"/>
          <w:sz w:val="20"/>
          <w:szCs w:val="20"/>
        </w:rPr>
        <w:t>As in 2020, logistics and forwarding companies were still the predominant market pl</w:t>
      </w:r>
      <w:r w:rsidR="009449EC">
        <w:rPr>
          <w:rFonts w:ascii="Arial" w:hAnsi="Arial"/>
          <w:sz w:val="20"/>
          <w:szCs w:val="20"/>
        </w:rPr>
        <w:t xml:space="preserve">ayers at the end of June 2021. </w:t>
      </w:r>
      <w:r>
        <w:rPr>
          <w:rFonts w:ascii="Arial" w:hAnsi="Arial"/>
          <w:sz w:val="20"/>
          <w:szCs w:val="20"/>
        </w:rPr>
        <w:t xml:space="preserve">Their share of take-up rose from 42 % to 55 %. In view of the </w:t>
      </w:r>
      <w:proofErr w:type="spellStart"/>
      <w:r>
        <w:rPr>
          <w:rFonts w:ascii="Arial" w:hAnsi="Arial"/>
          <w:sz w:val="20"/>
          <w:szCs w:val="20"/>
        </w:rPr>
        <w:t>Riess-Ambiente</w:t>
      </w:r>
      <w:proofErr w:type="spellEnd"/>
      <w:r>
        <w:rPr>
          <w:rFonts w:ascii="Arial" w:hAnsi="Arial"/>
          <w:sz w:val="20"/>
          <w:szCs w:val="20"/>
        </w:rPr>
        <w:t xml:space="preserve"> agreement, retail/wholesale accounted for 26 % of take-up, dislodging the manufacturing/industrial/craft trades </w:t>
      </w:r>
      <w:r>
        <w:rPr>
          <w:rFonts w:ascii="Arial" w:hAnsi="Arial"/>
          <w:sz w:val="20"/>
          <w:szCs w:val="20"/>
          <w:u w:val="single"/>
        </w:rPr>
        <w:t>sector</w:t>
      </w:r>
      <w:r>
        <w:rPr>
          <w:rFonts w:ascii="Arial" w:hAnsi="Arial"/>
          <w:sz w:val="20"/>
          <w:szCs w:val="20"/>
        </w:rPr>
        <w:t xml:space="preserve"> (15 %) from second place.</w:t>
      </w:r>
    </w:p>
    <w:p w14:paraId="3C8FC0FE" w14:textId="67C0D080" w:rsidR="00514293" w:rsidRPr="00995237" w:rsidRDefault="006D0A0A" w:rsidP="00926111">
      <w:pPr>
        <w:pStyle w:val="Listenabsatz"/>
        <w:numPr>
          <w:ilvl w:val="0"/>
          <w:numId w:val="18"/>
        </w:numPr>
        <w:spacing w:before="60" w:after="60" w:line="360" w:lineRule="auto"/>
        <w:textAlignment w:val="baseline"/>
        <w:rPr>
          <w:rFonts w:ascii="Arial" w:eastAsiaTheme="minorHAnsi" w:hAnsi="Arial" w:cs="Arial"/>
          <w:b/>
          <w:sz w:val="20"/>
          <w:szCs w:val="20"/>
        </w:rPr>
      </w:pPr>
      <w:r>
        <w:rPr>
          <w:rFonts w:ascii="Arial" w:hAnsi="Arial"/>
          <w:sz w:val="20"/>
          <w:szCs w:val="20"/>
        </w:rPr>
        <w:t xml:space="preserve">Unlike the situation a year before, take-up was fairly evenly spread across the three most popular </w:t>
      </w:r>
      <w:r>
        <w:rPr>
          <w:rFonts w:ascii="Arial" w:hAnsi="Arial"/>
          <w:sz w:val="20"/>
          <w:szCs w:val="20"/>
          <w:u w:val="single"/>
        </w:rPr>
        <w:t>sub-markets</w:t>
      </w:r>
      <w:r>
        <w:rPr>
          <w:rFonts w:ascii="Arial" w:hAnsi="Arial"/>
          <w:sz w:val="20"/>
          <w:szCs w:val="20"/>
        </w:rPr>
        <w:t xml:space="preserve">. Hamburg East posted 30 % of take-up, North-West Environs and Hamburg South had similar shares of 24 % and 22 % respectively. This distribution also owed much to the two new, large-volume agreements. The share of take-up registered in the environs grew appreciably from 33 % to 44 %. </w:t>
      </w:r>
    </w:p>
    <w:p w14:paraId="1C444985" w14:textId="77777777" w:rsidR="00620010" w:rsidRDefault="00620010" w:rsidP="00995237">
      <w:pPr>
        <w:spacing w:before="60" w:after="60" w:line="360" w:lineRule="auto"/>
        <w:textAlignment w:val="baseline"/>
        <w:rPr>
          <w:rFonts w:ascii="Arial" w:eastAsiaTheme="minorHAnsi" w:hAnsi="Arial" w:cs="Arial"/>
          <w:b/>
          <w:sz w:val="20"/>
          <w:szCs w:val="20"/>
        </w:rPr>
      </w:pPr>
    </w:p>
    <w:p w14:paraId="02C533E9" w14:textId="77777777" w:rsidR="00620010" w:rsidRPr="00995237" w:rsidRDefault="00620010" w:rsidP="00995237">
      <w:pPr>
        <w:spacing w:before="60" w:after="60" w:line="360" w:lineRule="auto"/>
        <w:textAlignment w:val="baseline"/>
        <w:rPr>
          <w:rFonts w:ascii="Arial" w:eastAsiaTheme="minorHAnsi" w:hAnsi="Arial" w:cs="Arial"/>
          <w:b/>
          <w:sz w:val="20"/>
          <w:szCs w:val="20"/>
        </w:rPr>
      </w:pPr>
    </w:p>
    <w:tbl>
      <w:tblPr>
        <w:tblStyle w:val="TableGrid2"/>
        <w:tblpPr w:leftFromText="141" w:rightFromText="141" w:vertAnchor="text" w:horzAnchor="margin" w:tblpY="106"/>
        <w:tblW w:w="5524" w:type="dxa"/>
        <w:tblLook w:val="04A0" w:firstRow="1" w:lastRow="0" w:firstColumn="1" w:lastColumn="0" w:noHBand="0" w:noVBand="1"/>
      </w:tblPr>
      <w:tblGrid>
        <w:gridCol w:w="3681"/>
        <w:gridCol w:w="1843"/>
      </w:tblGrid>
      <w:tr w:rsidR="009A3457" w:rsidRPr="006F49D0" w14:paraId="0BAC8A2E" w14:textId="77777777" w:rsidTr="0094459C">
        <w:trPr>
          <w:trHeight w:val="255"/>
        </w:trPr>
        <w:tc>
          <w:tcPr>
            <w:tcW w:w="3681" w:type="dxa"/>
            <w:shd w:val="clear" w:color="auto" w:fill="1F242B" w:themeFill="accent2"/>
            <w:vAlign w:val="center"/>
          </w:tcPr>
          <w:p w14:paraId="71EBB413" w14:textId="7730AE40" w:rsidR="009A3457" w:rsidRPr="00825B41" w:rsidRDefault="0094459C" w:rsidP="00825B41">
            <w:pPr>
              <w:widowControl w:val="0"/>
              <w:spacing w:before="60" w:after="60"/>
              <w:rPr>
                <w:rFonts w:ascii="Arial" w:hAnsi="Arial" w:cs="Arial"/>
                <w:b/>
                <w:sz w:val="16"/>
                <w:szCs w:val="16"/>
              </w:rPr>
            </w:pPr>
            <w:r w:rsidRPr="00825B41">
              <w:rPr>
                <w:rFonts w:ascii="Arial" w:hAnsi="Arial"/>
                <w:b/>
                <w:sz w:val="16"/>
                <w:szCs w:val="16"/>
              </w:rPr>
              <w:lastRenderedPageBreak/>
              <w:t>Industrial, logistics |</w:t>
            </w:r>
            <w:r w:rsidR="00825B41">
              <w:rPr>
                <w:rFonts w:ascii="Arial" w:hAnsi="Arial"/>
                <w:b/>
                <w:sz w:val="16"/>
                <w:szCs w:val="16"/>
              </w:rPr>
              <w:t xml:space="preserve"> </w:t>
            </w:r>
            <w:r w:rsidR="00587FDA" w:rsidRPr="00825B41">
              <w:rPr>
                <w:rFonts w:ascii="Arial" w:hAnsi="Arial"/>
                <w:b/>
                <w:sz w:val="16"/>
                <w:szCs w:val="16"/>
              </w:rPr>
              <w:t>Hamburg and Environs</w:t>
            </w:r>
          </w:p>
        </w:tc>
        <w:tc>
          <w:tcPr>
            <w:tcW w:w="1843" w:type="dxa"/>
            <w:shd w:val="clear" w:color="auto" w:fill="1F242B" w:themeFill="accent2"/>
            <w:vAlign w:val="center"/>
          </w:tcPr>
          <w:p w14:paraId="7A683B01" w14:textId="77777777" w:rsidR="009A3457" w:rsidRPr="00825B41" w:rsidRDefault="00616335" w:rsidP="009A3457">
            <w:pPr>
              <w:widowControl w:val="0"/>
              <w:spacing w:before="60" w:after="60"/>
              <w:jc w:val="center"/>
              <w:rPr>
                <w:rFonts w:ascii="Arial" w:hAnsi="Arial" w:cs="Arial"/>
                <w:b/>
                <w:sz w:val="16"/>
                <w:szCs w:val="16"/>
              </w:rPr>
            </w:pPr>
            <w:r w:rsidRPr="00825B41">
              <w:rPr>
                <w:rFonts w:ascii="Arial" w:hAnsi="Arial"/>
                <w:b/>
                <w:sz w:val="16"/>
                <w:szCs w:val="16"/>
              </w:rPr>
              <w:t>2021 | Q1-Q2</w:t>
            </w:r>
          </w:p>
        </w:tc>
      </w:tr>
      <w:tr w:rsidR="009A3457" w:rsidRPr="006F49D0" w14:paraId="70DF3AA6" w14:textId="77777777" w:rsidTr="0094459C">
        <w:trPr>
          <w:trHeight w:val="255"/>
        </w:trPr>
        <w:tc>
          <w:tcPr>
            <w:tcW w:w="3681" w:type="dxa"/>
            <w:vAlign w:val="center"/>
          </w:tcPr>
          <w:p w14:paraId="753DC114" w14:textId="77777777" w:rsidR="009A3457" w:rsidRPr="00825B41" w:rsidRDefault="009A3457" w:rsidP="00620010">
            <w:pPr>
              <w:widowControl w:val="0"/>
              <w:spacing w:before="60" w:after="60"/>
              <w:rPr>
                <w:rFonts w:ascii="Arial" w:hAnsi="Arial" w:cs="Arial"/>
                <w:b/>
                <w:sz w:val="16"/>
                <w:szCs w:val="16"/>
              </w:rPr>
            </w:pPr>
            <w:r w:rsidRPr="00825B41">
              <w:rPr>
                <w:rFonts w:ascii="Arial" w:hAnsi="Arial"/>
                <w:b/>
                <w:sz w:val="16"/>
                <w:szCs w:val="16"/>
              </w:rPr>
              <w:t xml:space="preserve">Space take-up </w:t>
            </w:r>
            <w:r w:rsidRPr="00825B41">
              <w:rPr>
                <w:rFonts w:ascii="Arial" w:hAnsi="Arial"/>
                <w:sz w:val="16"/>
                <w:szCs w:val="16"/>
              </w:rPr>
              <w:t>[m²]</w:t>
            </w:r>
          </w:p>
        </w:tc>
        <w:tc>
          <w:tcPr>
            <w:tcW w:w="1843" w:type="dxa"/>
            <w:vAlign w:val="center"/>
          </w:tcPr>
          <w:p w14:paraId="5D250936" w14:textId="77777777" w:rsidR="009A3457" w:rsidRPr="00825B41" w:rsidRDefault="009C5E5C" w:rsidP="009A3457">
            <w:pPr>
              <w:widowControl w:val="0"/>
              <w:spacing w:before="60" w:after="60"/>
              <w:jc w:val="right"/>
              <w:rPr>
                <w:rFonts w:ascii="Arial" w:hAnsi="Arial" w:cs="Arial"/>
                <w:sz w:val="16"/>
                <w:szCs w:val="16"/>
              </w:rPr>
            </w:pPr>
            <w:r w:rsidRPr="00825B41">
              <w:rPr>
                <w:rFonts w:ascii="Arial" w:hAnsi="Arial"/>
                <w:sz w:val="16"/>
                <w:szCs w:val="16"/>
              </w:rPr>
              <w:t>340,000</w:t>
            </w:r>
          </w:p>
        </w:tc>
      </w:tr>
      <w:tr w:rsidR="009A3457" w:rsidRPr="006F49D0" w14:paraId="043AFEFC" w14:textId="77777777" w:rsidTr="0094459C">
        <w:trPr>
          <w:trHeight w:val="255"/>
        </w:trPr>
        <w:tc>
          <w:tcPr>
            <w:tcW w:w="3681" w:type="dxa"/>
            <w:vAlign w:val="center"/>
          </w:tcPr>
          <w:p w14:paraId="3ED9F0EF" w14:textId="77777777" w:rsidR="009A3457" w:rsidRPr="00825B41" w:rsidRDefault="009A3457" w:rsidP="00620010">
            <w:pPr>
              <w:widowControl w:val="0"/>
              <w:spacing w:before="60" w:after="60"/>
              <w:rPr>
                <w:rFonts w:ascii="Arial" w:hAnsi="Arial" w:cs="Arial"/>
                <w:sz w:val="16"/>
                <w:szCs w:val="16"/>
              </w:rPr>
            </w:pPr>
            <w:r w:rsidRPr="00825B41">
              <w:rPr>
                <w:rFonts w:ascii="Arial" w:hAnsi="Arial"/>
                <w:sz w:val="16"/>
                <w:szCs w:val="16"/>
              </w:rPr>
              <w:t xml:space="preserve">against prior </w:t>
            </w:r>
            <w:proofErr w:type="spellStart"/>
            <w:r w:rsidRPr="00825B41">
              <w:rPr>
                <w:rFonts w:ascii="Arial" w:hAnsi="Arial"/>
                <w:sz w:val="16"/>
                <w:szCs w:val="16"/>
              </w:rPr>
              <w:t>yr</w:t>
            </w:r>
            <w:proofErr w:type="spellEnd"/>
            <w:r w:rsidRPr="00825B41">
              <w:rPr>
                <w:rFonts w:ascii="Arial" w:hAnsi="Arial"/>
                <w:sz w:val="16"/>
                <w:szCs w:val="16"/>
              </w:rPr>
              <w:t xml:space="preserve"> [%]</w:t>
            </w:r>
          </w:p>
        </w:tc>
        <w:tc>
          <w:tcPr>
            <w:tcW w:w="1843" w:type="dxa"/>
            <w:vAlign w:val="center"/>
          </w:tcPr>
          <w:p w14:paraId="49FCD9C4" w14:textId="77777777" w:rsidR="009A3457" w:rsidRPr="00825B41" w:rsidRDefault="009C5E5C" w:rsidP="009A3457">
            <w:pPr>
              <w:widowControl w:val="0"/>
              <w:spacing w:before="60" w:after="60"/>
              <w:jc w:val="right"/>
              <w:rPr>
                <w:rFonts w:ascii="Arial" w:hAnsi="Arial" w:cs="Arial"/>
                <w:sz w:val="16"/>
                <w:szCs w:val="16"/>
              </w:rPr>
            </w:pPr>
            <w:r w:rsidRPr="00825B41">
              <w:rPr>
                <w:rFonts w:ascii="Arial" w:hAnsi="Arial"/>
                <w:sz w:val="16"/>
                <w:szCs w:val="16"/>
              </w:rPr>
              <w:t>+100</w:t>
            </w:r>
          </w:p>
        </w:tc>
      </w:tr>
      <w:tr w:rsidR="009A3457" w:rsidRPr="006F49D0" w14:paraId="0E732110" w14:textId="77777777" w:rsidTr="0094459C">
        <w:trPr>
          <w:trHeight w:val="255"/>
        </w:trPr>
        <w:tc>
          <w:tcPr>
            <w:tcW w:w="3681" w:type="dxa"/>
            <w:vAlign w:val="center"/>
          </w:tcPr>
          <w:p w14:paraId="6654C7A9" w14:textId="77777777" w:rsidR="009A3457" w:rsidRPr="00825B41" w:rsidRDefault="009A3457" w:rsidP="00620010">
            <w:pPr>
              <w:widowControl w:val="0"/>
              <w:spacing w:before="60" w:after="60"/>
              <w:rPr>
                <w:rFonts w:ascii="Arial" w:hAnsi="Arial" w:cs="Arial"/>
                <w:b/>
                <w:sz w:val="16"/>
                <w:szCs w:val="16"/>
              </w:rPr>
            </w:pPr>
            <w:r w:rsidRPr="00825B41">
              <w:rPr>
                <w:rFonts w:ascii="Arial" w:hAnsi="Arial"/>
                <w:b/>
                <w:sz w:val="16"/>
                <w:szCs w:val="16"/>
              </w:rPr>
              <w:t>Ratio of owner-occupiers</w:t>
            </w:r>
            <w:r w:rsidRPr="00825B41">
              <w:rPr>
                <w:rFonts w:ascii="Arial" w:hAnsi="Arial"/>
                <w:sz w:val="16"/>
                <w:szCs w:val="16"/>
              </w:rPr>
              <w:t xml:space="preserve"> [%]</w:t>
            </w:r>
          </w:p>
        </w:tc>
        <w:tc>
          <w:tcPr>
            <w:tcW w:w="1843" w:type="dxa"/>
            <w:vAlign w:val="center"/>
          </w:tcPr>
          <w:p w14:paraId="5D7C8E7C" w14:textId="77777777" w:rsidR="009A3457" w:rsidRPr="00825B41" w:rsidRDefault="009C5E5C" w:rsidP="009A3457">
            <w:pPr>
              <w:widowControl w:val="0"/>
              <w:spacing w:before="60" w:after="60"/>
              <w:jc w:val="right"/>
              <w:rPr>
                <w:rFonts w:ascii="Arial" w:hAnsi="Arial" w:cs="Arial"/>
                <w:sz w:val="16"/>
                <w:szCs w:val="16"/>
              </w:rPr>
            </w:pPr>
            <w:r w:rsidRPr="00825B41">
              <w:rPr>
                <w:rFonts w:ascii="Arial" w:hAnsi="Arial"/>
                <w:sz w:val="16"/>
                <w:szCs w:val="16"/>
              </w:rPr>
              <w:t>11</w:t>
            </w:r>
          </w:p>
        </w:tc>
      </w:tr>
      <w:tr w:rsidR="009A3457" w:rsidRPr="006F49D0" w14:paraId="7D6C7858" w14:textId="77777777" w:rsidTr="0094459C">
        <w:trPr>
          <w:trHeight w:val="255"/>
        </w:trPr>
        <w:tc>
          <w:tcPr>
            <w:tcW w:w="3681" w:type="dxa"/>
            <w:vAlign w:val="center"/>
          </w:tcPr>
          <w:p w14:paraId="71C81982" w14:textId="77777777" w:rsidR="009A3457" w:rsidRPr="00825B41" w:rsidRDefault="009A3457" w:rsidP="00620010">
            <w:pPr>
              <w:widowControl w:val="0"/>
              <w:spacing w:before="60" w:after="60"/>
              <w:rPr>
                <w:rFonts w:ascii="Arial" w:hAnsi="Arial" w:cs="Arial"/>
                <w:b/>
                <w:sz w:val="16"/>
                <w:szCs w:val="16"/>
              </w:rPr>
            </w:pPr>
            <w:r w:rsidRPr="00825B41">
              <w:rPr>
                <w:rFonts w:ascii="Arial" w:hAnsi="Arial"/>
                <w:sz w:val="16"/>
                <w:szCs w:val="16"/>
              </w:rPr>
              <w:t xml:space="preserve">against prior </w:t>
            </w:r>
            <w:proofErr w:type="spellStart"/>
            <w:r w:rsidRPr="00825B41">
              <w:rPr>
                <w:rFonts w:ascii="Arial" w:hAnsi="Arial"/>
                <w:sz w:val="16"/>
                <w:szCs w:val="16"/>
              </w:rPr>
              <w:t>yr</w:t>
            </w:r>
            <w:proofErr w:type="spellEnd"/>
            <w:r w:rsidRPr="00825B41">
              <w:rPr>
                <w:rFonts w:ascii="Arial" w:hAnsi="Arial"/>
                <w:sz w:val="16"/>
                <w:szCs w:val="16"/>
              </w:rPr>
              <w:t xml:space="preserve"> [percentage points]</w:t>
            </w:r>
          </w:p>
        </w:tc>
        <w:tc>
          <w:tcPr>
            <w:tcW w:w="1843" w:type="dxa"/>
            <w:vAlign w:val="center"/>
          </w:tcPr>
          <w:p w14:paraId="248780FF" w14:textId="288C9A47" w:rsidR="009A3457" w:rsidRPr="00825B41" w:rsidRDefault="006021B6" w:rsidP="009A3457">
            <w:pPr>
              <w:widowControl w:val="0"/>
              <w:spacing w:before="60" w:after="60"/>
              <w:jc w:val="right"/>
              <w:rPr>
                <w:rFonts w:ascii="Arial" w:hAnsi="Arial" w:cs="Arial"/>
                <w:sz w:val="16"/>
                <w:szCs w:val="16"/>
              </w:rPr>
            </w:pPr>
            <w:r w:rsidRPr="00825B41">
              <w:rPr>
                <w:rFonts w:ascii="Arial" w:hAnsi="Arial"/>
                <w:sz w:val="16"/>
                <w:szCs w:val="16"/>
              </w:rPr>
              <w:t>-14</w:t>
            </w:r>
          </w:p>
        </w:tc>
      </w:tr>
      <w:tr w:rsidR="009A3457" w:rsidRPr="006F49D0" w14:paraId="40BC7CB1" w14:textId="77777777" w:rsidTr="0094459C">
        <w:trPr>
          <w:trHeight w:val="255"/>
        </w:trPr>
        <w:tc>
          <w:tcPr>
            <w:tcW w:w="3681" w:type="dxa"/>
            <w:vAlign w:val="center"/>
          </w:tcPr>
          <w:p w14:paraId="4551D3A3" w14:textId="77777777" w:rsidR="009A3457" w:rsidRPr="00825B41" w:rsidRDefault="009A3457" w:rsidP="00620010">
            <w:pPr>
              <w:widowControl w:val="0"/>
              <w:spacing w:before="60" w:after="60"/>
              <w:rPr>
                <w:rFonts w:ascii="Arial" w:hAnsi="Arial" w:cs="Arial"/>
                <w:b/>
                <w:sz w:val="16"/>
                <w:szCs w:val="16"/>
              </w:rPr>
            </w:pPr>
            <w:r w:rsidRPr="00825B41">
              <w:rPr>
                <w:rFonts w:ascii="Arial" w:hAnsi="Arial"/>
                <w:b/>
                <w:sz w:val="16"/>
                <w:szCs w:val="16"/>
              </w:rPr>
              <w:t xml:space="preserve">Premium rent </w:t>
            </w:r>
            <w:r w:rsidRPr="00825B41">
              <w:rPr>
                <w:rFonts w:ascii="Arial" w:hAnsi="Arial"/>
                <w:sz w:val="16"/>
                <w:szCs w:val="16"/>
              </w:rPr>
              <w:t>[€/m²/month net of services]</w:t>
            </w:r>
          </w:p>
        </w:tc>
        <w:tc>
          <w:tcPr>
            <w:tcW w:w="1843" w:type="dxa"/>
            <w:vAlign w:val="center"/>
          </w:tcPr>
          <w:p w14:paraId="6F30DDDE" w14:textId="77777777" w:rsidR="009A3457" w:rsidRPr="00825B41" w:rsidRDefault="00E04869" w:rsidP="00627692">
            <w:pPr>
              <w:widowControl w:val="0"/>
              <w:spacing w:before="60" w:after="60"/>
              <w:jc w:val="right"/>
              <w:rPr>
                <w:rFonts w:ascii="Arial" w:hAnsi="Arial" w:cs="Arial"/>
                <w:sz w:val="16"/>
                <w:szCs w:val="16"/>
              </w:rPr>
            </w:pPr>
            <w:r w:rsidRPr="00825B41">
              <w:rPr>
                <w:rFonts w:ascii="Arial" w:hAnsi="Arial"/>
                <w:sz w:val="16"/>
                <w:szCs w:val="16"/>
              </w:rPr>
              <w:t>6.40</w:t>
            </w:r>
          </w:p>
        </w:tc>
      </w:tr>
      <w:tr w:rsidR="009A3457" w14:paraId="74A56634" w14:textId="77777777" w:rsidTr="0094459C">
        <w:trPr>
          <w:trHeight w:val="255"/>
        </w:trPr>
        <w:tc>
          <w:tcPr>
            <w:tcW w:w="3681" w:type="dxa"/>
            <w:vAlign w:val="center"/>
          </w:tcPr>
          <w:p w14:paraId="1A0873A3" w14:textId="77777777" w:rsidR="009A3457" w:rsidRPr="00825B41" w:rsidRDefault="009A3457" w:rsidP="00620010">
            <w:pPr>
              <w:widowControl w:val="0"/>
              <w:spacing w:before="60" w:after="60"/>
              <w:rPr>
                <w:rFonts w:ascii="Arial" w:hAnsi="Arial" w:cs="Arial"/>
                <w:sz w:val="16"/>
                <w:szCs w:val="16"/>
              </w:rPr>
            </w:pPr>
            <w:r w:rsidRPr="00825B41">
              <w:rPr>
                <w:rFonts w:ascii="Arial" w:hAnsi="Arial"/>
                <w:sz w:val="16"/>
                <w:szCs w:val="16"/>
              </w:rPr>
              <w:t xml:space="preserve">against prior </w:t>
            </w:r>
            <w:proofErr w:type="spellStart"/>
            <w:r w:rsidRPr="00825B41">
              <w:rPr>
                <w:rFonts w:ascii="Arial" w:hAnsi="Arial"/>
                <w:sz w:val="16"/>
                <w:szCs w:val="16"/>
              </w:rPr>
              <w:t>yr</w:t>
            </w:r>
            <w:proofErr w:type="spellEnd"/>
            <w:r w:rsidRPr="00825B41">
              <w:rPr>
                <w:rFonts w:ascii="Arial" w:hAnsi="Arial"/>
                <w:sz w:val="16"/>
                <w:szCs w:val="16"/>
              </w:rPr>
              <w:t xml:space="preserve"> [%]</w:t>
            </w:r>
          </w:p>
        </w:tc>
        <w:tc>
          <w:tcPr>
            <w:tcW w:w="1843" w:type="dxa"/>
            <w:vAlign w:val="center"/>
          </w:tcPr>
          <w:p w14:paraId="5148E5D1" w14:textId="77777777" w:rsidR="009A3457" w:rsidRPr="00825B41" w:rsidRDefault="00E04869" w:rsidP="009A3457">
            <w:pPr>
              <w:widowControl w:val="0"/>
              <w:spacing w:before="60" w:after="60"/>
              <w:jc w:val="right"/>
              <w:rPr>
                <w:rFonts w:ascii="Arial" w:hAnsi="Arial" w:cs="Arial"/>
                <w:sz w:val="16"/>
                <w:szCs w:val="16"/>
              </w:rPr>
            </w:pPr>
            <w:r w:rsidRPr="00825B41">
              <w:rPr>
                <w:rFonts w:ascii="Arial" w:hAnsi="Arial"/>
                <w:sz w:val="16"/>
                <w:szCs w:val="16"/>
              </w:rPr>
              <w:t>+1.6</w:t>
            </w:r>
          </w:p>
        </w:tc>
      </w:tr>
      <w:tr w:rsidR="009A3457" w:rsidRPr="006F49D0" w14:paraId="12FCA4FB" w14:textId="77777777" w:rsidTr="0094459C">
        <w:trPr>
          <w:trHeight w:val="255"/>
        </w:trPr>
        <w:tc>
          <w:tcPr>
            <w:tcW w:w="3681" w:type="dxa"/>
            <w:vAlign w:val="center"/>
          </w:tcPr>
          <w:p w14:paraId="084ECC95" w14:textId="77777777" w:rsidR="009A3457" w:rsidRPr="00825B41" w:rsidRDefault="009A3457" w:rsidP="00620010">
            <w:pPr>
              <w:widowControl w:val="0"/>
              <w:spacing w:before="60" w:after="60"/>
              <w:rPr>
                <w:rFonts w:ascii="Arial" w:hAnsi="Arial" w:cs="Arial"/>
                <w:b/>
                <w:sz w:val="16"/>
                <w:szCs w:val="16"/>
              </w:rPr>
            </w:pPr>
            <w:r w:rsidRPr="00825B41">
              <w:rPr>
                <w:rFonts w:ascii="Arial" w:hAnsi="Arial"/>
                <w:b/>
                <w:sz w:val="16"/>
                <w:szCs w:val="16"/>
              </w:rPr>
              <w:t xml:space="preserve">Average rent </w:t>
            </w:r>
            <w:r w:rsidRPr="00825B41">
              <w:rPr>
                <w:rFonts w:ascii="Arial" w:hAnsi="Arial"/>
                <w:sz w:val="16"/>
                <w:szCs w:val="16"/>
              </w:rPr>
              <w:t>[€/m²/month net of services]</w:t>
            </w:r>
          </w:p>
        </w:tc>
        <w:tc>
          <w:tcPr>
            <w:tcW w:w="1843" w:type="dxa"/>
            <w:vAlign w:val="center"/>
          </w:tcPr>
          <w:p w14:paraId="520B34FD" w14:textId="77777777" w:rsidR="009A3457" w:rsidRPr="00825B41" w:rsidRDefault="00E04869" w:rsidP="00627692">
            <w:pPr>
              <w:widowControl w:val="0"/>
              <w:spacing w:before="60" w:after="60"/>
              <w:jc w:val="right"/>
              <w:rPr>
                <w:rFonts w:ascii="Arial" w:hAnsi="Arial" w:cs="Arial"/>
                <w:sz w:val="16"/>
                <w:szCs w:val="16"/>
              </w:rPr>
            </w:pPr>
            <w:r w:rsidRPr="00825B41">
              <w:rPr>
                <w:rFonts w:ascii="Arial" w:hAnsi="Arial"/>
                <w:sz w:val="16"/>
                <w:szCs w:val="16"/>
              </w:rPr>
              <w:t>5.20</w:t>
            </w:r>
          </w:p>
        </w:tc>
      </w:tr>
      <w:tr w:rsidR="009A3457" w14:paraId="6162EAD9" w14:textId="77777777" w:rsidTr="0094459C">
        <w:trPr>
          <w:trHeight w:val="255"/>
        </w:trPr>
        <w:tc>
          <w:tcPr>
            <w:tcW w:w="3681" w:type="dxa"/>
            <w:vAlign w:val="center"/>
          </w:tcPr>
          <w:p w14:paraId="0151E736" w14:textId="77777777" w:rsidR="009A3457" w:rsidRPr="00825B41" w:rsidRDefault="009A3457" w:rsidP="00620010">
            <w:pPr>
              <w:widowControl w:val="0"/>
              <w:spacing w:before="60" w:after="60"/>
              <w:rPr>
                <w:rFonts w:ascii="Arial" w:hAnsi="Arial" w:cs="Arial"/>
                <w:sz w:val="16"/>
                <w:szCs w:val="16"/>
              </w:rPr>
            </w:pPr>
            <w:r w:rsidRPr="00825B41">
              <w:rPr>
                <w:rFonts w:ascii="Arial" w:hAnsi="Arial"/>
                <w:sz w:val="16"/>
                <w:szCs w:val="16"/>
              </w:rPr>
              <w:t xml:space="preserve">against prior </w:t>
            </w:r>
            <w:proofErr w:type="spellStart"/>
            <w:r w:rsidRPr="00825B41">
              <w:rPr>
                <w:rFonts w:ascii="Arial" w:hAnsi="Arial"/>
                <w:sz w:val="16"/>
                <w:szCs w:val="16"/>
              </w:rPr>
              <w:t>yr</w:t>
            </w:r>
            <w:proofErr w:type="spellEnd"/>
            <w:r w:rsidRPr="00825B41">
              <w:rPr>
                <w:rFonts w:ascii="Arial" w:hAnsi="Arial"/>
                <w:sz w:val="16"/>
                <w:szCs w:val="16"/>
              </w:rPr>
              <w:t xml:space="preserve"> [%]</w:t>
            </w:r>
          </w:p>
        </w:tc>
        <w:tc>
          <w:tcPr>
            <w:tcW w:w="1843" w:type="dxa"/>
            <w:vAlign w:val="center"/>
          </w:tcPr>
          <w:p w14:paraId="3E1FB4AB" w14:textId="77777777" w:rsidR="009A3457" w:rsidRPr="00825B41" w:rsidRDefault="00E04869" w:rsidP="009A3457">
            <w:pPr>
              <w:widowControl w:val="0"/>
              <w:spacing w:before="60" w:after="60"/>
              <w:jc w:val="right"/>
              <w:rPr>
                <w:rFonts w:ascii="Arial" w:hAnsi="Arial" w:cs="Arial"/>
                <w:sz w:val="16"/>
                <w:szCs w:val="16"/>
              </w:rPr>
            </w:pPr>
            <w:r w:rsidRPr="00825B41">
              <w:rPr>
                <w:rFonts w:ascii="Arial" w:hAnsi="Arial"/>
                <w:sz w:val="16"/>
                <w:szCs w:val="16"/>
              </w:rPr>
              <w:t>+2.0</w:t>
            </w:r>
          </w:p>
        </w:tc>
      </w:tr>
      <w:tr w:rsidR="00395ED5" w:rsidRPr="006F49D0" w14:paraId="13A0ED8E" w14:textId="77777777" w:rsidTr="0094459C">
        <w:trPr>
          <w:trHeight w:val="255"/>
        </w:trPr>
        <w:tc>
          <w:tcPr>
            <w:tcW w:w="3681" w:type="dxa"/>
            <w:vAlign w:val="center"/>
          </w:tcPr>
          <w:p w14:paraId="2AD86D43" w14:textId="77777777" w:rsidR="00395ED5" w:rsidRPr="00825B41" w:rsidRDefault="00395ED5" w:rsidP="00620010">
            <w:pPr>
              <w:widowControl w:val="0"/>
              <w:spacing w:after="0"/>
              <w:rPr>
                <w:rFonts w:ascii="Arial" w:hAnsi="Arial" w:cs="Arial"/>
                <w:b/>
                <w:sz w:val="16"/>
                <w:szCs w:val="16"/>
              </w:rPr>
            </w:pPr>
            <w:r w:rsidRPr="00825B41">
              <w:rPr>
                <w:rFonts w:ascii="Arial" w:hAnsi="Arial"/>
                <w:b/>
                <w:sz w:val="16"/>
                <w:szCs w:val="16"/>
              </w:rPr>
              <w:t>Most popular sub-market</w:t>
            </w:r>
          </w:p>
        </w:tc>
        <w:tc>
          <w:tcPr>
            <w:tcW w:w="1843" w:type="dxa"/>
            <w:vAlign w:val="center"/>
          </w:tcPr>
          <w:p w14:paraId="4BE4626E" w14:textId="77777777" w:rsidR="00395ED5" w:rsidRPr="00825B41" w:rsidRDefault="00E04869" w:rsidP="00395ED5">
            <w:pPr>
              <w:widowControl w:val="0"/>
              <w:spacing w:before="60" w:after="60"/>
              <w:jc w:val="right"/>
              <w:rPr>
                <w:rFonts w:ascii="Arial" w:hAnsi="Arial" w:cs="Arial"/>
                <w:sz w:val="16"/>
                <w:szCs w:val="16"/>
              </w:rPr>
            </w:pPr>
            <w:r w:rsidRPr="00825B41">
              <w:rPr>
                <w:rFonts w:ascii="Arial" w:hAnsi="Arial"/>
                <w:sz w:val="16"/>
                <w:szCs w:val="16"/>
              </w:rPr>
              <w:t>Hamburg East</w:t>
            </w:r>
          </w:p>
        </w:tc>
      </w:tr>
      <w:tr w:rsidR="00395ED5" w14:paraId="52AFAC85" w14:textId="77777777" w:rsidTr="0094459C">
        <w:trPr>
          <w:trHeight w:val="255"/>
        </w:trPr>
        <w:tc>
          <w:tcPr>
            <w:tcW w:w="3681" w:type="dxa"/>
            <w:vAlign w:val="center"/>
          </w:tcPr>
          <w:p w14:paraId="1FC62107" w14:textId="77777777" w:rsidR="00395ED5" w:rsidRPr="00825B41" w:rsidRDefault="00395ED5" w:rsidP="00620010">
            <w:pPr>
              <w:widowControl w:val="0"/>
              <w:spacing w:after="0"/>
              <w:rPr>
                <w:rFonts w:ascii="Arial" w:hAnsi="Arial" w:cs="Arial"/>
                <w:sz w:val="16"/>
                <w:szCs w:val="16"/>
              </w:rPr>
            </w:pPr>
            <w:r w:rsidRPr="00825B41">
              <w:rPr>
                <w:rFonts w:ascii="Arial" w:hAnsi="Arial"/>
                <w:sz w:val="16"/>
                <w:szCs w:val="16"/>
              </w:rPr>
              <w:t>Most popular sub-market [%]</w:t>
            </w:r>
          </w:p>
        </w:tc>
        <w:tc>
          <w:tcPr>
            <w:tcW w:w="1843" w:type="dxa"/>
            <w:vAlign w:val="center"/>
          </w:tcPr>
          <w:p w14:paraId="0EEDC51D" w14:textId="77777777" w:rsidR="00395ED5" w:rsidRPr="00825B41" w:rsidRDefault="009C5E5C" w:rsidP="00395ED5">
            <w:pPr>
              <w:widowControl w:val="0"/>
              <w:spacing w:before="60" w:after="60"/>
              <w:jc w:val="right"/>
              <w:rPr>
                <w:rFonts w:ascii="Arial" w:hAnsi="Arial" w:cs="Arial"/>
                <w:sz w:val="16"/>
                <w:szCs w:val="16"/>
              </w:rPr>
            </w:pPr>
            <w:r w:rsidRPr="00825B41">
              <w:rPr>
                <w:rFonts w:ascii="Arial" w:hAnsi="Arial"/>
                <w:sz w:val="16"/>
                <w:szCs w:val="16"/>
              </w:rPr>
              <w:t>30</w:t>
            </w:r>
          </w:p>
        </w:tc>
      </w:tr>
      <w:tr w:rsidR="009A3457" w:rsidRPr="006F49D0" w14:paraId="5E737EA1" w14:textId="77777777" w:rsidTr="0094459C">
        <w:trPr>
          <w:trHeight w:val="255"/>
        </w:trPr>
        <w:tc>
          <w:tcPr>
            <w:tcW w:w="3681" w:type="dxa"/>
            <w:tcBorders>
              <w:bottom w:val="single" w:sz="4" w:space="0" w:color="auto"/>
            </w:tcBorders>
            <w:vAlign w:val="center"/>
          </w:tcPr>
          <w:p w14:paraId="387A52FE" w14:textId="77777777" w:rsidR="009A3457" w:rsidRPr="00825B41" w:rsidRDefault="009A3457" w:rsidP="00620010">
            <w:pPr>
              <w:widowControl w:val="0"/>
              <w:spacing w:before="60" w:after="60"/>
              <w:rPr>
                <w:rFonts w:ascii="Arial" w:hAnsi="Arial" w:cs="Arial"/>
                <w:b/>
                <w:sz w:val="16"/>
                <w:szCs w:val="16"/>
              </w:rPr>
            </w:pPr>
            <w:r w:rsidRPr="00825B41">
              <w:rPr>
                <w:rFonts w:ascii="Arial" w:hAnsi="Arial"/>
                <w:b/>
                <w:sz w:val="16"/>
                <w:szCs w:val="16"/>
              </w:rPr>
              <w:t>Industry with highest turnover</w:t>
            </w:r>
          </w:p>
        </w:tc>
        <w:tc>
          <w:tcPr>
            <w:tcW w:w="1843" w:type="dxa"/>
            <w:tcBorders>
              <w:bottom w:val="single" w:sz="4" w:space="0" w:color="auto"/>
            </w:tcBorders>
            <w:vAlign w:val="center"/>
          </w:tcPr>
          <w:p w14:paraId="47CEAA99" w14:textId="216EB2EF" w:rsidR="009A3457" w:rsidRPr="00825B41" w:rsidRDefault="0094459C" w:rsidP="009A3457">
            <w:pPr>
              <w:widowControl w:val="0"/>
              <w:spacing w:before="60" w:after="60"/>
              <w:jc w:val="right"/>
              <w:rPr>
                <w:rFonts w:ascii="Arial" w:hAnsi="Arial" w:cs="Arial"/>
                <w:sz w:val="16"/>
                <w:szCs w:val="16"/>
              </w:rPr>
            </w:pPr>
            <w:r w:rsidRPr="00825B41">
              <w:rPr>
                <w:rFonts w:ascii="Arial" w:hAnsi="Arial"/>
                <w:sz w:val="16"/>
                <w:szCs w:val="16"/>
              </w:rPr>
              <w:t>Logistics</w:t>
            </w:r>
            <w:r w:rsidR="00E04869" w:rsidRPr="00825B41">
              <w:rPr>
                <w:rFonts w:ascii="Arial" w:hAnsi="Arial"/>
                <w:sz w:val="16"/>
                <w:szCs w:val="16"/>
              </w:rPr>
              <w:t>/forwarding</w:t>
            </w:r>
          </w:p>
        </w:tc>
      </w:tr>
      <w:tr w:rsidR="009A3457" w:rsidRPr="006F49D0" w14:paraId="6AE22D82" w14:textId="77777777" w:rsidTr="0094459C">
        <w:trPr>
          <w:trHeight w:val="255"/>
        </w:trPr>
        <w:tc>
          <w:tcPr>
            <w:tcW w:w="3681" w:type="dxa"/>
            <w:tcBorders>
              <w:bottom w:val="single" w:sz="4" w:space="0" w:color="auto"/>
            </w:tcBorders>
            <w:vAlign w:val="center"/>
          </w:tcPr>
          <w:p w14:paraId="0FCDD888" w14:textId="77777777" w:rsidR="009A3457" w:rsidRPr="00825B41" w:rsidRDefault="009A3457" w:rsidP="00620010">
            <w:pPr>
              <w:widowControl w:val="0"/>
              <w:spacing w:before="60" w:after="60"/>
              <w:rPr>
                <w:rFonts w:ascii="Arial" w:hAnsi="Arial" w:cs="Arial"/>
                <w:b/>
                <w:sz w:val="16"/>
                <w:szCs w:val="16"/>
              </w:rPr>
            </w:pPr>
            <w:r w:rsidRPr="00825B41">
              <w:rPr>
                <w:rFonts w:ascii="Arial" w:hAnsi="Arial"/>
                <w:sz w:val="16"/>
                <w:szCs w:val="16"/>
              </w:rPr>
              <w:t>Industry with highest turnover [%]</w:t>
            </w:r>
          </w:p>
        </w:tc>
        <w:tc>
          <w:tcPr>
            <w:tcW w:w="1843" w:type="dxa"/>
            <w:tcBorders>
              <w:bottom w:val="single" w:sz="4" w:space="0" w:color="auto"/>
            </w:tcBorders>
            <w:vAlign w:val="center"/>
          </w:tcPr>
          <w:p w14:paraId="66F89E6A" w14:textId="77777777" w:rsidR="009A3457" w:rsidRPr="00825B41" w:rsidRDefault="009C5E5C" w:rsidP="009A3457">
            <w:pPr>
              <w:widowControl w:val="0"/>
              <w:spacing w:before="60" w:after="60"/>
              <w:jc w:val="right"/>
              <w:rPr>
                <w:rFonts w:ascii="Arial" w:hAnsi="Arial" w:cs="Arial"/>
                <w:sz w:val="16"/>
                <w:szCs w:val="16"/>
              </w:rPr>
            </w:pPr>
            <w:r w:rsidRPr="00825B41">
              <w:rPr>
                <w:rFonts w:ascii="Arial" w:hAnsi="Arial"/>
                <w:sz w:val="16"/>
                <w:szCs w:val="16"/>
              </w:rPr>
              <w:t>55</w:t>
            </w:r>
          </w:p>
        </w:tc>
      </w:tr>
    </w:tbl>
    <w:p w14:paraId="01F8CEBD" w14:textId="5264E16C" w:rsidR="001F0C02" w:rsidRDefault="00825B41" w:rsidP="009C5E5C">
      <w:pPr>
        <w:tabs>
          <w:tab w:val="left" w:pos="1730"/>
        </w:tabs>
        <w:spacing w:after="0" w:line="360" w:lineRule="auto"/>
        <w:rPr>
          <w:rFonts w:ascii="Arial" w:hAnsi="Arial" w:cs="Arial"/>
          <w:b/>
          <w:sz w:val="20"/>
          <w:szCs w:val="20"/>
        </w:rPr>
      </w:pPr>
      <w:r>
        <w:rPr>
          <w:rFonts w:ascii="Arial" w:hAnsi="Arial"/>
          <w:b/>
          <w:noProof/>
          <w:sz w:val="20"/>
          <w:szCs w:val="20"/>
          <w:lang w:val="de-DE" w:eastAsia="de-DE"/>
        </w:rPr>
        <w:drawing>
          <wp:anchor distT="0" distB="0" distL="114300" distR="114300" simplePos="0" relativeHeight="251658240" behindDoc="0" locked="0" layoutInCell="1" allowOverlap="1" wp14:anchorId="4FCC8C61" wp14:editId="3FB9FA4C">
            <wp:simplePos x="0" y="0"/>
            <wp:positionH relativeFrom="margin">
              <wp:align>right</wp:align>
            </wp:positionH>
            <wp:positionV relativeFrom="paragraph">
              <wp:posOffset>74295</wp:posOffset>
            </wp:positionV>
            <wp:extent cx="2508885" cy="1767205"/>
            <wp:effectExtent l="19050" t="19050" r="24765" b="2349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ustrial-logistics-hamburg-021Q2-take-up.jpg"/>
                    <pic:cNvPicPr/>
                  </pic:nvPicPr>
                  <pic:blipFill>
                    <a:blip r:embed="rId8">
                      <a:extLst>
                        <a:ext uri="{28A0092B-C50C-407E-A947-70E740481C1C}">
                          <a14:useLocalDpi xmlns:a14="http://schemas.microsoft.com/office/drawing/2010/main" val="0"/>
                        </a:ext>
                      </a:extLst>
                    </a:blip>
                    <a:stretch>
                      <a:fillRect/>
                    </a:stretch>
                  </pic:blipFill>
                  <pic:spPr>
                    <a:xfrm>
                      <a:off x="0" y="0"/>
                      <a:ext cx="2508885" cy="1767205"/>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009C5E5C">
        <w:rPr>
          <w:rFonts w:ascii="Arial" w:hAnsi="Arial"/>
          <w:b/>
          <w:sz w:val="20"/>
          <w:szCs w:val="20"/>
        </w:rPr>
        <w:tab/>
      </w:r>
    </w:p>
    <w:p w14:paraId="7848033B" w14:textId="37CC7165" w:rsidR="00E138AB" w:rsidRDefault="00E138AB" w:rsidP="009A3457">
      <w:pPr>
        <w:spacing w:after="0" w:line="360" w:lineRule="auto"/>
        <w:rPr>
          <w:rFonts w:ascii="Arial" w:hAnsi="Arial" w:cs="Arial"/>
          <w:b/>
          <w:sz w:val="20"/>
          <w:szCs w:val="20"/>
        </w:rPr>
      </w:pPr>
    </w:p>
    <w:p w14:paraId="082A594E" w14:textId="77777777" w:rsidR="00620010" w:rsidRDefault="00620010" w:rsidP="009A3457">
      <w:pPr>
        <w:spacing w:after="0" w:line="360" w:lineRule="auto"/>
        <w:rPr>
          <w:rFonts w:ascii="Arial" w:hAnsi="Arial" w:cs="Arial"/>
          <w:b/>
          <w:sz w:val="20"/>
          <w:szCs w:val="20"/>
        </w:rPr>
      </w:pPr>
    </w:p>
    <w:p w14:paraId="5BB0ABFF" w14:textId="061667BC" w:rsidR="00620010" w:rsidRDefault="00620010" w:rsidP="009A3457">
      <w:pPr>
        <w:spacing w:after="0" w:line="360" w:lineRule="auto"/>
        <w:rPr>
          <w:rFonts w:ascii="Arial" w:hAnsi="Arial" w:cs="Arial"/>
          <w:b/>
          <w:sz w:val="20"/>
          <w:szCs w:val="20"/>
        </w:rPr>
      </w:pPr>
    </w:p>
    <w:p w14:paraId="23C34B5A" w14:textId="70ED36F9" w:rsidR="00620010" w:rsidRDefault="00620010" w:rsidP="009A3457">
      <w:pPr>
        <w:spacing w:after="0" w:line="360" w:lineRule="auto"/>
        <w:rPr>
          <w:rFonts w:ascii="Arial" w:hAnsi="Arial" w:cs="Arial"/>
          <w:b/>
          <w:sz w:val="20"/>
          <w:szCs w:val="20"/>
        </w:rPr>
      </w:pPr>
      <w:bookmarkStart w:id="0" w:name="_GoBack"/>
      <w:bookmarkEnd w:id="0"/>
    </w:p>
    <w:p w14:paraId="41A36C5A" w14:textId="3AAD4D41" w:rsidR="009A3457" w:rsidRPr="004C4080" w:rsidRDefault="00C36C38" w:rsidP="009A3457">
      <w:pPr>
        <w:spacing w:after="0" w:line="360" w:lineRule="auto"/>
        <w:rPr>
          <w:rFonts w:ascii="Arial" w:hAnsi="Arial" w:cs="Arial"/>
          <w:b/>
          <w:sz w:val="20"/>
          <w:szCs w:val="20"/>
        </w:rPr>
      </w:pPr>
      <w:r>
        <w:rPr>
          <w:rFonts w:ascii="Arial" w:hAnsi="Arial"/>
          <w:b/>
          <w:sz w:val="20"/>
          <w:szCs w:val="20"/>
        </w:rPr>
        <w:t>Selected top transactions | industrial &amp; logistics | Hamburg &amp; environs |</w:t>
      </w:r>
      <w:r w:rsidR="0094459C">
        <w:rPr>
          <w:rFonts w:ascii="Arial" w:hAnsi="Arial"/>
          <w:b/>
          <w:sz w:val="20"/>
          <w:szCs w:val="20"/>
        </w:rPr>
        <w:t xml:space="preserve"> Q1-2,</w:t>
      </w:r>
      <w:r w:rsidR="00514293">
        <w:rPr>
          <w:rFonts w:ascii="Arial" w:hAnsi="Arial"/>
          <w:b/>
          <w:sz w:val="20"/>
          <w:szCs w:val="20"/>
        </w:rPr>
        <w:t xml:space="preserve"> 2021</w:t>
      </w:r>
    </w:p>
    <w:tbl>
      <w:tblPr>
        <w:tblStyle w:val="Tabellenraster"/>
        <w:tblpPr w:leftFromText="141" w:rightFromText="141" w:vertAnchor="text" w:horzAnchor="margin" w:tblpY="-23"/>
        <w:tblW w:w="9634" w:type="dxa"/>
        <w:tblLook w:val="04A0" w:firstRow="1" w:lastRow="0" w:firstColumn="1" w:lastColumn="0" w:noHBand="0" w:noVBand="1"/>
      </w:tblPr>
      <w:tblGrid>
        <w:gridCol w:w="1080"/>
        <w:gridCol w:w="2317"/>
        <w:gridCol w:w="2552"/>
        <w:gridCol w:w="2693"/>
        <w:gridCol w:w="992"/>
      </w:tblGrid>
      <w:tr w:rsidR="00C36C38" w:rsidRPr="0017364E" w14:paraId="2FDA1885" w14:textId="77777777" w:rsidTr="00825B41">
        <w:trPr>
          <w:trHeight w:val="542"/>
        </w:trPr>
        <w:tc>
          <w:tcPr>
            <w:tcW w:w="1080" w:type="dxa"/>
            <w:shd w:val="clear" w:color="auto" w:fill="1F242B" w:themeFill="accent2"/>
            <w:vAlign w:val="center"/>
          </w:tcPr>
          <w:p w14:paraId="35808679" w14:textId="77777777" w:rsidR="00C36C38" w:rsidRPr="0017364E" w:rsidRDefault="00C36C38" w:rsidP="0094459C">
            <w:pPr>
              <w:spacing w:before="60" w:after="60"/>
              <w:jc w:val="center"/>
              <w:rPr>
                <w:rFonts w:ascii="Arial" w:hAnsi="Arial" w:cs="Arial"/>
                <w:b/>
                <w:sz w:val="18"/>
                <w:szCs w:val="16"/>
              </w:rPr>
            </w:pPr>
            <w:r>
              <w:rPr>
                <w:rFonts w:ascii="Arial" w:hAnsi="Arial"/>
                <w:b/>
                <w:sz w:val="16"/>
                <w:szCs w:val="16"/>
              </w:rPr>
              <w:t>City</w:t>
            </w:r>
          </w:p>
        </w:tc>
        <w:tc>
          <w:tcPr>
            <w:tcW w:w="2317" w:type="dxa"/>
            <w:shd w:val="clear" w:color="auto" w:fill="1F242B" w:themeFill="accent2"/>
            <w:vAlign w:val="center"/>
          </w:tcPr>
          <w:p w14:paraId="1EB39844" w14:textId="77777777" w:rsidR="00C36C38" w:rsidRPr="0017364E" w:rsidRDefault="00C36C38" w:rsidP="0094459C">
            <w:pPr>
              <w:spacing w:before="60" w:after="60"/>
              <w:jc w:val="center"/>
              <w:rPr>
                <w:rFonts w:ascii="Arial" w:hAnsi="Arial" w:cs="Arial"/>
                <w:b/>
                <w:sz w:val="18"/>
                <w:szCs w:val="16"/>
              </w:rPr>
            </w:pPr>
            <w:r>
              <w:rPr>
                <w:rFonts w:ascii="Arial" w:hAnsi="Arial"/>
                <w:b/>
                <w:sz w:val="16"/>
                <w:szCs w:val="16"/>
              </w:rPr>
              <w:t>Road/street</w:t>
            </w:r>
          </w:p>
        </w:tc>
        <w:tc>
          <w:tcPr>
            <w:tcW w:w="2552" w:type="dxa"/>
            <w:shd w:val="clear" w:color="auto" w:fill="1F242B" w:themeFill="accent2"/>
            <w:vAlign w:val="center"/>
          </w:tcPr>
          <w:p w14:paraId="6AE5270B" w14:textId="77777777" w:rsidR="00C36C38" w:rsidRPr="0017364E" w:rsidRDefault="00C36C38" w:rsidP="0094459C">
            <w:pPr>
              <w:spacing w:before="60" w:after="60"/>
              <w:jc w:val="center"/>
              <w:rPr>
                <w:rFonts w:ascii="Arial" w:hAnsi="Arial" w:cs="Arial"/>
                <w:b/>
                <w:sz w:val="18"/>
                <w:szCs w:val="16"/>
              </w:rPr>
            </w:pPr>
            <w:r>
              <w:rPr>
                <w:rFonts w:ascii="Arial" w:hAnsi="Arial"/>
                <w:b/>
                <w:sz w:val="16"/>
                <w:szCs w:val="16"/>
              </w:rPr>
              <w:t>Property/project</w:t>
            </w:r>
          </w:p>
        </w:tc>
        <w:tc>
          <w:tcPr>
            <w:tcW w:w="2693" w:type="dxa"/>
            <w:shd w:val="clear" w:color="auto" w:fill="1F242B" w:themeFill="accent2"/>
            <w:vAlign w:val="center"/>
          </w:tcPr>
          <w:p w14:paraId="7417AFA1" w14:textId="2D1E8222" w:rsidR="00C36C38" w:rsidRPr="0017364E" w:rsidRDefault="00C36C38" w:rsidP="0094459C">
            <w:pPr>
              <w:spacing w:before="60" w:after="60"/>
              <w:jc w:val="center"/>
              <w:rPr>
                <w:rFonts w:ascii="Arial" w:hAnsi="Arial" w:cs="Arial"/>
                <w:b/>
                <w:sz w:val="18"/>
                <w:szCs w:val="16"/>
              </w:rPr>
            </w:pPr>
            <w:r>
              <w:rPr>
                <w:rFonts w:ascii="Arial" w:hAnsi="Arial"/>
                <w:b/>
                <w:sz w:val="16"/>
                <w:szCs w:val="16"/>
              </w:rPr>
              <w:t>Tenant/owner-occupier</w:t>
            </w:r>
          </w:p>
        </w:tc>
        <w:tc>
          <w:tcPr>
            <w:tcW w:w="992" w:type="dxa"/>
            <w:shd w:val="clear" w:color="auto" w:fill="1F242B" w:themeFill="accent2"/>
            <w:vAlign w:val="center"/>
          </w:tcPr>
          <w:p w14:paraId="4BB99D36" w14:textId="10B7265C" w:rsidR="00C36C38" w:rsidRPr="00873089" w:rsidRDefault="0094459C" w:rsidP="0094459C">
            <w:pPr>
              <w:spacing w:after="0"/>
              <w:jc w:val="center"/>
              <w:rPr>
                <w:rFonts w:ascii="Arial" w:hAnsi="Arial" w:cs="Arial"/>
                <w:b/>
                <w:sz w:val="16"/>
                <w:szCs w:val="16"/>
              </w:rPr>
            </w:pPr>
            <w:r>
              <w:rPr>
                <w:rFonts w:ascii="Arial" w:hAnsi="Arial"/>
                <w:b/>
                <w:sz w:val="16"/>
                <w:szCs w:val="16"/>
              </w:rPr>
              <w:t>Floor area</w:t>
            </w:r>
          </w:p>
          <w:p w14:paraId="2AD105D9" w14:textId="77777777" w:rsidR="00C36C38" w:rsidRPr="00627692" w:rsidRDefault="00627692" w:rsidP="0094459C">
            <w:pPr>
              <w:spacing w:before="60" w:after="60"/>
              <w:jc w:val="center"/>
              <w:rPr>
                <w:rFonts w:ascii="Arial" w:hAnsi="Arial" w:cs="Arial"/>
                <w:sz w:val="18"/>
                <w:szCs w:val="16"/>
              </w:rPr>
            </w:pPr>
            <w:r>
              <w:rPr>
                <w:rFonts w:ascii="Arial" w:hAnsi="Arial"/>
                <w:sz w:val="16"/>
                <w:szCs w:val="16"/>
              </w:rPr>
              <w:t>[ca. m²]</w:t>
            </w:r>
          </w:p>
        </w:tc>
      </w:tr>
      <w:tr w:rsidR="009C5E5C" w:rsidRPr="0017364E" w14:paraId="632D8050" w14:textId="77777777" w:rsidTr="00825B41">
        <w:trPr>
          <w:trHeight w:val="542"/>
        </w:trPr>
        <w:tc>
          <w:tcPr>
            <w:tcW w:w="1080" w:type="dxa"/>
            <w:shd w:val="clear" w:color="auto" w:fill="D9D9D9" w:themeFill="background1" w:themeFillShade="D9"/>
            <w:vAlign w:val="center"/>
          </w:tcPr>
          <w:p w14:paraId="5CEB731E" w14:textId="77777777" w:rsidR="009C5E5C" w:rsidRPr="004C4080" w:rsidRDefault="004C4080" w:rsidP="00C36C38">
            <w:pPr>
              <w:spacing w:before="60" w:after="60"/>
              <w:rPr>
                <w:rFonts w:ascii="Arial" w:hAnsi="Arial" w:cs="Arial"/>
                <w:sz w:val="16"/>
                <w:szCs w:val="16"/>
              </w:rPr>
            </w:pPr>
            <w:proofErr w:type="spellStart"/>
            <w:r>
              <w:rPr>
                <w:rFonts w:ascii="Arial" w:hAnsi="Arial"/>
                <w:sz w:val="16"/>
                <w:szCs w:val="16"/>
              </w:rPr>
              <w:t>Nützen</w:t>
            </w:r>
            <w:proofErr w:type="spellEnd"/>
          </w:p>
        </w:tc>
        <w:tc>
          <w:tcPr>
            <w:tcW w:w="2317" w:type="dxa"/>
            <w:shd w:val="clear" w:color="auto" w:fill="D9D9D9" w:themeFill="background1" w:themeFillShade="D9"/>
            <w:vAlign w:val="center"/>
          </w:tcPr>
          <w:p w14:paraId="4FAC26B5" w14:textId="77777777" w:rsidR="009C5E5C" w:rsidRPr="004C4080" w:rsidRDefault="004C4080" w:rsidP="00C36C38">
            <w:pPr>
              <w:spacing w:before="60" w:after="60"/>
              <w:rPr>
                <w:rFonts w:ascii="Arial" w:hAnsi="Arial" w:cs="Arial"/>
                <w:sz w:val="16"/>
                <w:szCs w:val="16"/>
              </w:rPr>
            </w:pPr>
            <w:proofErr w:type="spellStart"/>
            <w:r>
              <w:rPr>
                <w:rFonts w:ascii="Arial" w:hAnsi="Arial"/>
                <w:sz w:val="16"/>
                <w:szCs w:val="16"/>
              </w:rPr>
              <w:t>Kirchenweg</w:t>
            </w:r>
            <w:proofErr w:type="spellEnd"/>
            <w:r>
              <w:rPr>
                <w:rFonts w:ascii="Arial" w:hAnsi="Arial"/>
                <w:sz w:val="16"/>
                <w:szCs w:val="16"/>
              </w:rPr>
              <w:t xml:space="preserve"> 12</w:t>
            </w:r>
          </w:p>
        </w:tc>
        <w:tc>
          <w:tcPr>
            <w:tcW w:w="2552" w:type="dxa"/>
            <w:shd w:val="clear" w:color="auto" w:fill="D9D9D9" w:themeFill="background1" w:themeFillShade="D9"/>
            <w:vAlign w:val="center"/>
          </w:tcPr>
          <w:p w14:paraId="1A55BB4F" w14:textId="77777777" w:rsidR="009C5E5C" w:rsidRPr="00154797" w:rsidRDefault="004C4080" w:rsidP="00154797">
            <w:pPr>
              <w:spacing w:before="60" w:after="60"/>
              <w:rPr>
                <w:rFonts w:ascii="Arial" w:hAnsi="Arial" w:cs="Arial"/>
                <w:sz w:val="16"/>
                <w:szCs w:val="16"/>
              </w:rPr>
            </w:pPr>
            <w:r>
              <w:rPr>
                <w:rFonts w:ascii="Arial" w:hAnsi="Arial"/>
                <w:sz w:val="16"/>
                <w:szCs w:val="16"/>
              </w:rPr>
              <w:t>“</w:t>
            </w:r>
            <w:proofErr w:type="spellStart"/>
            <w:r>
              <w:rPr>
                <w:rFonts w:ascii="Arial" w:hAnsi="Arial"/>
                <w:sz w:val="16"/>
                <w:szCs w:val="16"/>
              </w:rPr>
              <w:t>Panattoni</w:t>
            </w:r>
            <w:proofErr w:type="spellEnd"/>
            <w:r>
              <w:rPr>
                <w:rFonts w:ascii="Arial" w:hAnsi="Arial"/>
                <w:sz w:val="16"/>
                <w:szCs w:val="16"/>
              </w:rPr>
              <w:t xml:space="preserve"> Park Hamburg North”, new-build logistics halls</w:t>
            </w:r>
          </w:p>
        </w:tc>
        <w:tc>
          <w:tcPr>
            <w:tcW w:w="2693" w:type="dxa"/>
            <w:shd w:val="clear" w:color="auto" w:fill="D9D9D9" w:themeFill="background1" w:themeFillShade="D9"/>
            <w:vAlign w:val="center"/>
          </w:tcPr>
          <w:p w14:paraId="65FF7919" w14:textId="7855FCCA" w:rsidR="009C5E5C" w:rsidRPr="004C4080" w:rsidRDefault="006021B6" w:rsidP="00C36C38">
            <w:pPr>
              <w:spacing w:before="60" w:after="60"/>
              <w:rPr>
                <w:rFonts w:ascii="Arial" w:hAnsi="Arial" w:cs="Arial"/>
                <w:sz w:val="16"/>
                <w:szCs w:val="16"/>
              </w:rPr>
            </w:pPr>
            <w:proofErr w:type="spellStart"/>
            <w:r>
              <w:rPr>
                <w:rFonts w:ascii="Arial" w:hAnsi="Arial"/>
                <w:sz w:val="16"/>
                <w:szCs w:val="16"/>
              </w:rPr>
              <w:t>Riess-Ambiente</w:t>
            </w:r>
            <w:proofErr w:type="spellEnd"/>
          </w:p>
        </w:tc>
        <w:tc>
          <w:tcPr>
            <w:tcW w:w="992" w:type="dxa"/>
            <w:shd w:val="clear" w:color="auto" w:fill="D9D9D9" w:themeFill="background1" w:themeFillShade="D9"/>
            <w:vAlign w:val="center"/>
          </w:tcPr>
          <w:p w14:paraId="14D5A527" w14:textId="77777777" w:rsidR="009C5E5C" w:rsidRPr="004C4080" w:rsidRDefault="004C4080" w:rsidP="004C4080">
            <w:pPr>
              <w:spacing w:after="0"/>
              <w:jc w:val="center"/>
              <w:rPr>
                <w:rFonts w:ascii="Arial" w:hAnsi="Arial" w:cs="Arial"/>
                <w:sz w:val="16"/>
                <w:szCs w:val="16"/>
              </w:rPr>
            </w:pPr>
            <w:r>
              <w:rPr>
                <w:rFonts w:ascii="Arial" w:hAnsi="Arial"/>
                <w:sz w:val="16"/>
                <w:szCs w:val="16"/>
              </w:rPr>
              <w:t>37,700</w:t>
            </w:r>
          </w:p>
        </w:tc>
      </w:tr>
      <w:tr w:rsidR="004C4080" w:rsidRPr="0017364E" w14:paraId="1D3C0BEE" w14:textId="77777777" w:rsidTr="00825B41">
        <w:trPr>
          <w:trHeight w:val="542"/>
        </w:trPr>
        <w:tc>
          <w:tcPr>
            <w:tcW w:w="1080" w:type="dxa"/>
            <w:shd w:val="clear" w:color="auto" w:fill="D9D9D9" w:themeFill="background1" w:themeFillShade="D9"/>
            <w:vAlign w:val="center"/>
          </w:tcPr>
          <w:p w14:paraId="63A07146" w14:textId="77777777" w:rsidR="004C4080" w:rsidRPr="004C4080" w:rsidRDefault="004C4080" w:rsidP="00C36C38">
            <w:pPr>
              <w:spacing w:before="60" w:after="60"/>
              <w:rPr>
                <w:rFonts w:ascii="Arial" w:hAnsi="Arial" w:cs="Arial"/>
                <w:sz w:val="16"/>
                <w:szCs w:val="16"/>
              </w:rPr>
            </w:pPr>
            <w:r>
              <w:rPr>
                <w:rFonts w:ascii="Arial" w:hAnsi="Arial"/>
                <w:sz w:val="16"/>
                <w:szCs w:val="16"/>
              </w:rPr>
              <w:t>Hamburg</w:t>
            </w:r>
          </w:p>
        </w:tc>
        <w:tc>
          <w:tcPr>
            <w:tcW w:w="2317" w:type="dxa"/>
            <w:shd w:val="clear" w:color="auto" w:fill="D9D9D9" w:themeFill="background1" w:themeFillShade="D9"/>
            <w:vAlign w:val="center"/>
          </w:tcPr>
          <w:p w14:paraId="1D268012" w14:textId="77777777" w:rsidR="004C4080" w:rsidRDefault="004C4080" w:rsidP="00C36C38">
            <w:pPr>
              <w:spacing w:before="60" w:after="60"/>
              <w:rPr>
                <w:rFonts w:ascii="Arial" w:hAnsi="Arial" w:cs="Arial"/>
                <w:sz w:val="16"/>
                <w:szCs w:val="16"/>
              </w:rPr>
            </w:pPr>
            <w:proofErr w:type="spellStart"/>
            <w:r>
              <w:rPr>
                <w:rFonts w:ascii="Arial" w:hAnsi="Arial"/>
                <w:sz w:val="16"/>
                <w:szCs w:val="16"/>
              </w:rPr>
              <w:t>Vollhöfner</w:t>
            </w:r>
            <w:proofErr w:type="spellEnd"/>
            <w:r>
              <w:rPr>
                <w:rFonts w:ascii="Arial" w:hAnsi="Arial"/>
                <w:sz w:val="16"/>
                <w:szCs w:val="16"/>
              </w:rPr>
              <w:t xml:space="preserve"> </w:t>
            </w:r>
            <w:proofErr w:type="spellStart"/>
            <w:r>
              <w:rPr>
                <w:rFonts w:ascii="Arial" w:hAnsi="Arial"/>
                <w:sz w:val="16"/>
                <w:szCs w:val="16"/>
              </w:rPr>
              <w:t>Weiden</w:t>
            </w:r>
            <w:proofErr w:type="spellEnd"/>
            <w:r>
              <w:rPr>
                <w:rFonts w:ascii="Arial" w:hAnsi="Arial"/>
                <w:sz w:val="16"/>
                <w:szCs w:val="16"/>
              </w:rPr>
              <w:t xml:space="preserve"> 19</w:t>
            </w:r>
          </w:p>
        </w:tc>
        <w:tc>
          <w:tcPr>
            <w:tcW w:w="2552" w:type="dxa"/>
            <w:shd w:val="clear" w:color="auto" w:fill="D9D9D9" w:themeFill="background1" w:themeFillShade="D9"/>
            <w:vAlign w:val="center"/>
          </w:tcPr>
          <w:p w14:paraId="690BECC2" w14:textId="3823CB4C" w:rsidR="004C4080" w:rsidRPr="006021B6" w:rsidRDefault="009919C7" w:rsidP="00C36C38">
            <w:pPr>
              <w:spacing w:before="60" w:after="60"/>
              <w:rPr>
                <w:rFonts w:ascii="Arial" w:hAnsi="Arial" w:cs="Arial"/>
                <w:sz w:val="16"/>
                <w:szCs w:val="16"/>
              </w:rPr>
            </w:pPr>
            <w:r>
              <w:rPr>
                <w:rFonts w:ascii="Arial" w:hAnsi="Arial"/>
                <w:sz w:val="16"/>
                <w:szCs w:val="16"/>
              </w:rPr>
              <w:t>Existing logistics facility</w:t>
            </w:r>
          </w:p>
        </w:tc>
        <w:tc>
          <w:tcPr>
            <w:tcW w:w="2693" w:type="dxa"/>
            <w:shd w:val="clear" w:color="auto" w:fill="D9D9D9" w:themeFill="background1" w:themeFillShade="D9"/>
            <w:vAlign w:val="center"/>
          </w:tcPr>
          <w:p w14:paraId="0986AD7D" w14:textId="77777777" w:rsidR="004C4080" w:rsidRDefault="00704C9B" w:rsidP="00C36C38">
            <w:pPr>
              <w:spacing w:before="60" w:after="60"/>
              <w:rPr>
                <w:rFonts w:ascii="Arial" w:hAnsi="Arial" w:cs="Arial"/>
                <w:sz w:val="16"/>
                <w:szCs w:val="16"/>
              </w:rPr>
            </w:pPr>
            <w:r>
              <w:rPr>
                <w:rFonts w:ascii="Arial" w:hAnsi="Arial"/>
                <w:sz w:val="16"/>
                <w:szCs w:val="16"/>
              </w:rPr>
              <w:t>GREIWING logistics for you</w:t>
            </w:r>
          </w:p>
        </w:tc>
        <w:tc>
          <w:tcPr>
            <w:tcW w:w="992" w:type="dxa"/>
            <w:shd w:val="clear" w:color="auto" w:fill="D9D9D9" w:themeFill="background1" w:themeFillShade="D9"/>
            <w:vAlign w:val="center"/>
          </w:tcPr>
          <w:p w14:paraId="0EBA542D" w14:textId="77777777" w:rsidR="004C4080" w:rsidRDefault="004C4080" w:rsidP="004C4080">
            <w:pPr>
              <w:spacing w:after="0"/>
              <w:jc w:val="center"/>
              <w:rPr>
                <w:rFonts w:ascii="Arial" w:hAnsi="Arial" w:cs="Arial"/>
                <w:sz w:val="16"/>
                <w:szCs w:val="16"/>
              </w:rPr>
            </w:pPr>
            <w:r>
              <w:rPr>
                <w:rFonts w:ascii="Arial" w:hAnsi="Arial"/>
                <w:sz w:val="16"/>
                <w:szCs w:val="16"/>
              </w:rPr>
              <w:t>29,200</w:t>
            </w:r>
          </w:p>
        </w:tc>
      </w:tr>
      <w:tr w:rsidR="004C4080" w:rsidRPr="0017364E" w14:paraId="6DF1E76A" w14:textId="77777777" w:rsidTr="00825B41">
        <w:trPr>
          <w:trHeight w:val="542"/>
        </w:trPr>
        <w:tc>
          <w:tcPr>
            <w:tcW w:w="1080" w:type="dxa"/>
            <w:shd w:val="clear" w:color="auto" w:fill="D9D9D9" w:themeFill="background1" w:themeFillShade="D9"/>
            <w:vAlign w:val="center"/>
          </w:tcPr>
          <w:p w14:paraId="23A26B2D" w14:textId="77777777" w:rsidR="004C4080" w:rsidRDefault="004C4080" w:rsidP="00C36C38">
            <w:pPr>
              <w:spacing w:before="60" w:after="60"/>
              <w:rPr>
                <w:rFonts w:ascii="Arial" w:hAnsi="Arial" w:cs="Arial"/>
                <w:sz w:val="16"/>
                <w:szCs w:val="16"/>
              </w:rPr>
            </w:pPr>
            <w:proofErr w:type="spellStart"/>
            <w:r>
              <w:rPr>
                <w:rFonts w:ascii="Arial" w:hAnsi="Arial"/>
                <w:sz w:val="16"/>
                <w:szCs w:val="16"/>
              </w:rPr>
              <w:t>Wenzendorf</w:t>
            </w:r>
            <w:proofErr w:type="spellEnd"/>
          </w:p>
        </w:tc>
        <w:tc>
          <w:tcPr>
            <w:tcW w:w="2317" w:type="dxa"/>
            <w:shd w:val="clear" w:color="auto" w:fill="D9D9D9" w:themeFill="background1" w:themeFillShade="D9"/>
            <w:vAlign w:val="center"/>
          </w:tcPr>
          <w:p w14:paraId="28F65C4A" w14:textId="77777777" w:rsidR="004C4080" w:rsidRDefault="004C4080" w:rsidP="00C36C38">
            <w:pPr>
              <w:spacing w:before="60" w:after="60"/>
              <w:rPr>
                <w:rFonts w:ascii="Arial" w:hAnsi="Arial" w:cs="Arial"/>
                <w:sz w:val="16"/>
                <w:szCs w:val="16"/>
              </w:rPr>
            </w:pPr>
            <w:r>
              <w:rPr>
                <w:rFonts w:ascii="Arial" w:hAnsi="Arial"/>
                <w:sz w:val="16"/>
                <w:szCs w:val="16"/>
              </w:rPr>
              <w:t>Otto-Lilienthal-</w:t>
            </w:r>
            <w:proofErr w:type="spellStart"/>
            <w:r>
              <w:rPr>
                <w:rFonts w:ascii="Arial" w:hAnsi="Arial"/>
                <w:sz w:val="16"/>
                <w:szCs w:val="16"/>
              </w:rPr>
              <w:t>Strasse</w:t>
            </w:r>
            <w:proofErr w:type="spellEnd"/>
            <w:r>
              <w:rPr>
                <w:rFonts w:ascii="Arial" w:hAnsi="Arial"/>
                <w:sz w:val="16"/>
                <w:szCs w:val="16"/>
              </w:rPr>
              <w:t xml:space="preserve"> 1a-d</w:t>
            </w:r>
          </w:p>
        </w:tc>
        <w:tc>
          <w:tcPr>
            <w:tcW w:w="2552" w:type="dxa"/>
            <w:shd w:val="clear" w:color="auto" w:fill="D9D9D9" w:themeFill="background1" w:themeFillShade="D9"/>
            <w:vAlign w:val="center"/>
          </w:tcPr>
          <w:p w14:paraId="0E3F4C8A" w14:textId="77777777" w:rsidR="004C4080" w:rsidRDefault="00154797" w:rsidP="00704C9B">
            <w:pPr>
              <w:spacing w:before="60" w:after="60"/>
              <w:rPr>
                <w:rFonts w:ascii="Arial" w:hAnsi="Arial" w:cs="Arial"/>
                <w:sz w:val="16"/>
                <w:szCs w:val="16"/>
              </w:rPr>
            </w:pPr>
            <w:r>
              <w:rPr>
                <w:rFonts w:ascii="Arial" w:hAnsi="Arial"/>
                <w:sz w:val="16"/>
                <w:szCs w:val="16"/>
              </w:rPr>
              <w:t>“</w:t>
            </w:r>
            <w:proofErr w:type="spellStart"/>
            <w:r>
              <w:rPr>
                <w:rFonts w:ascii="Arial" w:hAnsi="Arial"/>
                <w:sz w:val="16"/>
                <w:szCs w:val="16"/>
              </w:rPr>
              <w:t>Logistikpark</w:t>
            </w:r>
            <w:proofErr w:type="spellEnd"/>
            <w:r>
              <w:rPr>
                <w:rFonts w:ascii="Arial" w:hAnsi="Arial"/>
                <w:sz w:val="16"/>
                <w:szCs w:val="16"/>
              </w:rPr>
              <w:t xml:space="preserve"> </w:t>
            </w:r>
            <w:proofErr w:type="spellStart"/>
            <w:r>
              <w:rPr>
                <w:rFonts w:ascii="Arial" w:hAnsi="Arial"/>
                <w:sz w:val="16"/>
                <w:szCs w:val="16"/>
              </w:rPr>
              <w:t>Eurolog</w:t>
            </w:r>
            <w:proofErr w:type="spellEnd"/>
            <w:r>
              <w:rPr>
                <w:rFonts w:ascii="Arial" w:hAnsi="Arial"/>
                <w:sz w:val="16"/>
                <w:szCs w:val="16"/>
              </w:rPr>
              <w:t xml:space="preserve"> </w:t>
            </w:r>
            <w:proofErr w:type="spellStart"/>
            <w:r>
              <w:rPr>
                <w:rFonts w:ascii="Arial" w:hAnsi="Arial"/>
                <w:sz w:val="16"/>
                <w:szCs w:val="16"/>
              </w:rPr>
              <w:t>Rade</w:t>
            </w:r>
            <w:proofErr w:type="spellEnd"/>
            <w:r>
              <w:rPr>
                <w:rFonts w:ascii="Arial" w:hAnsi="Arial"/>
                <w:sz w:val="16"/>
                <w:szCs w:val="16"/>
              </w:rPr>
              <w:t>”, Logistics hall</w:t>
            </w:r>
          </w:p>
        </w:tc>
        <w:tc>
          <w:tcPr>
            <w:tcW w:w="2693" w:type="dxa"/>
            <w:shd w:val="clear" w:color="auto" w:fill="D9D9D9" w:themeFill="background1" w:themeFillShade="D9"/>
            <w:vAlign w:val="center"/>
          </w:tcPr>
          <w:p w14:paraId="2D6812D1" w14:textId="208EFCD4" w:rsidR="004C4080" w:rsidRPr="006021B6" w:rsidRDefault="00825B41" w:rsidP="00C36C38">
            <w:pPr>
              <w:spacing w:before="60" w:after="60"/>
              <w:rPr>
                <w:rFonts w:ascii="Arial" w:hAnsi="Arial" w:cs="Arial"/>
                <w:sz w:val="16"/>
                <w:szCs w:val="16"/>
              </w:rPr>
            </w:pPr>
            <w:r>
              <w:rPr>
                <w:rFonts w:ascii="Arial" w:hAnsi="Arial"/>
                <w:sz w:val="16"/>
                <w:szCs w:val="16"/>
              </w:rPr>
              <w:t>C</w:t>
            </w:r>
            <w:r w:rsidR="006021B6">
              <w:rPr>
                <w:rFonts w:ascii="Arial" w:hAnsi="Arial"/>
                <w:sz w:val="16"/>
                <w:szCs w:val="16"/>
              </w:rPr>
              <w:t>onfidential</w:t>
            </w:r>
          </w:p>
        </w:tc>
        <w:tc>
          <w:tcPr>
            <w:tcW w:w="992" w:type="dxa"/>
            <w:shd w:val="clear" w:color="auto" w:fill="D9D9D9" w:themeFill="background1" w:themeFillShade="D9"/>
            <w:vAlign w:val="center"/>
          </w:tcPr>
          <w:p w14:paraId="0CA696BF" w14:textId="77777777" w:rsidR="004C4080" w:rsidRDefault="004C4080" w:rsidP="004C4080">
            <w:pPr>
              <w:spacing w:after="0"/>
              <w:jc w:val="center"/>
              <w:rPr>
                <w:rFonts w:ascii="Arial" w:hAnsi="Arial" w:cs="Arial"/>
                <w:sz w:val="16"/>
                <w:szCs w:val="16"/>
              </w:rPr>
            </w:pPr>
            <w:r>
              <w:rPr>
                <w:rFonts w:ascii="Arial" w:hAnsi="Arial"/>
                <w:sz w:val="16"/>
                <w:szCs w:val="16"/>
              </w:rPr>
              <w:t>15,500</w:t>
            </w:r>
          </w:p>
        </w:tc>
      </w:tr>
      <w:tr w:rsidR="003A22D7" w:rsidRPr="0017364E" w14:paraId="308E7DC8" w14:textId="77777777" w:rsidTr="00825B41">
        <w:trPr>
          <w:trHeight w:val="542"/>
        </w:trPr>
        <w:tc>
          <w:tcPr>
            <w:tcW w:w="1080" w:type="dxa"/>
            <w:shd w:val="clear" w:color="auto" w:fill="auto"/>
            <w:vAlign w:val="center"/>
          </w:tcPr>
          <w:p w14:paraId="7447B907" w14:textId="77777777" w:rsidR="003A22D7" w:rsidRPr="003A22D7" w:rsidRDefault="00E04869" w:rsidP="003A22D7">
            <w:pPr>
              <w:spacing w:after="0"/>
              <w:rPr>
                <w:rFonts w:ascii="Arial" w:hAnsi="Arial" w:cs="Arial"/>
                <w:sz w:val="16"/>
                <w:szCs w:val="16"/>
              </w:rPr>
            </w:pPr>
            <w:proofErr w:type="spellStart"/>
            <w:r>
              <w:rPr>
                <w:rFonts w:ascii="Arial" w:hAnsi="Arial"/>
                <w:sz w:val="16"/>
                <w:szCs w:val="16"/>
              </w:rPr>
              <w:t>Henstedt-Ulzburg</w:t>
            </w:r>
            <w:proofErr w:type="spellEnd"/>
          </w:p>
        </w:tc>
        <w:tc>
          <w:tcPr>
            <w:tcW w:w="2317" w:type="dxa"/>
            <w:shd w:val="clear" w:color="auto" w:fill="auto"/>
            <w:vAlign w:val="center"/>
          </w:tcPr>
          <w:p w14:paraId="7E92348E" w14:textId="77777777" w:rsidR="003A22D7" w:rsidRPr="003A22D7" w:rsidRDefault="00E04869" w:rsidP="003A22D7">
            <w:pPr>
              <w:spacing w:after="0"/>
              <w:rPr>
                <w:rFonts w:ascii="Arial" w:hAnsi="Arial" w:cs="Arial"/>
                <w:sz w:val="16"/>
                <w:szCs w:val="16"/>
              </w:rPr>
            </w:pPr>
            <w:r>
              <w:rPr>
                <w:rFonts w:ascii="Arial" w:hAnsi="Arial"/>
                <w:sz w:val="16"/>
                <w:szCs w:val="16"/>
              </w:rPr>
              <w:t>Rudolf-Diesel-</w:t>
            </w:r>
            <w:proofErr w:type="spellStart"/>
            <w:r>
              <w:rPr>
                <w:rFonts w:ascii="Arial" w:hAnsi="Arial"/>
                <w:sz w:val="16"/>
                <w:szCs w:val="16"/>
              </w:rPr>
              <w:t>Strasse</w:t>
            </w:r>
            <w:proofErr w:type="spellEnd"/>
            <w:r>
              <w:rPr>
                <w:rFonts w:ascii="Arial" w:hAnsi="Arial"/>
                <w:sz w:val="16"/>
                <w:szCs w:val="16"/>
              </w:rPr>
              <w:t xml:space="preserve"> 11-13</w:t>
            </w:r>
          </w:p>
        </w:tc>
        <w:tc>
          <w:tcPr>
            <w:tcW w:w="2552" w:type="dxa"/>
            <w:shd w:val="clear" w:color="auto" w:fill="auto"/>
            <w:vAlign w:val="center"/>
          </w:tcPr>
          <w:p w14:paraId="49F724E5" w14:textId="77777777" w:rsidR="003A22D7" w:rsidRPr="003A22D7" w:rsidRDefault="00E04869" w:rsidP="003A22D7">
            <w:pPr>
              <w:spacing w:after="0"/>
              <w:rPr>
                <w:rFonts w:ascii="Arial" w:hAnsi="Arial" w:cs="Arial"/>
                <w:sz w:val="16"/>
                <w:szCs w:val="16"/>
              </w:rPr>
            </w:pPr>
            <w:r>
              <w:rPr>
                <w:rFonts w:ascii="Arial" w:hAnsi="Arial"/>
                <w:sz w:val="16"/>
                <w:szCs w:val="16"/>
              </w:rPr>
              <w:t>Distribution centre</w:t>
            </w:r>
          </w:p>
        </w:tc>
        <w:tc>
          <w:tcPr>
            <w:tcW w:w="2693" w:type="dxa"/>
            <w:shd w:val="clear" w:color="auto" w:fill="auto"/>
            <w:vAlign w:val="center"/>
          </w:tcPr>
          <w:p w14:paraId="294F4207" w14:textId="77777777" w:rsidR="003A22D7" w:rsidRPr="003A22D7" w:rsidRDefault="00E04869" w:rsidP="003A22D7">
            <w:pPr>
              <w:spacing w:after="0"/>
              <w:rPr>
                <w:rFonts w:ascii="Arial" w:hAnsi="Arial" w:cs="Arial"/>
                <w:sz w:val="16"/>
                <w:szCs w:val="16"/>
              </w:rPr>
            </w:pPr>
            <w:r>
              <w:rPr>
                <w:rFonts w:ascii="Arial" w:hAnsi="Arial"/>
                <w:sz w:val="16"/>
                <w:szCs w:val="16"/>
              </w:rPr>
              <w:t>Boeing Distribution Services</w:t>
            </w:r>
          </w:p>
        </w:tc>
        <w:tc>
          <w:tcPr>
            <w:tcW w:w="992" w:type="dxa"/>
            <w:shd w:val="clear" w:color="auto" w:fill="auto"/>
            <w:vAlign w:val="center"/>
          </w:tcPr>
          <w:p w14:paraId="60A4E267" w14:textId="77777777" w:rsidR="003A22D7" w:rsidRPr="003A22D7" w:rsidRDefault="00E04869" w:rsidP="003A22D7">
            <w:pPr>
              <w:spacing w:after="0"/>
              <w:jc w:val="center"/>
              <w:rPr>
                <w:rFonts w:ascii="Arial" w:hAnsi="Arial" w:cs="Arial"/>
                <w:sz w:val="16"/>
                <w:szCs w:val="16"/>
              </w:rPr>
            </w:pPr>
            <w:r>
              <w:rPr>
                <w:rFonts w:ascii="Arial" w:hAnsi="Arial"/>
                <w:sz w:val="16"/>
                <w:szCs w:val="16"/>
              </w:rPr>
              <w:t>15,400</w:t>
            </w:r>
          </w:p>
        </w:tc>
      </w:tr>
      <w:tr w:rsidR="003A22D7" w:rsidRPr="0017364E" w14:paraId="765EF050" w14:textId="77777777" w:rsidTr="00825B41">
        <w:trPr>
          <w:trHeight w:val="542"/>
        </w:trPr>
        <w:tc>
          <w:tcPr>
            <w:tcW w:w="1080" w:type="dxa"/>
            <w:shd w:val="clear" w:color="auto" w:fill="auto"/>
            <w:vAlign w:val="center"/>
          </w:tcPr>
          <w:p w14:paraId="657C3EDD" w14:textId="77777777" w:rsidR="003A22D7" w:rsidRPr="003A22D7" w:rsidRDefault="00E04869" w:rsidP="003A22D7">
            <w:pPr>
              <w:spacing w:after="0"/>
              <w:rPr>
                <w:rFonts w:ascii="Arial" w:hAnsi="Arial" w:cs="Arial"/>
                <w:sz w:val="16"/>
                <w:szCs w:val="16"/>
              </w:rPr>
            </w:pPr>
            <w:r>
              <w:rPr>
                <w:rFonts w:ascii="Arial" w:hAnsi="Arial"/>
                <w:sz w:val="16"/>
                <w:szCs w:val="16"/>
              </w:rPr>
              <w:t>Hamburg</w:t>
            </w:r>
          </w:p>
        </w:tc>
        <w:tc>
          <w:tcPr>
            <w:tcW w:w="2317" w:type="dxa"/>
            <w:shd w:val="clear" w:color="auto" w:fill="auto"/>
            <w:vAlign w:val="center"/>
          </w:tcPr>
          <w:p w14:paraId="6A84A2FD" w14:textId="77777777" w:rsidR="003A22D7" w:rsidRPr="003A22D7" w:rsidRDefault="00E04869" w:rsidP="003A22D7">
            <w:pPr>
              <w:spacing w:after="0"/>
              <w:rPr>
                <w:rFonts w:ascii="Arial" w:hAnsi="Arial" w:cs="Arial"/>
                <w:sz w:val="16"/>
                <w:szCs w:val="16"/>
              </w:rPr>
            </w:pPr>
            <w:proofErr w:type="spellStart"/>
            <w:r>
              <w:rPr>
                <w:rFonts w:ascii="Arial" w:hAnsi="Arial"/>
                <w:sz w:val="16"/>
                <w:szCs w:val="16"/>
              </w:rPr>
              <w:t>Bredowstrasse</w:t>
            </w:r>
            <w:proofErr w:type="spellEnd"/>
            <w:r>
              <w:rPr>
                <w:rFonts w:ascii="Arial" w:hAnsi="Arial"/>
                <w:sz w:val="16"/>
                <w:szCs w:val="16"/>
              </w:rPr>
              <w:t xml:space="preserve"> 6</w:t>
            </w:r>
          </w:p>
        </w:tc>
        <w:tc>
          <w:tcPr>
            <w:tcW w:w="2552" w:type="dxa"/>
            <w:shd w:val="clear" w:color="auto" w:fill="auto"/>
            <w:vAlign w:val="center"/>
          </w:tcPr>
          <w:p w14:paraId="7D6DA3AA" w14:textId="77777777" w:rsidR="003A22D7" w:rsidRPr="003A22D7" w:rsidRDefault="00082FDC" w:rsidP="003A22D7">
            <w:pPr>
              <w:spacing w:after="0"/>
              <w:rPr>
                <w:rFonts w:ascii="Arial" w:hAnsi="Arial" w:cs="Arial"/>
                <w:sz w:val="16"/>
                <w:szCs w:val="16"/>
              </w:rPr>
            </w:pPr>
            <w:r>
              <w:rPr>
                <w:rFonts w:ascii="Arial" w:hAnsi="Arial"/>
                <w:sz w:val="16"/>
                <w:szCs w:val="16"/>
              </w:rPr>
              <w:t>New build</w:t>
            </w:r>
          </w:p>
        </w:tc>
        <w:tc>
          <w:tcPr>
            <w:tcW w:w="2693" w:type="dxa"/>
            <w:shd w:val="clear" w:color="auto" w:fill="auto"/>
            <w:vAlign w:val="center"/>
          </w:tcPr>
          <w:p w14:paraId="722CB634" w14:textId="77777777" w:rsidR="003A22D7" w:rsidRPr="003A22D7" w:rsidRDefault="001C72E7" w:rsidP="003A22D7">
            <w:pPr>
              <w:spacing w:after="0"/>
              <w:rPr>
                <w:rFonts w:ascii="Arial" w:hAnsi="Arial" w:cs="Arial"/>
                <w:sz w:val="16"/>
                <w:szCs w:val="16"/>
              </w:rPr>
            </w:pPr>
            <w:r>
              <w:rPr>
                <w:rFonts w:ascii="Arial" w:hAnsi="Arial"/>
                <w:sz w:val="16"/>
                <w:szCs w:val="16"/>
              </w:rPr>
              <w:t xml:space="preserve">Heinrich </w:t>
            </w:r>
            <w:proofErr w:type="spellStart"/>
            <w:r>
              <w:rPr>
                <w:rFonts w:ascii="Arial" w:hAnsi="Arial"/>
                <w:sz w:val="16"/>
                <w:szCs w:val="16"/>
              </w:rPr>
              <w:t>Dehn</w:t>
            </w:r>
            <w:proofErr w:type="spellEnd"/>
            <w:r>
              <w:rPr>
                <w:rFonts w:ascii="Arial" w:hAnsi="Arial"/>
                <w:sz w:val="16"/>
                <w:szCs w:val="16"/>
              </w:rPr>
              <w:t xml:space="preserve"> Internationale </w:t>
            </w:r>
            <w:proofErr w:type="spellStart"/>
            <w:r>
              <w:rPr>
                <w:rFonts w:ascii="Arial" w:hAnsi="Arial"/>
                <w:sz w:val="16"/>
                <w:szCs w:val="16"/>
              </w:rPr>
              <w:t>Spedition</w:t>
            </w:r>
            <w:proofErr w:type="spellEnd"/>
          </w:p>
        </w:tc>
        <w:tc>
          <w:tcPr>
            <w:tcW w:w="992" w:type="dxa"/>
            <w:shd w:val="clear" w:color="auto" w:fill="auto"/>
            <w:vAlign w:val="center"/>
          </w:tcPr>
          <w:p w14:paraId="3856D610" w14:textId="77777777" w:rsidR="003A22D7" w:rsidRPr="003A22D7" w:rsidRDefault="001C72E7" w:rsidP="003A22D7">
            <w:pPr>
              <w:spacing w:after="0"/>
              <w:jc w:val="center"/>
              <w:rPr>
                <w:rFonts w:ascii="Arial" w:hAnsi="Arial" w:cs="Arial"/>
                <w:sz w:val="16"/>
                <w:szCs w:val="16"/>
              </w:rPr>
            </w:pPr>
            <w:r>
              <w:rPr>
                <w:rFonts w:ascii="Arial" w:hAnsi="Arial"/>
                <w:sz w:val="16"/>
                <w:szCs w:val="16"/>
              </w:rPr>
              <w:t>15,300</w:t>
            </w:r>
          </w:p>
        </w:tc>
      </w:tr>
    </w:tbl>
    <w:p w14:paraId="3336185C" w14:textId="77777777" w:rsidR="009A3457" w:rsidRPr="00154797" w:rsidRDefault="00154797" w:rsidP="00587FDA">
      <w:pPr>
        <w:spacing w:after="0" w:line="360" w:lineRule="auto"/>
        <w:rPr>
          <w:rFonts w:ascii="Arial" w:eastAsia="Arial" w:hAnsi="Arial" w:cs="Arial"/>
          <w:color w:val="000000" w:themeColor="text1"/>
          <w:sz w:val="16"/>
          <w:szCs w:val="16"/>
        </w:rPr>
      </w:pPr>
      <w:r>
        <w:rPr>
          <w:rFonts w:ascii="Arial" w:hAnsi="Arial"/>
          <w:color w:val="000000" w:themeColor="text1"/>
          <w:sz w:val="16"/>
          <w:szCs w:val="16"/>
        </w:rPr>
        <w:t xml:space="preserve">New agreements are colour-marked </w:t>
      </w:r>
    </w:p>
    <w:p w14:paraId="3D515F75" w14:textId="77777777" w:rsidR="00154797" w:rsidRDefault="00154797" w:rsidP="00587FDA">
      <w:pPr>
        <w:spacing w:after="0" w:line="360" w:lineRule="auto"/>
        <w:rPr>
          <w:rFonts w:ascii="Arial" w:eastAsia="Arial" w:hAnsi="Arial" w:cs="Arial"/>
          <w:color w:val="000000" w:themeColor="text1"/>
          <w:sz w:val="20"/>
          <w:szCs w:val="20"/>
        </w:rPr>
      </w:pPr>
    </w:p>
    <w:p w14:paraId="75C7E3C4" w14:textId="6D39668E" w:rsidR="006E5C9C" w:rsidRPr="00825B41" w:rsidRDefault="00E36AA4" w:rsidP="00587FDA">
      <w:pPr>
        <w:spacing w:after="0" w:line="360" w:lineRule="auto"/>
        <w:rPr>
          <w:rFonts w:ascii="Arial" w:hAnsi="Arial" w:cs="Arial"/>
          <w:b/>
          <w:sz w:val="20"/>
          <w:szCs w:val="20"/>
        </w:rPr>
      </w:pPr>
      <w:r w:rsidRPr="00825B41">
        <w:rPr>
          <w:rFonts w:ascii="Arial" w:hAnsi="Arial" w:cs="Arial"/>
          <w:color w:val="000000" w:themeColor="text1"/>
          <w:sz w:val="20"/>
          <w:szCs w:val="20"/>
        </w:rPr>
        <w:t xml:space="preserve">The complete </w:t>
      </w:r>
      <w:hyperlink r:id="rId9" w:history="1">
        <w:r w:rsidRPr="00825B41">
          <w:rPr>
            <w:rStyle w:val="Hyperlink"/>
            <w:rFonts w:ascii="Arial" w:hAnsi="Arial" w:cs="Arial"/>
            <w:sz w:val="20"/>
            <w:szCs w:val="20"/>
          </w:rPr>
          <w:t>industrial market survey</w:t>
        </w:r>
      </w:hyperlink>
      <w:r w:rsidRPr="00825B41">
        <w:rPr>
          <w:rFonts w:ascii="Arial" w:hAnsi="Arial" w:cs="Arial"/>
          <w:color w:val="000000" w:themeColor="text1"/>
          <w:sz w:val="20"/>
          <w:szCs w:val="20"/>
        </w:rPr>
        <w:t xml:space="preserve"> will soon be available and can be downloaded from our website.</w:t>
      </w:r>
    </w:p>
    <w:p w14:paraId="1079D55C" w14:textId="6B88C98E" w:rsidR="00514293" w:rsidRDefault="00514293" w:rsidP="00587FDA">
      <w:pPr>
        <w:spacing w:after="0" w:line="360" w:lineRule="auto"/>
        <w:rPr>
          <w:rFonts w:ascii="Arial" w:hAnsi="Arial" w:cs="Arial"/>
          <w:b/>
          <w:sz w:val="16"/>
          <w:szCs w:val="16"/>
        </w:rPr>
      </w:pPr>
    </w:p>
    <w:p w14:paraId="79A93C87" w14:textId="77777777" w:rsidR="00825B41" w:rsidRDefault="00825B41" w:rsidP="00587FDA">
      <w:pPr>
        <w:spacing w:after="0" w:line="360" w:lineRule="auto"/>
        <w:rPr>
          <w:rFonts w:ascii="Arial" w:hAnsi="Arial" w:cs="Arial"/>
          <w:b/>
          <w:sz w:val="16"/>
          <w:szCs w:val="16"/>
        </w:rPr>
      </w:pPr>
    </w:p>
    <w:p w14:paraId="2CFAE757" w14:textId="77777777" w:rsidR="0090748B" w:rsidRPr="0090748B" w:rsidRDefault="0090748B" w:rsidP="006C1DD8">
      <w:pPr>
        <w:spacing w:after="0" w:line="360" w:lineRule="auto"/>
        <w:rPr>
          <w:rFonts w:ascii="Arial" w:hAnsi="Arial" w:cs="Arial"/>
          <w:b/>
          <w:sz w:val="16"/>
          <w:szCs w:val="16"/>
        </w:rPr>
      </w:pPr>
      <w:r>
        <w:rPr>
          <w:rFonts w:ascii="Arial" w:hAnsi="Arial"/>
          <w:b/>
          <w:sz w:val="16"/>
          <w:szCs w:val="16"/>
        </w:rPr>
        <w:t>About Grossmann &amp; Berger</w:t>
      </w:r>
    </w:p>
    <w:p w14:paraId="3089C1EF" w14:textId="2ACFE829" w:rsidR="009C5E5C" w:rsidRPr="00FE68A0" w:rsidRDefault="00825B41" w:rsidP="009C5E5C">
      <w:pPr>
        <w:spacing w:after="0" w:line="360" w:lineRule="auto"/>
        <w:rPr>
          <w:rFonts w:ascii="Arial" w:hAnsi="Arial" w:cs="Arial"/>
          <w:vanish/>
          <w:sz w:val="16"/>
          <w:szCs w:val="16"/>
          <w:specVanish/>
        </w:rPr>
      </w:pPr>
      <w:hyperlink r:id="rId10" w:history="1">
        <w:r w:rsidR="009C5E5C">
          <w:rPr>
            <w:rStyle w:val="Hyperlink"/>
            <w:rFonts w:ascii="Arial" w:hAnsi="Arial"/>
            <w:snapToGrid w:val="0"/>
            <w:sz w:val="16"/>
            <w:szCs w:val="16"/>
          </w:rPr>
          <w:t>Grossmann &amp; Berger GmbH</w:t>
        </w:r>
      </w:hyperlink>
      <w:r w:rsidR="009C5E5C">
        <w:rPr>
          <w:rFonts w:ascii="Arial" w:hAnsi="Arial"/>
          <w:snapToGrid w:val="0"/>
          <w:sz w:val="16"/>
          <w:szCs w:val="16"/>
        </w:rPr>
        <w:t xml:space="preserve"> is one of the leading service providers in the business of selling and letting commercial and residential properties in North Germany. In addition to its main office in Hamburg, the company has 20 local offices. This allows Grossmann &amp; Berger to cover the entire North German market. In May 2021 the company was augmented by </w:t>
      </w:r>
      <w:hyperlink r:id="rId11" w:history="1">
        <w:r w:rsidR="009C5E5C">
          <w:rPr>
            <w:rStyle w:val="Hyperlink"/>
            <w:rFonts w:ascii="Arial" w:hAnsi="Arial"/>
            <w:snapToGrid w:val="0"/>
            <w:sz w:val="16"/>
            <w:szCs w:val="16"/>
          </w:rPr>
          <w:t>E &amp; G Real Estate</w:t>
        </w:r>
      </w:hyperlink>
      <w:r w:rsidR="009C5E5C">
        <w:rPr>
          <w:rFonts w:ascii="Arial" w:hAnsi="Arial"/>
          <w:snapToGrid w:val="0"/>
          <w:sz w:val="16"/>
          <w:szCs w:val="16"/>
        </w:rPr>
        <w:t xml:space="preserve"> and</w:t>
      </w:r>
      <w:r w:rsidR="00620010">
        <w:rPr>
          <w:rFonts w:ascii="Arial" w:hAnsi="Arial"/>
          <w:snapToGrid w:val="0"/>
          <w:sz w:val="16"/>
          <w:szCs w:val="16"/>
        </w:rPr>
        <w:t xml:space="preserve"> </w:t>
      </w:r>
      <w:hyperlink r:id="rId12" w:history="1">
        <w:r w:rsidR="009C5E5C">
          <w:rPr>
            <w:rStyle w:val="Hyperlink"/>
            <w:rFonts w:ascii="Arial" w:hAnsi="Arial"/>
            <w:snapToGrid w:val="0"/>
            <w:sz w:val="16"/>
            <w:szCs w:val="16"/>
          </w:rPr>
          <w:t xml:space="preserve">E &amp; G Private </w:t>
        </w:r>
        <w:proofErr w:type="spellStart"/>
        <w:r w:rsidR="009C5E5C">
          <w:rPr>
            <w:rStyle w:val="Hyperlink"/>
            <w:rFonts w:ascii="Arial" w:hAnsi="Arial"/>
            <w:snapToGrid w:val="0"/>
            <w:sz w:val="16"/>
            <w:szCs w:val="16"/>
          </w:rPr>
          <w:t>Immobilien</w:t>
        </w:r>
        <w:proofErr w:type="spellEnd"/>
      </w:hyperlink>
      <w:r w:rsidR="009C5E5C">
        <w:rPr>
          <w:rFonts w:ascii="Arial" w:hAnsi="Arial"/>
          <w:snapToGrid w:val="0"/>
          <w:sz w:val="16"/>
          <w:szCs w:val="16"/>
        </w:rPr>
        <w:t xml:space="preserve">, so that Grossmann &amp; Berger also operates in the two South German metropolitan areas of Stuttgart and Munich. Drawing on their comprehensive expertise in the real estate business, some 250 employees provide the full range of relevant services. They also benefit from the company’s more than 85 years standing in the industry. </w:t>
      </w:r>
      <w:r w:rsidR="009C5E5C">
        <w:rPr>
          <w:rFonts w:ascii="Arial" w:hAnsi="Arial"/>
          <w:sz w:val="16"/>
          <w:szCs w:val="16"/>
        </w:rPr>
        <w:t xml:space="preserve">Grossmann &amp; Berger belongs to the HASPA Group and is a founding member of the national commercial real estate network </w:t>
      </w:r>
      <w:hyperlink r:id="rId13" w:history="1">
        <w:r w:rsidR="009C5E5C">
          <w:rPr>
            <w:rStyle w:val="Hyperlink"/>
            <w:rFonts w:ascii="Arial" w:hAnsi="Arial"/>
            <w:sz w:val="16"/>
            <w:szCs w:val="16"/>
          </w:rPr>
          <w:t>German Property Partners</w:t>
        </w:r>
      </w:hyperlink>
      <w:r w:rsidR="009C5E5C">
        <w:rPr>
          <w:rFonts w:ascii="Arial" w:hAnsi="Arial"/>
          <w:sz w:val="16"/>
          <w:szCs w:val="16"/>
        </w:rPr>
        <w:t xml:space="preserve"> (GPP).</w:t>
      </w:r>
    </w:p>
    <w:p w14:paraId="2FE1B2AF" w14:textId="77777777" w:rsidR="00E36AA4" w:rsidRPr="001A49B0" w:rsidRDefault="00E36AA4" w:rsidP="00E36AA4">
      <w:pPr>
        <w:spacing w:after="0" w:line="360" w:lineRule="auto"/>
        <w:rPr>
          <w:rFonts w:ascii="Arial" w:hAnsi="Arial" w:cs="Arial"/>
          <w:sz w:val="16"/>
          <w:szCs w:val="16"/>
        </w:rPr>
      </w:pPr>
    </w:p>
    <w:p w14:paraId="0090BAA5" w14:textId="77777777" w:rsidR="0090748B" w:rsidRDefault="0090748B" w:rsidP="000C770D">
      <w:pPr>
        <w:spacing w:after="0" w:line="360" w:lineRule="auto"/>
        <w:rPr>
          <w:rFonts w:ascii="Arial" w:hAnsi="Arial" w:cs="Arial"/>
          <w:sz w:val="20"/>
          <w:szCs w:val="20"/>
        </w:rPr>
      </w:pPr>
    </w:p>
    <w:p w14:paraId="4B5501F7" w14:textId="08E25A65" w:rsidR="00503D8C" w:rsidRPr="00503D8C" w:rsidRDefault="003C6AB4" w:rsidP="00E36AA4">
      <w:pPr>
        <w:spacing w:after="0" w:line="360" w:lineRule="auto"/>
        <w:rPr>
          <w:rFonts w:ascii="Arial" w:hAnsi="Arial" w:cs="Arial"/>
          <w:b/>
          <w:color w:val="000000" w:themeColor="text1"/>
          <w:spacing w:val="20"/>
          <w:sz w:val="20"/>
          <w:szCs w:val="20"/>
        </w:rPr>
      </w:pPr>
      <w:r>
        <w:rPr>
          <w:rFonts w:ascii="Arial" w:hAnsi="Arial"/>
          <w:sz w:val="16"/>
          <w:szCs w:val="16"/>
        </w:rPr>
        <w:t>Please consult our website for Grossmann &amp; Berger’s</w:t>
      </w:r>
      <w:hyperlink r:id="rId14" w:history="1">
        <w:r>
          <w:rPr>
            <w:rStyle w:val="Hyperlink"/>
            <w:rFonts w:ascii="Arial" w:hAnsi="Arial"/>
            <w:sz w:val="16"/>
            <w:szCs w:val="16"/>
          </w:rPr>
          <w:t xml:space="preserve"> data privacy policy.</w:t>
        </w:r>
      </w:hyperlink>
      <w:r w:rsidR="0094459C">
        <w:rPr>
          <w:rFonts w:ascii="Arial" w:hAnsi="Arial"/>
          <w:sz w:val="16"/>
          <w:szCs w:val="16"/>
        </w:rPr>
        <w:t xml:space="preserve"> </w:t>
      </w:r>
      <w:r>
        <w:rPr>
          <w:rFonts w:ascii="Arial" w:hAnsi="Arial"/>
          <w:sz w:val="16"/>
          <w:szCs w:val="16"/>
        </w:rPr>
        <w:t xml:space="preserve">Here you will also be able to access our </w:t>
      </w:r>
      <w:hyperlink r:id="rId15" w:history="1">
        <w:r>
          <w:rPr>
            <w:rStyle w:val="Hyperlink"/>
            <w:rFonts w:ascii="Arial" w:hAnsi="Arial"/>
            <w:sz w:val="16"/>
            <w:szCs w:val="16"/>
          </w:rPr>
          <w:t>press kit</w:t>
        </w:r>
        <w:r w:rsidRPr="0094459C">
          <w:rPr>
            <w:rStyle w:val="Hyperlink"/>
            <w:rFonts w:ascii="Arial" w:hAnsi="Arial"/>
            <w:sz w:val="16"/>
            <w:szCs w:val="16"/>
            <w:u w:val="none"/>
          </w:rPr>
          <w:t xml:space="preserve"> </w:t>
        </w:r>
      </w:hyperlink>
      <w:r>
        <w:rPr>
          <w:rFonts w:ascii="Arial" w:hAnsi="Arial"/>
          <w:sz w:val="16"/>
          <w:szCs w:val="16"/>
        </w:rPr>
        <w:t xml:space="preserve">and the associated </w:t>
      </w:r>
      <w:hyperlink r:id="rId16" w:history="1">
        <w:r>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office, please e-mail us at </w:t>
      </w:r>
      <w:hyperlink r:id="rId17" w:history="1">
        <w:r>
          <w:rPr>
            <w:rStyle w:val="Hyperlink"/>
            <w:rFonts w:ascii="Arial" w:hAnsi="Arial"/>
            <w:sz w:val="16"/>
            <w:szCs w:val="16"/>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p>
    <w:sectPr w:rsidR="00503D8C" w:rsidRPr="00503D8C" w:rsidSect="00D83CB7">
      <w:headerReference w:type="default" r:id="rId18"/>
      <w:footerReference w:type="default" r:id="rId19"/>
      <w:headerReference w:type="first" r:id="rId20"/>
      <w:footerReference w:type="first" r:id="rId21"/>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AFD6A" w14:textId="77777777" w:rsidR="00C21CF6" w:rsidRDefault="00C21CF6">
      <w:r>
        <w:separator/>
      </w:r>
    </w:p>
  </w:endnote>
  <w:endnote w:type="continuationSeparator" w:id="0">
    <w:p w14:paraId="6C0CF28D" w14:textId="77777777" w:rsidR="00C21CF6" w:rsidRDefault="00C2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ark OT Light">
    <w:panose1 w:val="00000000000000000000"/>
    <w:charset w:val="00"/>
    <w:family w:val="swiss"/>
    <w:notTrueType/>
    <w:pitch w:val="variable"/>
    <w:sig w:usb0="A00000EF" w:usb1="5000FCFB" w:usb2="00000000" w:usb3="00000000" w:csb0="00000001" w:csb1="00000000"/>
  </w:font>
  <w:font w:name="Mark OT">
    <w:panose1 w:val="00000000000000000000"/>
    <w:charset w:val="00"/>
    <w:family w:val="swiss"/>
    <w:notTrueType/>
    <w:pitch w:val="variable"/>
    <w:sig w:usb0="A00000EF" w:usb1="5000FCF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6E4DE" w14:textId="77777777"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Pr>
        <w:rFonts w:ascii="Arial" w:hAnsi="Arial"/>
        <w:b/>
        <w:bCs/>
        <w:color w:val="918F90"/>
        <w:sz w:val="18"/>
        <w:szCs w:val="18"/>
      </w:rPr>
      <w:t xml:space="preserve">Grossmann &amp; Berger GmbH </w:t>
    </w:r>
    <w:r>
      <w:rPr>
        <w:rFonts w:ascii="Arial" w:hAnsi="Arial"/>
        <w:color w:val="918F90"/>
        <w:sz w:val="18"/>
        <w:szCs w:val="18"/>
      </w:rPr>
      <w:t xml:space="preserve">| </w:t>
    </w:r>
    <w:proofErr w:type="spellStart"/>
    <w:r>
      <w:rPr>
        <w:rFonts w:ascii="Arial" w:hAnsi="Arial"/>
        <w:color w:val="918F90"/>
        <w:sz w:val="18"/>
        <w:szCs w:val="18"/>
      </w:rPr>
      <w:t>Bleichenbrücke</w:t>
    </w:r>
    <w:proofErr w:type="spellEnd"/>
    <w:r>
      <w:rPr>
        <w:rFonts w:ascii="Arial" w:hAnsi="Arial"/>
        <w:color w:val="918F90"/>
        <w:sz w:val="18"/>
        <w:szCs w:val="18"/>
      </w:rPr>
      <w:t xml:space="preserve"> 9 | 20354 Hamburg | Tel. +49 (0)40/350 80 2-0 | www.grossmann-berger.de</w:t>
    </w:r>
  </w:p>
  <w:p w14:paraId="161708D2" w14:textId="1FAFB294"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825B41">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825B41">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EF838" w14:textId="77777777" w:rsidR="008C608D" w:rsidRDefault="008C608D">
    <w:pPr>
      <w:pStyle w:val="Fuzeile"/>
    </w:pPr>
    <w:r>
      <w:rPr>
        <w:noProof/>
        <w:lang w:val="de-DE" w:eastAsia="de-DE"/>
      </w:rPr>
      <w:drawing>
        <wp:anchor distT="0" distB="0" distL="0" distR="0" simplePos="0" relativeHeight="251659264" behindDoc="0" locked="0" layoutInCell="0" allowOverlap="1" wp14:anchorId="1E89235B" wp14:editId="0E1E20DF">
          <wp:simplePos x="0" y="0"/>
          <wp:positionH relativeFrom="column">
            <wp:posOffset>-617220</wp:posOffset>
          </wp:positionH>
          <wp:positionV relativeFrom="page">
            <wp:posOffset>9429750</wp:posOffset>
          </wp:positionV>
          <wp:extent cx="7346950" cy="1197610"/>
          <wp:effectExtent l="0" t="0" r="6350" b="2540"/>
          <wp:wrapThrough wrapText="bothSides">
            <wp:wrapPolygon edited="0">
              <wp:start x="19322" y="0"/>
              <wp:lineTo x="19322" y="5497"/>
              <wp:lineTo x="0" y="5841"/>
              <wp:lineTo x="0" y="21302"/>
              <wp:lineTo x="21563" y="21302"/>
              <wp:lineTo x="21563" y="5841"/>
              <wp:lineTo x="20723" y="5497"/>
              <wp:lineTo x="20723" y="0"/>
              <wp:lineTo x="19322"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97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46707" w14:textId="77777777" w:rsidR="00C21CF6" w:rsidRDefault="00C21CF6">
      <w:r>
        <w:separator/>
      </w:r>
    </w:p>
  </w:footnote>
  <w:footnote w:type="continuationSeparator" w:id="0">
    <w:p w14:paraId="7994476A" w14:textId="77777777" w:rsidR="00C21CF6" w:rsidRDefault="00C21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1852" w14:textId="77777777" w:rsidR="006138CB" w:rsidRPr="009E3ADA" w:rsidRDefault="006A7604" w:rsidP="006138CB">
    <w:pPr>
      <w:jc w:val="right"/>
      <w:rPr>
        <w:rFonts w:ascii="Arial" w:hAnsi="Arial" w:cs="Arial"/>
        <w:color w:val="918F90"/>
        <w:sz w:val="28"/>
        <w:szCs w:val="28"/>
      </w:rPr>
    </w:pPr>
    <w:r>
      <w:rPr>
        <w:rFonts w:ascii="Times New Roman" w:hAnsi="Times New Roman"/>
        <w:noProof/>
        <w:lang w:val="de-DE" w:eastAsia="de-DE"/>
      </w:rPr>
      <mc:AlternateContent>
        <mc:Choice Requires="wps">
          <w:drawing>
            <wp:anchor distT="0" distB="0" distL="114300" distR="114300" simplePos="0" relativeHeight="251667456" behindDoc="0" locked="0" layoutInCell="1" allowOverlap="1" wp14:anchorId="46BAE9B7" wp14:editId="0BA4DF2F">
              <wp:simplePos x="0" y="0"/>
              <wp:positionH relativeFrom="margin">
                <wp:posOffset>-92208</wp:posOffset>
              </wp:positionH>
              <wp:positionV relativeFrom="paragraph">
                <wp:posOffset>7620</wp:posOffset>
              </wp:positionV>
              <wp:extent cx="4779010" cy="281940"/>
              <wp:effectExtent l="0" t="0" r="0" b="381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281940"/>
                      </a:xfrm>
                      <a:prstGeom prst="rect">
                        <a:avLst/>
                      </a:prstGeom>
                      <a:noFill/>
                      <a:ln w="9525">
                        <a:noFill/>
                        <a:miter lim="800000"/>
                        <a:headEnd/>
                        <a:tailEnd/>
                      </a:ln>
                    </wps:spPr>
                    <wps:txbx>
                      <w:txbxContent>
                        <w:p w14:paraId="34DFB114" w14:textId="77777777" w:rsidR="006A7604" w:rsidRDefault="006A7604" w:rsidP="006A760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AE9B7" id="_x0000_t202" coordsize="21600,21600" o:spt="202" path="m,l,21600r21600,l21600,xe">
              <v:stroke joinstyle="miter"/>
              <v:path gradientshapeok="t" o:connecttype="rect"/>
            </v:shapetype>
            <v:shape id="Textfeld 4" o:spid="_x0000_s1026" type="#_x0000_t202" style="position:absolute;left:0;text-align:left;margin-left:-7.25pt;margin-top:.6pt;width:376.3pt;height:22.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1OPCwIAAPIDAAAOAAAAZHJzL2Uyb0RvYy54bWysU9tu2zAMfR+wfxD0vjgJnKUx4hRduw4D&#10;um5Auw9QdImFSaImKbGzrx8lp2mwvQ3zgyCa5CHPIbW+HqwhBxmiBtfS2WRKiXQchHa7ln5/vn93&#10;RUlMzAlmwMmWHmWk15u3b9a9b+QcOjBCBoIgLja9b2mXkm+qKvJOWhYn4KVDp4JgWUIz7CoRWI/o&#10;1lTz6fR91UMQPgCXMeLfu9FJNwVfKcnTV6WiTMS0FHtL5Qzl3Oaz2qxZswvMd5qf2mD/0IVl2mHR&#10;M9QdS4zsg/4LymoeIIJKEw62AqU0l4UDsplN/2Dz1DEvCxcUJ/qzTPH/wfLHw7dAtGhpTYljFkf0&#10;LIekpBGkzur0PjYY9OQxLA0fYMApF6bRPwD/EYmD2465nbwJAfpOMoHdzXJmdZE64sQMsu2/gMAy&#10;bJ+gAA0q2CwdikEQHad0PE8GWyEcf9bL5Qr1oYSjb341W9VldBVrXrJ9iOmTBEvypaUBJ1/Q2eEh&#10;ptwNa15CcjEH99qYMn3jSN/S1WK+KAkXHqsTLqfRtqVX0/yN65JJfnSiJCemzXjHAsadWGeiI+U0&#10;bAcMzFJsQRyRf4BxCfHR4KWD8IuSHhewpfHnngVJifnsUMPVrEaSJBWjXiznaIRLz/bSwxxHqJYm&#10;SsbrbSpbPnK9Qa2VLjK8dnLqFRerqHN6BHlzL+0S9fpUN78BAAD//wMAUEsDBBQABgAIAAAAIQBd&#10;x2bp3QAAAAgBAAAPAAAAZHJzL2Rvd25yZXYueG1sTI/BTsMwEETvSPyDtUjcWjslKW0ap0IgriDa&#10;gsTNjbdJRLyOYrcJf89yguPqjWbeFtvJdeKCQ2g9aUjmCgRS5W1LtYbD/nm2AhGiIWs6T6jhGwNs&#10;y+urwuTWj/SGl12sBZdQyI2GJsY+lzJUDToT5r5HYnbygzORz6GWdjAjl7tOLpRaSmda4oXG9PjY&#10;YPW1OzsN7y+nz49UvdZPLutHPylJbi21vr2ZHjYgIk7xLwy/+qwOJTsd/ZlsEJ2GWZJmHGWwAMH8&#10;/m6VgDhqSLMlyLKQ/x8ofwAAAP//AwBQSwECLQAUAAYACAAAACEAtoM4kv4AAADhAQAAEwAAAAAA&#10;AAAAAAAAAAAAAAAAW0NvbnRlbnRfVHlwZXNdLnhtbFBLAQItABQABgAIAAAAIQA4/SH/1gAAAJQB&#10;AAALAAAAAAAAAAAAAAAAAC8BAABfcmVscy8ucmVsc1BLAQItABQABgAIAAAAIQAqz1OPCwIAAPID&#10;AAAOAAAAAAAAAAAAAAAAAC4CAABkcnMvZTJvRG9jLnhtbFBLAQItABQABgAIAAAAIQBdx2bp3QAA&#10;AAgBAAAPAAAAAAAAAAAAAAAAAGUEAABkcnMvZG93bnJldi54bWxQSwUGAAAAAAQABADzAAAAbwUA&#10;AAAA&#10;" filled="f" stroked="f">
              <v:textbox>
                <w:txbxContent>
                  <w:p w14:paraId="34DFB114" w14:textId="77777777" w:rsidR="006A7604" w:rsidRDefault="006A7604" w:rsidP="006A760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w10:wrap anchorx="margin"/>
            </v:shape>
          </w:pict>
        </mc:Fallback>
      </mc:AlternateContent>
    </w:r>
    <w:r>
      <w:rPr>
        <w:rFonts w:ascii="Arial" w:hAnsi="Arial"/>
        <w:color w:val="918F90"/>
        <w:sz w:val="28"/>
        <w:szCs w:val="28"/>
      </w:rPr>
      <w:t>Press release</w:t>
    </w:r>
  </w:p>
  <w:p w14:paraId="622F1146"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C5D4E" w14:textId="77777777" w:rsidR="00D83CB7" w:rsidRDefault="006A7604" w:rsidP="000C770D">
    <w:pPr>
      <w:jc w:val="right"/>
      <w:rPr>
        <w:rFonts w:ascii="Arial" w:hAnsi="Arial" w:cs="Arial"/>
        <w:color w:val="918F90"/>
        <w:sz w:val="28"/>
        <w:szCs w:val="28"/>
      </w:rPr>
    </w:pPr>
    <w:r>
      <w:rPr>
        <w:rFonts w:ascii="Times New Roman" w:hAnsi="Times New Roman"/>
        <w:noProof/>
        <w:lang w:val="de-DE" w:eastAsia="de-DE"/>
      </w:rPr>
      <mc:AlternateContent>
        <mc:Choice Requires="wps">
          <w:drawing>
            <wp:anchor distT="0" distB="0" distL="114300" distR="114300" simplePos="0" relativeHeight="251665408" behindDoc="0" locked="0" layoutInCell="1" allowOverlap="1" wp14:anchorId="4F12CF69" wp14:editId="70AAEAF9">
              <wp:simplePos x="0" y="0"/>
              <wp:positionH relativeFrom="margin">
                <wp:posOffset>-74295</wp:posOffset>
              </wp:positionH>
              <wp:positionV relativeFrom="paragraph">
                <wp:posOffset>28414</wp:posOffset>
              </wp:positionV>
              <wp:extent cx="4832798" cy="281940"/>
              <wp:effectExtent l="0" t="0" r="0" b="381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798" cy="281940"/>
                      </a:xfrm>
                      <a:prstGeom prst="rect">
                        <a:avLst/>
                      </a:prstGeom>
                      <a:noFill/>
                      <a:ln w="9525">
                        <a:noFill/>
                        <a:miter lim="800000"/>
                        <a:headEnd/>
                        <a:tailEnd/>
                      </a:ln>
                    </wps:spPr>
                    <wps:txbx>
                      <w:txbxContent>
                        <w:p w14:paraId="7E2A5B96" w14:textId="77777777" w:rsidR="006A7604" w:rsidRDefault="006A7604" w:rsidP="006A760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2CF69" id="_x0000_t202" coordsize="21600,21600" o:spt="202" path="m,l,21600r21600,l21600,xe">
              <v:stroke joinstyle="miter"/>
              <v:path gradientshapeok="t" o:connecttype="rect"/>
            </v:shapetype>
            <v:shape id="Textfeld 1" o:spid="_x0000_s1027" type="#_x0000_t202" style="position:absolute;left:0;text-align:left;margin-left:-5.85pt;margin-top:2.25pt;width:380.55pt;height:2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Xa/DgIAAPkDAAAOAAAAZHJzL2Uyb0RvYy54bWysU9tu2zAMfR+wfxD0vjjxkjUx4hRduw4D&#10;ugvQ7gMUXWJhkqhJSuzs60vJaRZsb8P8IIgmechzSK2vB2vIQYaowbV0NplSIh0Hod2upd+f7t8s&#10;KYmJOcEMONnSo4z0evP61br3jayhAyNkIAjiYtP7lnYp+aaqIu+kZXECXjp0KgiWJTTDrhKB9Yhu&#10;TVVPp++qHoLwAbiMEf/ejU66KfhKSZ6+KhVlIqal2FsqZyjnNp/VZs2aXWC+0/zUBvuHLizTDoue&#10;oe5YYmQf9F9QVvMAEVSacLAVKKW5LByQzWz6B5vHjnlZuKA40Z9liv8Pln85fAtEC5wdJY5ZHNGT&#10;HJKSRpBZVqf3scGgR49haXgPQ47MTKN/AP4jEge3HXM7eRMC9J1kArsrmdVF6ogTM8i2/wwCy7B9&#10;ggI0qGAzIIpBEB2ndDxPBlshHH/Ol2/rqxXuEkdfvZyt5mV0FWtesn2I6aMES/KlpQEnX9DZ4SEm&#10;5IGhLyG5mIN7bUyZvnGkb+lqUS9KwoXH6oTLabRt6XKav3FdMskPTpTkxLQZ71jAOKyTWWeiI+U0&#10;bIeTvCcxtyCOKEOAcRfx7eClg/CLkh73sKXx554FSYn55FDK1WyOXEkqxnxxVaMRLj3bSw9zHKFa&#10;migZr7epLPtI+QYlV7qokbscOzm1jPtVRDq9hbzAl3aJ+v1iN88AAAD//wMAUEsDBBQABgAIAAAA&#10;IQBPhQpe3QAAAAgBAAAPAAAAZHJzL2Rvd25yZXYueG1sTI/BTsMwEETvSPyDtUjcWjsopU2IUyEQ&#10;VyragsTNjbdJRLyOYrcJf8/2RI+jGc28KdaT68QZh9B60pDMFQikytuWag373dtsBSJEQ9Z0nlDD&#10;LwZYl7c3hcmtH+kDz9tYCy6hkBsNTYx9LmWoGnQmzH2PxN7RD85ElkMt7WBGLnedfFDqUTrTEi80&#10;pseXBquf7clp+Hw/fn+lalO/ukU/+klJcpnU+v5uen4CEXGK/2G44DM6lMx08CeyQXQaZkmy5KiG&#10;dAGC/WWapSAOrFcZyLKQ1wfKPwAAAP//AwBQSwECLQAUAAYACAAAACEAtoM4kv4AAADhAQAAEwAA&#10;AAAAAAAAAAAAAAAAAAAAW0NvbnRlbnRfVHlwZXNdLnhtbFBLAQItABQABgAIAAAAIQA4/SH/1gAA&#10;AJQBAAALAAAAAAAAAAAAAAAAAC8BAABfcmVscy8ucmVsc1BLAQItABQABgAIAAAAIQC2XXa/DgIA&#10;APkDAAAOAAAAAAAAAAAAAAAAAC4CAABkcnMvZTJvRG9jLnhtbFBLAQItABQABgAIAAAAIQBPhQpe&#10;3QAAAAgBAAAPAAAAAAAAAAAAAAAAAGgEAABkcnMvZG93bnJldi54bWxQSwUGAAAAAAQABADzAAAA&#10;cgUAAAAA&#10;" filled="f" stroked="f">
              <v:textbox>
                <w:txbxContent>
                  <w:p w14:paraId="7E2A5B96" w14:textId="77777777" w:rsidR="006A7604" w:rsidRDefault="006A7604" w:rsidP="006A760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w10:wrap anchorx="margin"/>
            </v:shape>
          </w:pict>
        </mc:Fallback>
      </mc:AlternateContent>
    </w:r>
    <w:r>
      <w:rPr>
        <w:rFonts w:ascii="Arial" w:hAnsi="Arial"/>
        <w:color w:val="918F90"/>
        <w:sz w:val="28"/>
        <w:szCs w:val="28"/>
      </w:rPr>
      <w:t>Press release</w:t>
    </w:r>
  </w:p>
  <w:p w14:paraId="3034665C"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F305C1"/>
    <w:multiLevelType w:val="hybridMultilevel"/>
    <w:tmpl w:val="BD4E0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4B1188"/>
    <w:multiLevelType w:val="hybridMultilevel"/>
    <w:tmpl w:val="034E419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0296C5D"/>
    <w:multiLevelType w:val="hybridMultilevel"/>
    <w:tmpl w:val="0FA2F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5"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6"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7"/>
  </w:num>
  <w:num w:numId="14">
    <w:abstractNumId w:val="15"/>
  </w:num>
  <w:num w:numId="15">
    <w:abstractNumId w:val="16"/>
  </w:num>
  <w:num w:numId="16">
    <w:abstractNumId w:val="11"/>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1"/>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159FE"/>
    <w:rsid w:val="00022F16"/>
    <w:rsid w:val="00023D78"/>
    <w:rsid w:val="0003075C"/>
    <w:rsid w:val="00037015"/>
    <w:rsid w:val="00044CC7"/>
    <w:rsid w:val="00060743"/>
    <w:rsid w:val="00066796"/>
    <w:rsid w:val="000766D7"/>
    <w:rsid w:val="0007670A"/>
    <w:rsid w:val="00082FDC"/>
    <w:rsid w:val="00083FC2"/>
    <w:rsid w:val="000A0C99"/>
    <w:rsid w:val="000A5ED1"/>
    <w:rsid w:val="000B1606"/>
    <w:rsid w:val="000B3315"/>
    <w:rsid w:val="000C770D"/>
    <w:rsid w:val="000E03F3"/>
    <w:rsid w:val="000E3494"/>
    <w:rsid w:val="000E7BC7"/>
    <w:rsid w:val="000F726E"/>
    <w:rsid w:val="001029C4"/>
    <w:rsid w:val="00105EAA"/>
    <w:rsid w:val="0011079D"/>
    <w:rsid w:val="0011486D"/>
    <w:rsid w:val="00121E33"/>
    <w:rsid w:val="00122A77"/>
    <w:rsid w:val="00123619"/>
    <w:rsid w:val="00126550"/>
    <w:rsid w:val="001324D6"/>
    <w:rsid w:val="00135BD2"/>
    <w:rsid w:val="00135E09"/>
    <w:rsid w:val="00141FCC"/>
    <w:rsid w:val="00143504"/>
    <w:rsid w:val="00154797"/>
    <w:rsid w:val="00154825"/>
    <w:rsid w:val="0015550E"/>
    <w:rsid w:val="00163DB4"/>
    <w:rsid w:val="0017364E"/>
    <w:rsid w:val="0017516B"/>
    <w:rsid w:val="00176F1D"/>
    <w:rsid w:val="0018068D"/>
    <w:rsid w:val="0018568C"/>
    <w:rsid w:val="001871BC"/>
    <w:rsid w:val="001A2ABE"/>
    <w:rsid w:val="001A360C"/>
    <w:rsid w:val="001C72E7"/>
    <w:rsid w:val="001D14DA"/>
    <w:rsid w:val="001E1172"/>
    <w:rsid w:val="001E6995"/>
    <w:rsid w:val="001F0C02"/>
    <w:rsid w:val="001F1513"/>
    <w:rsid w:val="00205769"/>
    <w:rsid w:val="00212FEC"/>
    <w:rsid w:val="002131BB"/>
    <w:rsid w:val="0022086D"/>
    <w:rsid w:val="00223A7F"/>
    <w:rsid w:val="00227E31"/>
    <w:rsid w:val="00230F81"/>
    <w:rsid w:val="002341EE"/>
    <w:rsid w:val="00237341"/>
    <w:rsid w:val="00251750"/>
    <w:rsid w:val="00252E36"/>
    <w:rsid w:val="00252F48"/>
    <w:rsid w:val="00254C6F"/>
    <w:rsid w:val="00255679"/>
    <w:rsid w:val="0027266B"/>
    <w:rsid w:val="00281E80"/>
    <w:rsid w:val="002834B0"/>
    <w:rsid w:val="00283671"/>
    <w:rsid w:val="00284A5D"/>
    <w:rsid w:val="00284E27"/>
    <w:rsid w:val="00294B7D"/>
    <w:rsid w:val="002A1973"/>
    <w:rsid w:val="002B14F6"/>
    <w:rsid w:val="002C055A"/>
    <w:rsid w:val="002C2392"/>
    <w:rsid w:val="002D1C5C"/>
    <w:rsid w:val="002D1E20"/>
    <w:rsid w:val="002E6860"/>
    <w:rsid w:val="002F0411"/>
    <w:rsid w:val="002F4176"/>
    <w:rsid w:val="002F4A7D"/>
    <w:rsid w:val="002F767E"/>
    <w:rsid w:val="00301F3A"/>
    <w:rsid w:val="0031494D"/>
    <w:rsid w:val="003246F0"/>
    <w:rsid w:val="00325E2A"/>
    <w:rsid w:val="003272F3"/>
    <w:rsid w:val="003377DF"/>
    <w:rsid w:val="00345716"/>
    <w:rsid w:val="0034786C"/>
    <w:rsid w:val="003517C9"/>
    <w:rsid w:val="00357EC4"/>
    <w:rsid w:val="003627E1"/>
    <w:rsid w:val="00363EAC"/>
    <w:rsid w:val="00370000"/>
    <w:rsid w:val="00373507"/>
    <w:rsid w:val="00375B11"/>
    <w:rsid w:val="00381BED"/>
    <w:rsid w:val="0038230E"/>
    <w:rsid w:val="00382529"/>
    <w:rsid w:val="0039259C"/>
    <w:rsid w:val="00395ED5"/>
    <w:rsid w:val="003A00C9"/>
    <w:rsid w:val="003A22D7"/>
    <w:rsid w:val="003A25A4"/>
    <w:rsid w:val="003B49E4"/>
    <w:rsid w:val="003B4CCF"/>
    <w:rsid w:val="003B6CD4"/>
    <w:rsid w:val="003C6AB4"/>
    <w:rsid w:val="003C7E40"/>
    <w:rsid w:val="003D0A8A"/>
    <w:rsid w:val="003D2BB6"/>
    <w:rsid w:val="003E099F"/>
    <w:rsid w:val="003E4DF9"/>
    <w:rsid w:val="003F665D"/>
    <w:rsid w:val="0040086D"/>
    <w:rsid w:val="004017D8"/>
    <w:rsid w:val="00411E03"/>
    <w:rsid w:val="004123B1"/>
    <w:rsid w:val="004303A1"/>
    <w:rsid w:val="00440DC9"/>
    <w:rsid w:val="004450C4"/>
    <w:rsid w:val="004506D2"/>
    <w:rsid w:val="00455FC3"/>
    <w:rsid w:val="00456F40"/>
    <w:rsid w:val="004609BD"/>
    <w:rsid w:val="004661EE"/>
    <w:rsid w:val="00466741"/>
    <w:rsid w:val="00470064"/>
    <w:rsid w:val="004843A0"/>
    <w:rsid w:val="004A2BEA"/>
    <w:rsid w:val="004A3C64"/>
    <w:rsid w:val="004A5AEA"/>
    <w:rsid w:val="004B2FDA"/>
    <w:rsid w:val="004B480A"/>
    <w:rsid w:val="004C0CA2"/>
    <w:rsid w:val="004C4080"/>
    <w:rsid w:val="004C6712"/>
    <w:rsid w:val="004C6E6E"/>
    <w:rsid w:val="004D50C0"/>
    <w:rsid w:val="004D772A"/>
    <w:rsid w:val="004E339B"/>
    <w:rsid w:val="004E4273"/>
    <w:rsid w:val="004E4562"/>
    <w:rsid w:val="004E7B3E"/>
    <w:rsid w:val="004F077F"/>
    <w:rsid w:val="005023DD"/>
    <w:rsid w:val="00503D8C"/>
    <w:rsid w:val="00510F37"/>
    <w:rsid w:val="00514293"/>
    <w:rsid w:val="00522B84"/>
    <w:rsid w:val="00530EB4"/>
    <w:rsid w:val="00531A7F"/>
    <w:rsid w:val="00534BAD"/>
    <w:rsid w:val="005360E8"/>
    <w:rsid w:val="005428C5"/>
    <w:rsid w:val="00543C55"/>
    <w:rsid w:val="0055393B"/>
    <w:rsid w:val="005554C7"/>
    <w:rsid w:val="00556F58"/>
    <w:rsid w:val="005606A6"/>
    <w:rsid w:val="00567D57"/>
    <w:rsid w:val="00580EB7"/>
    <w:rsid w:val="00582B99"/>
    <w:rsid w:val="00587FDA"/>
    <w:rsid w:val="00590903"/>
    <w:rsid w:val="005A617A"/>
    <w:rsid w:val="005B0FC9"/>
    <w:rsid w:val="005B66D3"/>
    <w:rsid w:val="005C100F"/>
    <w:rsid w:val="005C29E5"/>
    <w:rsid w:val="005C4556"/>
    <w:rsid w:val="005C5302"/>
    <w:rsid w:val="005D307B"/>
    <w:rsid w:val="005E362E"/>
    <w:rsid w:val="005F7593"/>
    <w:rsid w:val="006021B6"/>
    <w:rsid w:val="006029D7"/>
    <w:rsid w:val="00603A68"/>
    <w:rsid w:val="0061109D"/>
    <w:rsid w:val="00612AA0"/>
    <w:rsid w:val="006138CB"/>
    <w:rsid w:val="00616335"/>
    <w:rsid w:val="00620010"/>
    <w:rsid w:val="006224C4"/>
    <w:rsid w:val="006225EA"/>
    <w:rsid w:val="006261DF"/>
    <w:rsid w:val="00627588"/>
    <w:rsid w:val="00627692"/>
    <w:rsid w:val="00641270"/>
    <w:rsid w:val="00642074"/>
    <w:rsid w:val="006424F8"/>
    <w:rsid w:val="006752B2"/>
    <w:rsid w:val="00681CAB"/>
    <w:rsid w:val="006842EF"/>
    <w:rsid w:val="00687256"/>
    <w:rsid w:val="00692D1D"/>
    <w:rsid w:val="00695E58"/>
    <w:rsid w:val="0069757D"/>
    <w:rsid w:val="006A1329"/>
    <w:rsid w:val="006A66F9"/>
    <w:rsid w:val="006A7604"/>
    <w:rsid w:val="006C1DD8"/>
    <w:rsid w:val="006D024C"/>
    <w:rsid w:val="006D0A0A"/>
    <w:rsid w:val="006D58B9"/>
    <w:rsid w:val="006E5C9C"/>
    <w:rsid w:val="006F1774"/>
    <w:rsid w:val="006F625D"/>
    <w:rsid w:val="0070224E"/>
    <w:rsid w:val="00704C9B"/>
    <w:rsid w:val="00715FB9"/>
    <w:rsid w:val="00717A20"/>
    <w:rsid w:val="00720DFF"/>
    <w:rsid w:val="00730E23"/>
    <w:rsid w:val="0074780F"/>
    <w:rsid w:val="0075428A"/>
    <w:rsid w:val="00762CC5"/>
    <w:rsid w:val="00764E36"/>
    <w:rsid w:val="00786781"/>
    <w:rsid w:val="007906B4"/>
    <w:rsid w:val="007970A0"/>
    <w:rsid w:val="007A592B"/>
    <w:rsid w:val="007B215B"/>
    <w:rsid w:val="007B4617"/>
    <w:rsid w:val="007C2AF5"/>
    <w:rsid w:val="007E759D"/>
    <w:rsid w:val="007F2DBE"/>
    <w:rsid w:val="007F33B6"/>
    <w:rsid w:val="007F5D65"/>
    <w:rsid w:val="007F642D"/>
    <w:rsid w:val="007F756A"/>
    <w:rsid w:val="0080256B"/>
    <w:rsid w:val="00812471"/>
    <w:rsid w:val="00825B41"/>
    <w:rsid w:val="008261A5"/>
    <w:rsid w:val="0083382E"/>
    <w:rsid w:val="00850B30"/>
    <w:rsid w:val="00855325"/>
    <w:rsid w:val="00855494"/>
    <w:rsid w:val="00855D4A"/>
    <w:rsid w:val="00862E34"/>
    <w:rsid w:val="00865915"/>
    <w:rsid w:val="00871832"/>
    <w:rsid w:val="008740D8"/>
    <w:rsid w:val="00874930"/>
    <w:rsid w:val="008775C5"/>
    <w:rsid w:val="00886360"/>
    <w:rsid w:val="00886CCE"/>
    <w:rsid w:val="008942C6"/>
    <w:rsid w:val="00896B33"/>
    <w:rsid w:val="008A486B"/>
    <w:rsid w:val="008A62FB"/>
    <w:rsid w:val="008A77B7"/>
    <w:rsid w:val="008B0F67"/>
    <w:rsid w:val="008C0F8D"/>
    <w:rsid w:val="008C608D"/>
    <w:rsid w:val="008C7E5F"/>
    <w:rsid w:val="008E461D"/>
    <w:rsid w:val="008E65DC"/>
    <w:rsid w:val="008F08E5"/>
    <w:rsid w:val="008F0EA4"/>
    <w:rsid w:val="008F38F6"/>
    <w:rsid w:val="008F5213"/>
    <w:rsid w:val="009000CF"/>
    <w:rsid w:val="0090748B"/>
    <w:rsid w:val="009101A6"/>
    <w:rsid w:val="00920C9C"/>
    <w:rsid w:val="00922754"/>
    <w:rsid w:val="00925781"/>
    <w:rsid w:val="009258D0"/>
    <w:rsid w:val="00926F5D"/>
    <w:rsid w:val="0092736D"/>
    <w:rsid w:val="00932E7E"/>
    <w:rsid w:val="00935AB3"/>
    <w:rsid w:val="0094459C"/>
    <w:rsid w:val="009449EC"/>
    <w:rsid w:val="00944EF5"/>
    <w:rsid w:val="0094505A"/>
    <w:rsid w:val="00956905"/>
    <w:rsid w:val="009646C4"/>
    <w:rsid w:val="009734CE"/>
    <w:rsid w:val="00974E78"/>
    <w:rsid w:val="00976B5A"/>
    <w:rsid w:val="0098460C"/>
    <w:rsid w:val="009919C7"/>
    <w:rsid w:val="0099386F"/>
    <w:rsid w:val="0099413E"/>
    <w:rsid w:val="00995237"/>
    <w:rsid w:val="00996E1A"/>
    <w:rsid w:val="009A3457"/>
    <w:rsid w:val="009A6689"/>
    <w:rsid w:val="009B1E98"/>
    <w:rsid w:val="009B4392"/>
    <w:rsid w:val="009B7D09"/>
    <w:rsid w:val="009C5E5C"/>
    <w:rsid w:val="009D24DA"/>
    <w:rsid w:val="009D35EC"/>
    <w:rsid w:val="009D5D75"/>
    <w:rsid w:val="009E0C0B"/>
    <w:rsid w:val="009E6514"/>
    <w:rsid w:val="009F32A2"/>
    <w:rsid w:val="009F54CE"/>
    <w:rsid w:val="00A05C3F"/>
    <w:rsid w:val="00A06264"/>
    <w:rsid w:val="00A1639A"/>
    <w:rsid w:val="00A215C9"/>
    <w:rsid w:val="00A443FF"/>
    <w:rsid w:val="00A46F56"/>
    <w:rsid w:val="00A5364B"/>
    <w:rsid w:val="00A615E0"/>
    <w:rsid w:val="00A65E2B"/>
    <w:rsid w:val="00A74AA0"/>
    <w:rsid w:val="00A7546D"/>
    <w:rsid w:val="00A77100"/>
    <w:rsid w:val="00A8792D"/>
    <w:rsid w:val="00AA4D97"/>
    <w:rsid w:val="00AC41D5"/>
    <w:rsid w:val="00AD17B7"/>
    <w:rsid w:val="00AE4157"/>
    <w:rsid w:val="00AF08D2"/>
    <w:rsid w:val="00B069C5"/>
    <w:rsid w:val="00B06D1B"/>
    <w:rsid w:val="00B077D5"/>
    <w:rsid w:val="00B16A78"/>
    <w:rsid w:val="00B200E4"/>
    <w:rsid w:val="00B210A4"/>
    <w:rsid w:val="00B26FFD"/>
    <w:rsid w:val="00B35B6D"/>
    <w:rsid w:val="00B35DC6"/>
    <w:rsid w:val="00B42B8C"/>
    <w:rsid w:val="00B42F67"/>
    <w:rsid w:val="00B4491B"/>
    <w:rsid w:val="00B500A5"/>
    <w:rsid w:val="00B51699"/>
    <w:rsid w:val="00B53FAF"/>
    <w:rsid w:val="00B60999"/>
    <w:rsid w:val="00B63153"/>
    <w:rsid w:val="00B6527D"/>
    <w:rsid w:val="00B73B3A"/>
    <w:rsid w:val="00B74507"/>
    <w:rsid w:val="00B75718"/>
    <w:rsid w:val="00B75E7E"/>
    <w:rsid w:val="00B93817"/>
    <w:rsid w:val="00B9391B"/>
    <w:rsid w:val="00B9682D"/>
    <w:rsid w:val="00BA0849"/>
    <w:rsid w:val="00BA0B96"/>
    <w:rsid w:val="00BA1A9C"/>
    <w:rsid w:val="00BA4DC2"/>
    <w:rsid w:val="00BB15DA"/>
    <w:rsid w:val="00BB340D"/>
    <w:rsid w:val="00BC2A3A"/>
    <w:rsid w:val="00BC3E27"/>
    <w:rsid w:val="00BC64EC"/>
    <w:rsid w:val="00BD073D"/>
    <w:rsid w:val="00BE4198"/>
    <w:rsid w:val="00BF3AFD"/>
    <w:rsid w:val="00BF6593"/>
    <w:rsid w:val="00C12F1D"/>
    <w:rsid w:val="00C1606C"/>
    <w:rsid w:val="00C21CF6"/>
    <w:rsid w:val="00C23180"/>
    <w:rsid w:val="00C26F94"/>
    <w:rsid w:val="00C2798B"/>
    <w:rsid w:val="00C36C38"/>
    <w:rsid w:val="00C41492"/>
    <w:rsid w:val="00C502EC"/>
    <w:rsid w:val="00C50874"/>
    <w:rsid w:val="00C51419"/>
    <w:rsid w:val="00C5230C"/>
    <w:rsid w:val="00C702B5"/>
    <w:rsid w:val="00C70389"/>
    <w:rsid w:val="00C748A6"/>
    <w:rsid w:val="00C904B6"/>
    <w:rsid w:val="00C90A75"/>
    <w:rsid w:val="00C96DF4"/>
    <w:rsid w:val="00CA6A66"/>
    <w:rsid w:val="00CC1337"/>
    <w:rsid w:val="00CC2514"/>
    <w:rsid w:val="00CC48DF"/>
    <w:rsid w:val="00CD4A91"/>
    <w:rsid w:val="00CD70E7"/>
    <w:rsid w:val="00CD7363"/>
    <w:rsid w:val="00CE0964"/>
    <w:rsid w:val="00CE0C1F"/>
    <w:rsid w:val="00CE455F"/>
    <w:rsid w:val="00CF0BF9"/>
    <w:rsid w:val="00CF5957"/>
    <w:rsid w:val="00D01D40"/>
    <w:rsid w:val="00D02D0D"/>
    <w:rsid w:val="00D04BA2"/>
    <w:rsid w:val="00D077B0"/>
    <w:rsid w:val="00D13F86"/>
    <w:rsid w:val="00D22D42"/>
    <w:rsid w:val="00D232F7"/>
    <w:rsid w:val="00D252B7"/>
    <w:rsid w:val="00D36D8D"/>
    <w:rsid w:val="00D45711"/>
    <w:rsid w:val="00D500FC"/>
    <w:rsid w:val="00D51597"/>
    <w:rsid w:val="00D5326E"/>
    <w:rsid w:val="00D55867"/>
    <w:rsid w:val="00D634A3"/>
    <w:rsid w:val="00D64886"/>
    <w:rsid w:val="00D7059B"/>
    <w:rsid w:val="00D713A7"/>
    <w:rsid w:val="00D72339"/>
    <w:rsid w:val="00D73E47"/>
    <w:rsid w:val="00D74ABB"/>
    <w:rsid w:val="00D77B6E"/>
    <w:rsid w:val="00D83CB0"/>
    <w:rsid w:val="00D83CB7"/>
    <w:rsid w:val="00D97FA8"/>
    <w:rsid w:val="00DA2E1E"/>
    <w:rsid w:val="00DA3063"/>
    <w:rsid w:val="00DB4363"/>
    <w:rsid w:val="00DC7B25"/>
    <w:rsid w:val="00DD422D"/>
    <w:rsid w:val="00DD6B73"/>
    <w:rsid w:val="00DE23F8"/>
    <w:rsid w:val="00DE7CC2"/>
    <w:rsid w:val="00E036F9"/>
    <w:rsid w:val="00E04869"/>
    <w:rsid w:val="00E05CF6"/>
    <w:rsid w:val="00E112C9"/>
    <w:rsid w:val="00E1314C"/>
    <w:rsid w:val="00E138AB"/>
    <w:rsid w:val="00E158F7"/>
    <w:rsid w:val="00E2087E"/>
    <w:rsid w:val="00E2636D"/>
    <w:rsid w:val="00E34976"/>
    <w:rsid w:val="00E36818"/>
    <w:rsid w:val="00E36AA4"/>
    <w:rsid w:val="00E47B97"/>
    <w:rsid w:val="00E5010B"/>
    <w:rsid w:val="00E5203C"/>
    <w:rsid w:val="00E634CC"/>
    <w:rsid w:val="00E64B2E"/>
    <w:rsid w:val="00E70EF5"/>
    <w:rsid w:val="00E76BD6"/>
    <w:rsid w:val="00E82F0E"/>
    <w:rsid w:val="00E90644"/>
    <w:rsid w:val="00E95F89"/>
    <w:rsid w:val="00E96FAC"/>
    <w:rsid w:val="00EA129F"/>
    <w:rsid w:val="00EB7A31"/>
    <w:rsid w:val="00ED0582"/>
    <w:rsid w:val="00ED1262"/>
    <w:rsid w:val="00ED7374"/>
    <w:rsid w:val="00EE31F6"/>
    <w:rsid w:val="00EE36DC"/>
    <w:rsid w:val="00EF47B8"/>
    <w:rsid w:val="00F044EE"/>
    <w:rsid w:val="00F2157F"/>
    <w:rsid w:val="00F25B1B"/>
    <w:rsid w:val="00F32201"/>
    <w:rsid w:val="00F3320B"/>
    <w:rsid w:val="00F40E92"/>
    <w:rsid w:val="00F41947"/>
    <w:rsid w:val="00F435AA"/>
    <w:rsid w:val="00F46168"/>
    <w:rsid w:val="00F6611E"/>
    <w:rsid w:val="00F71846"/>
    <w:rsid w:val="00F76C6A"/>
    <w:rsid w:val="00F83BF1"/>
    <w:rsid w:val="00F856C4"/>
    <w:rsid w:val="00F869C3"/>
    <w:rsid w:val="00F90CB9"/>
    <w:rsid w:val="00F93E08"/>
    <w:rsid w:val="00F97373"/>
    <w:rsid w:val="00FA0254"/>
    <w:rsid w:val="00FA6854"/>
    <w:rsid w:val="00FB064F"/>
    <w:rsid w:val="00FB0F6B"/>
    <w:rsid w:val="00FB144F"/>
    <w:rsid w:val="00FB159A"/>
    <w:rsid w:val="00FB4D77"/>
    <w:rsid w:val="00FB7BBA"/>
    <w:rsid w:val="00FC497D"/>
    <w:rsid w:val="00FD076B"/>
    <w:rsid w:val="00FE1986"/>
    <w:rsid w:val="00FE43D5"/>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22740B3"/>
  <w15:docId w15:val="{F732EA4B-7C89-4C87-8748-0D2C3A8B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92A4C2"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locked/>
    <w:rsid w:val="00382529"/>
    <w:rPr>
      <w:b/>
      <w:bCs/>
    </w:rPr>
  </w:style>
  <w:style w:type="table" w:styleId="Tabellenraster">
    <w:name w:val="Table Grid"/>
    <w:basedOn w:val="NormaleTabelle"/>
    <w:uiPriority w:val="59"/>
    <w:locked/>
    <w:rsid w:val="002C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NL">
    <w:name w:val="Fliesstext NL"/>
    <w:basedOn w:val="Standard"/>
    <w:uiPriority w:val="99"/>
    <w:rsid w:val="002C055A"/>
    <w:pPr>
      <w:autoSpaceDE w:val="0"/>
      <w:autoSpaceDN w:val="0"/>
      <w:adjustRightInd w:val="0"/>
      <w:spacing w:after="0" w:line="220" w:lineRule="atLeast"/>
      <w:jc w:val="both"/>
      <w:textAlignment w:val="center"/>
    </w:pPr>
    <w:rPr>
      <w:rFonts w:ascii="Mark OT Light" w:hAnsi="Mark OT Light" w:cs="Mark OT Light"/>
      <w:color w:val="000000"/>
      <w:spacing w:val="-4"/>
      <w:sz w:val="18"/>
      <w:szCs w:val="18"/>
      <w:lang w:eastAsia="de-DE"/>
    </w:rPr>
  </w:style>
  <w:style w:type="paragraph" w:customStyle="1" w:styleId="GrafikHeadlineNL">
    <w:name w:val="Grafik Headline NL"/>
    <w:basedOn w:val="FliesstextNL"/>
    <w:uiPriority w:val="99"/>
    <w:rsid w:val="002C055A"/>
    <w:rPr>
      <w:rFonts w:ascii="Mark OT" w:hAnsi="Mark OT" w:cs="Mark OT"/>
      <w:b/>
      <w:bCs/>
    </w:rPr>
  </w:style>
  <w:style w:type="paragraph" w:customStyle="1" w:styleId="HeadlineNL">
    <w:name w:val="Headline NL"/>
    <w:basedOn w:val="FliesstextNL"/>
    <w:uiPriority w:val="99"/>
    <w:rsid w:val="002C055A"/>
    <w:pPr>
      <w:spacing w:line="400" w:lineRule="atLeast"/>
    </w:pPr>
    <w:rPr>
      <w:rFonts w:ascii="Mark OT" w:hAnsi="Mark OT" w:cs="Mark OT"/>
      <w:b/>
      <w:bCs/>
      <w:spacing w:val="0"/>
      <w:sz w:val="28"/>
      <w:szCs w:val="28"/>
    </w:rPr>
  </w:style>
  <w:style w:type="paragraph" w:customStyle="1" w:styleId="SublineNL">
    <w:name w:val="Subline NL"/>
    <w:basedOn w:val="FliesstextNL"/>
    <w:uiPriority w:val="99"/>
    <w:rsid w:val="002C055A"/>
    <w:pPr>
      <w:spacing w:line="320" w:lineRule="atLeast"/>
    </w:pPr>
    <w:rPr>
      <w:spacing w:val="0"/>
      <w:sz w:val="28"/>
      <w:szCs w:val="28"/>
    </w:rPr>
  </w:style>
  <w:style w:type="character" w:styleId="Kommentarzeichen">
    <w:name w:val="annotation reference"/>
    <w:basedOn w:val="Absatz-Standardschriftart"/>
    <w:uiPriority w:val="99"/>
    <w:semiHidden/>
    <w:unhideWhenUsed/>
    <w:rsid w:val="00567D57"/>
    <w:rPr>
      <w:sz w:val="16"/>
      <w:szCs w:val="16"/>
    </w:rPr>
  </w:style>
  <w:style w:type="paragraph" w:styleId="Kommentartext">
    <w:name w:val="annotation text"/>
    <w:basedOn w:val="Standard"/>
    <w:link w:val="KommentartextZchn"/>
    <w:uiPriority w:val="99"/>
    <w:semiHidden/>
    <w:unhideWhenUsed/>
    <w:rsid w:val="00567D57"/>
    <w:rPr>
      <w:sz w:val="20"/>
      <w:szCs w:val="20"/>
    </w:rPr>
  </w:style>
  <w:style w:type="character" w:customStyle="1" w:styleId="KommentartextZchn">
    <w:name w:val="Kommentartext Zchn"/>
    <w:basedOn w:val="Absatz-Standardschriftart"/>
    <w:link w:val="Kommentartext"/>
    <w:uiPriority w:val="99"/>
    <w:semiHidden/>
    <w:rsid w:val="00567D57"/>
    <w:rPr>
      <w:sz w:val="20"/>
      <w:szCs w:val="20"/>
      <w:lang w:eastAsia="en-US"/>
    </w:rPr>
  </w:style>
  <w:style w:type="paragraph" w:styleId="Kommentarthema">
    <w:name w:val="annotation subject"/>
    <w:basedOn w:val="Kommentartext"/>
    <w:next w:val="Kommentartext"/>
    <w:link w:val="KommentarthemaZchn"/>
    <w:uiPriority w:val="99"/>
    <w:semiHidden/>
    <w:unhideWhenUsed/>
    <w:rsid w:val="00567D57"/>
    <w:rPr>
      <w:b/>
      <w:bCs/>
    </w:rPr>
  </w:style>
  <w:style w:type="character" w:customStyle="1" w:styleId="KommentarthemaZchn">
    <w:name w:val="Kommentarthema Zchn"/>
    <w:basedOn w:val="KommentartextZchn"/>
    <w:link w:val="Kommentarthema"/>
    <w:uiPriority w:val="99"/>
    <w:semiHidden/>
    <w:rsid w:val="00567D57"/>
    <w:rPr>
      <w:b/>
      <w:bCs/>
      <w:sz w:val="20"/>
      <w:szCs w:val="20"/>
      <w:lang w:eastAsia="en-US"/>
    </w:rPr>
  </w:style>
  <w:style w:type="table" w:customStyle="1" w:styleId="TableGrid1">
    <w:name w:val="Table Grid1"/>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014411746">
      <w:bodyDiv w:val="1"/>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ermanpropertypartners.de/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ug-immobilien.de/privat-immobilien" TargetMode="External"/><Relationship Id="rId17" Type="http://schemas.openxmlformats.org/officeDocument/2006/relationships/hyperlink" Target="mailto:presse@grossmann-berger.de" TargetMode="External"/><Relationship Id="rId2" Type="http://schemas.openxmlformats.org/officeDocument/2006/relationships/numbering" Target="numbering.xml"/><Relationship Id="rId16" Type="http://schemas.openxmlformats.org/officeDocument/2006/relationships/hyperlink" Target="file:///\\file01\Marketing\Presse\Vorlagen\20180517_Dokumentation%20der%20Verarbeitungstaetigkeit%20nach%20DSGVO_Presse.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g-immobilien.de/gewerbe-immobilien" TargetMode="External"/><Relationship Id="rId5" Type="http://schemas.openxmlformats.org/officeDocument/2006/relationships/webSettings" Target="webSettings.xml"/><Relationship Id="rId15" Type="http://schemas.openxmlformats.org/officeDocument/2006/relationships/hyperlink" Target="https://www.grossmann-berger.de/news/pressemappe/" TargetMode="External"/><Relationship Id="rId23" Type="http://schemas.openxmlformats.org/officeDocument/2006/relationships/theme" Target="theme/theme1.xml"/><Relationship Id="rId10" Type="http://schemas.openxmlformats.org/officeDocument/2006/relationships/hyperlink" Target="https://www.grossmann-berger.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rossmann-berger.com/marktbericht/gewerbe/industrie-lager-logistik/" TargetMode="External"/><Relationship Id="rId14" Type="http://schemas.openxmlformats.org/officeDocument/2006/relationships/hyperlink" Target="https://www.grossmann-berger.de/datenschutz/"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amp;B Farben für Word_2019">
  <a:themeElements>
    <a:clrScheme name="G&amp;B Farben">
      <a:dk1>
        <a:srgbClr val="000000"/>
      </a:dk1>
      <a:lt1>
        <a:sysClr val="window" lastClr="FFFFFF"/>
      </a:lt1>
      <a:dk2>
        <a:srgbClr val="1F242B"/>
      </a:dk2>
      <a:lt2>
        <a:srgbClr val="E4E2E4"/>
      </a:lt2>
      <a:accent1>
        <a:srgbClr val="FDC300"/>
      </a:accent1>
      <a:accent2>
        <a:srgbClr val="1F242B"/>
      </a:accent2>
      <a:accent3>
        <a:srgbClr val="FFD444"/>
      </a:accent3>
      <a:accent4>
        <a:srgbClr val="FFE17E"/>
      </a:accent4>
      <a:accent5>
        <a:srgbClr val="838490"/>
      </a:accent5>
      <a:accent6>
        <a:srgbClr val="E4E2E4"/>
      </a:accent6>
      <a:hlink>
        <a:srgbClr val="4A5A73"/>
      </a:hlink>
      <a:folHlink>
        <a:srgbClr val="92A4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2645E-5FC1-498D-8750-B9A39E213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5235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Britt Finke</cp:lastModifiedBy>
  <cp:revision>5</cp:revision>
  <cp:lastPrinted>2021-07-16T08:44:00Z</cp:lastPrinted>
  <dcterms:created xsi:type="dcterms:W3CDTF">2021-07-16T09:09:00Z</dcterms:created>
  <dcterms:modified xsi:type="dcterms:W3CDTF">2021-07-20T07:55:00Z</dcterms:modified>
</cp:coreProperties>
</file>