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37C" w14:textId="028748F6" w:rsidR="003612C9" w:rsidRDefault="009A3457" w:rsidP="001E1172">
      <w:pPr>
        <w:spacing w:after="0" w:line="360" w:lineRule="auto"/>
        <w:rPr>
          <w:rFonts w:ascii="Arial" w:hAnsi="Arial" w:cs="Arial"/>
          <w:b/>
          <w:sz w:val="28"/>
          <w:szCs w:val="28"/>
        </w:rPr>
      </w:pPr>
      <w:r>
        <w:rPr>
          <w:rFonts w:ascii="Arial" w:hAnsi="Arial"/>
          <w:b/>
        </w:rPr>
        <w:t>Hamburg: Industrial, warehouse an</w:t>
      </w:r>
      <w:r w:rsidR="00E820ED">
        <w:rPr>
          <w:rFonts w:ascii="Arial" w:hAnsi="Arial"/>
          <w:b/>
        </w:rPr>
        <w:t>d logistics property market 1st</w:t>
      </w:r>
      <w:r>
        <w:rPr>
          <w:rFonts w:ascii="Arial" w:hAnsi="Arial"/>
          <w:b/>
        </w:rPr>
        <w:t>-4th quarter 2019</w:t>
      </w:r>
      <w:r>
        <w:rPr>
          <w:rFonts w:ascii="Arial" w:hAnsi="Arial"/>
          <w:b/>
        </w:rPr>
        <w:br/>
        <w:t xml:space="preserve">Annual take-up falls to level last seen in 2008 and 2009 </w:t>
      </w:r>
    </w:p>
    <w:p w14:paraId="7CC533FA" w14:textId="22C0428E" w:rsidR="00590903" w:rsidRPr="00904150" w:rsidRDefault="00590903" w:rsidP="00590903">
      <w:pPr>
        <w:spacing w:after="0" w:line="360" w:lineRule="auto"/>
        <w:jc w:val="both"/>
        <w:rPr>
          <w:rFonts w:ascii="Arial" w:hAnsi="Arial" w:cs="Arial"/>
          <w:b/>
          <w:sz w:val="20"/>
          <w:szCs w:val="20"/>
        </w:rPr>
      </w:pPr>
    </w:p>
    <w:p w14:paraId="0D9C580A" w14:textId="278B1DA6" w:rsidR="00E65DC5" w:rsidRDefault="000F726E" w:rsidP="002475AD">
      <w:pPr>
        <w:spacing w:after="0" w:line="360" w:lineRule="auto"/>
        <w:rPr>
          <w:rFonts w:ascii="Arial" w:hAnsi="Arial" w:cs="Arial"/>
          <w:sz w:val="20"/>
          <w:szCs w:val="20"/>
        </w:rPr>
      </w:pPr>
      <w:r>
        <w:rPr>
          <w:rFonts w:ascii="Arial" w:hAnsi="Arial"/>
          <w:b/>
          <w:sz w:val="20"/>
          <w:szCs w:val="20"/>
        </w:rPr>
        <w:t>Hamburg 20</w:t>
      </w:r>
      <w:r>
        <w:rPr>
          <w:rFonts w:ascii="Arial" w:hAnsi="Arial"/>
          <w:b/>
          <w:color w:val="FF0000"/>
          <w:sz w:val="20"/>
          <w:szCs w:val="20"/>
        </w:rPr>
        <w:t xml:space="preserve"> </w:t>
      </w:r>
      <w:r>
        <w:rPr>
          <w:rFonts w:ascii="Arial" w:hAnsi="Arial"/>
          <w:b/>
          <w:sz w:val="20"/>
          <w:szCs w:val="20"/>
        </w:rPr>
        <w:t>January 2020</w:t>
      </w:r>
      <w:r>
        <w:rPr>
          <w:rFonts w:ascii="Arial" w:hAnsi="Arial"/>
          <w:sz w:val="20"/>
          <w:szCs w:val="20"/>
        </w:rPr>
        <w:t xml:space="preserve"> - In 2019 take-up of industrial, warehouse and logistics space in Hamburg and its environs started to revive a little and posted gradual growth. With take-up of 109,000 m² of space, the 4th quarter was the busiest in the past year. Despite this, for the first time since 2009 take-up of space dipped below 400,000 m² to 355,000 m². Compared with 2018 the market slumped by 24 %. </w:t>
      </w:r>
      <w:r>
        <w:rPr>
          <w:rFonts w:ascii="Arial" w:hAnsi="Arial"/>
          <w:i/>
          <w:sz w:val="20"/>
          <w:szCs w:val="20"/>
        </w:rPr>
        <w:t>“All three agreements for over 10,000 square metres were concluded in the fourth quarter. For the first time in many years, this size category did not comprise the biggest share of take-up,”</w:t>
      </w:r>
      <w:r>
        <w:rPr>
          <w:rFonts w:ascii="Arial" w:hAnsi="Arial"/>
          <w:sz w:val="20"/>
          <w:szCs w:val="20"/>
        </w:rPr>
        <w:t xml:space="preserve"> reports </w:t>
      </w:r>
      <w:r>
        <w:rPr>
          <w:rFonts w:ascii="Arial" w:hAnsi="Arial"/>
          <w:b/>
          <w:sz w:val="20"/>
          <w:szCs w:val="20"/>
        </w:rPr>
        <w:t xml:space="preserve">Felix </w:t>
      </w:r>
      <w:proofErr w:type="spellStart"/>
      <w:r>
        <w:rPr>
          <w:rFonts w:ascii="Arial" w:hAnsi="Arial"/>
          <w:b/>
          <w:sz w:val="20"/>
          <w:szCs w:val="20"/>
        </w:rPr>
        <w:t>Krumreich</w:t>
      </w:r>
      <w:proofErr w:type="spellEnd"/>
      <w:r>
        <w:rPr>
          <w:rFonts w:ascii="Arial" w:hAnsi="Arial"/>
          <w:sz w:val="20"/>
          <w:szCs w:val="20"/>
        </w:rPr>
        <w:t>, consultant for industrial, warehouse and logistics properties at Grossmann &amp; Berger, a member of German Property Partners (GPP).</w:t>
      </w:r>
      <w:r>
        <w:rPr>
          <w:rFonts w:ascii="Arial" w:hAnsi="Arial"/>
          <w:i/>
          <w:sz w:val="20"/>
          <w:szCs w:val="20"/>
        </w:rPr>
        <w:t xml:space="preserve"> “We expect this year’s market to resemble the one in 2019.”</w:t>
      </w:r>
    </w:p>
    <w:p w14:paraId="522A6DB9" w14:textId="2E1BF078" w:rsidR="00E4327E" w:rsidRPr="00FA4BCB" w:rsidRDefault="00B25945" w:rsidP="00FA4BCB">
      <w:pPr>
        <w:spacing w:after="0" w:line="360" w:lineRule="auto"/>
        <w:textAlignment w:val="baseline"/>
        <w:rPr>
          <w:rFonts w:ascii="Arial" w:hAnsi="Arial" w:cs="Arial"/>
          <w:b/>
          <w:sz w:val="20"/>
          <w:szCs w:val="20"/>
        </w:rPr>
      </w:pPr>
      <w:r>
        <w:rPr>
          <w:rFonts w:ascii="Arial" w:hAnsi="Arial"/>
          <w:sz w:val="20"/>
          <w:szCs w:val="20"/>
        </w:rPr>
        <w:br/>
      </w:r>
      <w:r>
        <w:rPr>
          <w:rFonts w:ascii="Arial" w:hAnsi="Arial"/>
          <w:b/>
          <w:sz w:val="20"/>
          <w:szCs w:val="20"/>
        </w:rPr>
        <w:t xml:space="preserve">Market details: </w:t>
      </w:r>
    </w:p>
    <w:p w14:paraId="58F8311C" w14:textId="45FA0524" w:rsidR="00401024" w:rsidRDefault="00DE1907">
      <w:pPr>
        <w:pStyle w:val="Listenabsatz"/>
        <w:numPr>
          <w:ilvl w:val="0"/>
          <w:numId w:val="16"/>
        </w:numPr>
        <w:spacing w:after="0" w:line="360" w:lineRule="auto"/>
        <w:ind w:left="567"/>
        <w:rPr>
          <w:rFonts w:ascii="Arial" w:hAnsi="Arial" w:cs="Arial"/>
          <w:sz w:val="20"/>
          <w:szCs w:val="20"/>
        </w:rPr>
      </w:pPr>
      <w:r>
        <w:rPr>
          <w:rFonts w:ascii="Arial" w:hAnsi="Arial"/>
          <w:sz w:val="20"/>
          <w:szCs w:val="20"/>
        </w:rPr>
        <w:t>The 5,001 to 10,000 m² segment of the market made up 35 % of the total, ahead of the 3,001 to 5,000 m² size category with a share of 25 %. Leases for premises larger than 10,001 m² accounted for 15 % and thus only the fourth-highest share of total take-up (2018: 38 %).</w:t>
      </w:r>
    </w:p>
    <w:p w14:paraId="23A40D72" w14:textId="166109EB" w:rsidR="00DE1907" w:rsidRPr="006E7D49" w:rsidRDefault="006914D7">
      <w:pPr>
        <w:pStyle w:val="Listenabsatz"/>
        <w:numPr>
          <w:ilvl w:val="0"/>
          <w:numId w:val="16"/>
        </w:numPr>
        <w:spacing w:after="0" w:line="360" w:lineRule="auto"/>
        <w:ind w:left="567"/>
        <w:rPr>
          <w:rFonts w:ascii="Arial" w:hAnsi="Arial" w:cs="Arial"/>
          <w:sz w:val="20"/>
          <w:szCs w:val="20"/>
        </w:rPr>
      </w:pPr>
      <w:r>
        <w:rPr>
          <w:rFonts w:ascii="Arial" w:hAnsi="Arial"/>
          <w:sz w:val="20"/>
          <w:szCs w:val="20"/>
        </w:rPr>
        <w:t xml:space="preserve">In 2018 nine agreements in this sector were signed, in 2019 only three. ULD United Logistics &amp; Distribution concluded the largest rental agreement of 2019, taking 30,000 m² of space on </w:t>
      </w:r>
      <w:proofErr w:type="spellStart"/>
      <w:r>
        <w:rPr>
          <w:rFonts w:ascii="Arial" w:hAnsi="Arial"/>
          <w:sz w:val="20"/>
          <w:szCs w:val="20"/>
        </w:rPr>
        <w:t>Dradenaustrasse</w:t>
      </w:r>
      <w:proofErr w:type="spellEnd"/>
      <w:r>
        <w:rPr>
          <w:rFonts w:ascii="Arial" w:hAnsi="Arial"/>
          <w:sz w:val="20"/>
          <w:szCs w:val="20"/>
        </w:rPr>
        <w:t xml:space="preserve">, </w:t>
      </w:r>
      <w:proofErr w:type="spellStart"/>
      <w:r>
        <w:rPr>
          <w:rFonts w:ascii="Arial" w:hAnsi="Arial"/>
          <w:sz w:val="20"/>
          <w:szCs w:val="20"/>
        </w:rPr>
        <w:t>Waltershof</w:t>
      </w:r>
      <w:proofErr w:type="spellEnd"/>
      <w:r>
        <w:rPr>
          <w:rFonts w:ascii="Arial" w:hAnsi="Arial"/>
          <w:sz w:val="20"/>
          <w:szCs w:val="20"/>
        </w:rPr>
        <w:t xml:space="preserve">. Construction work started on the new head office for WISKA </w:t>
      </w:r>
      <w:proofErr w:type="spellStart"/>
      <w:r>
        <w:rPr>
          <w:rFonts w:ascii="Arial" w:hAnsi="Arial"/>
          <w:sz w:val="20"/>
          <w:szCs w:val="20"/>
        </w:rPr>
        <w:t>Hoppmann</w:t>
      </w:r>
      <w:proofErr w:type="spellEnd"/>
      <w:r>
        <w:rPr>
          <w:rFonts w:ascii="Arial" w:hAnsi="Arial"/>
          <w:sz w:val="20"/>
          <w:szCs w:val="20"/>
        </w:rPr>
        <w:t xml:space="preserve">, a shipbuilding &amp; industrial supplier and owner-occupier of the new build on </w:t>
      </w:r>
      <w:proofErr w:type="spellStart"/>
      <w:r>
        <w:rPr>
          <w:rFonts w:ascii="Arial" w:hAnsi="Arial"/>
          <w:sz w:val="20"/>
          <w:szCs w:val="20"/>
        </w:rPr>
        <w:t>Grashofstrasse</w:t>
      </w:r>
      <w:proofErr w:type="spellEnd"/>
      <w:r>
        <w:rPr>
          <w:rFonts w:ascii="Arial" w:hAnsi="Arial"/>
          <w:sz w:val="20"/>
          <w:szCs w:val="20"/>
        </w:rPr>
        <w:t xml:space="preserve"> in </w:t>
      </w:r>
      <w:proofErr w:type="spellStart"/>
      <w:r>
        <w:rPr>
          <w:rFonts w:ascii="Arial" w:hAnsi="Arial"/>
          <w:sz w:val="20"/>
          <w:szCs w:val="20"/>
        </w:rPr>
        <w:t>Kaltenkirchen</w:t>
      </w:r>
      <w:proofErr w:type="spellEnd"/>
      <w:r>
        <w:rPr>
          <w:rFonts w:ascii="Arial" w:hAnsi="Arial"/>
          <w:sz w:val="20"/>
          <w:szCs w:val="20"/>
        </w:rPr>
        <w:t>. This was the biggest owner-occupier transaction</w:t>
      </w:r>
      <w:r w:rsidR="00D46650">
        <w:rPr>
          <w:rFonts w:ascii="Arial" w:hAnsi="Arial"/>
          <w:sz w:val="20"/>
          <w:szCs w:val="20"/>
        </w:rPr>
        <w:t xml:space="preserve"> of the year</w:t>
      </w:r>
      <w:r>
        <w:rPr>
          <w:rFonts w:ascii="Arial" w:hAnsi="Arial"/>
          <w:sz w:val="20"/>
          <w:szCs w:val="20"/>
        </w:rPr>
        <w:t>, the 1st building phase will deliver some 8,800 m² of logistics and manufacturing space.</w:t>
      </w:r>
    </w:p>
    <w:p w14:paraId="5CB5923E" w14:textId="5DAE22D8" w:rsidR="00401024" w:rsidRDefault="00A201BB" w:rsidP="00DC2DA2">
      <w:pPr>
        <w:pStyle w:val="Listenabsatz"/>
        <w:numPr>
          <w:ilvl w:val="0"/>
          <w:numId w:val="16"/>
        </w:numPr>
        <w:spacing w:after="0" w:line="360" w:lineRule="auto"/>
        <w:ind w:left="567"/>
        <w:rPr>
          <w:rFonts w:ascii="Arial" w:hAnsi="Arial" w:cs="Arial"/>
          <w:sz w:val="20"/>
          <w:szCs w:val="20"/>
        </w:rPr>
      </w:pPr>
      <w:r>
        <w:rPr>
          <w:rFonts w:ascii="Arial" w:hAnsi="Arial"/>
          <w:sz w:val="20"/>
          <w:szCs w:val="20"/>
        </w:rPr>
        <w:t xml:space="preserve">In 2019, 42 % of space taken up was let for more than €5.51/m²/month (2018: 34 %). Thus both premium and average rents rose, reaching €6.30/m²/month and €5.10/m²/month. </w:t>
      </w:r>
    </w:p>
    <w:p w14:paraId="4C3B765B" w14:textId="238275AF" w:rsidR="00895A22" w:rsidRDefault="00B72C01">
      <w:pPr>
        <w:pStyle w:val="Listenabsatz"/>
        <w:numPr>
          <w:ilvl w:val="0"/>
          <w:numId w:val="16"/>
        </w:numPr>
        <w:spacing w:after="0" w:line="360" w:lineRule="auto"/>
        <w:ind w:left="567"/>
        <w:rPr>
          <w:rFonts w:ascii="Arial" w:hAnsi="Arial" w:cs="Arial"/>
          <w:sz w:val="20"/>
          <w:szCs w:val="20"/>
        </w:rPr>
      </w:pPr>
      <w:r>
        <w:rPr>
          <w:rFonts w:ascii="Arial" w:hAnsi="Arial"/>
          <w:sz w:val="20"/>
          <w:szCs w:val="20"/>
        </w:rPr>
        <w:t>The focus on properties within Hamburg city limits grew even stronger, rising from 61 % of total take-up at the end of 2018 to 73 % in 2019. Accordingly</w:t>
      </w:r>
      <w:r w:rsidR="00F128FB">
        <w:rPr>
          <w:rFonts w:ascii="Arial" w:hAnsi="Arial"/>
          <w:sz w:val="20"/>
          <w:szCs w:val="20"/>
        </w:rPr>
        <w:t>,</w:t>
      </w:r>
      <w:r>
        <w:rPr>
          <w:rFonts w:ascii="Arial" w:hAnsi="Arial"/>
          <w:sz w:val="20"/>
          <w:szCs w:val="20"/>
        </w:rPr>
        <w:t xml:space="preserve"> the three most popular sub-markets were in Hamburg: Hamburg South accounted for 34 %, Hamburg East for 14 % and Hamburg North East for 12 %. Nine of the 20 agreements for more than 5,001 m² related to properties in Hamburg South.</w:t>
      </w:r>
    </w:p>
    <w:p w14:paraId="0E377957" w14:textId="759DFFB9" w:rsidR="00C36C38" w:rsidRPr="001E1172" w:rsidRDefault="00F128FB" w:rsidP="00F128FB">
      <w:pPr>
        <w:pStyle w:val="Listenabsatz"/>
        <w:numPr>
          <w:ilvl w:val="0"/>
          <w:numId w:val="16"/>
        </w:numPr>
        <w:spacing w:after="0" w:line="360" w:lineRule="auto"/>
        <w:rPr>
          <w:rFonts w:ascii="Arial" w:eastAsiaTheme="minorHAnsi" w:hAnsi="Arial" w:cs="Arial"/>
          <w:b/>
          <w:sz w:val="20"/>
          <w:szCs w:val="20"/>
        </w:rPr>
      </w:pPr>
      <w:r w:rsidRPr="00F128FB">
        <w:rPr>
          <w:rFonts w:ascii="Arial" w:hAnsi="Arial"/>
          <w:sz w:val="20"/>
          <w:szCs w:val="20"/>
        </w:rPr>
        <w:t xml:space="preserve">The logistics/communications/forwarding </w:t>
      </w:r>
      <w:r w:rsidR="0090292A">
        <w:rPr>
          <w:rFonts w:ascii="Arial" w:hAnsi="Arial"/>
          <w:sz w:val="20"/>
          <w:szCs w:val="20"/>
        </w:rPr>
        <w:t xml:space="preserve">sector </w:t>
      </w:r>
      <w:r w:rsidRPr="00F128FB">
        <w:rPr>
          <w:rFonts w:ascii="Arial" w:hAnsi="Arial"/>
          <w:sz w:val="20"/>
          <w:szCs w:val="20"/>
        </w:rPr>
        <w:t>returned a very similar result, changing year on year from 55 % to 57 % of the total.</w:t>
      </w:r>
      <w:r w:rsidRPr="001E1172">
        <w:rPr>
          <w:rFonts w:ascii="Arial" w:eastAsiaTheme="minorHAnsi" w:hAnsi="Arial" w:cs="Arial"/>
          <w:b/>
          <w:sz w:val="20"/>
          <w:szCs w:val="20"/>
        </w:rPr>
        <w:t xml:space="preserve"> </w:t>
      </w:r>
    </w:p>
    <w:tbl>
      <w:tblPr>
        <w:tblStyle w:val="TableGrid2"/>
        <w:tblpPr w:leftFromText="141" w:rightFromText="141" w:vertAnchor="text" w:horzAnchor="margin" w:tblpY="106"/>
        <w:tblW w:w="4815" w:type="dxa"/>
        <w:tblLayout w:type="fixed"/>
        <w:tblLook w:val="04A0" w:firstRow="1" w:lastRow="0" w:firstColumn="1" w:lastColumn="0" w:noHBand="0" w:noVBand="1"/>
      </w:tblPr>
      <w:tblGrid>
        <w:gridCol w:w="3114"/>
        <w:gridCol w:w="1701"/>
      </w:tblGrid>
      <w:tr w:rsidR="009A3457" w:rsidRPr="006F49D0" w14:paraId="500140E3" w14:textId="77777777" w:rsidTr="00D46650">
        <w:trPr>
          <w:trHeight w:val="255"/>
        </w:trPr>
        <w:tc>
          <w:tcPr>
            <w:tcW w:w="3114" w:type="dxa"/>
            <w:shd w:val="clear" w:color="auto" w:fill="1F242B" w:themeFill="accent2"/>
            <w:vAlign w:val="center"/>
          </w:tcPr>
          <w:p w14:paraId="0136C38B" w14:textId="1EFA6440" w:rsidR="009A3457" w:rsidRPr="004706DC" w:rsidRDefault="004706DC" w:rsidP="004706DC">
            <w:pPr>
              <w:widowControl w:val="0"/>
              <w:spacing w:before="60" w:after="60"/>
              <w:rPr>
                <w:rFonts w:ascii="Arial" w:hAnsi="Arial" w:cs="Arial"/>
                <w:b/>
                <w:sz w:val="17"/>
                <w:szCs w:val="17"/>
              </w:rPr>
            </w:pPr>
            <w:r>
              <w:rPr>
                <w:rFonts w:ascii="Arial" w:hAnsi="Arial"/>
                <w:b/>
                <w:sz w:val="17"/>
                <w:szCs w:val="17"/>
              </w:rPr>
              <w:t>Industrial, warehouse, logistics | Hamburg | 2019</w:t>
            </w:r>
          </w:p>
        </w:tc>
        <w:tc>
          <w:tcPr>
            <w:tcW w:w="1701" w:type="dxa"/>
            <w:shd w:val="clear" w:color="auto" w:fill="1F242B" w:themeFill="accent2"/>
            <w:vAlign w:val="center"/>
          </w:tcPr>
          <w:p w14:paraId="2CF8632B" w14:textId="2D42A8ED" w:rsidR="009A3457" w:rsidRPr="004712BA" w:rsidRDefault="00291D2A" w:rsidP="009A3457">
            <w:pPr>
              <w:widowControl w:val="0"/>
              <w:spacing w:before="60" w:after="60"/>
              <w:jc w:val="center"/>
              <w:rPr>
                <w:rFonts w:ascii="Arial" w:hAnsi="Arial" w:cs="Arial"/>
                <w:b/>
                <w:sz w:val="18"/>
                <w:szCs w:val="16"/>
              </w:rPr>
            </w:pPr>
            <w:r>
              <w:rPr>
                <w:rFonts w:ascii="Arial" w:hAnsi="Arial"/>
                <w:b/>
                <w:sz w:val="18"/>
                <w:szCs w:val="16"/>
              </w:rPr>
              <w:t>Q1 -4</w:t>
            </w:r>
          </w:p>
        </w:tc>
      </w:tr>
      <w:tr w:rsidR="009A3457" w:rsidRPr="006F49D0" w14:paraId="0B5911CD" w14:textId="77777777" w:rsidTr="00D46650">
        <w:trPr>
          <w:trHeight w:val="255"/>
        </w:trPr>
        <w:tc>
          <w:tcPr>
            <w:tcW w:w="3114" w:type="dxa"/>
            <w:vAlign w:val="center"/>
          </w:tcPr>
          <w:p w14:paraId="5B2328C1" w14:textId="77777777" w:rsidR="009A3457" w:rsidRPr="00940C8D" w:rsidRDefault="009A3457" w:rsidP="0040477C">
            <w:pPr>
              <w:widowControl w:val="0"/>
              <w:spacing w:before="40" w:after="40"/>
              <w:jc w:val="both"/>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701" w:type="dxa"/>
          </w:tcPr>
          <w:p w14:paraId="6EDF6600" w14:textId="47D38AF6" w:rsidR="009A3457" w:rsidRPr="004B6EA1" w:rsidRDefault="00294199" w:rsidP="001D22A6">
            <w:pPr>
              <w:widowControl w:val="0"/>
              <w:spacing w:before="40" w:after="40"/>
              <w:jc w:val="right"/>
              <w:rPr>
                <w:rFonts w:ascii="Arial" w:hAnsi="Arial" w:cs="Arial"/>
                <w:sz w:val="18"/>
                <w:szCs w:val="16"/>
              </w:rPr>
            </w:pPr>
            <w:r>
              <w:rPr>
                <w:rFonts w:ascii="Arial" w:hAnsi="Arial"/>
                <w:sz w:val="18"/>
                <w:szCs w:val="16"/>
              </w:rPr>
              <w:t>355,000</w:t>
            </w:r>
          </w:p>
        </w:tc>
      </w:tr>
      <w:tr w:rsidR="009A3457" w:rsidRPr="006F49D0" w14:paraId="53749663" w14:textId="77777777" w:rsidTr="00D46650">
        <w:trPr>
          <w:trHeight w:val="255"/>
        </w:trPr>
        <w:tc>
          <w:tcPr>
            <w:tcW w:w="3114" w:type="dxa"/>
            <w:vAlign w:val="center"/>
          </w:tcPr>
          <w:p w14:paraId="730CAC6D" w14:textId="77777777" w:rsidR="009A3457" w:rsidRPr="0040477C" w:rsidRDefault="009A3457" w:rsidP="0040477C">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701" w:type="dxa"/>
          </w:tcPr>
          <w:p w14:paraId="483FD253" w14:textId="658C64C2" w:rsidR="009A3457" w:rsidRPr="004B6EA1" w:rsidRDefault="00294199" w:rsidP="005F0CBD">
            <w:pPr>
              <w:widowControl w:val="0"/>
              <w:spacing w:before="40" w:after="40"/>
              <w:jc w:val="right"/>
              <w:rPr>
                <w:rFonts w:ascii="Arial" w:hAnsi="Arial" w:cs="Arial"/>
                <w:sz w:val="18"/>
                <w:szCs w:val="16"/>
              </w:rPr>
            </w:pPr>
            <w:r>
              <w:rPr>
                <w:rFonts w:ascii="Arial" w:hAnsi="Arial"/>
                <w:sz w:val="18"/>
                <w:szCs w:val="16"/>
              </w:rPr>
              <w:t>-24</w:t>
            </w:r>
          </w:p>
        </w:tc>
      </w:tr>
      <w:tr w:rsidR="009A3457" w:rsidRPr="006F49D0" w14:paraId="56F6960C" w14:textId="77777777" w:rsidTr="00D46650">
        <w:trPr>
          <w:trHeight w:val="255"/>
        </w:trPr>
        <w:tc>
          <w:tcPr>
            <w:tcW w:w="3114" w:type="dxa"/>
            <w:vAlign w:val="center"/>
          </w:tcPr>
          <w:p w14:paraId="3ABA44CF" w14:textId="44318967" w:rsidR="009A3457" w:rsidRPr="0040477C" w:rsidRDefault="009A3457" w:rsidP="0040477C">
            <w:pPr>
              <w:widowControl w:val="0"/>
              <w:spacing w:before="40" w:after="40"/>
              <w:jc w:val="both"/>
              <w:rPr>
                <w:rFonts w:ascii="Arial" w:hAnsi="Arial" w:cs="Arial"/>
                <w:b/>
                <w:sz w:val="18"/>
                <w:szCs w:val="16"/>
              </w:rPr>
            </w:pPr>
            <w:r>
              <w:rPr>
                <w:rFonts w:ascii="Arial" w:hAnsi="Arial"/>
                <w:b/>
                <w:sz w:val="18"/>
                <w:szCs w:val="16"/>
              </w:rPr>
              <w:t>Ratio of owner-occupiers</w:t>
            </w:r>
            <w:r>
              <w:rPr>
                <w:rFonts w:ascii="Arial" w:hAnsi="Arial"/>
                <w:sz w:val="18"/>
                <w:szCs w:val="16"/>
              </w:rPr>
              <w:t xml:space="preserve"> [%]</w:t>
            </w:r>
          </w:p>
        </w:tc>
        <w:tc>
          <w:tcPr>
            <w:tcW w:w="1701" w:type="dxa"/>
          </w:tcPr>
          <w:p w14:paraId="16EE81CF" w14:textId="3275320D" w:rsidR="009A3457" w:rsidRPr="004B6EA1" w:rsidRDefault="00294199" w:rsidP="005F0CBD">
            <w:pPr>
              <w:widowControl w:val="0"/>
              <w:spacing w:before="40" w:after="40"/>
              <w:jc w:val="right"/>
              <w:rPr>
                <w:rFonts w:ascii="Arial" w:hAnsi="Arial" w:cs="Arial"/>
                <w:sz w:val="18"/>
                <w:szCs w:val="16"/>
              </w:rPr>
            </w:pPr>
            <w:r>
              <w:rPr>
                <w:rFonts w:ascii="Arial" w:hAnsi="Arial"/>
                <w:sz w:val="18"/>
                <w:szCs w:val="16"/>
              </w:rPr>
              <w:t>15</w:t>
            </w:r>
          </w:p>
        </w:tc>
      </w:tr>
      <w:tr w:rsidR="009A3457" w:rsidRPr="006F49D0" w14:paraId="3801E0FE" w14:textId="77777777" w:rsidTr="00D46650">
        <w:trPr>
          <w:trHeight w:val="255"/>
        </w:trPr>
        <w:tc>
          <w:tcPr>
            <w:tcW w:w="3114" w:type="dxa"/>
            <w:vAlign w:val="center"/>
          </w:tcPr>
          <w:p w14:paraId="4CE73EDF" w14:textId="77777777" w:rsidR="009A3457" w:rsidRPr="0040477C" w:rsidRDefault="009A3457" w:rsidP="0040477C">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701" w:type="dxa"/>
          </w:tcPr>
          <w:p w14:paraId="5E63DC28" w14:textId="10FBCFA4" w:rsidR="009A3457" w:rsidRPr="004B6EA1" w:rsidRDefault="00294199" w:rsidP="0040477C">
            <w:pPr>
              <w:widowControl w:val="0"/>
              <w:spacing w:before="40" w:after="40"/>
              <w:jc w:val="right"/>
              <w:rPr>
                <w:rFonts w:ascii="Arial" w:hAnsi="Arial" w:cs="Arial"/>
                <w:sz w:val="18"/>
                <w:szCs w:val="16"/>
              </w:rPr>
            </w:pPr>
            <w:r>
              <w:rPr>
                <w:rFonts w:ascii="Arial" w:hAnsi="Arial"/>
                <w:sz w:val="18"/>
                <w:szCs w:val="16"/>
              </w:rPr>
              <w:t>-0.5</w:t>
            </w:r>
          </w:p>
        </w:tc>
      </w:tr>
      <w:tr w:rsidR="009A3457" w:rsidRPr="006F49D0" w14:paraId="09CCF6EA" w14:textId="77777777" w:rsidTr="00D46650">
        <w:trPr>
          <w:trHeight w:val="255"/>
        </w:trPr>
        <w:tc>
          <w:tcPr>
            <w:tcW w:w="3114" w:type="dxa"/>
            <w:vAlign w:val="center"/>
          </w:tcPr>
          <w:p w14:paraId="30223534" w14:textId="77777777" w:rsidR="00D46650" w:rsidRDefault="00D46650" w:rsidP="00D46650">
            <w:pPr>
              <w:widowControl w:val="0"/>
              <w:spacing w:before="40" w:after="40"/>
              <w:jc w:val="both"/>
              <w:rPr>
                <w:rFonts w:ascii="Arial" w:hAnsi="Arial"/>
                <w:b/>
                <w:sz w:val="18"/>
                <w:szCs w:val="16"/>
              </w:rPr>
            </w:pPr>
            <w:r>
              <w:rPr>
                <w:rFonts w:ascii="Arial" w:hAnsi="Arial"/>
                <w:b/>
                <w:sz w:val="18"/>
                <w:szCs w:val="16"/>
              </w:rPr>
              <w:t>Premium rent</w:t>
            </w:r>
          </w:p>
          <w:p w14:paraId="3B2150C8" w14:textId="5777F5EC" w:rsidR="009A3457" w:rsidRPr="0040477C" w:rsidRDefault="009A3457" w:rsidP="00D46650">
            <w:pPr>
              <w:widowControl w:val="0"/>
              <w:spacing w:before="40" w:after="40"/>
              <w:jc w:val="both"/>
              <w:rPr>
                <w:rFonts w:ascii="Arial" w:hAnsi="Arial" w:cs="Arial"/>
                <w:b/>
                <w:sz w:val="18"/>
                <w:szCs w:val="16"/>
              </w:rPr>
            </w:pPr>
            <w:r>
              <w:rPr>
                <w:rFonts w:ascii="Arial" w:hAnsi="Arial"/>
                <w:sz w:val="18"/>
                <w:szCs w:val="16"/>
              </w:rPr>
              <w:t>[€/m²/month net of services]</w:t>
            </w:r>
          </w:p>
        </w:tc>
        <w:tc>
          <w:tcPr>
            <w:tcW w:w="1701" w:type="dxa"/>
          </w:tcPr>
          <w:p w14:paraId="0824E0B3" w14:textId="02504911" w:rsidR="009A3457" w:rsidRPr="004B6EA1" w:rsidRDefault="00294199" w:rsidP="0040477C">
            <w:pPr>
              <w:widowControl w:val="0"/>
              <w:spacing w:before="40" w:after="40"/>
              <w:jc w:val="right"/>
              <w:rPr>
                <w:rFonts w:ascii="Arial" w:hAnsi="Arial" w:cs="Arial"/>
                <w:sz w:val="18"/>
                <w:szCs w:val="16"/>
              </w:rPr>
            </w:pPr>
            <w:r>
              <w:rPr>
                <w:rFonts w:ascii="Arial" w:hAnsi="Arial"/>
                <w:sz w:val="18"/>
                <w:szCs w:val="16"/>
              </w:rPr>
              <w:t>6.30</w:t>
            </w:r>
          </w:p>
        </w:tc>
      </w:tr>
      <w:tr w:rsidR="009A3457" w14:paraId="75DE2086" w14:textId="77777777" w:rsidTr="00D46650">
        <w:trPr>
          <w:trHeight w:val="255"/>
        </w:trPr>
        <w:tc>
          <w:tcPr>
            <w:tcW w:w="3114" w:type="dxa"/>
            <w:vAlign w:val="center"/>
          </w:tcPr>
          <w:p w14:paraId="17293837" w14:textId="77777777" w:rsidR="009A3457" w:rsidRPr="0040477C" w:rsidRDefault="009A3457" w:rsidP="0040477C">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701" w:type="dxa"/>
          </w:tcPr>
          <w:p w14:paraId="235E5B37" w14:textId="416DE70A" w:rsidR="009A3457" w:rsidRPr="004B6EA1" w:rsidRDefault="00294199" w:rsidP="0040477C">
            <w:pPr>
              <w:widowControl w:val="0"/>
              <w:spacing w:before="40" w:after="40"/>
              <w:jc w:val="right"/>
              <w:rPr>
                <w:rFonts w:ascii="Arial" w:hAnsi="Arial" w:cs="Arial"/>
                <w:sz w:val="18"/>
                <w:szCs w:val="16"/>
              </w:rPr>
            </w:pPr>
            <w:r>
              <w:rPr>
                <w:rFonts w:ascii="Arial" w:hAnsi="Arial"/>
                <w:sz w:val="18"/>
                <w:szCs w:val="16"/>
              </w:rPr>
              <w:t>+5</w:t>
            </w:r>
          </w:p>
        </w:tc>
      </w:tr>
      <w:tr w:rsidR="009A3457" w:rsidRPr="006F49D0" w14:paraId="73E97C68" w14:textId="77777777" w:rsidTr="00D46650">
        <w:trPr>
          <w:trHeight w:val="255"/>
        </w:trPr>
        <w:tc>
          <w:tcPr>
            <w:tcW w:w="3114" w:type="dxa"/>
            <w:vAlign w:val="center"/>
          </w:tcPr>
          <w:p w14:paraId="76843391" w14:textId="77777777" w:rsidR="00D46650" w:rsidRDefault="00D46650" w:rsidP="00D46650">
            <w:pPr>
              <w:widowControl w:val="0"/>
              <w:spacing w:before="40" w:after="40"/>
              <w:jc w:val="both"/>
              <w:rPr>
                <w:rFonts w:ascii="Arial" w:hAnsi="Arial"/>
                <w:b/>
                <w:sz w:val="18"/>
                <w:szCs w:val="16"/>
              </w:rPr>
            </w:pPr>
            <w:r>
              <w:rPr>
                <w:rFonts w:ascii="Arial" w:hAnsi="Arial"/>
                <w:b/>
                <w:sz w:val="18"/>
                <w:szCs w:val="16"/>
              </w:rPr>
              <w:t>Average rent</w:t>
            </w:r>
          </w:p>
          <w:p w14:paraId="6592A2D3" w14:textId="4AE2B69B" w:rsidR="009A3457" w:rsidRPr="0040477C" w:rsidRDefault="009F2370" w:rsidP="00D46650">
            <w:pPr>
              <w:widowControl w:val="0"/>
              <w:spacing w:before="40" w:after="40"/>
              <w:jc w:val="both"/>
              <w:rPr>
                <w:rFonts w:ascii="Arial" w:hAnsi="Arial" w:cs="Arial"/>
                <w:b/>
                <w:sz w:val="18"/>
                <w:szCs w:val="16"/>
              </w:rPr>
            </w:pPr>
            <w:r>
              <w:rPr>
                <w:rFonts w:ascii="Arial" w:hAnsi="Arial"/>
                <w:sz w:val="18"/>
                <w:szCs w:val="16"/>
              </w:rPr>
              <w:t>[€/m²/month net of services]</w:t>
            </w:r>
          </w:p>
        </w:tc>
        <w:tc>
          <w:tcPr>
            <w:tcW w:w="1701" w:type="dxa"/>
          </w:tcPr>
          <w:p w14:paraId="457D5317" w14:textId="36C68D19" w:rsidR="009A3457" w:rsidRPr="004B6EA1" w:rsidRDefault="00294199" w:rsidP="00360EDC">
            <w:pPr>
              <w:widowControl w:val="0"/>
              <w:spacing w:before="40" w:after="40"/>
              <w:jc w:val="right"/>
              <w:rPr>
                <w:rFonts w:ascii="Arial" w:hAnsi="Arial" w:cs="Arial"/>
                <w:sz w:val="18"/>
                <w:szCs w:val="16"/>
              </w:rPr>
            </w:pPr>
            <w:r>
              <w:rPr>
                <w:rFonts w:ascii="Arial" w:hAnsi="Arial"/>
                <w:sz w:val="18"/>
                <w:szCs w:val="16"/>
              </w:rPr>
              <w:t>5.10</w:t>
            </w:r>
          </w:p>
        </w:tc>
      </w:tr>
      <w:tr w:rsidR="009A3457" w14:paraId="5B9EF463" w14:textId="77777777" w:rsidTr="00D46650">
        <w:trPr>
          <w:trHeight w:val="255"/>
        </w:trPr>
        <w:tc>
          <w:tcPr>
            <w:tcW w:w="3114" w:type="dxa"/>
            <w:vAlign w:val="center"/>
          </w:tcPr>
          <w:p w14:paraId="5F56A6ED" w14:textId="77777777" w:rsidR="009A3457" w:rsidRPr="0040477C" w:rsidRDefault="009A3457" w:rsidP="0040477C">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701" w:type="dxa"/>
          </w:tcPr>
          <w:p w14:paraId="1A4EC9C3" w14:textId="32D6301F" w:rsidR="009A3457" w:rsidRPr="004B6EA1" w:rsidRDefault="00294199" w:rsidP="0040477C">
            <w:pPr>
              <w:widowControl w:val="0"/>
              <w:spacing w:before="40" w:after="40"/>
              <w:jc w:val="right"/>
              <w:rPr>
                <w:rFonts w:ascii="Arial" w:hAnsi="Arial" w:cs="Arial"/>
                <w:sz w:val="18"/>
                <w:szCs w:val="16"/>
              </w:rPr>
            </w:pPr>
            <w:r>
              <w:rPr>
                <w:rFonts w:ascii="Arial" w:hAnsi="Arial"/>
                <w:sz w:val="18"/>
                <w:szCs w:val="16"/>
              </w:rPr>
              <w:t>+2</w:t>
            </w:r>
          </w:p>
        </w:tc>
      </w:tr>
      <w:tr w:rsidR="00395ED5" w:rsidRPr="006F49D0" w14:paraId="05CB12A6" w14:textId="77777777" w:rsidTr="00D46650">
        <w:trPr>
          <w:trHeight w:val="255"/>
        </w:trPr>
        <w:tc>
          <w:tcPr>
            <w:tcW w:w="3114" w:type="dxa"/>
            <w:vAlign w:val="center"/>
          </w:tcPr>
          <w:p w14:paraId="7C125CCB" w14:textId="77777777" w:rsidR="00395ED5" w:rsidRPr="0040477C" w:rsidRDefault="00395ED5" w:rsidP="0040477C">
            <w:pPr>
              <w:widowControl w:val="0"/>
              <w:spacing w:before="40" w:after="40"/>
              <w:jc w:val="both"/>
              <w:rPr>
                <w:rFonts w:ascii="Arial" w:hAnsi="Arial" w:cs="Arial"/>
                <w:b/>
                <w:sz w:val="18"/>
                <w:szCs w:val="16"/>
              </w:rPr>
            </w:pPr>
            <w:r>
              <w:rPr>
                <w:rFonts w:ascii="Arial" w:hAnsi="Arial"/>
                <w:b/>
                <w:sz w:val="18"/>
                <w:szCs w:val="16"/>
              </w:rPr>
              <w:t>Most popular sub-market</w:t>
            </w:r>
          </w:p>
        </w:tc>
        <w:tc>
          <w:tcPr>
            <w:tcW w:w="1701" w:type="dxa"/>
          </w:tcPr>
          <w:p w14:paraId="677EC7FD" w14:textId="035ACBD4" w:rsidR="00395ED5" w:rsidRPr="004B6EA1" w:rsidRDefault="00294199" w:rsidP="0040477C">
            <w:pPr>
              <w:widowControl w:val="0"/>
              <w:spacing w:before="40" w:after="40"/>
              <w:jc w:val="right"/>
              <w:rPr>
                <w:rFonts w:ascii="Arial" w:hAnsi="Arial" w:cs="Arial"/>
                <w:sz w:val="18"/>
                <w:szCs w:val="16"/>
              </w:rPr>
            </w:pPr>
            <w:r>
              <w:rPr>
                <w:rFonts w:ascii="Arial" w:hAnsi="Arial"/>
                <w:sz w:val="18"/>
                <w:szCs w:val="16"/>
              </w:rPr>
              <w:t>Hamburg South</w:t>
            </w:r>
          </w:p>
        </w:tc>
      </w:tr>
      <w:tr w:rsidR="00395ED5" w14:paraId="6A6ACFE4" w14:textId="77777777" w:rsidTr="00D46650">
        <w:trPr>
          <w:trHeight w:val="255"/>
        </w:trPr>
        <w:tc>
          <w:tcPr>
            <w:tcW w:w="3114" w:type="dxa"/>
            <w:vAlign w:val="center"/>
          </w:tcPr>
          <w:p w14:paraId="5A9726B2" w14:textId="77777777" w:rsidR="00395ED5" w:rsidRPr="0040477C" w:rsidRDefault="00395ED5" w:rsidP="0040477C">
            <w:pPr>
              <w:widowControl w:val="0"/>
              <w:spacing w:before="40" w:after="40"/>
              <w:jc w:val="both"/>
              <w:rPr>
                <w:rFonts w:ascii="Arial" w:hAnsi="Arial" w:cs="Arial"/>
                <w:sz w:val="18"/>
                <w:szCs w:val="16"/>
              </w:rPr>
            </w:pPr>
            <w:r>
              <w:rPr>
                <w:rFonts w:ascii="Arial" w:hAnsi="Arial"/>
                <w:sz w:val="18"/>
                <w:szCs w:val="16"/>
              </w:rPr>
              <w:t>Most popular sub-market [%]</w:t>
            </w:r>
          </w:p>
        </w:tc>
        <w:tc>
          <w:tcPr>
            <w:tcW w:w="1701" w:type="dxa"/>
          </w:tcPr>
          <w:p w14:paraId="73B463EF" w14:textId="3467C120" w:rsidR="00395ED5" w:rsidRPr="004B6EA1" w:rsidRDefault="00294199" w:rsidP="004B6EA1">
            <w:pPr>
              <w:widowControl w:val="0"/>
              <w:spacing w:before="40" w:after="40"/>
              <w:jc w:val="right"/>
              <w:rPr>
                <w:rFonts w:ascii="Arial" w:hAnsi="Arial" w:cs="Arial"/>
                <w:sz w:val="18"/>
                <w:szCs w:val="16"/>
              </w:rPr>
            </w:pPr>
            <w:r>
              <w:rPr>
                <w:rFonts w:ascii="Arial" w:hAnsi="Arial"/>
                <w:sz w:val="18"/>
                <w:szCs w:val="16"/>
              </w:rPr>
              <w:t>34</w:t>
            </w:r>
          </w:p>
        </w:tc>
      </w:tr>
      <w:tr w:rsidR="009A3457" w:rsidRPr="006F49D0" w14:paraId="629A8107" w14:textId="77777777" w:rsidTr="00D46650">
        <w:trPr>
          <w:trHeight w:val="255"/>
        </w:trPr>
        <w:tc>
          <w:tcPr>
            <w:tcW w:w="3114" w:type="dxa"/>
            <w:tcBorders>
              <w:bottom w:val="single" w:sz="4" w:space="0" w:color="auto"/>
            </w:tcBorders>
          </w:tcPr>
          <w:p w14:paraId="1EB658A3" w14:textId="77777777" w:rsidR="009A3457" w:rsidRPr="0040477C" w:rsidRDefault="009A3457" w:rsidP="0040477C">
            <w:pPr>
              <w:widowControl w:val="0"/>
              <w:spacing w:before="40" w:after="40"/>
              <w:jc w:val="both"/>
              <w:rPr>
                <w:rFonts w:ascii="Arial" w:hAnsi="Arial" w:cs="Arial"/>
                <w:b/>
                <w:sz w:val="18"/>
                <w:szCs w:val="16"/>
              </w:rPr>
            </w:pPr>
            <w:r>
              <w:rPr>
                <w:rFonts w:ascii="Arial" w:hAnsi="Arial"/>
                <w:b/>
                <w:sz w:val="18"/>
                <w:szCs w:val="16"/>
              </w:rPr>
              <w:t>Industry with highest turnover</w:t>
            </w:r>
          </w:p>
        </w:tc>
        <w:tc>
          <w:tcPr>
            <w:tcW w:w="1701" w:type="dxa"/>
            <w:tcBorders>
              <w:bottom w:val="single" w:sz="4" w:space="0" w:color="auto"/>
            </w:tcBorders>
          </w:tcPr>
          <w:p w14:paraId="1E60F914" w14:textId="77777777" w:rsidR="00D46650" w:rsidRDefault="00D46650" w:rsidP="00B25945">
            <w:pPr>
              <w:widowControl w:val="0"/>
              <w:spacing w:before="40" w:after="40"/>
              <w:rPr>
                <w:rFonts w:ascii="Arial" w:hAnsi="Arial"/>
                <w:sz w:val="18"/>
                <w:szCs w:val="16"/>
              </w:rPr>
            </w:pPr>
            <w:r>
              <w:rPr>
                <w:rFonts w:ascii="Arial" w:hAnsi="Arial"/>
                <w:sz w:val="18"/>
                <w:szCs w:val="16"/>
              </w:rPr>
              <w:t>L</w:t>
            </w:r>
            <w:r w:rsidR="00294199">
              <w:rPr>
                <w:rFonts w:ascii="Arial" w:hAnsi="Arial"/>
                <w:sz w:val="18"/>
                <w:szCs w:val="16"/>
              </w:rPr>
              <w:t>ogistics</w:t>
            </w:r>
            <w:r>
              <w:rPr>
                <w:rFonts w:ascii="Arial" w:hAnsi="Arial"/>
                <w:sz w:val="18"/>
                <w:szCs w:val="16"/>
              </w:rPr>
              <w:t>/</w:t>
            </w:r>
          </w:p>
          <w:p w14:paraId="5BDF48CF" w14:textId="20DECCBC" w:rsidR="00294199" w:rsidRDefault="00D46650" w:rsidP="00B25945">
            <w:pPr>
              <w:widowControl w:val="0"/>
              <w:spacing w:before="40" w:after="40"/>
              <w:rPr>
                <w:rFonts w:ascii="Arial" w:hAnsi="Arial" w:cs="Arial"/>
                <w:sz w:val="18"/>
                <w:szCs w:val="16"/>
              </w:rPr>
            </w:pPr>
            <w:r>
              <w:rPr>
                <w:rFonts w:ascii="Arial" w:hAnsi="Arial"/>
                <w:sz w:val="18"/>
                <w:szCs w:val="16"/>
              </w:rPr>
              <w:t>c</w:t>
            </w:r>
            <w:r w:rsidR="00294199">
              <w:rPr>
                <w:rFonts w:ascii="Arial" w:hAnsi="Arial"/>
                <w:sz w:val="18"/>
                <w:szCs w:val="16"/>
              </w:rPr>
              <w:t>ommunication</w:t>
            </w:r>
            <w:r>
              <w:rPr>
                <w:rFonts w:ascii="Arial" w:hAnsi="Arial"/>
                <w:sz w:val="18"/>
                <w:szCs w:val="16"/>
              </w:rPr>
              <w:t>s/</w:t>
            </w:r>
          </w:p>
          <w:p w14:paraId="547333E3" w14:textId="743CCF08" w:rsidR="009A3457" w:rsidRPr="004B6EA1" w:rsidRDefault="00294199" w:rsidP="00B25945">
            <w:pPr>
              <w:widowControl w:val="0"/>
              <w:spacing w:before="40" w:after="40"/>
              <w:rPr>
                <w:rFonts w:ascii="Arial" w:hAnsi="Arial" w:cs="Arial"/>
                <w:sz w:val="18"/>
                <w:szCs w:val="16"/>
              </w:rPr>
            </w:pPr>
            <w:r>
              <w:rPr>
                <w:rFonts w:ascii="Arial" w:hAnsi="Arial"/>
                <w:sz w:val="18"/>
                <w:szCs w:val="16"/>
              </w:rPr>
              <w:t>forwarding</w:t>
            </w:r>
          </w:p>
        </w:tc>
      </w:tr>
      <w:tr w:rsidR="009A3457" w:rsidRPr="006F49D0" w14:paraId="4DEC1126" w14:textId="77777777" w:rsidTr="00D46650">
        <w:trPr>
          <w:trHeight w:val="255"/>
        </w:trPr>
        <w:tc>
          <w:tcPr>
            <w:tcW w:w="3114" w:type="dxa"/>
            <w:tcBorders>
              <w:bottom w:val="single" w:sz="4" w:space="0" w:color="auto"/>
            </w:tcBorders>
            <w:vAlign w:val="center"/>
          </w:tcPr>
          <w:p w14:paraId="5C54C328" w14:textId="77777777" w:rsidR="009A3457" w:rsidRPr="0040477C" w:rsidRDefault="009A3457" w:rsidP="009A3457">
            <w:pPr>
              <w:widowControl w:val="0"/>
              <w:spacing w:before="60" w:after="60"/>
              <w:jc w:val="both"/>
              <w:rPr>
                <w:rFonts w:ascii="Arial" w:hAnsi="Arial" w:cs="Arial"/>
                <w:sz w:val="18"/>
                <w:szCs w:val="16"/>
              </w:rPr>
            </w:pPr>
            <w:r>
              <w:rPr>
                <w:rFonts w:ascii="Arial" w:hAnsi="Arial"/>
                <w:sz w:val="18"/>
                <w:szCs w:val="16"/>
              </w:rPr>
              <w:t>Industry with highest turnover [%]</w:t>
            </w:r>
          </w:p>
        </w:tc>
        <w:tc>
          <w:tcPr>
            <w:tcW w:w="1701" w:type="dxa"/>
            <w:tcBorders>
              <w:bottom w:val="single" w:sz="4" w:space="0" w:color="auto"/>
            </w:tcBorders>
          </w:tcPr>
          <w:p w14:paraId="3ACFB8A9" w14:textId="24E2C82A" w:rsidR="009A3457" w:rsidRPr="004B6EA1" w:rsidRDefault="00294199" w:rsidP="005F0CBD">
            <w:pPr>
              <w:widowControl w:val="0"/>
              <w:spacing w:before="60" w:after="60"/>
              <w:jc w:val="right"/>
              <w:rPr>
                <w:rFonts w:ascii="Arial" w:hAnsi="Arial" w:cs="Arial"/>
                <w:sz w:val="18"/>
                <w:szCs w:val="16"/>
              </w:rPr>
            </w:pPr>
            <w:r>
              <w:rPr>
                <w:rFonts w:ascii="Arial" w:hAnsi="Arial"/>
                <w:sz w:val="18"/>
                <w:szCs w:val="16"/>
              </w:rPr>
              <w:t>57</w:t>
            </w:r>
          </w:p>
        </w:tc>
      </w:tr>
    </w:tbl>
    <w:p w14:paraId="37857C5A" w14:textId="402164DB" w:rsidR="00956905" w:rsidRDefault="00E820ED">
      <w:pPr>
        <w:spacing w:after="0"/>
        <w:rPr>
          <w:rFonts w:ascii="Arial" w:hAnsi="Arial" w:cs="Arial"/>
          <w:b/>
          <w:sz w:val="20"/>
          <w:szCs w:val="20"/>
        </w:rPr>
      </w:pPr>
      <w:r>
        <w:rPr>
          <w:rFonts w:ascii="Arial" w:hAnsi="Arial" w:cs="Arial"/>
          <w:b/>
          <w:noProof/>
          <w:sz w:val="20"/>
          <w:szCs w:val="20"/>
          <w:lang w:val="de-DE" w:eastAsia="de-DE"/>
        </w:rPr>
        <w:drawing>
          <wp:inline distT="0" distB="0" distL="0" distR="0" wp14:anchorId="5C27011F" wp14:editId="5B2C7C43">
            <wp:extent cx="2924355" cy="2063680"/>
            <wp:effectExtent l="19050" t="19050" r="9525" b="133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p;B_Industrial logistics HH 4Q2019_take-up.JPG"/>
                    <pic:cNvPicPr/>
                  </pic:nvPicPr>
                  <pic:blipFill>
                    <a:blip r:embed="rId8">
                      <a:extLst>
                        <a:ext uri="{28A0092B-C50C-407E-A947-70E740481C1C}">
                          <a14:useLocalDpi xmlns:a14="http://schemas.microsoft.com/office/drawing/2010/main" val="0"/>
                        </a:ext>
                      </a:extLst>
                    </a:blip>
                    <a:stretch>
                      <a:fillRect/>
                    </a:stretch>
                  </pic:blipFill>
                  <pic:spPr>
                    <a:xfrm>
                      <a:off x="0" y="0"/>
                      <a:ext cx="2983892" cy="2105695"/>
                    </a:xfrm>
                    <a:prstGeom prst="rect">
                      <a:avLst/>
                    </a:prstGeom>
                    <a:ln w="1270">
                      <a:solidFill>
                        <a:schemeClr val="tx1"/>
                      </a:solidFill>
                    </a:ln>
                  </pic:spPr>
                </pic:pic>
              </a:graphicData>
            </a:graphic>
          </wp:inline>
        </w:drawing>
      </w:r>
    </w:p>
    <w:p w14:paraId="49B37D0B" w14:textId="77777777" w:rsidR="001F3BB8" w:rsidRDefault="001F3BB8" w:rsidP="009A3457">
      <w:pPr>
        <w:spacing w:after="0" w:line="360" w:lineRule="auto"/>
        <w:rPr>
          <w:rFonts w:ascii="Arial" w:hAnsi="Arial" w:cs="Arial"/>
          <w:b/>
          <w:sz w:val="20"/>
          <w:szCs w:val="20"/>
        </w:rPr>
      </w:pPr>
    </w:p>
    <w:p w14:paraId="17006BD4" w14:textId="3D353370" w:rsidR="009A3457" w:rsidRDefault="00D46650" w:rsidP="009A3457">
      <w:pPr>
        <w:spacing w:after="0" w:line="360" w:lineRule="auto"/>
        <w:rPr>
          <w:rFonts w:ascii="Arial" w:hAnsi="Arial" w:cs="Arial"/>
          <w:b/>
          <w:sz w:val="20"/>
          <w:szCs w:val="20"/>
        </w:rPr>
      </w:pPr>
      <w:r>
        <w:rPr>
          <w:rFonts w:ascii="Arial" w:hAnsi="Arial"/>
          <w:b/>
          <w:sz w:val="20"/>
          <w:szCs w:val="20"/>
        </w:rPr>
        <w:t>Selected top t</w:t>
      </w:r>
      <w:r w:rsidR="00C36C38">
        <w:rPr>
          <w:rFonts w:ascii="Arial" w:hAnsi="Arial"/>
          <w:b/>
          <w:sz w:val="20"/>
          <w:szCs w:val="20"/>
        </w:rPr>
        <w:t xml:space="preserve">ransactions </w:t>
      </w:r>
      <w:r>
        <w:rPr>
          <w:rFonts w:ascii="Arial" w:hAnsi="Arial"/>
          <w:b/>
          <w:sz w:val="20"/>
          <w:szCs w:val="20"/>
        </w:rPr>
        <w:t>| industrial, warehouse and logistics p</w:t>
      </w:r>
      <w:r w:rsidR="00C36C38">
        <w:rPr>
          <w:rFonts w:ascii="Arial" w:hAnsi="Arial"/>
          <w:b/>
          <w:sz w:val="20"/>
          <w:szCs w:val="20"/>
        </w:rPr>
        <w:t xml:space="preserve">roperties </w:t>
      </w:r>
      <w:r>
        <w:rPr>
          <w:rFonts w:ascii="Arial" w:hAnsi="Arial"/>
          <w:b/>
          <w:sz w:val="20"/>
          <w:szCs w:val="20"/>
        </w:rPr>
        <w:t xml:space="preserve">| Hamburg | </w:t>
      </w:r>
      <w:r w:rsidR="0090292A">
        <w:rPr>
          <w:rFonts w:ascii="Arial" w:hAnsi="Arial"/>
          <w:b/>
          <w:sz w:val="20"/>
          <w:szCs w:val="20"/>
        </w:rPr>
        <w:t xml:space="preserve">Q1-4/2019 </w:t>
      </w:r>
    </w:p>
    <w:tbl>
      <w:tblPr>
        <w:tblStyle w:val="Tabellenraster"/>
        <w:tblpPr w:leftFromText="141" w:rightFromText="141" w:vertAnchor="text" w:horzAnchor="margin" w:tblpY="-23"/>
        <w:tblW w:w="9863" w:type="dxa"/>
        <w:tblLook w:val="04A0" w:firstRow="1" w:lastRow="0" w:firstColumn="1" w:lastColumn="0" w:noHBand="0" w:noVBand="1"/>
      </w:tblPr>
      <w:tblGrid>
        <w:gridCol w:w="1275"/>
        <w:gridCol w:w="1839"/>
        <w:gridCol w:w="2551"/>
        <w:gridCol w:w="3119"/>
        <w:gridCol w:w="1079"/>
      </w:tblGrid>
      <w:tr w:rsidR="009445F8" w:rsidRPr="0017364E" w14:paraId="6C784C1B" w14:textId="77777777" w:rsidTr="00D46650">
        <w:trPr>
          <w:trHeight w:val="542"/>
        </w:trPr>
        <w:tc>
          <w:tcPr>
            <w:tcW w:w="1275" w:type="dxa"/>
            <w:shd w:val="clear" w:color="auto" w:fill="1F242B" w:themeFill="accent2"/>
            <w:vAlign w:val="center"/>
          </w:tcPr>
          <w:p w14:paraId="06356369" w14:textId="77777777" w:rsidR="00C36C38" w:rsidRPr="0017364E" w:rsidRDefault="00C36C38" w:rsidP="00FD60B3">
            <w:pPr>
              <w:spacing w:before="60" w:after="60"/>
              <w:rPr>
                <w:rFonts w:ascii="Arial" w:hAnsi="Arial" w:cs="Arial"/>
                <w:b/>
                <w:sz w:val="18"/>
                <w:szCs w:val="16"/>
              </w:rPr>
            </w:pPr>
            <w:r>
              <w:rPr>
                <w:rFonts w:ascii="Arial" w:hAnsi="Arial"/>
                <w:b/>
                <w:sz w:val="16"/>
                <w:szCs w:val="16"/>
              </w:rPr>
              <w:t>City</w:t>
            </w:r>
          </w:p>
        </w:tc>
        <w:tc>
          <w:tcPr>
            <w:tcW w:w="1839" w:type="dxa"/>
            <w:shd w:val="clear" w:color="auto" w:fill="1F242B" w:themeFill="accent2"/>
            <w:vAlign w:val="center"/>
          </w:tcPr>
          <w:p w14:paraId="493359E2" w14:textId="77777777" w:rsidR="00C36C38" w:rsidRPr="0017364E" w:rsidRDefault="00C36C38" w:rsidP="00FD60B3">
            <w:pPr>
              <w:spacing w:before="60" w:after="60"/>
              <w:rPr>
                <w:rFonts w:ascii="Arial" w:hAnsi="Arial" w:cs="Arial"/>
                <w:b/>
                <w:sz w:val="18"/>
                <w:szCs w:val="16"/>
              </w:rPr>
            </w:pPr>
            <w:r>
              <w:rPr>
                <w:rFonts w:ascii="Arial" w:hAnsi="Arial"/>
                <w:b/>
                <w:sz w:val="16"/>
                <w:szCs w:val="16"/>
              </w:rPr>
              <w:t>Road/street</w:t>
            </w:r>
          </w:p>
        </w:tc>
        <w:tc>
          <w:tcPr>
            <w:tcW w:w="2551" w:type="dxa"/>
            <w:shd w:val="clear" w:color="auto" w:fill="1F242B" w:themeFill="accent2"/>
            <w:vAlign w:val="center"/>
          </w:tcPr>
          <w:p w14:paraId="520C096B" w14:textId="77777777" w:rsidR="00C36C38" w:rsidRPr="0017364E" w:rsidRDefault="00C36C38" w:rsidP="00FD60B3">
            <w:pPr>
              <w:spacing w:before="60" w:after="60"/>
              <w:rPr>
                <w:rFonts w:ascii="Arial" w:hAnsi="Arial" w:cs="Arial"/>
                <w:b/>
                <w:sz w:val="18"/>
                <w:szCs w:val="16"/>
              </w:rPr>
            </w:pPr>
            <w:r>
              <w:rPr>
                <w:rFonts w:ascii="Arial" w:hAnsi="Arial"/>
                <w:b/>
                <w:sz w:val="16"/>
                <w:szCs w:val="16"/>
              </w:rPr>
              <w:t>Property/project</w:t>
            </w:r>
          </w:p>
        </w:tc>
        <w:tc>
          <w:tcPr>
            <w:tcW w:w="3119" w:type="dxa"/>
            <w:shd w:val="clear" w:color="auto" w:fill="1F242B" w:themeFill="accent2"/>
            <w:vAlign w:val="center"/>
          </w:tcPr>
          <w:p w14:paraId="32D2314D" w14:textId="77777777" w:rsidR="00C36C38" w:rsidRPr="0017364E" w:rsidRDefault="00C36C38" w:rsidP="00FD60B3">
            <w:pPr>
              <w:spacing w:before="60" w:after="60"/>
              <w:rPr>
                <w:rFonts w:ascii="Arial" w:hAnsi="Arial" w:cs="Arial"/>
                <w:b/>
                <w:sz w:val="18"/>
                <w:szCs w:val="16"/>
              </w:rPr>
            </w:pPr>
            <w:r>
              <w:rPr>
                <w:rFonts w:ascii="Arial" w:hAnsi="Arial"/>
                <w:b/>
                <w:sz w:val="16"/>
                <w:szCs w:val="16"/>
              </w:rPr>
              <w:t>Tenant/owner-occupier</w:t>
            </w:r>
          </w:p>
        </w:tc>
        <w:tc>
          <w:tcPr>
            <w:tcW w:w="1079" w:type="dxa"/>
            <w:shd w:val="clear" w:color="auto" w:fill="1F242B" w:themeFill="accent2"/>
            <w:vAlign w:val="center"/>
          </w:tcPr>
          <w:p w14:paraId="44BA323C" w14:textId="77777777" w:rsidR="00C36C38" w:rsidRPr="00873089" w:rsidRDefault="00C36C38" w:rsidP="00FD60B3">
            <w:pPr>
              <w:spacing w:after="0"/>
              <w:jc w:val="center"/>
              <w:rPr>
                <w:rFonts w:ascii="Arial" w:hAnsi="Arial" w:cs="Arial"/>
                <w:b/>
                <w:sz w:val="16"/>
                <w:szCs w:val="16"/>
              </w:rPr>
            </w:pPr>
            <w:r>
              <w:rPr>
                <w:rFonts w:ascii="Arial" w:hAnsi="Arial"/>
                <w:b/>
                <w:sz w:val="16"/>
                <w:szCs w:val="16"/>
              </w:rPr>
              <w:t>Floor area</w:t>
            </w:r>
          </w:p>
          <w:p w14:paraId="36260AC7" w14:textId="2AF56767" w:rsidR="00C36C38" w:rsidRPr="00B25945" w:rsidRDefault="00E4206E" w:rsidP="00FD60B3">
            <w:pPr>
              <w:spacing w:before="60" w:after="60"/>
              <w:jc w:val="center"/>
              <w:rPr>
                <w:rFonts w:ascii="Arial" w:hAnsi="Arial" w:cs="Arial"/>
                <w:sz w:val="18"/>
                <w:szCs w:val="16"/>
              </w:rPr>
            </w:pPr>
            <w:r>
              <w:rPr>
                <w:rFonts w:ascii="Arial" w:hAnsi="Arial"/>
                <w:sz w:val="16"/>
                <w:szCs w:val="16"/>
              </w:rPr>
              <w:t>[ca. m²]</w:t>
            </w:r>
          </w:p>
        </w:tc>
      </w:tr>
      <w:tr w:rsidR="009445F8" w:rsidRPr="0017364E" w14:paraId="46117936" w14:textId="77777777" w:rsidTr="00D46650">
        <w:trPr>
          <w:trHeight w:val="542"/>
        </w:trPr>
        <w:tc>
          <w:tcPr>
            <w:tcW w:w="1275" w:type="dxa"/>
            <w:vAlign w:val="center"/>
          </w:tcPr>
          <w:p w14:paraId="60835921" w14:textId="513BC197" w:rsidR="00294199" w:rsidRPr="009445F8" w:rsidRDefault="00294199" w:rsidP="00934DDC">
            <w:pPr>
              <w:spacing w:after="0"/>
              <w:rPr>
                <w:rFonts w:ascii="Arial" w:hAnsi="Arial" w:cs="Arial"/>
                <w:b/>
                <w:sz w:val="16"/>
                <w:szCs w:val="16"/>
              </w:rPr>
            </w:pPr>
            <w:r>
              <w:rPr>
                <w:rFonts w:ascii="Arial" w:hAnsi="Arial"/>
                <w:b/>
                <w:sz w:val="16"/>
                <w:szCs w:val="16"/>
              </w:rPr>
              <w:t>Hamburg</w:t>
            </w:r>
          </w:p>
        </w:tc>
        <w:tc>
          <w:tcPr>
            <w:tcW w:w="1839" w:type="dxa"/>
            <w:vAlign w:val="center"/>
          </w:tcPr>
          <w:p w14:paraId="29FF3775" w14:textId="763179B6" w:rsidR="00294199" w:rsidRPr="009445F8" w:rsidRDefault="00294199" w:rsidP="00934DDC">
            <w:pPr>
              <w:spacing w:after="0"/>
              <w:rPr>
                <w:rFonts w:ascii="Arial" w:hAnsi="Arial" w:cs="Arial"/>
                <w:b/>
                <w:sz w:val="16"/>
                <w:szCs w:val="16"/>
              </w:rPr>
            </w:pPr>
            <w:proofErr w:type="spellStart"/>
            <w:r>
              <w:rPr>
                <w:rFonts w:ascii="Arial" w:hAnsi="Arial"/>
                <w:b/>
                <w:sz w:val="16"/>
                <w:szCs w:val="16"/>
              </w:rPr>
              <w:t>Dradenaustrasse</w:t>
            </w:r>
            <w:proofErr w:type="spellEnd"/>
            <w:r>
              <w:rPr>
                <w:rFonts w:ascii="Arial" w:hAnsi="Arial"/>
                <w:b/>
                <w:sz w:val="16"/>
                <w:szCs w:val="16"/>
              </w:rPr>
              <w:t xml:space="preserve"> 20</w:t>
            </w:r>
          </w:p>
        </w:tc>
        <w:tc>
          <w:tcPr>
            <w:tcW w:w="2551" w:type="dxa"/>
            <w:vAlign w:val="center"/>
          </w:tcPr>
          <w:p w14:paraId="3EFF4FA2" w14:textId="2F297BF7" w:rsidR="00294199" w:rsidRPr="009445F8" w:rsidRDefault="0095162B" w:rsidP="009445F8">
            <w:pPr>
              <w:spacing w:after="0"/>
              <w:rPr>
                <w:rFonts w:ascii="Arial" w:hAnsi="Arial" w:cs="Arial"/>
                <w:b/>
                <w:sz w:val="16"/>
                <w:szCs w:val="16"/>
              </w:rPr>
            </w:pPr>
            <w:r>
              <w:rPr>
                <w:rFonts w:ascii="Arial" w:hAnsi="Arial"/>
                <w:b/>
                <w:sz w:val="16"/>
                <w:szCs w:val="16"/>
              </w:rPr>
              <w:t>L</w:t>
            </w:r>
            <w:r w:rsidR="009445F8">
              <w:rPr>
                <w:rFonts w:ascii="Arial" w:hAnsi="Arial"/>
                <w:b/>
                <w:sz w:val="16"/>
                <w:szCs w:val="16"/>
              </w:rPr>
              <w:t>ogistics facility</w:t>
            </w:r>
          </w:p>
        </w:tc>
        <w:tc>
          <w:tcPr>
            <w:tcW w:w="3119" w:type="dxa"/>
            <w:vAlign w:val="center"/>
          </w:tcPr>
          <w:p w14:paraId="639EC24E" w14:textId="4DF7550B" w:rsidR="00294199" w:rsidRPr="009445F8" w:rsidRDefault="00351F2D" w:rsidP="00934DDC">
            <w:pPr>
              <w:spacing w:after="0"/>
              <w:rPr>
                <w:rFonts w:ascii="Arial" w:hAnsi="Arial" w:cs="Arial"/>
                <w:b/>
                <w:sz w:val="16"/>
                <w:szCs w:val="16"/>
              </w:rPr>
            </w:pPr>
            <w:r>
              <w:rPr>
                <w:rFonts w:ascii="Arial" w:hAnsi="Arial"/>
                <w:b/>
                <w:sz w:val="16"/>
                <w:szCs w:val="16"/>
              </w:rPr>
              <w:t>ULD United Logistics &amp; Distribution</w:t>
            </w:r>
          </w:p>
        </w:tc>
        <w:tc>
          <w:tcPr>
            <w:tcW w:w="1079" w:type="dxa"/>
            <w:vAlign w:val="center"/>
          </w:tcPr>
          <w:p w14:paraId="5C911CFA" w14:textId="1912B632" w:rsidR="00294199" w:rsidRPr="009445F8" w:rsidRDefault="00351F2D" w:rsidP="00934DDC">
            <w:pPr>
              <w:spacing w:after="0"/>
              <w:jc w:val="center"/>
              <w:rPr>
                <w:rFonts w:ascii="Arial" w:hAnsi="Arial" w:cs="Arial"/>
                <w:b/>
                <w:sz w:val="16"/>
                <w:szCs w:val="16"/>
              </w:rPr>
            </w:pPr>
            <w:r>
              <w:rPr>
                <w:rFonts w:ascii="Arial" w:hAnsi="Arial"/>
                <w:b/>
                <w:sz w:val="16"/>
                <w:szCs w:val="16"/>
              </w:rPr>
              <w:t>30,000</w:t>
            </w:r>
          </w:p>
        </w:tc>
      </w:tr>
      <w:tr w:rsidR="009445F8" w:rsidRPr="0017364E" w14:paraId="65024E5E" w14:textId="77777777" w:rsidTr="00D46650">
        <w:trPr>
          <w:trHeight w:val="542"/>
        </w:trPr>
        <w:tc>
          <w:tcPr>
            <w:tcW w:w="1275" w:type="dxa"/>
            <w:vAlign w:val="center"/>
          </w:tcPr>
          <w:p w14:paraId="33142399" w14:textId="32D06499" w:rsidR="00351F2D" w:rsidRPr="009445F8" w:rsidRDefault="00351F2D" w:rsidP="00934DDC">
            <w:pPr>
              <w:spacing w:after="0"/>
              <w:rPr>
                <w:rFonts w:ascii="Arial" w:hAnsi="Arial" w:cs="Arial"/>
                <w:b/>
                <w:sz w:val="16"/>
                <w:szCs w:val="16"/>
              </w:rPr>
            </w:pPr>
            <w:r>
              <w:rPr>
                <w:rFonts w:ascii="Arial" w:hAnsi="Arial"/>
                <w:b/>
                <w:sz w:val="16"/>
                <w:szCs w:val="16"/>
              </w:rPr>
              <w:t xml:space="preserve">Bad </w:t>
            </w:r>
            <w:proofErr w:type="spellStart"/>
            <w:r>
              <w:rPr>
                <w:rFonts w:ascii="Arial" w:hAnsi="Arial"/>
                <w:b/>
                <w:sz w:val="16"/>
                <w:szCs w:val="16"/>
              </w:rPr>
              <w:t>Oldesloe</w:t>
            </w:r>
            <w:proofErr w:type="spellEnd"/>
          </w:p>
        </w:tc>
        <w:tc>
          <w:tcPr>
            <w:tcW w:w="1839" w:type="dxa"/>
            <w:vAlign w:val="center"/>
          </w:tcPr>
          <w:p w14:paraId="26A68192" w14:textId="315973F8" w:rsidR="00351F2D" w:rsidRPr="009445F8" w:rsidRDefault="00351F2D" w:rsidP="00934DDC">
            <w:pPr>
              <w:spacing w:after="0"/>
              <w:rPr>
                <w:rFonts w:ascii="Arial" w:hAnsi="Arial" w:cs="Arial"/>
                <w:b/>
                <w:sz w:val="16"/>
                <w:szCs w:val="16"/>
              </w:rPr>
            </w:pPr>
            <w:proofErr w:type="spellStart"/>
            <w:r>
              <w:rPr>
                <w:rFonts w:ascii="Arial" w:hAnsi="Arial"/>
                <w:b/>
                <w:sz w:val="16"/>
                <w:szCs w:val="16"/>
              </w:rPr>
              <w:t>Teichkoppel</w:t>
            </w:r>
            <w:proofErr w:type="spellEnd"/>
          </w:p>
        </w:tc>
        <w:tc>
          <w:tcPr>
            <w:tcW w:w="2551" w:type="dxa"/>
            <w:vAlign w:val="center"/>
          </w:tcPr>
          <w:p w14:paraId="5CC58179" w14:textId="5F910436" w:rsidR="00351F2D" w:rsidRPr="009445F8" w:rsidRDefault="009262C1" w:rsidP="00934DDC">
            <w:pPr>
              <w:spacing w:after="0"/>
              <w:rPr>
                <w:rFonts w:ascii="Arial" w:hAnsi="Arial" w:cs="Arial"/>
                <w:b/>
                <w:sz w:val="16"/>
                <w:szCs w:val="16"/>
              </w:rPr>
            </w:pPr>
            <w:r>
              <w:rPr>
                <w:rFonts w:ascii="Arial" w:hAnsi="Arial"/>
                <w:b/>
                <w:sz w:val="16"/>
                <w:szCs w:val="16"/>
              </w:rPr>
              <w:t>New logistics building</w:t>
            </w:r>
          </w:p>
        </w:tc>
        <w:tc>
          <w:tcPr>
            <w:tcW w:w="3119" w:type="dxa"/>
            <w:vAlign w:val="center"/>
          </w:tcPr>
          <w:p w14:paraId="2004EB15" w14:textId="10F0532A" w:rsidR="00351F2D" w:rsidRPr="009445F8" w:rsidRDefault="009445F8" w:rsidP="00934DDC">
            <w:pPr>
              <w:spacing w:after="0"/>
              <w:rPr>
                <w:rFonts w:ascii="Arial" w:hAnsi="Arial" w:cs="Arial"/>
                <w:b/>
                <w:sz w:val="16"/>
                <w:szCs w:val="16"/>
              </w:rPr>
            </w:pPr>
            <w:r>
              <w:rPr>
                <w:rFonts w:ascii="Arial" w:hAnsi="Arial"/>
                <w:b/>
                <w:sz w:val="16"/>
                <w:szCs w:val="16"/>
              </w:rPr>
              <w:t>E-commerce logistics firm</w:t>
            </w:r>
          </w:p>
        </w:tc>
        <w:tc>
          <w:tcPr>
            <w:tcW w:w="1079" w:type="dxa"/>
            <w:vAlign w:val="center"/>
          </w:tcPr>
          <w:p w14:paraId="77BB3C39" w14:textId="58959579" w:rsidR="00351F2D" w:rsidRPr="009445F8" w:rsidRDefault="00351F2D" w:rsidP="00934DDC">
            <w:pPr>
              <w:spacing w:after="0"/>
              <w:jc w:val="center"/>
              <w:rPr>
                <w:rFonts w:ascii="Arial" w:hAnsi="Arial" w:cs="Arial"/>
                <w:b/>
                <w:sz w:val="16"/>
                <w:szCs w:val="16"/>
              </w:rPr>
            </w:pPr>
            <w:r>
              <w:rPr>
                <w:rFonts w:ascii="Arial" w:hAnsi="Arial"/>
                <w:b/>
                <w:sz w:val="16"/>
                <w:szCs w:val="16"/>
              </w:rPr>
              <w:t>12,150</w:t>
            </w:r>
          </w:p>
        </w:tc>
      </w:tr>
      <w:tr w:rsidR="009445F8" w:rsidRPr="0017364E" w14:paraId="167BA49E" w14:textId="77777777" w:rsidTr="00D46650">
        <w:trPr>
          <w:trHeight w:val="542"/>
        </w:trPr>
        <w:tc>
          <w:tcPr>
            <w:tcW w:w="1275" w:type="dxa"/>
            <w:vAlign w:val="center"/>
          </w:tcPr>
          <w:p w14:paraId="50A750D5" w14:textId="094088D0" w:rsidR="00351F2D" w:rsidRPr="009445F8" w:rsidRDefault="00351F2D" w:rsidP="00934DDC">
            <w:pPr>
              <w:spacing w:after="0"/>
              <w:rPr>
                <w:rFonts w:ascii="Arial" w:hAnsi="Arial" w:cs="Arial"/>
                <w:b/>
                <w:sz w:val="16"/>
                <w:szCs w:val="16"/>
              </w:rPr>
            </w:pPr>
            <w:proofErr w:type="spellStart"/>
            <w:r>
              <w:rPr>
                <w:rFonts w:ascii="Arial" w:hAnsi="Arial"/>
                <w:b/>
                <w:sz w:val="16"/>
                <w:szCs w:val="16"/>
              </w:rPr>
              <w:t>Kaltenkirchen</w:t>
            </w:r>
            <w:proofErr w:type="spellEnd"/>
          </w:p>
        </w:tc>
        <w:tc>
          <w:tcPr>
            <w:tcW w:w="1839" w:type="dxa"/>
            <w:vAlign w:val="center"/>
          </w:tcPr>
          <w:p w14:paraId="3DD4DA8A" w14:textId="081FAE33" w:rsidR="00351F2D" w:rsidRPr="009445F8" w:rsidRDefault="00351F2D" w:rsidP="00934DDC">
            <w:pPr>
              <w:spacing w:after="0"/>
              <w:rPr>
                <w:rFonts w:ascii="Arial" w:hAnsi="Arial" w:cs="Arial"/>
                <w:b/>
                <w:sz w:val="16"/>
                <w:szCs w:val="16"/>
              </w:rPr>
            </w:pPr>
            <w:proofErr w:type="spellStart"/>
            <w:r>
              <w:rPr>
                <w:rFonts w:ascii="Arial" w:hAnsi="Arial"/>
                <w:b/>
                <w:sz w:val="16"/>
                <w:szCs w:val="16"/>
              </w:rPr>
              <w:t>Kirchenweg</w:t>
            </w:r>
            <w:proofErr w:type="spellEnd"/>
          </w:p>
        </w:tc>
        <w:tc>
          <w:tcPr>
            <w:tcW w:w="2551" w:type="dxa"/>
            <w:vAlign w:val="center"/>
          </w:tcPr>
          <w:p w14:paraId="29D0ADD6" w14:textId="6FCBA4ED" w:rsidR="00351F2D" w:rsidRPr="009445F8" w:rsidRDefault="009262C1" w:rsidP="00934DDC">
            <w:pPr>
              <w:spacing w:after="0"/>
              <w:rPr>
                <w:rFonts w:ascii="Arial" w:hAnsi="Arial" w:cs="Arial"/>
                <w:b/>
                <w:sz w:val="16"/>
                <w:szCs w:val="16"/>
              </w:rPr>
            </w:pPr>
            <w:r>
              <w:rPr>
                <w:rFonts w:ascii="Arial" w:hAnsi="Arial"/>
                <w:b/>
                <w:sz w:val="16"/>
                <w:szCs w:val="16"/>
              </w:rPr>
              <w:t>New logistics building</w:t>
            </w:r>
          </w:p>
        </w:tc>
        <w:tc>
          <w:tcPr>
            <w:tcW w:w="3119" w:type="dxa"/>
            <w:vAlign w:val="center"/>
          </w:tcPr>
          <w:p w14:paraId="45A9AC14" w14:textId="68194F58" w:rsidR="00351F2D" w:rsidRPr="009445F8" w:rsidRDefault="009445F8" w:rsidP="00934DDC">
            <w:pPr>
              <w:spacing w:after="0"/>
              <w:rPr>
                <w:rFonts w:ascii="Arial" w:hAnsi="Arial" w:cs="Arial"/>
                <w:b/>
                <w:sz w:val="16"/>
                <w:szCs w:val="16"/>
              </w:rPr>
            </w:pPr>
            <w:r>
              <w:rPr>
                <w:rFonts w:ascii="Arial" w:hAnsi="Arial"/>
                <w:b/>
                <w:sz w:val="16"/>
                <w:szCs w:val="16"/>
              </w:rPr>
              <w:t>E-commerce logistics firm</w:t>
            </w:r>
          </w:p>
        </w:tc>
        <w:tc>
          <w:tcPr>
            <w:tcW w:w="1079" w:type="dxa"/>
            <w:vAlign w:val="center"/>
          </w:tcPr>
          <w:p w14:paraId="193B6418" w14:textId="0449F241" w:rsidR="00351F2D" w:rsidRPr="009445F8" w:rsidRDefault="00351F2D" w:rsidP="00934DDC">
            <w:pPr>
              <w:spacing w:after="0"/>
              <w:jc w:val="center"/>
              <w:rPr>
                <w:rFonts w:ascii="Arial" w:hAnsi="Arial" w:cs="Arial"/>
                <w:b/>
                <w:sz w:val="16"/>
                <w:szCs w:val="16"/>
              </w:rPr>
            </w:pPr>
            <w:r>
              <w:rPr>
                <w:rFonts w:ascii="Arial" w:hAnsi="Arial"/>
                <w:b/>
                <w:sz w:val="16"/>
                <w:szCs w:val="16"/>
              </w:rPr>
              <w:t>11,350</w:t>
            </w:r>
          </w:p>
        </w:tc>
      </w:tr>
      <w:tr w:rsidR="009445F8" w:rsidRPr="0017364E" w14:paraId="3E28DCC4" w14:textId="77777777" w:rsidTr="00D46650">
        <w:trPr>
          <w:trHeight w:val="542"/>
        </w:trPr>
        <w:tc>
          <w:tcPr>
            <w:tcW w:w="1275" w:type="dxa"/>
            <w:vAlign w:val="center"/>
          </w:tcPr>
          <w:p w14:paraId="5E0CA384" w14:textId="77777777" w:rsidR="00934DDC" w:rsidRPr="00475F82" w:rsidRDefault="00934DDC" w:rsidP="00934DDC">
            <w:pPr>
              <w:spacing w:after="0"/>
              <w:rPr>
                <w:rFonts w:ascii="Arial" w:hAnsi="Arial" w:cs="Arial"/>
                <w:sz w:val="16"/>
                <w:szCs w:val="16"/>
              </w:rPr>
            </w:pPr>
            <w:r>
              <w:rPr>
                <w:rFonts w:ascii="Arial" w:hAnsi="Arial"/>
                <w:sz w:val="16"/>
                <w:szCs w:val="16"/>
              </w:rPr>
              <w:t>Hamburg</w:t>
            </w:r>
          </w:p>
        </w:tc>
        <w:tc>
          <w:tcPr>
            <w:tcW w:w="1839" w:type="dxa"/>
            <w:vAlign w:val="center"/>
          </w:tcPr>
          <w:p w14:paraId="25E9D499" w14:textId="77777777" w:rsidR="00934DDC" w:rsidRPr="00475F82" w:rsidRDefault="00934DDC" w:rsidP="00934DDC">
            <w:pPr>
              <w:spacing w:after="0"/>
              <w:rPr>
                <w:rFonts w:ascii="Arial" w:hAnsi="Arial" w:cs="Arial"/>
                <w:sz w:val="16"/>
                <w:szCs w:val="16"/>
              </w:rPr>
            </w:pPr>
            <w:proofErr w:type="spellStart"/>
            <w:r>
              <w:rPr>
                <w:rFonts w:ascii="Arial" w:hAnsi="Arial"/>
                <w:sz w:val="16"/>
                <w:szCs w:val="16"/>
              </w:rPr>
              <w:t>Vollhöfner</w:t>
            </w:r>
            <w:proofErr w:type="spellEnd"/>
            <w:r>
              <w:rPr>
                <w:rFonts w:ascii="Arial" w:hAnsi="Arial"/>
                <w:sz w:val="16"/>
                <w:szCs w:val="16"/>
              </w:rPr>
              <w:t xml:space="preserve"> </w:t>
            </w:r>
            <w:proofErr w:type="spellStart"/>
            <w:r>
              <w:rPr>
                <w:rFonts w:ascii="Arial" w:hAnsi="Arial"/>
                <w:sz w:val="16"/>
                <w:szCs w:val="16"/>
              </w:rPr>
              <w:t>Weiden</w:t>
            </w:r>
            <w:proofErr w:type="spellEnd"/>
            <w:r>
              <w:rPr>
                <w:rFonts w:ascii="Arial" w:hAnsi="Arial"/>
                <w:sz w:val="16"/>
                <w:szCs w:val="16"/>
              </w:rPr>
              <w:t xml:space="preserve"> 17 </w:t>
            </w:r>
          </w:p>
        </w:tc>
        <w:tc>
          <w:tcPr>
            <w:tcW w:w="2551" w:type="dxa"/>
            <w:vAlign w:val="center"/>
          </w:tcPr>
          <w:p w14:paraId="168DBCAA" w14:textId="77777777" w:rsidR="00934DDC" w:rsidRPr="00475F82" w:rsidRDefault="00934DDC" w:rsidP="00934DDC">
            <w:pPr>
              <w:spacing w:after="0"/>
              <w:rPr>
                <w:sz w:val="16"/>
                <w:szCs w:val="16"/>
              </w:rPr>
            </w:pPr>
            <w:r>
              <w:rPr>
                <w:rFonts w:ascii="Arial" w:hAnsi="Arial"/>
                <w:sz w:val="16"/>
                <w:szCs w:val="16"/>
              </w:rPr>
              <w:t>Logistics estate (high-bay warehouse)</w:t>
            </w:r>
          </w:p>
        </w:tc>
        <w:tc>
          <w:tcPr>
            <w:tcW w:w="3119" w:type="dxa"/>
            <w:vAlign w:val="center"/>
          </w:tcPr>
          <w:p w14:paraId="568B7962" w14:textId="77777777" w:rsidR="00934DDC" w:rsidRPr="00475F82" w:rsidRDefault="00934DDC" w:rsidP="00934DDC">
            <w:pPr>
              <w:spacing w:after="0"/>
              <w:rPr>
                <w:sz w:val="16"/>
                <w:szCs w:val="16"/>
              </w:rPr>
            </w:pPr>
            <w:proofErr w:type="spellStart"/>
            <w:r>
              <w:rPr>
                <w:rFonts w:ascii="Arial" w:hAnsi="Arial"/>
                <w:sz w:val="16"/>
                <w:szCs w:val="16"/>
              </w:rPr>
              <w:t>Nutwork</w:t>
            </w:r>
            <w:proofErr w:type="spellEnd"/>
            <w:r>
              <w:rPr>
                <w:rFonts w:ascii="Arial" w:hAnsi="Arial"/>
                <w:sz w:val="16"/>
                <w:szCs w:val="16"/>
              </w:rPr>
              <w:t xml:space="preserve"> </w:t>
            </w:r>
            <w:proofErr w:type="spellStart"/>
            <w:r>
              <w:rPr>
                <w:rFonts w:ascii="Arial" w:hAnsi="Arial"/>
                <w:sz w:val="16"/>
                <w:szCs w:val="16"/>
              </w:rPr>
              <w:t>Handelsgesellschaft</w:t>
            </w:r>
            <w:proofErr w:type="spellEnd"/>
            <w:r>
              <w:rPr>
                <w:rFonts w:ascii="Arial" w:hAnsi="Arial"/>
                <w:sz w:val="16"/>
                <w:szCs w:val="16"/>
              </w:rPr>
              <w:t xml:space="preserve"> </w:t>
            </w:r>
          </w:p>
        </w:tc>
        <w:tc>
          <w:tcPr>
            <w:tcW w:w="1079" w:type="dxa"/>
            <w:vAlign w:val="center"/>
          </w:tcPr>
          <w:p w14:paraId="3FBC8436" w14:textId="77777777" w:rsidR="00934DDC" w:rsidRPr="00475F82" w:rsidRDefault="00934DDC" w:rsidP="00934DDC">
            <w:pPr>
              <w:spacing w:after="0"/>
              <w:jc w:val="center"/>
              <w:rPr>
                <w:sz w:val="16"/>
                <w:szCs w:val="16"/>
              </w:rPr>
            </w:pPr>
            <w:r>
              <w:rPr>
                <w:rFonts w:ascii="Arial" w:hAnsi="Arial"/>
                <w:sz w:val="16"/>
                <w:szCs w:val="16"/>
              </w:rPr>
              <w:t>9,700</w:t>
            </w:r>
          </w:p>
        </w:tc>
      </w:tr>
      <w:tr w:rsidR="009445F8" w:rsidRPr="0017364E" w14:paraId="3D34D3B8" w14:textId="77777777" w:rsidTr="00D46650">
        <w:trPr>
          <w:trHeight w:val="542"/>
        </w:trPr>
        <w:tc>
          <w:tcPr>
            <w:tcW w:w="1275" w:type="dxa"/>
            <w:vAlign w:val="center"/>
          </w:tcPr>
          <w:p w14:paraId="067FBFED" w14:textId="2D28DEE5" w:rsidR="00FD60B3" w:rsidRPr="00475F82" w:rsidRDefault="00FD60B3" w:rsidP="00FD60B3">
            <w:pPr>
              <w:spacing w:after="0"/>
              <w:rPr>
                <w:rFonts w:ascii="Arial" w:hAnsi="Arial" w:cs="Arial"/>
                <w:sz w:val="16"/>
                <w:szCs w:val="16"/>
              </w:rPr>
            </w:pPr>
            <w:r>
              <w:rPr>
                <w:rFonts w:ascii="Arial" w:hAnsi="Arial"/>
                <w:sz w:val="16"/>
                <w:szCs w:val="16"/>
              </w:rPr>
              <w:t xml:space="preserve">Bad </w:t>
            </w:r>
            <w:proofErr w:type="spellStart"/>
            <w:r>
              <w:rPr>
                <w:rFonts w:ascii="Arial" w:hAnsi="Arial"/>
                <w:sz w:val="16"/>
                <w:szCs w:val="16"/>
              </w:rPr>
              <w:t>Oldesloe</w:t>
            </w:r>
            <w:proofErr w:type="spellEnd"/>
          </w:p>
        </w:tc>
        <w:tc>
          <w:tcPr>
            <w:tcW w:w="1839" w:type="dxa"/>
            <w:vAlign w:val="center"/>
          </w:tcPr>
          <w:p w14:paraId="6DF2AA75" w14:textId="13FBB9BB" w:rsidR="00FD60B3" w:rsidRPr="00475F82" w:rsidRDefault="00FD60B3" w:rsidP="00FD60B3">
            <w:pPr>
              <w:spacing w:after="0"/>
              <w:rPr>
                <w:rFonts w:ascii="Arial" w:hAnsi="Arial" w:cs="Arial"/>
                <w:sz w:val="16"/>
                <w:szCs w:val="16"/>
              </w:rPr>
            </w:pPr>
            <w:proofErr w:type="spellStart"/>
            <w:r>
              <w:rPr>
                <w:rFonts w:ascii="Arial" w:hAnsi="Arial"/>
                <w:sz w:val="16"/>
                <w:szCs w:val="16"/>
              </w:rPr>
              <w:t>Rögen</w:t>
            </w:r>
            <w:proofErr w:type="spellEnd"/>
            <w:r>
              <w:rPr>
                <w:rFonts w:ascii="Arial" w:hAnsi="Arial"/>
                <w:sz w:val="16"/>
                <w:szCs w:val="16"/>
              </w:rPr>
              <w:t xml:space="preserve"> 19-27</w:t>
            </w:r>
          </w:p>
        </w:tc>
        <w:tc>
          <w:tcPr>
            <w:tcW w:w="2551" w:type="dxa"/>
            <w:vAlign w:val="center"/>
          </w:tcPr>
          <w:p w14:paraId="11822FA9" w14:textId="4D356851" w:rsidR="00FD60B3" w:rsidRPr="00475F82" w:rsidRDefault="0095162B" w:rsidP="009445F8">
            <w:pPr>
              <w:spacing w:after="0"/>
              <w:rPr>
                <w:rFonts w:ascii="Arial" w:hAnsi="Arial" w:cs="Arial"/>
                <w:sz w:val="16"/>
                <w:szCs w:val="16"/>
              </w:rPr>
            </w:pPr>
            <w:r>
              <w:rPr>
                <w:rFonts w:ascii="Arial" w:hAnsi="Arial"/>
                <w:sz w:val="16"/>
                <w:szCs w:val="16"/>
              </w:rPr>
              <w:t>L</w:t>
            </w:r>
            <w:r w:rsidR="00FD60B3">
              <w:rPr>
                <w:rFonts w:ascii="Arial" w:hAnsi="Arial"/>
                <w:sz w:val="16"/>
                <w:szCs w:val="16"/>
              </w:rPr>
              <w:t>ogistics facility</w:t>
            </w:r>
          </w:p>
        </w:tc>
        <w:tc>
          <w:tcPr>
            <w:tcW w:w="3119" w:type="dxa"/>
            <w:vAlign w:val="center"/>
          </w:tcPr>
          <w:p w14:paraId="4A6B2243" w14:textId="154BF029" w:rsidR="00FD60B3" w:rsidRPr="00475F82" w:rsidRDefault="00FD60B3" w:rsidP="00FD60B3">
            <w:pPr>
              <w:spacing w:after="0"/>
              <w:rPr>
                <w:rFonts w:ascii="Arial" w:hAnsi="Arial" w:cs="Arial"/>
                <w:sz w:val="16"/>
                <w:szCs w:val="16"/>
              </w:rPr>
            </w:pPr>
            <w:proofErr w:type="spellStart"/>
            <w:r>
              <w:rPr>
                <w:rFonts w:ascii="Arial" w:hAnsi="Arial"/>
                <w:sz w:val="16"/>
                <w:szCs w:val="16"/>
              </w:rPr>
              <w:t>Hertling</w:t>
            </w:r>
            <w:proofErr w:type="spellEnd"/>
            <w:r>
              <w:rPr>
                <w:rFonts w:ascii="Arial" w:hAnsi="Arial"/>
                <w:sz w:val="16"/>
                <w:szCs w:val="16"/>
              </w:rPr>
              <w:t xml:space="preserve"> Hamburg </w:t>
            </w:r>
          </w:p>
        </w:tc>
        <w:tc>
          <w:tcPr>
            <w:tcW w:w="1079" w:type="dxa"/>
            <w:vAlign w:val="center"/>
          </w:tcPr>
          <w:p w14:paraId="0B0E4334" w14:textId="1D4921B3" w:rsidR="00FD60B3" w:rsidRPr="00475F82" w:rsidRDefault="00FD60B3" w:rsidP="00FD60B3">
            <w:pPr>
              <w:spacing w:after="0"/>
              <w:jc w:val="center"/>
              <w:rPr>
                <w:rFonts w:ascii="Arial" w:hAnsi="Arial" w:cs="Arial"/>
                <w:sz w:val="16"/>
                <w:szCs w:val="16"/>
              </w:rPr>
            </w:pPr>
            <w:r>
              <w:rPr>
                <w:rFonts w:ascii="Arial" w:hAnsi="Arial"/>
                <w:sz w:val="16"/>
                <w:szCs w:val="16"/>
              </w:rPr>
              <w:t>9,000</w:t>
            </w:r>
          </w:p>
        </w:tc>
      </w:tr>
    </w:tbl>
    <w:p w14:paraId="60C4344D" w14:textId="14EFCF29" w:rsidR="001C40AD" w:rsidRPr="006E7D49" w:rsidRDefault="0090292A" w:rsidP="000A5ED1">
      <w:pPr>
        <w:spacing w:after="0"/>
        <w:rPr>
          <w:rFonts w:ascii="Arial" w:eastAsia="Arial" w:hAnsi="Arial" w:cs="Arial"/>
          <w:color w:val="000000" w:themeColor="text1"/>
          <w:sz w:val="16"/>
          <w:szCs w:val="16"/>
        </w:rPr>
      </w:pPr>
      <w:r>
        <w:rPr>
          <w:rFonts w:ascii="Arial" w:hAnsi="Arial"/>
          <w:color w:val="000000" w:themeColor="text1"/>
          <w:sz w:val="16"/>
          <w:szCs w:val="16"/>
        </w:rPr>
        <w:t>Bold print indicates n</w:t>
      </w:r>
      <w:r w:rsidR="001C40AD">
        <w:rPr>
          <w:rFonts w:ascii="Arial" w:hAnsi="Arial"/>
          <w:color w:val="000000" w:themeColor="text1"/>
          <w:sz w:val="16"/>
          <w:szCs w:val="16"/>
        </w:rPr>
        <w:t>ew transactions or those occurring in the quarter</w:t>
      </w:r>
      <w:r>
        <w:rPr>
          <w:rFonts w:ascii="Arial" w:hAnsi="Arial"/>
          <w:color w:val="000000" w:themeColor="text1"/>
          <w:sz w:val="16"/>
          <w:szCs w:val="16"/>
        </w:rPr>
        <w:t xml:space="preserve"> in this report.</w:t>
      </w:r>
    </w:p>
    <w:p w14:paraId="723B0DCE" w14:textId="77777777" w:rsidR="001A4D89" w:rsidRPr="001C40AD" w:rsidRDefault="001A4D89" w:rsidP="006E7D49">
      <w:pPr>
        <w:spacing w:after="0" w:line="360" w:lineRule="auto"/>
        <w:rPr>
          <w:rFonts w:ascii="Arial" w:eastAsia="Arial" w:hAnsi="Arial" w:cs="Arial"/>
          <w:color w:val="000000" w:themeColor="text1"/>
          <w:sz w:val="20"/>
          <w:szCs w:val="20"/>
        </w:rPr>
      </w:pPr>
    </w:p>
    <w:p w14:paraId="5E8D9DBB" w14:textId="2C6D4F54" w:rsidR="00956905" w:rsidRPr="001C40AD" w:rsidRDefault="001C40AD" w:rsidP="006E7D49">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next comprehensive </w:t>
      </w:r>
      <w:hyperlink r:id="rId9" w:history="1">
        <w:r w:rsidR="00E820ED" w:rsidRPr="00E820ED">
          <w:rPr>
            <w:rStyle w:val="Hyperlink"/>
            <w:rFonts w:ascii="Arial" w:hAnsi="Arial"/>
            <w:sz w:val="20"/>
            <w:szCs w:val="20"/>
          </w:rPr>
          <w:t>m</w:t>
        </w:r>
        <w:r w:rsidRPr="00E820ED">
          <w:rPr>
            <w:rStyle w:val="Hyperlink"/>
            <w:rFonts w:ascii="Arial" w:hAnsi="Arial"/>
            <w:sz w:val="20"/>
            <w:szCs w:val="20"/>
          </w:rPr>
          <w:t>arket survey</w:t>
        </w:r>
      </w:hyperlink>
      <w:r>
        <w:rPr>
          <w:rFonts w:ascii="Arial" w:hAnsi="Arial"/>
          <w:color w:val="000000" w:themeColor="text1"/>
          <w:sz w:val="20"/>
          <w:szCs w:val="20"/>
        </w:rPr>
        <w:t xml:space="preserve"> w</w:t>
      </w:r>
      <w:r w:rsidR="00E820ED">
        <w:rPr>
          <w:rFonts w:ascii="Arial" w:hAnsi="Arial"/>
          <w:color w:val="000000" w:themeColor="text1"/>
          <w:sz w:val="20"/>
          <w:szCs w:val="20"/>
        </w:rPr>
        <w:t>ill shortly be published on our website</w:t>
      </w:r>
    </w:p>
    <w:p w14:paraId="3B6B74ED" w14:textId="5BB6A1B4" w:rsidR="006E5C9C" w:rsidRDefault="006E5C9C" w:rsidP="006E7D49">
      <w:pPr>
        <w:spacing w:after="0" w:line="360" w:lineRule="auto"/>
        <w:rPr>
          <w:rFonts w:ascii="Arial" w:hAnsi="Arial" w:cs="Arial"/>
          <w:b/>
          <w:sz w:val="20"/>
          <w:szCs w:val="20"/>
        </w:rPr>
      </w:pPr>
    </w:p>
    <w:p w14:paraId="08665E52" w14:textId="77777777" w:rsidR="00BA598D" w:rsidRPr="006E7D49" w:rsidRDefault="00BA598D" w:rsidP="006E7D49">
      <w:pPr>
        <w:spacing w:after="0" w:line="360" w:lineRule="auto"/>
        <w:rPr>
          <w:rFonts w:ascii="Arial" w:hAnsi="Arial" w:cs="Arial"/>
          <w:b/>
          <w:sz w:val="20"/>
          <w:szCs w:val="20"/>
        </w:rPr>
      </w:pPr>
    </w:p>
    <w:p w14:paraId="24717640" w14:textId="77777777" w:rsidR="0090748B" w:rsidRPr="0090748B" w:rsidRDefault="0090748B" w:rsidP="006E7D49">
      <w:pPr>
        <w:spacing w:after="0" w:line="360" w:lineRule="auto"/>
        <w:rPr>
          <w:rFonts w:ascii="Arial" w:hAnsi="Arial" w:cs="Arial"/>
          <w:b/>
          <w:sz w:val="16"/>
          <w:szCs w:val="16"/>
        </w:rPr>
      </w:pPr>
      <w:r>
        <w:rPr>
          <w:rFonts w:ascii="Arial" w:hAnsi="Arial"/>
          <w:b/>
          <w:sz w:val="16"/>
          <w:szCs w:val="16"/>
        </w:rPr>
        <w:t>About Grossmann &amp; Berger</w:t>
      </w:r>
    </w:p>
    <w:p w14:paraId="2FD23A09" w14:textId="77777777" w:rsidR="0090748B" w:rsidRPr="0090748B" w:rsidRDefault="00D46650" w:rsidP="006E7D49">
      <w:pPr>
        <w:spacing w:after="0" w:line="360" w:lineRule="auto"/>
        <w:rPr>
          <w:rFonts w:ascii="Arial" w:hAnsi="Arial" w:cs="Arial"/>
          <w:snapToGrid w:val="0"/>
          <w:sz w:val="16"/>
          <w:szCs w:val="16"/>
        </w:rPr>
      </w:pPr>
      <w:hyperlink r:id="rId10" w:history="1">
        <w:r w:rsidR="0090748B">
          <w:rPr>
            <w:rStyle w:val="Hyperlink"/>
            <w:rFonts w:ascii="Arial" w:hAnsi="Arial"/>
            <w:snapToGrid w:val="0"/>
            <w:sz w:val="16"/>
            <w:szCs w:val="16"/>
          </w:rPr>
          <w:t>Grossmann &amp; Berger GmbH</w:t>
        </w:r>
      </w:hyperlink>
      <w:r w:rsidR="0090748B">
        <w:rPr>
          <w:rFonts w:ascii="Arial" w:hAnsi="Arial"/>
          <w:snapToGrid w:val="0"/>
          <w:sz w:val="16"/>
          <w:szCs w:val="16"/>
        </w:rPr>
        <w:t xml:space="preserve"> is one of the leading service providers for selling and letting commercial and residential properties in North Germany. The Company has ten offices in Hamburg, and one each in Berlin, </w:t>
      </w:r>
      <w:proofErr w:type="spellStart"/>
      <w:r w:rsidR="0090748B">
        <w:rPr>
          <w:rFonts w:ascii="Arial" w:hAnsi="Arial"/>
          <w:snapToGrid w:val="0"/>
          <w:sz w:val="16"/>
          <w:szCs w:val="16"/>
        </w:rPr>
        <w:t>Ahrensburg</w:t>
      </w:r>
      <w:proofErr w:type="spellEnd"/>
      <w:r w:rsidR="0090748B">
        <w:rPr>
          <w:rFonts w:ascii="Arial" w:hAnsi="Arial"/>
          <w:snapToGrid w:val="0"/>
          <w:sz w:val="16"/>
          <w:szCs w:val="16"/>
        </w:rPr>
        <w:t xml:space="preserve">, </w:t>
      </w:r>
      <w:proofErr w:type="spellStart"/>
      <w:r w:rsidR="0090748B">
        <w:rPr>
          <w:rFonts w:ascii="Arial" w:hAnsi="Arial"/>
          <w:snapToGrid w:val="0"/>
          <w:sz w:val="16"/>
          <w:szCs w:val="16"/>
        </w:rPr>
        <w:t>Lüneburg</w:t>
      </w:r>
      <w:proofErr w:type="spellEnd"/>
      <w:r w:rsidR="0090748B">
        <w:rPr>
          <w:rFonts w:ascii="Arial" w:hAnsi="Arial"/>
          <w:snapToGrid w:val="0"/>
          <w:sz w:val="16"/>
          <w:szCs w:val="16"/>
        </w:rPr>
        <w:t xml:space="preserve">, Norderstedt and on the Island of Sylt, permitting comprehensive coverage of the North German market. With over 85 years of experience in the business, the Company offers a complete package of real estate expertise. Grossmann &amp; Berger belongs to the HASPA Group and is a founding member of the national commercial real estate network </w:t>
      </w:r>
      <w:hyperlink r:id="rId11" w:history="1">
        <w:r w:rsidR="0090748B">
          <w:rPr>
            <w:rStyle w:val="Hyperlink"/>
            <w:rFonts w:ascii="Arial" w:hAnsi="Arial"/>
            <w:snapToGrid w:val="0"/>
            <w:sz w:val="16"/>
            <w:szCs w:val="16"/>
          </w:rPr>
          <w:t>German Property Partners</w:t>
        </w:r>
      </w:hyperlink>
      <w:r w:rsidR="0090748B">
        <w:rPr>
          <w:rFonts w:ascii="Arial" w:hAnsi="Arial"/>
          <w:snapToGrid w:val="0"/>
          <w:sz w:val="16"/>
          <w:szCs w:val="16"/>
        </w:rPr>
        <w:t xml:space="preserve"> (GPP). </w:t>
      </w:r>
    </w:p>
    <w:p w14:paraId="2F093B5F" w14:textId="77777777" w:rsidR="0090748B" w:rsidRDefault="0090748B" w:rsidP="006E7D49">
      <w:pPr>
        <w:spacing w:after="0" w:line="360" w:lineRule="auto"/>
        <w:rPr>
          <w:rFonts w:ascii="Arial" w:hAnsi="Arial" w:cs="Arial"/>
          <w:sz w:val="20"/>
          <w:szCs w:val="20"/>
        </w:rPr>
      </w:pPr>
    </w:p>
    <w:p w14:paraId="3843B613" w14:textId="0DB114AC" w:rsidR="001D22A6" w:rsidRDefault="003C6AB4" w:rsidP="009445F8">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sidR="00D46650">
        <w:rPr>
          <w:rFonts w:ascii="Arial" w:hAnsi="Arial"/>
          <w:sz w:val="16"/>
          <w:szCs w:val="16"/>
        </w:rPr>
        <w:t xml:space="preserve"> </w:t>
      </w:r>
      <w:r>
        <w:rPr>
          <w:rFonts w:ascii="Arial" w:hAnsi="Arial"/>
          <w:sz w:val="16"/>
          <w:szCs w:val="16"/>
        </w:rPr>
        <w:t xml:space="preserve">Here you will also be able to access our </w:t>
      </w:r>
      <w:hyperlink r:id="rId13" w:history="1">
        <w:r>
          <w:rPr>
            <w:rStyle w:val="Hyperlink"/>
            <w:rFonts w:ascii="Arial" w:hAnsi="Arial"/>
            <w:sz w:val="16"/>
            <w:szCs w:val="16"/>
          </w:rPr>
          <w:t xml:space="preserve"> press kit </w:t>
        </w:r>
      </w:hyperlink>
      <w:bookmarkStart w:id="0" w:name="_GoBack"/>
      <w:bookmarkEnd w:id="0"/>
      <w:r>
        <w:rPr>
          <w:rFonts w:ascii="Arial" w:hAnsi="Arial"/>
          <w:sz w:val="16"/>
          <w:szCs w:val="16"/>
        </w:rPr>
        <w:t xml:space="preserve">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1D22A6"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F3849" w14:textId="77777777" w:rsidR="00B265C3" w:rsidRDefault="00B265C3">
      <w:r>
        <w:separator/>
      </w:r>
    </w:p>
  </w:endnote>
  <w:endnote w:type="continuationSeparator" w:id="0">
    <w:p w14:paraId="2985BF2F" w14:textId="77777777" w:rsidR="00B265C3" w:rsidRDefault="00B2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4589"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D-20354 Hamburg | Tel. +49 (0)40/350 80 2-0 | www.grossmann-berger.de</w:t>
    </w:r>
  </w:p>
  <w:p w14:paraId="7C216FD5" w14:textId="022268E6"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D46650">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D46650">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4417" w14:textId="77777777" w:rsidR="008C608D" w:rsidRDefault="008C608D">
    <w:pPr>
      <w:pStyle w:val="Fuzeile"/>
    </w:pPr>
    <w:r>
      <w:rPr>
        <w:noProof/>
        <w:lang w:val="de-DE" w:eastAsia="de-DE"/>
      </w:rPr>
      <w:drawing>
        <wp:anchor distT="0" distB="0" distL="0" distR="0" simplePos="0" relativeHeight="251659264" behindDoc="0" locked="0" layoutInCell="0" allowOverlap="1" wp14:anchorId="4CF643AE" wp14:editId="1E8F3E48">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6DB85" w14:textId="77777777" w:rsidR="00B265C3" w:rsidRDefault="00B265C3">
      <w:r>
        <w:separator/>
      </w:r>
    </w:p>
  </w:footnote>
  <w:footnote w:type="continuationSeparator" w:id="0">
    <w:p w14:paraId="3257CFBB" w14:textId="77777777" w:rsidR="00B265C3" w:rsidRDefault="00B2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755ED" w14:textId="77777777" w:rsidR="006138CB" w:rsidRPr="009E3ADA" w:rsidRDefault="006A7604"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69AB022B" wp14:editId="607F0A2E">
              <wp:simplePos x="0" y="0"/>
              <wp:positionH relativeFrom="margin">
                <wp:posOffset>-92208</wp:posOffset>
              </wp:positionH>
              <wp:positionV relativeFrom="paragraph">
                <wp:posOffset>7620</wp:posOffset>
              </wp:positionV>
              <wp:extent cx="4779010" cy="281940"/>
              <wp:effectExtent l="0" t="0" r="0" b="38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010" cy="281940"/>
                      </a:xfrm>
                      <a:prstGeom prst="rect">
                        <a:avLst/>
                      </a:prstGeom>
                      <a:noFill/>
                      <a:ln w="9525">
                        <a:noFill/>
                        <a:miter lim="800000"/>
                        <a:headEnd/>
                        <a:tailEnd/>
                      </a:ln>
                    </wps:spPr>
                    <wps:txbx>
                      <w:txbxContent>
                        <w:p w14:paraId="796B50F8" w14:textId="0EA36BA8"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B022B" id="_x0000_t202" coordsize="21600,21600" o:spt="202" path="m,l,21600r21600,l21600,xe">
              <v:stroke joinstyle="miter"/>
              <v:path gradientshapeok="t" o:connecttype="rect"/>
            </v:shapetype>
            <v:shape id="Textfeld 4" o:spid="_x0000_s1026" type="#_x0000_t202" style="position:absolute;left:0;text-align:left;margin-left:-7.25pt;margin-top:.6pt;width:376.3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" filled="f" stroked="f">
              <v:textbox>
                <w:txbxContent>
                  <w:p w14:paraId="796B50F8" w14:textId="0EA36BA8"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64484860"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677B" w14:textId="77777777" w:rsidR="00D83CB7" w:rsidRDefault="006A7604"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04B66965" wp14:editId="64F603A2">
              <wp:simplePos x="0" y="0"/>
              <wp:positionH relativeFrom="margin">
                <wp:posOffset>-92203</wp:posOffset>
              </wp:positionH>
              <wp:positionV relativeFrom="paragraph">
                <wp:posOffset>8890</wp:posOffset>
              </wp:positionV>
              <wp:extent cx="4832798" cy="281940"/>
              <wp:effectExtent l="0" t="0" r="0" b="381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798" cy="281940"/>
                      </a:xfrm>
                      <a:prstGeom prst="rect">
                        <a:avLst/>
                      </a:prstGeom>
                      <a:noFill/>
                      <a:ln w="9525">
                        <a:noFill/>
                        <a:miter lim="800000"/>
                        <a:headEnd/>
                        <a:tailEnd/>
                      </a:ln>
                    </wps:spPr>
                    <wps:txbx>
                      <w:txbxContent>
                        <w:p w14:paraId="2EE4DBAA" w14:textId="48756FE6"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B66965" id="_x0000_t202" coordsize="21600,21600" o:spt="202" path="m,l,21600r21600,l21600,xe">
              <v:stroke joinstyle="miter"/>
              <v:path gradientshapeok="t" o:connecttype="rect"/>
            </v:shapetype>
            <v:shape id="Textfeld 1" o:spid="_x0000_s1027" type="#_x0000_t202" style="position:absolute;left:0;text-align:left;margin-left:-7.25pt;margin-top:.7pt;width:380.5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" filled="f" stroked="f">
              <v:textbox>
                <w:txbxContent>
                  <w:p w14:paraId="2EE4DBAA" w14:textId="48756FE6" w:rsidR="006A7604" w:rsidRDefault="006A7604" w:rsidP="006A7604">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30EDA10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BD4E009A"/>
    <w:lvl w:ilvl="0" w:tplc="04070001">
      <w:start w:val="1"/>
      <w:numFmt w:val="bullet"/>
      <w:lvlText w:val=""/>
      <w:lvlJc w:val="left"/>
      <w:pPr>
        <w:ind w:left="513" w:hanging="360"/>
      </w:pPr>
      <w:rPr>
        <w:rFonts w:ascii="Symbol" w:hAnsi="Symbol" w:hint="default"/>
      </w:rPr>
    </w:lvl>
    <w:lvl w:ilvl="1" w:tplc="04070003" w:tentative="1">
      <w:start w:val="1"/>
      <w:numFmt w:val="bullet"/>
      <w:lvlText w:val="o"/>
      <w:lvlJc w:val="left"/>
      <w:pPr>
        <w:ind w:left="1233" w:hanging="360"/>
      </w:pPr>
      <w:rPr>
        <w:rFonts w:ascii="Courier New" w:hAnsi="Courier New" w:cs="Courier New" w:hint="default"/>
      </w:rPr>
    </w:lvl>
    <w:lvl w:ilvl="2" w:tplc="04070005" w:tentative="1">
      <w:start w:val="1"/>
      <w:numFmt w:val="bullet"/>
      <w:lvlText w:val=""/>
      <w:lvlJc w:val="left"/>
      <w:pPr>
        <w:ind w:left="1953" w:hanging="360"/>
      </w:pPr>
      <w:rPr>
        <w:rFonts w:ascii="Wingdings" w:hAnsi="Wingdings" w:hint="default"/>
      </w:rPr>
    </w:lvl>
    <w:lvl w:ilvl="3" w:tplc="04070001" w:tentative="1">
      <w:start w:val="1"/>
      <w:numFmt w:val="bullet"/>
      <w:lvlText w:val=""/>
      <w:lvlJc w:val="left"/>
      <w:pPr>
        <w:ind w:left="2673" w:hanging="360"/>
      </w:pPr>
      <w:rPr>
        <w:rFonts w:ascii="Symbol" w:hAnsi="Symbol" w:hint="default"/>
      </w:rPr>
    </w:lvl>
    <w:lvl w:ilvl="4" w:tplc="04070003" w:tentative="1">
      <w:start w:val="1"/>
      <w:numFmt w:val="bullet"/>
      <w:lvlText w:val="o"/>
      <w:lvlJc w:val="left"/>
      <w:pPr>
        <w:ind w:left="3393" w:hanging="360"/>
      </w:pPr>
      <w:rPr>
        <w:rFonts w:ascii="Courier New" w:hAnsi="Courier New" w:cs="Courier New" w:hint="default"/>
      </w:rPr>
    </w:lvl>
    <w:lvl w:ilvl="5" w:tplc="04070005" w:tentative="1">
      <w:start w:val="1"/>
      <w:numFmt w:val="bullet"/>
      <w:lvlText w:val=""/>
      <w:lvlJc w:val="left"/>
      <w:pPr>
        <w:ind w:left="4113" w:hanging="360"/>
      </w:pPr>
      <w:rPr>
        <w:rFonts w:ascii="Wingdings" w:hAnsi="Wingdings" w:hint="default"/>
      </w:rPr>
    </w:lvl>
    <w:lvl w:ilvl="6" w:tplc="04070001" w:tentative="1">
      <w:start w:val="1"/>
      <w:numFmt w:val="bullet"/>
      <w:lvlText w:val=""/>
      <w:lvlJc w:val="left"/>
      <w:pPr>
        <w:ind w:left="4833" w:hanging="360"/>
      </w:pPr>
      <w:rPr>
        <w:rFonts w:ascii="Symbol" w:hAnsi="Symbol" w:hint="default"/>
      </w:rPr>
    </w:lvl>
    <w:lvl w:ilvl="7" w:tplc="04070003" w:tentative="1">
      <w:start w:val="1"/>
      <w:numFmt w:val="bullet"/>
      <w:lvlText w:val="o"/>
      <w:lvlJc w:val="left"/>
      <w:pPr>
        <w:ind w:left="5553" w:hanging="360"/>
      </w:pPr>
      <w:rPr>
        <w:rFonts w:ascii="Courier New" w:hAnsi="Courier New" w:cs="Courier New" w:hint="default"/>
      </w:rPr>
    </w:lvl>
    <w:lvl w:ilvl="8" w:tplc="04070005" w:tentative="1">
      <w:start w:val="1"/>
      <w:numFmt w:val="bullet"/>
      <w:lvlText w:val=""/>
      <w:lvlJc w:val="left"/>
      <w:pPr>
        <w:ind w:left="6273" w:hanging="360"/>
      </w:pPr>
      <w:rPr>
        <w:rFonts w:ascii="Wingdings" w:hAnsi="Wingdings" w:hint="default"/>
      </w:rPr>
    </w:lvl>
  </w:abstractNum>
  <w:abstractNum w:abstractNumId="12"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3206"/>
    <w:rsid w:val="000159FE"/>
    <w:rsid w:val="00022F16"/>
    <w:rsid w:val="00023D78"/>
    <w:rsid w:val="0003075C"/>
    <w:rsid w:val="00057172"/>
    <w:rsid w:val="00060743"/>
    <w:rsid w:val="000645A0"/>
    <w:rsid w:val="00066796"/>
    <w:rsid w:val="00071081"/>
    <w:rsid w:val="000766D7"/>
    <w:rsid w:val="0007670A"/>
    <w:rsid w:val="00084C35"/>
    <w:rsid w:val="00092CBA"/>
    <w:rsid w:val="000A5ED1"/>
    <w:rsid w:val="000A769D"/>
    <w:rsid w:val="000B1606"/>
    <w:rsid w:val="000B3315"/>
    <w:rsid w:val="000C770D"/>
    <w:rsid w:val="000E03F3"/>
    <w:rsid w:val="000E7BC7"/>
    <w:rsid w:val="000F726E"/>
    <w:rsid w:val="001029C4"/>
    <w:rsid w:val="0011411F"/>
    <w:rsid w:val="0011486D"/>
    <w:rsid w:val="00121E33"/>
    <w:rsid w:val="00126550"/>
    <w:rsid w:val="001324D6"/>
    <w:rsid w:val="00135BD2"/>
    <w:rsid w:val="00135E09"/>
    <w:rsid w:val="00154825"/>
    <w:rsid w:val="001559E2"/>
    <w:rsid w:val="001726E4"/>
    <w:rsid w:val="0017364E"/>
    <w:rsid w:val="0017516B"/>
    <w:rsid w:val="00176F1D"/>
    <w:rsid w:val="00177070"/>
    <w:rsid w:val="0018068D"/>
    <w:rsid w:val="001871BC"/>
    <w:rsid w:val="001A247B"/>
    <w:rsid w:val="001A2ABE"/>
    <w:rsid w:val="001A360C"/>
    <w:rsid w:val="001A4D89"/>
    <w:rsid w:val="001C40AD"/>
    <w:rsid w:val="001D14DA"/>
    <w:rsid w:val="001D22A6"/>
    <w:rsid w:val="001E1172"/>
    <w:rsid w:val="001E6995"/>
    <w:rsid w:val="001F1513"/>
    <w:rsid w:val="001F3BB8"/>
    <w:rsid w:val="00205769"/>
    <w:rsid w:val="00212FEC"/>
    <w:rsid w:val="002131BB"/>
    <w:rsid w:val="0022086D"/>
    <w:rsid w:val="00227E31"/>
    <w:rsid w:val="00230F81"/>
    <w:rsid w:val="002341EE"/>
    <w:rsid w:val="00237341"/>
    <w:rsid w:val="002475AD"/>
    <w:rsid w:val="00254C6F"/>
    <w:rsid w:val="00255679"/>
    <w:rsid w:val="00260B59"/>
    <w:rsid w:val="0027266B"/>
    <w:rsid w:val="00274046"/>
    <w:rsid w:val="00281E80"/>
    <w:rsid w:val="002834B0"/>
    <w:rsid w:val="00283671"/>
    <w:rsid w:val="00284A5D"/>
    <w:rsid w:val="00284E27"/>
    <w:rsid w:val="00287281"/>
    <w:rsid w:val="00291D2A"/>
    <w:rsid w:val="00294199"/>
    <w:rsid w:val="00294B7D"/>
    <w:rsid w:val="002A1973"/>
    <w:rsid w:val="002B14F6"/>
    <w:rsid w:val="002C055A"/>
    <w:rsid w:val="002C2392"/>
    <w:rsid w:val="002D1C5C"/>
    <w:rsid w:val="002D1E20"/>
    <w:rsid w:val="002E0ABD"/>
    <w:rsid w:val="002E6860"/>
    <w:rsid w:val="002F0411"/>
    <w:rsid w:val="002F590E"/>
    <w:rsid w:val="002F767E"/>
    <w:rsid w:val="00301F3A"/>
    <w:rsid w:val="00317234"/>
    <w:rsid w:val="003223C6"/>
    <w:rsid w:val="003246F0"/>
    <w:rsid w:val="00325E2A"/>
    <w:rsid w:val="003272F3"/>
    <w:rsid w:val="00331CFF"/>
    <w:rsid w:val="003428D7"/>
    <w:rsid w:val="00345716"/>
    <w:rsid w:val="00346242"/>
    <w:rsid w:val="0034786C"/>
    <w:rsid w:val="003517C9"/>
    <w:rsid w:val="00351F2D"/>
    <w:rsid w:val="00357EC4"/>
    <w:rsid w:val="00360EDC"/>
    <w:rsid w:val="003612C9"/>
    <w:rsid w:val="003623CA"/>
    <w:rsid w:val="003627E1"/>
    <w:rsid w:val="00370000"/>
    <w:rsid w:val="00373507"/>
    <w:rsid w:val="0038230E"/>
    <w:rsid w:val="00382529"/>
    <w:rsid w:val="00395ED5"/>
    <w:rsid w:val="003A00C9"/>
    <w:rsid w:val="003A25A4"/>
    <w:rsid w:val="003B49E4"/>
    <w:rsid w:val="003B4CCF"/>
    <w:rsid w:val="003B6CD4"/>
    <w:rsid w:val="003B7AF6"/>
    <w:rsid w:val="003C6AB4"/>
    <w:rsid w:val="003D2BB6"/>
    <w:rsid w:val="003E099F"/>
    <w:rsid w:val="003E4DF9"/>
    <w:rsid w:val="003F665D"/>
    <w:rsid w:val="0040086D"/>
    <w:rsid w:val="00401024"/>
    <w:rsid w:val="004017D8"/>
    <w:rsid w:val="0040477C"/>
    <w:rsid w:val="00411E03"/>
    <w:rsid w:val="004123B1"/>
    <w:rsid w:val="004125BC"/>
    <w:rsid w:val="004260B4"/>
    <w:rsid w:val="004303A1"/>
    <w:rsid w:val="00430749"/>
    <w:rsid w:val="00430E8D"/>
    <w:rsid w:val="00440DC9"/>
    <w:rsid w:val="004450C4"/>
    <w:rsid w:val="004506D2"/>
    <w:rsid w:val="00456F40"/>
    <w:rsid w:val="004609BD"/>
    <w:rsid w:val="004661EE"/>
    <w:rsid w:val="00466741"/>
    <w:rsid w:val="00470064"/>
    <w:rsid w:val="004706DC"/>
    <w:rsid w:val="004843A0"/>
    <w:rsid w:val="00486FB2"/>
    <w:rsid w:val="004A2BEA"/>
    <w:rsid w:val="004A3C64"/>
    <w:rsid w:val="004A5AEA"/>
    <w:rsid w:val="004B2FDA"/>
    <w:rsid w:val="004B480A"/>
    <w:rsid w:val="004B6EA1"/>
    <w:rsid w:val="004C0CA2"/>
    <w:rsid w:val="004C217E"/>
    <w:rsid w:val="004D50C0"/>
    <w:rsid w:val="004D772A"/>
    <w:rsid w:val="004E339B"/>
    <w:rsid w:val="004E4273"/>
    <w:rsid w:val="004E4562"/>
    <w:rsid w:val="004E5E50"/>
    <w:rsid w:val="004F077F"/>
    <w:rsid w:val="004F3E4A"/>
    <w:rsid w:val="004F6301"/>
    <w:rsid w:val="00501AC8"/>
    <w:rsid w:val="005023DD"/>
    <w:rsid w:val="00503D8C"/>
    <w:rsid w:val="0050521D"/>
    <w:rsid w:val="00510F37"/>
    <w:rsid w:val="005112F1"/>
    <w:rsid w:val="00512C09"/>
    <w:rsid w:val="00515A91"/>
    <w:rsid w:val="00516A66"/>
    <w:rsid w:val="0052096A"/>
    <w:rsid w:val="00522B84"/>
    <w:rsid w:val="00531A7F"/>
    <w:rsid w:val="00534BAD"/>
    <w:rsid w:val="005360E8"/>
    <w:rsid w:val="005428C5"/>
    <w:rsid w:val="00543C55"/>
    <w:rsid w:val="005470FA"/>
    <w:rsid w:val="0055393B"/>
    <w:rsid w:val="00553B6D"/>
    <w:rsid w:val="005554C7"/>
    <w:rsid w:val="00556F58"/>
    <w:rsid w:val="00562B4E"/>
    <w:rsid w:val="00567D57"/>
    <w:rsid w:val="00571FF3"/>
    <w:rsid w:val="00582B99"/>
    <w:rsid w:val="00590903"/>
    <w:rsid w:val="005A617A"/>
    <w:rsid w:val="005B0FC9"/>
    <w:rsid w:val="005B66D3"/>
    <w:rsid w:val="005C3522"/>
    <w:rsid w:val="005C4556"/>
    <w:rsid w:val="005C5302"/>
    <w:rsid w:val="005D307B"/>
    <w:rsid w:val="005D60AA"/>
    <w:rsid w:val="005E362E"/>
    <w:rsid w:val="005F0CBD"/>
    <w:rsid w:val="005F7593"/>
    <w:rsid w:val="006029D7"/>
    <w:rsid w:val="00606926"/>
    <w:rsid w:val="0061109D"/>
    <w:rsid w:val="00612AA0"/>
    <w:rsid w:val="006138CB"/>
    <w:rsid w:val="00615B1C"/>
    <w:rsid w:val="00620FC3"/>
    <w:rsid w:val="006224C4"/>
    <w:rsid w:val="006225EA"/>
    <w:rsid w:val="006261DF"/>
    <w:rsid w:val="00637A39"/>
    <w:rsid w:val="00640B9E"/>
    <w:rsid w:val="00641270"/>
    <w:rsid w:val="00642074"/>
    <w:rsid w:val="006424F8"/>
    <w:rsid w:val="006744CC"/>
    <w:rsid w:val="006752B2"/>
    <w:rsid w:val="00681CAB"/>
    <w:rsid w:val="006842EF"/>
    <w:rsid w:val="00687256"/>
    <w:rsid w:val="006914D7"/>
    <w:rsid w:val="00695E58"/>
    <w:rsid w:val="0069757D"/>
    <w:rsid w:val="006A1329"/>
    <w:rsid w:val="006A66F9"/>
    <w:rsid w:val="006A7604"/>
    <w:rsid w:val="006B3D59"/>
    <w:rsid w:val="006C1DD8"/>
    <w:rsid w:val="006D024C"/>
    <w:rsid w:val="006D67D0"/>
    <w:rsid w:val="006E5C9C"/>
    <w:rsid w:val="006E7D49"/>
    <w:rsid w:val="006F1774"/>
    <w:rsid w:val="0071125F"/>
    <w:rsid w:val="00717A20"/>
    <w:rsid w:val="00720DFF"/>
    <w:rsid w:val="00730E23"/>
    <w:rsid w:val="0074780F"/>
    <w:rsid w:val="00762CC5"/>
    <w:rsid w:val="00786781"/>
    <w:rsid w:val="007906B4"/>
    <w:rsid w:val="007970A0"/>
    <w:rsid w:val="007B215B"/>
    <w:rsid w:val="007B4617"/>
    <w:rsid w:val="007D1839"/>
    <w:rsid w:val="007D1B0C"/>
    <w:rsid w:val="007E759D"/>
    <w:rsid w:val="007F2DBE"/>
    <w:rsid w:val="007F33B6"/>
    <w:rsid w:val="007F642D"/>
    <w:rsid w:val="007F756A"/>
    <w:rsid w:val="0080256B"/>
    <w:rsid w:val="00812471"/>
    <w:rsid w:val="008261A5"/>
    <w:rsid w:val="0083382E"/>
    <w:rsid w:val="0084565B"/>
    <w:rsid w:val="00855325"/>
    <w:rsid w:val="00862E34"/>
    <w:rsid w:val="00863877"/>
    <w:rsid w:val="00865915"/>
    <w:rsid w:val="00871832"/>
    <w:rsid w:val="00886CCE"/>
    <w:rsid w:val="008942C6"/>
    <w:rsid w:val="00895A22"/>
    <w:rsid w:val="00896B33"/>
    <w:rsid w:val="008A62FB"/>
    <w:rsid w:val="008A77B7"/>
    <w:rsid w:val="008B0F67"/>
    <w:rsid w:val="008C608D"/>
    <w:rsid w:val="008E461D"/>
    <w:rsid w:val="008E65DC"/>
    <w:rsid w:val="008F08E5"/>
    <w:rsid w:val="008F0EA4"/>
    <w:rsid w:val="008F38F6"/>
    <w:rsid w:val="008F5213"/>
    <w:rsid w:val="009000CF"/>
    <w:rsid w:val="0090292A"/>
    <w:rsid w:val="00904150"/>
    <w:rsid w:val="0090748B"/>
    <w:rsid w:val="009101A6"/>
    <w:rsid w:val="009136F4"/>
    <w:rsid w:val="00920C9C"/>
    <w:rsid w:val="00922754"/>
    <w:rsid w:val="00925781"/>
    <w:rsid w:val="009258D0"/>
    <w:rsid w:val="009262C1"/>
    <w:rsid w:val="00934DDC"/>
    <w:rsid w:val="00935AB3"/>
    <w:rsid w:val="00940C8D"/>
    <w:rsid w:val="009445F8"/>
    <w:rsid w:val="00950606"/>
    <w:rsid w:val="0095162B"/>
    <w:rsid w:val="00956905"/>
    <w:rsid w:val="009646C4"/>
    <w:rsid w:val="009734CE"/>
    <w:rsid w:val="0098460C"/>
    <w:rsid w:val="0099386F"/>
    <w:rsid w:val="0099413E"/>
    <w:rsid w:val="00996E1A"/>
    <w:rsid w:val="009A32B9"/>
    <w:rsid w:val="009A3457"/>
    <w:rsid w:val="009B4392"/>
    <w:rsid w:val="009B7D09"/>
    <w:rsid w:val="009D24DA"/>
    <w:rsid w:val="009D5D75"/>
    <w:rsid w:val="009E0C0B"/>
    <w:rsid w:val="009F2370"/>
    <w:rsid w:val="009F32A2"/>
    <w:rsid w:val="009F3C25"/>
    <w:rsid w:val="009F54CE"/>
    <w:rsid w:val="00A06264"/>
    <w:rsid w:val="00A1639A"/>
    <w:rsid w:val="00A201BB"/>
    <w:rsid w:val="00A215C9"/>
    <w:rsid w:val="00A34CB4"/>
    <w:rsid w:val="00A5364B"/>
    <w:rsid w:val="00A615E0"/>
    <w:rsid w:val="00A65E2B"/>
    <w:rsid w:val="00A74AA0"/>
    <w:rsid w:val="00A7546D"/>
    <w:rsid w:val="00A75553"/>
    <w:rsid w:val="00A77100"/>
    <w:rsid w:val="00A8197F"/>
    <w:rsid w:val="00AA4D97"/>
    <w:rsid w:val="00AC3E6F"/>
    <w:rsid w:val="00AD17B7"/>
    <w:rsid w:val="00AD6B1A"/>
    <w:rsid w:val="00AF08D2"/>
    <w:rsid w:val="00B069C5"/>
    <w:rsid w:val="00B06D1B"/>
    <w:rsid w:val="00B077D5"/>
    <w:rsid w:val="00B16A78"/>
    <w:rsid w:val="00B200E4"/>
    <w:rsid w:val="00B25945"/>
    <w:rsid w:val="00B265C3"/>
    <w:rsid w:val="00B26FFD"/>
    <w:rsid w:val="00B34197"/>
    <w:rsid w:val="00B35B6D"/>
    <w:rsid w:val="00B35DC6"/>
    <w:rsid w:val="00B36A81"/>
    <w:rsid w:val="00B51699"/>
    <w:rsid w:val="00B53FAF"/>
    <w:rsid w:val="00B63153"/>
    <w:rsid w:val="00B6527D"/>
    <w:rsid w:val="00B72C01"/>
    <w:rsid w:val="00B73B3A"/>
    <w:rsid w:val="00B74507"/>
    <w:rsid w:val="00B75718"/>
    <w:rsid w:val="00B75E7E"/>
    <w:rsid w:val="00B91C1E"/>
    <w:rsid w:val="00B93817"/>
    <w:rsid w:val="00B9391B"/>
    <w:rsid w:val="00B9682D"/>
    <w:rsid w:val="00BA0B96"/>
    <w:rsid w:val="00BA4ABC"/>
    <w:rsid w:val="00BA55D0"/>
    <w:rsid w:val="00BA598D"/>
    <w:rsid w:val="00BB15DA"/>
    <w:rsid w:val="00BB340D"/>
    <w:rsid w:val="00BB6B22"/>
    <w:rsid w:val="00BC2A3A"/>
    <w:rsid w:val="00BC2AB2"/>
    <w:rsid w:val="00BC64EC"/>
    <w:rsid w:val="00BD073D"/>
    <w:rsid w:val="00BE4198"/>
    <w:rsid w:val="00BF3AFD"/>
    <w:rsid w:val="00BF5FF0"/>
    <w:rsid w:val="00C056C3"/>
    <w:rsid w:val="00C1601E"/>
    <w:rsid w:val="00C1606C"/>
    <w:rsid w:val="00C23180"/>
    <w:rsid w:val="00C26F94"/>
    <w:rsid w:val="00C330E9"/>
    <w:rsid w:val="00C36C38"/>
    <w:rsid w:val="00C41492"/>
    <w:rsid w:val="00C502EC"/>
    <w:rsid w:val="00C50874"/>
    <w:rsid w:val="00C61061"/>
    <w:rsid w:val="00C702B5"/>
    <w:rsid w:val="00C70389"/>
    <w:rsid w:val="00C748A6"/>
    <w:rsid w:val="00C904B6"/>
    <w:rsid w:val="00C90A75"/>
    <w:rsid w:val="00C96DF4"/>
    <w:rsid w:val="00CA3911"/>
    <w:rsid w:val="00CA6A66"/>
    <w:rsid w:val="00CC039C"/>
    <w:rsid w:val="00CC1337"/>
    <w:rsid w:val="00CC2514"/>
    <w:rsid w:val="00CC48DF"/>
    <w:rsid w:val="00CD4A91"/>
    <w:rsid w:val="00CD70E7"/>
    <w:rsid w:val="00CD7363"/>
    <w:rsid w:val="00CE0964"/>
    <w:rsid w:val="00CE0C1F"/>
    <w:rsid w:val="00CE1BF7"/>
    <w:rsid w:val="00CE455F"/>
    <w:rsid w:val="00CF0BF9"/>
    <w:rsid w:val="00CF5957"/>
    <w:rsid w:val="00D04BA2"/>
    <w:rsid w:val="00D077B0"/>
    <w:rsid w:val="00D22D42"/>
    <w:rsid w:val="00D36D8D"/>
    <w:rsid w:val="00D45711"/>
    <w:rsid w:val="00D46650"/>
    <w:rsid w:val="00D500FC"/>
    <w:rsid w:val="00D51597"/>
    <w:rsid w:val="00D5326E"/>
    <w:rsid w:val="00D55867"/>
    <w:rsid w:val="00D634A3"/>
    <w:rsid w:val="00D646A7"/>
    <w:rsid w:val="00D72339"/>
    <w:rsid w:val="00D73E47"/>
    <w:rsid w:val="00D74ABB"/>
    <w:rsid w:val="00D83CB7"/>
    <w:rsid w:val="00D92D6F"/>
    <w:rsid w:val="00D97FA8"/>
    <w:rsid w:val="00DB364C"/>
    <w:rsid w:val="00DB4363"/>
    <w:rsid w:val="00DC2DA2"/>
    <w:rsid w:val="00DC7B25"/>
    <w:rsid w:val="00DD422D"/>
    <w:rsid w:val="00DD6B73"/>
    <w:rsid w:val="00DE15C7"/>
    <w:rsid w:val="00DE1907"/>
    <w:rsid w:val="00DE23F8"/>
    <w:rsid w:val="00DE2FB3"/>
    <w:rsid w:val="00DE7CC2"/>
    <w:rsid w:val="00E05CF6"/>
    <w:rsid w:val="00E112C9"/>
    <w:rsid w:val="00E1314C"/>
    <w:rsid w:val="00E158F7"/>
    <w:rsid w:val="00E2087E"/>
    <w:rsid w:val="00E22AD3"/>
    <w:rsid w:val="00E2636D"/>
    <w:rsid w:val="00E34976"/>
    <w:rsid w:val="00E36818"/>
    <w:rsid w:val="00E4206E"/>
    <w:rsid w:val="00E4327E"/>
    <w:rsid w:val="00E47B97"/>
    <w:rsid w:val="00E5203C"/>
    <w:rsid w:val="00E61FD3"/>
    <w:rsid w:val="00E634CC"/>
    <w:rsid w:val="00E64B2E"/>
    <w:rsid w:val="00E65DC5"/>
    <w:rsid w:val="00E74D5C"/>
    <w:rsid w:val="00E820ED"/>
    <w:rsid w:val="00E82CB4"/>
    <w:rsid w:val="00E82F0E"/>
    <w:rsid w:val="00E95F89"/>
    <w:rsid w:val="00E96FAC"/>
    <w:rsid w:val="00EA129F"/>
    <w:rsid w:val="00EB7A31"/>
    <w:rsid w:val="00ED0582"/>
    <w:rsid w:val="00ED1262"/>
    <w:rsid w:val="00ED7374"/>
    <w:rsid w:val="00EE0263"/>
    <w:rsid w:val="00EE31F6"/>
    <w:rsid w:val="00EE36DC"/>
    <w:rsid w:val="00F044EE"/>
    <w:rsid w:val="00F128FB"/>
    <w:rsid w:val="00F25B1B"/>
    <w:rsid w:val="00F3320B"/>
    <w:rsid w:val="00F40E92"/>
    <w:rsid w:val="00F41947"/>
    <w:rsid w:val="00F435AA"/>
    <w:rsid w:val="00F51CCD"/>
    <w:rsid w:val="00F76C6A"/>
    <w:rsid w:val="00F83BF1"/>
    <w:rsid w:val="00F90CB9"/>
    <w:rsid w:val="00F95E96"/>
    <w:rsid w:val="00F96FAE"/>
    <w:rsid w:val="00F97373"/>
    <w:rsid w:val="00FA0254"/>
    <w:rsid w:val="00FA4BCB"/>
    <w:rsid w:val="00FA6854"/>
    <w:rsid w:val="00FB064F"/>
    <w:rsid w:val="00FB0F6B"/>
    <w:rsid w:val="00FB144F"/>
    <w:rsid w:val="00FB159A"/>
    <w:rsid w:val="00FB4D77"/>
    <w:rsid w:val="00FC497D"/>
    <w:rsid w:val="00FD076B"/>
    <w:rsid w:val="00FD60B3"/>
    <w:rsid w:val="00FE43D5"/>
    <w:rsid w:val="00FF0333"/>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F26E26"/>
  <w15:docId w15:val="{293AB262-0F96-4EAA-889A-BE6A59A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58544542">
      <w:bodyDiv w:val="1"/>
      <w:marLeft w:val="0"/>
      <w:marRight w:val="0"/>
      <w:marTop w:val="0"/>
      <w:marBottom w:val="0"/>
      <w:divBdr>
        <w:top w:val="none" w:sz="0" w:space="0" w:color="auto"/>
        <w:left w:val="none" w:sz="0" w:space="0" w:color="auto"/>
        <w:bottom w:val="none" w:sz="0" w:space="0" w:color="auto"/>
        <w:right w:val="none" w:sz="0" w:space="0" w:color="auto"/>
      </w:divBdr>
    </w:div>
    <w:div w:id="323749581">
      <w:bodyDiv w:val="1"/>
      <w:marLeft w:val="0"/>
      <w:marRight w:val="0"/>
      <w:marTop w:val="0"/>
      <w:marBottom w:val="0"/>
      <w:divBdr>
        <w:top w:val="none" w:sz="0" w:space="0" w:color="auto"/>
        <w:left w:val="none" w:sz="0" w:space="0" w:color="auto"/>
        <w:bottom w:val="none" w:sz="0" w:space="0" w:color="auto"/>
        <w:right w:val="none" w:sz="0" w:space="0" w:color="auto"/>
      </w:divBdr>
    </w:div>
    <w:div w:id="376125157">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9540824">
      <w:bodyDiv w:val="1"/>
      <w:marLeft w:val="0"/>
      <w:marRight w:val="0"/>
      <w:marTop w:val="0"/>
      <w:marBottom w:val="0"/>
      <w:divBdr>
        <w:top w:val="none" w:sz="0" w:space="0" w:color="auto"/>
        <w:left w:val="none" w:sz="0" w:space="0" w:color="auto"/>
        <w:bottom w:val="none" w:sz="0" w:space="0" w:color="auto"/>
        <w:right w:val="none" w:sz="0" w:space="0" w:color="auto"/>
      </w:divBdr>
    </w:div>
    <w:div w:id="605573789">
      <w:bodyDiv w:val="1"/>
      <w:marLeft w:val="0"/>
      <w:marRight w:val="0"/>
      <w:marTop w:val="0"/>
      <w:marBottom w:val="0"/>
      <w:divBdr>
        <w:top w:val="none" w:sz="0" w:space="0" w:color="auto"/>
        <w:left w:val="none" w:sz="0" w:space="0" w:color="auto"/>
        <w:bottom w:val="none" w:sz="0" w:space="0" w:color="auto"/>
        <w:right w:val="none" w:sz="0" w:space="0" w:color="auto"/>
      </w:divBdr>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106659316">
      <w:bodyDiv w:val="1"/>
      <w:marLeft w:val="0"/>
      <w:marRight w:val="0"/>
      <w:marTop w:val="0"/>
      <w:marBottom w:val="0"/>
      <w:divBdr>
        <w:top w:val="none" w:sz="0" w:space="0" w:color="auto"/>
        <w:left w:val="none" w:sz="0" w:space="0" w:color="auto"/>
        <w:bottom w:val="none" w:sz="0" w:space="0" w:color="auto"/>
        <w:right w:val="none" w:sz="0" w:space="0" w:color="auto"/>
      </w:divBdr>
    </w:div>
    <w:div w:id="1189833096">
      <w:bodyDiv w:val="1"/>
      <w:marLeft w:val="0"/>
      <w:marRight w:val="0"/>
      <w:marTop w:val="0"/>
      <w:marBottom w:val="0"/>
      <w:divBdr>
        <w:top w:val="none" w:sz="0" w:space="0" w:color="auto"/>
        <w:left w:val="none" w:sz="0" w:space="0" w:color="auto"/>
        <w:bottom w:val="none" w:sz="0" w:space="0" w:color="auto"/>
        <w:right w:val="none" w:sz="0" w:space="0" w:color="auto"/>
      </w:divBdr>
    </w:div>
    <w:div w:id="1222670824">
      <w:bodyDiv w:val="1"/>
      <w:marLeft w:val="0"/>
      <w:marRight w:val="0"/>
      <w:marTop w:val="0"/>
      <w:marBottom w:val="0"/>
      <w:divBdr>
        <w:top w:val="none" w:sz="0" w:space="0" w:color="auto"/>
        <w:left w:val="none" w:sz="0" w:space="0" w:color="auto"/>
        <w:bottom w:val="none" w:sz="0" w:space="0" w:color="auto"/>
        <w:right w:val="none" w:sz="0" w:space="0" w:color="auto"/>
      </w:divBdr>
    </w:div>
    <w:div w:id="1311328219">
      <w:bodyDiv w:val="1"/>
      <w:marLeft w:val="0"/>
      <w:marRight w:val="0"/>
      <w:marTop w:val="0"/>
      <w:marBottom w:val="0"/>
      <w:divBdr>
        <w:top w:val="none" w:sz="0" w:space="0" w:color="auto"/>
        <w:left w:val="none" w:sz="0" w:space="0" w:color="auto"/>
        <w:bottom w:val="none" w:sz="0" w:space="0" w:color="auto"/>
        <w:right w:val="none" w:sz="0" w:space="0" w:color="auto"/>
      </w:divBdr>
    </w:div>
    <w:div w:id="1339307869">
      <w:bodyDiv w:val="1"/>
      <w:marLeft w:val="0"/>
      <w:marRight w:val="0"/>
      <w:marTop w:val="0"/>
      <w:marBottom w:val="0"/>
      <w:divBdr>
        <w:top w:val="none" w:sz="0" w:space="0" w:color="auto"/>
        <w:left w:val="none" w:sz="0" w:space="0" w:color="auto"/>
        <w:bottom w:val="none" w:sz="0" w:space="0" w:color="auto"/>
        <w:right w:val="none" w:sz="0" w:space="0" w:color="auto"/>
      </w:divBdr>
    </w:div>
    <w:div w:id="1584609640">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34248704">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industrie-lager-logistik/" TargetMode="External"/><Relationship Id="rId14" Type="http://schemas.openxmlformats.org/officeDocument/2006/relationships/hyperlink" Target="file:///\\file01\Marketing\Presse\Vorlagen\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B3D40-5AA4-4228-9F95-AB2007BE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4543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Britt Finke</cp:lastModifiedBy>
  <cp:revision>3</cp:revision>
  <cp:lastPrinted>2020-01-20T07:55:00Z</cp:lastPrinted>
  <dcterms:created xsi:type="dcterms:W3CDTF">2020-01-20T08:12:00Z</dcterms:created>
  <dcterms:modified xsi:type="dcterms:W3CDTF">2020-01-21T09:20:00Z</dcterms:modified>
</cp:coreProperties>
</file>