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822" w:rsidRDefault="00E36BD1" w:rsidP="001E1172">
      <w:pPr>
        <w:spacing w:after="0" w:line="360" w:lineRule="auto"/>
        <w:rPr>
          <w:rFonts w:ascii="Arial" w:hAnsi="Arial"/>
          <w:b/>
        </w:rPr>
      </w:pPr>
      <w:r>
        <w:rPr>
          <w:rFonts w:ascii="Arial" w:hAnsi="Arial"/>
          <w:b/>
        </w:rPr>
        <w:t>Hamburg</w:t>
      </w:r>
      <w:bookmarkStart w:id="0" w:name="_GoBack"/>
      <w:bookmarkEnd w:id="0"/>
      <w:r>
        <w:rPr>
          <w:rFonts w:ascii="Arial" w:hAnsi="Arial"/>
          <w:b/>
        </w:rPr>
        <w:t>: Industrial and</w:t>
      </w:r>
      <w:r w:rsidR="003A22D7">
        <w:rPr>
          <w:rFonts w:ascii="Arial" w:hAnsi="Arial"/>
          <w:b/>
        </w:rPr>
        <w:t xml:space="preserve"> logistics property market</w:t>
      </w:r>
      <w:r>
        <w:rPr>
          <w:rFonts w:ascii="Arial" w:hAnsi="Arial"/>
          <w:b/>
        </w:rPr>
        <w:t>,</w:t>
      </w:r>
      <w:r w:rsidR="003A22D7">
        <w:rPr>
          <w:rFonts w:ascii="Arial" w:hAnsi="Arial"/>
          <w:b/>
        </w:rPr>
        <w:t xml:space="preserve"> 1st quarter of 2021 </w:t>
      </w:r>
    </w:p>
    <w:p w:rsidR="001E1172" w:rsidRPr="00E36BD1" w:rsidRDefault="00EA6822" w:rsidP="001E1172">
      <w:pPr>
        <w:spacing w:after="0" w:line="360" w:lineRule="auto"/>
        <w:rPr>
          <w:rFonts w:ascii="Arial" w:hAnsi="Arial" w:cs="Arial"/>
          <w:b/>
          <w:sz w:val="28"/>
          <w:szCs w:val="28"/>
        </w:rPr>
      </w:pPr>
      <w:r w:rsidRPr="00E36BD1">
        <w:rPr>
          <w:rFonts w:ascii="Arial" w:hAnsi="Arial"/>
          <w:b/>
          <w:sz w:val="28"/>
          <w:szCs w:val="28"/>
        </w:rPr>
        <w:t xml:space="preserve">Stable </w:t>
      </w:r>
      <w:r w:rsidR="003A22D7" w:rsidRPr="00E36BD1">
        <w:rPr>
          <w:rFonts w:ascii="Arial" w:hAnsi="Arial"/>
          <w:b/>
          <w:sz w:val="28"/>
          <w:szCs w:val="28"/>
        </w:rPr>
        <w:t>quarterly result</w:t>
      </w:r>
      <w:r w:rsidRPr="00E36BD1">
        <w:rPr>
          <w:rFonts w:ascii="Arial" w:hAnsi="Arial"/>
          <w:b/>
          <w:sz w:val="28"/>
          <w:szCs w:val="28"/>
        </w:rPr>
        <w:t xml:space="preserve"> to start the year</w:t>
      </w:r>
    </w:p>
    <w:p w:rsidR="00590903" w:rsidRPr="0090748B" w:rsidRDefault="00590903" w:rsidP="00590903">
      <w:pPr>
        <w:spacing w:after="0" w:line="360" w:lineRule="auto"/>
        <w:jc w:val="both"/>
        <w:rPr>
          <w:rFonts w:ascii="Arial" w:hAnsi="Arial" w:cs="Arial"/>
          <w:b/>
          <w:sz w:val="20"/>
          <w:szCs w:val="20"/>
        </w:rPr>
      </w:pPr>
    </w:p>
    <w:p w:rsidR="009A3457" w:rsidRPr="00F2157F" w:rsidRDefault="000F726E" w:rsidP="00363EAC">
      <w:pPr>
        <w:spacing w:after="0" w:line="360" w:lineRule="auto"/>
        <w:rPr>
          <w:rFonts w:ascii="Arial" w:hAnsi="Arial" w:cs="Arial"/>
          <w:sz w:val="20"/>
          <w:szCs w:val="20"/>
        </w:rPr>
      </w:pPr>
      <w:r>
        <w:rPr>
          <w:rFonts w:ascii="Arial" w:hAnsi="Arial"/>
          <w:b/>
          <w:sz w:val="20"/>
          <w:szCs w:val="20"/>
        </w:rPr>
        <w:t xml:space="preserve">Hamburg, 21 April 2021 </w:t>
      </w:r>
      <w:r w:rsidR="00E36BD1">
        <w:rPr>
          <w:rFonts w:ascii="Arial" w:hAnsi="Arial"/>
          <w:sz w:val="20"/>
          <w:szCs w:val="20"/>
        </w:rPr>
        <w:t>–</w:t>
      </w:r>
      <w:r>
        <w:rPr>
          <w:rFonts w:ascii="Arial" w:hAnsi="Arial"/>
          <w:sz w:val="20"/>
          <w:szCs w:val="20"/>
        </w:rPr>
        <w:t xml:space="preserve"> Take-up of industrial and logistics space in Hamburg and its environs totalled 135,000 m² in the 1st quarter of 2021 - the third time in succession that the quarterly result has consistently remained at pre-</w:t>
      </w:r>
      <w:proofErr w:type="spellStart"/>
      <w:r>
        <w:rPr>
          <w:rFonts w:ascii="Arial" w:hAnsi="Arial"/>
          <w:sz w:val="20"/>
          <w:szCs w:val="20"/>
        </w:rPr>
        <w:t>Covid</w:t>
      </w:r>
      <w:proofErr w:type="spellEnd"/>
      <w:r>
        <w:rPr>
          <w:rFonts w:ascii="Arial" w:hAnsi="Arial"/>
          <w:sz w:val="20"/>
          <w:szCs w:val="20"/>
        </w:rPr>
        <w:t xml:space="preserve"> levels. In fact, the result was 13 % higher than the 1st quarter of 2020. This emerges from figures compiled by Grossmann &amp; Berger, a member of German Property Partners (GPP). </w:t>
      </w:r>
      <w:r>
        <w:rPr>
          <w:rFonts w:ascii="Arial" w:hAnsi="Arial"/>
          <w:i/>
          <w:sz w:val="20"/>
          <w:szCs w:val="20"/>
        </w:rPr>
        <w:t>“On the one hand, talks that had already started some time ago finally led to agreements in the fi</w:t>
      </w:r>
      <w:r w:rsidR="00451D07">
        <w:rPr>
          <w:rFonts w:ascii="Arial" w:hAnsi="Arial"/>
          <w:i/>
          <w:sz w:val="20"/>
          <w:szCs w:val="20"/>
        </w:rPr>
        <w:t>r</w:t>
      </w:r>
      <w:r>
        <w:rPr>
          <w:rFonts w:ascii="Arial" w:hAnsi="Arial"/>
          <w:i/>
          <w:sz w:val="20"/>
          <w:szCs w:val="20"/>
        </w:rPr>
        <w:t>st quarter of 2021. On the other hand, just three contracts for large amounts of space accounted for a third of total take-up,”</w:t>
      </w:r>
      <w:r>
        <w:rPr>
          <w:rFonts w:ascii="Arial" w:hAnsi="Arial"/>
          <w:sz w:val="20"/>
          <w:szCs w:val="20"/>
        </w:rPr>
        <w:t xml:space="preserve"> says </w:t>
      </w:r>
      <w:r>
        <w:rPr>
          <w:rFonts w:ascii="Arial" w:hAnsi="Arial"/>
          <w:b/>
          <w:sz w:val="20"/>
          <w:szCs w:val="20"/>
        </w:rPr>
        <w:t xml:space="preserve">Felix </w:t>
      </w:r>
      <w:proofErr w:type="spellStart"/>
      <w:r>
        <w:rPr>
          <w:rFonts w:ascii="Arial" w:hAnsi="Arial"/>
          <w:b/>
          <w:sz w:val="20"/>
          <w:szCs w:val="20"/>
        </w:rPr>
        <w:t>Krumreich</w:t>
      </w:r>
      <w:proofErr w:type="spellEnd"/>
      <w:r>
        <w:rPr>
          <w:rFonts w:ascii="Arial" w:hAnsi="Arial"/>
          <w:sz w:val="20"/>
          <w:szCs w:val="20"/>
        </w:rPr>
        <w:t xml:space="preserve">, consultant for industrial and logistics properties at Grossmann &amp; Berger, commenting on the good start to the year. However, because it is hard to predict what the pandemic might still have in store, many companies are biding their time. Conversely, firms in the e-commerce, pharmaceutical and food sectors require more space to deal with the extra business generated by the pandemic. </w:t>
      </w:r>
      <w:r>
        <w:rPr>
          <w:rFonts w:ascii="Arial" w:hAnsi="Arial"/>
          <w:i/>
          <w:sz w:val="20"/>
          <w:szCs w:val="20"/>
        </w:rPr>
        <w:t>“Demand definitely exists. Moreover, several owner-occupiers intend to start their building work in 2021. And on the supply side of the market, new-build logistics space is currently available to rent. Therefore we expect the year to close with take-up totalling 450,000 square metres,”</w:t>
      </w:r>
      <w:r>
        <w:rPr>
          <w:rFonts w:ascii="Arial" w:hAnsi="Arial"/>
          <w:sz w:val="20"/>
          <w:szCs w:val="20"/>
        </w:rPr>
        <w:t xml:space="preserve"> says </w:t>
      </w:r>
      <w:proofErr w:type="spellStart"/>
      <w:r>
        <w:rPr>
          <w:rFonts w:ascii="Arial" w:hAnsi="Arial"/>
          <w:b/>
          <w:sz w:val="20"/>
          <w:szCs w:val="20"/>
        </w:rPr>
        <w:t>Krumreich</w:t>
      </w:r>
      <w:proofErr w:type="spellEnd"/>
      <w:r>
        <w:rPr>
          <w:rFonts w:ascii="Arial" w:hAnsi="Arial"/>
          <w:sz w:val="20"/>
          <w:szCs w:val="20"/>
        </w:rPr>
        <w:t>, looking ahead.</w:t>
      </w:r>
    </w:p>
    <w:p w:rsidR="000A5ED1" w:rsidRDefault="000A5ED1" w:rsidP="001E1172">
      <w:pPr>
        <w:spacing w:after="0" w:line="360" w:lineRule="auto"/>
        <w:rPr>
          <w:rFonts w:ascii="Arial" w:hAnsi="Arial" w:cs="Arial"/>
          <w:sz w:val="20"/>
          <w:szCs w:val="20"/>
        </w:rPr>
      </w:pPr>
    </w:p>
    <w:p w:rsidR="000A5ED1" w:rsidRPr="00FE43D5" w:rsidRDefault="00FE43D5" w:rsidP="006C1DD8">
      <w:pPr>
        <w:spacing w:after="0" w:line="360" w:lineRule="auto"/>
        <w:textAlignment w:val="baseline"/>
        <w:rPr>
          <w:rFonts w:ascii="Arial" w:hAnsi="Arial" w:cs="Arial"/>
          <w:b/>
          <w:sz w:val="20"/>
          <w:szCs w:val="20"/>
        </w:rPr>
      </w:pPr>
      <w:r>
        <w:rPr>
          <w:rFonts w:ascii="Arial" w:hAnsi="Arial"/>
          <w:b/>
          <w:sz w:val="20"/>
          <w:szCs w:val="20"/>
        </w:rPr>
        <w:t xml:space="preserve">Market details: </w:t>
      </w:r>
    </w:p>
    <w:p w:rsidR="00715FB9" w:rsidRPr="00105EAA" w:rsidRDefault="005606A6" w:rsidP="00634B91">
      <w:pPr>
        <w:pStyle w:val="Listenabsatz"/>
        <w:numPr>
          <w:ilvl w:val="0"/>
          <w:numId w:val="18"/>
        </w:numPr>
        <w:spacing w:after="0" w:line="360" w:lineRule="auto"/>
        <w:rPr>
          <w:rFonts w:ascii="Arial" w:hAnsi="Arial" w:cs="Arial"/>
          <w:sz w:val="20"/>
          <w:szCs w:val="20"/>
        </w:rPr>
      </w:pPr>
      <w:r>
        <w:rPr>
          <w:rFonts w:ascii="Arial" w:hAnsi="Arial"/>
          <w:sz w:val="20"/>
          <w:szCs w:val="20"/>
        </w:rPr>
        <w:t xml:space="preserve">Properties in the 5,001 to 10,000 m² </w:t>
      </w:r>
      <w:r>
        <w:rPr>
          <w:rFonts w:ascii="Arial" w:hAnsi="Arial"/>
          <w:sz w:val="20"/>
          <w:szCs w:val="20"/>
          <w:u w:val="single"/>
        </w:rPr>
        <w:t>size category</w:t>
      </w:r>
      <w:r>
        <w:rPr>
          <w:rFonts w:ascii="Arial" w:hAnsi="Arial"/>
          <w:sz w:val="20"/>
          <w:szCs w:val="20"/>
        </w:rPr>
        <w:t xml:space="preserve"> accounted for 28 % of the st</w:t>
      </w:r>
      <w:r w:rsidR="00A10FB6">
        <w:rPr>
          <w:rFonts w:ascii="Arial" w:hAnsi="Arial"/>
          <w:sz w:val="20"/>
          <w:szCs w:val="20"/>
        </w:rPr>
        <w:t xml:space="preserve">rong take-up figures (Q1/2020: </w:t>
      </w:r>
      <w:r>
        <w:rPr>
          <w:rFonts w:ascii="Arial" w:hAnsi="Arial"/>
          <w:sz w:val="20"/>
          <w:szCs w:val="20"/>
        </w:rPr>
        <w:t xml:space="preserve">14 %). </w:t>
      </w:r>
    </w:p>
    <w:p w:rsidR="005C100F" w:rsidRDefault="005606A6" w:rsidP="00627692">
      <w:pPr>
        <w:pStyle w:val="Listenabsatz"/>
        <w:numPr>
          <w:ilvl w:val="0"/>
          <w:numId w:val="18"/>
        </w:numPr>
        <w:spacing w:after="0" w:line="360" w:lineRule="auto"/>
        <w:textAlignment w:val="baseline"/>
        <w:rPr>
          <w:rFonts w:ascii="Arial" w:hAnsi="Arial" w:cs="Arial"/>
          <w:sz w:val="20"/>
          <w:szCs w:val="20"/>
        </w:rPr>
      </w:pPr>
      <w:r>
        <w:rPr>
          <w:rFonts w:ascii="Arial" w:hAnsi="Arial"/>
          <w:sz w:val="20"/>
          <w:szCs w:val="20"/>
        </w:rPr>
        <w:t xml:space="preserve">Having comprised 28 % of the market in the same quarter a year earlier, </w:t>
      </w:r>
      <w:r>
        <w:rPr>
          <w:rFonts w:ascii="Arial" w:hAnsi="Arial"/>
          <w:sz w:val="20"/>
          <w:szCs w:val="20"/>
          <w:u w:val="single"/>
        </w:rPr>
        <w:t>owner-occupiers</w:t>
      </w:r>
      <w:r>
        <w:rPr>
          <w:rFonts w:ascii="Arial" w:hAnsi="Arial"/>
          <w:sz w:val="20"/>
          <w:szCs w:val="20"/>
        </w:rPr>
        <w:t xml:space="preserve"> played a minor role in the 1st quarter of 2021 with a share of 10 % of take-up. However, the two agreements for the grea</w:t>
      </w:r>
      <w:r w:rsidR="00EA6822">
        <w:rPr>
          <w:rFonts w:ascii="Arial" w:hAnsi="Arial"/>
          <w:sz w:val="20"/>
          <w:szCs w:val="20"/>
        </w:rPr>
        <w:t>test amount of space were built-to-</w:t>
      </w:r>
      <w:r>
        <w:rPr>
          <w:rFonts w:ascii="Arial" w:hAnsi="Arial"/>
          <w:sz w:val="20"/>
          <w:szCs w:val="20"/>
        </w:rPr>
        <w:t xml:space="preserve">suit properties developed for Boeing and Heinrich </w:t>
      </w:r>
      <w:proofErr w:type="spellStart"/>
      <w:r>
        <w:rPr>
          <w:rFonts w:ascii="Arial" w:hAnsi="Arial"/>
          <w:sz w:val="20"/>
          <w:szCs w:val="20"/>
        </w:rPr>
        <w:t>Dehn</w:t>
      </w:r>
      <w:proofErr w:type="spellEnd"/>
      <w:r>
        <w:rPr>
          <w:rFonts w:ascii="Arial" w:hAnsi="Arial"/>
          <w:sz w:val="20"/>
          <w:szCs w:val="20"/>
        </w:rPr>
        <w:t>. They are comparable to owner-occupier projects, because the construction is tailored to the needs of the future corporate tenant.</w:t>
      </w:r>
    </w:p>
    <w:p w:rsidR="00FE43D5" w:rsidRDefault="007F5D65" w:rsidP="00627692">
      <w:pPr>
        <w:pStyle w:val="Listenabsatz"/>
        <w:numPr>
          <w:ilvl w:val="0"/>
          <w:numId w:val="18"/>
        </w:numPr>
        <w:spacing w:after="0" w:line="360" w:lineRule="auto"/>
        <w:textAlignment w:val="baseline"/>
        <w:rPr>
          <w:rFonts w:ascii="Arial" w:hAnsi="Arial" w:cs="Arial"/>
          <w:sz w:val="20"/>
          <w:szCs w:val="20"/>
        </w:rPr>
      </w:pPr>
      <w:r>
        <w:rPr>
          <w:rFonts w:ascii="Arial" w:hAnsi="Arial"/>
          <w:sz w:val="20"/>
          <w:szCs w:val="20"/>
        </w:rPr>
        <w:t>Both</w:t>
      </w:r>
      <w:r w:rsidR="00135B15">
        <w:rPr>
          <w:rFonts w:ascii="Arial" w:hAnsi="Arial"/>
          <w:sz w:val="20"/>
          <w:szCs w:val="20"/>
        </w:rPr>
        <w:t xml:space="preserve"> the</w:t>
      </w:r>
      <w:r>
        <w:rPr>
          <w:rFonts w:ascii="Arial" w:hAnsi="Arial"/>
          <w:sz w:val="20"/>
          <w:szCs w:val="20"/>
        </w:rPr>
        <w:t xml:space="preserve"> </w:t>
      </w:r>
      <w:r>
        <w:rPr>
          <w:rFonts w:ascii="Arial" w:hAnsi="Arial"/>
          <w:sz w:val="20"/>
          <w:szCs w:val="20"/>
          <w:u w:val="single"/>
        </w:rPr>
        <w:t>premium rent</w:t>
      </w:r>
      <w:r>
        <w:rPr>
          <w:rFonts w:ascii="Arial" w:hAnsi="Arial"/>
          <w:sz w:val="20"/>
          <w:szCs w:val="20"/>
        </w:rPr>
        <w:t xml:space="preserve"> and </w:t>
      </w:r>
      <w:r>
        <w:rPr>
          <w:rFonts w:ascii="Arial" w:hAnsi="Arial"/>
          <w:sz w:val="20"/>
          <w:szCs w:val="20"/>
          <w:u w:val="single"/>
        </w:rPr>
        <w:t>average rent</w:t>
      </w:r>
      <w:r>
        <w:rPr>
          <w:rFonts w:ascii="Arial" w:hAnsi="Arial"/>
          <w:sz w:val="20"/>
          <w:szCs w:val="20"/>
        </w:rPr>
        <w:t xml:space="preserve"> remained unchanged from the prior quarter, but </w:t>
      </w:r>
      <w:r w:rsidR="00451D07">
        <w:rPr>
          <w:rFonts w:ascii="Arial" w:hAnsi="Arial"/>
          <w:sz w:val="20"/>
          <w:szCs w:val="20"/>
        </w:rPr>
        <w:t>rose slightly year on year by 1.</w:t>
      </w:r>
      <w:r>
        <w:rPr>
          <w:rFonts w:ascii="Arial" w:hAnsi="Arial"/>
          <w:sz w:val="20"/>
          <w:szCs w:val="20"/>
        </w:rPr>
        <w:t>6 % and 2.0 % respectively.</w:t>
      </w:r>
    </w:p>
    <w:p w:rsidR="001F0C02" w:rsidRPr="006D58B9" w:rsidRDefault="00E70EF5" w:rsidP="00B02258">
      <w:pPr>
        <w:pStyle w:val="Listenabsatz"/>
        <w:numPr>
          <w:ilvl w:val="0"/>
          <w:numId w:val="18"/>
        </w:numPr>
        <w:spacing w:before="60" w:after="60" w:line="360" w:lineRule="auto"/>
        <w:textAlignment w:val="baseline"/>
        <w:rPr>
          <w:rFonts w:ascii="Arial" w:eastAsiaTheme="minorHAnsi" w:hAnsi="Arial" w:cs="Arial"/>
          <w:b/>
          <w:sz w:val="20"/>
          <w:szCs w:val="20"/>
        </w:rPr>
      </w:pPr>
      <w:r>
        <w:rPr>
          <w:rFonts w:ascii="Arial" w:hAnsi="Arial"/>
          <w:sz w:val="20"/>
          <w:szCs w:val="20"/>
        </w:rPr>
        <w:t xml:space="preserve">A comparison of tenants by </w:t>
      </w:r>
      <w:r w:rsidRPr="00135B15">
        <w:rPr>
          <w:rFonts w:ascii="Arial" w:hAnsi="Arial"/>
          <w:sz w:val="20"/>
          <w:szCs w:val="20"/>
          <w:u w:val="single"/>
        </w:rPr>
        <w:t>sector of industry</w:t>
      </w:r>
      <w:r>
        <w:rPr>
          <w:rFonts w:ascii="Arial" w:hAnsi="Arial"/>
          <w:sz w:val="20"/>
          <w:szCs w:val="20"/>
        </w:rPr>
        <w:t xml:space="preserve"> shows that by the end of March 2021 logistics firms and forwarders had increased their share of the market from 49 % to 56 %. Apart from the largest agreement signed, tenants active in this sector accounted for the other five contracts for more than 7,000 m² of space. Trading/retail firms doubled their share of the total volume of take-up of space to</w:t>
      </w:r>
      <w:r w:rsidR="00135B15">
        <w:rPr>
          <w:rFonts w:ascii="Arial" w:hAnsi="Arial"/>
          <w:sz w:val="20"/>
          <w:szCs w:val="20"/>
        </w:rPr>
        <w:t xml:space="preserve"> </w:t>
      </w:r>
      <w:r>
        <w:rPr>
          <w:rFonts w:ascii="Arial" w:hAnsi="Arial"/>
          <w:sz w:val="20"/>
          <w:szCs w:val="20"/>
        </w:rPr>
        <w:t xml:space="preserve">18 %. </w:t>
      </w:r>
    </w:p>
    <w:p w:rsidR="00E36BD1" w:rsidRPr="00E36BD1" w:rsidRDefault="00044CC7" w:rsidP="0016539B">
      <w:pPr>
        <w:pStyle w:val="Listenabsatz"/>
        <w:numPr>
          <w:ilvl w:val="0"/>
          <w:numId w:val="18"/>
        </w:numPr>
        <w:spacing w:before="60" w:after="60" w:line="360" w:lineRule="auto"/>
        <w:textAlignment w:val="baseline"/>
        <w:rPr>
          <w:rFonts w:ascii="Arial" w:eastAsiaTheme="minorHAnsi" w:hAnsi="Arial" w:cs="Arial"/>
          <w:sz w:val="20"/>
          <w:szCs w:val="20"/>
        </w:rPr>
      </w:pPr>
      <w:r w:rsidRPr="00E36BD1">
        <w:rPr>
          <w:rFonts w:ascii="Arial" w:hAnsi="Arial"/>
          <w:sz w:val="20"/>
          <w:szCs w:val="20"/>
        </w:rPr>
        <w:t xml:space="preserve">The focus of take-up shifted away from Hamburg South </w:t>
      </w:r>
      <w:r w:rsidRPr="00E36BD1">
        <w:rPr>
          <w:rFonts w:ascii="Arial" w:hAnsi="Arial"/>
          <w:sz w:val="20"/>
          <w:szCs w:val="20"/>
          <w:u w:val="single"/>
        </w:rPr>
        <w:t>sub-market</w:t>
      </w:r>
      <w:r w:rsidRPr="00E36BD1">
        <w:rPr>
          <w:rFonts w:ascii="Arial" w:hAnsi="Arial"/>
          <w:sz w:val="20"/>
          <w:szCs w:val="20"/>
        </w:rPr>
        <w:t xml:space="preserve"> (previously 57 %) to Hamburg East with a share of 56 %. Seven of the ten biggest agreements were signed for space in Hamburg East. The North West Environs were the next-biggest hotspot on the market, accounting for 22 % of take-up. Within the space of one year the market share in the environs climbed from 22 % to 36 %.</w:t>
      </w:r>
    </w:p>
    <w:p w:rsidR="00514293" w:rsidRPr="00E36BD1" w:rsidRDefault="00514293" w:rsidP="00E36BD1">
      <w:pPr>
        <w:spacing w:before="60" w:after="60" w:line="360" w:lineRule="auto"/>
        <w:textAlignment w:val="baseline"/>
        <w:rPr>
          <w:rFonts w:ascii="Arial" w:eastAsiaTheme="minorHAnsi" w:hAnsi="Arial" w:cs="Arial"/>
          <w:sz w:val="20"/>
          <w:szCs w:val="20"/>
        </w:rPr>
      </w:pPr>
    </w:p>
    <w:tbl>
      <w:tblPr>
        <w:tblStyle w:val="TableGrid2"/>
        <w:tblpPr w:leftFromText="141" w:rightFromText="141" w:vertAnchor="text" w:horzAnchor="margin" w:tblpY="106"/>
        <w:tblW w:w="5665" w:type="dxa"/>
        <w:tblLook w:val="04A0" w:firstRow="1" w:lastRow="0" w:firstColumn="1" w:lastColumn="0" w:noHBand="0" w:noVBand="1"/>
      </w:tblPr>
      <w:tblGrid>
        <w:gridCol w:w="3823"/>
        <w:gridCol w:w="1842"/>
      </w:tblGrid>
      <w:tr w:rsidR="009A3457" w:rsidRPr="006F49D0" w:rsidTr="00135B15">
        <w:trPr>
          <w:trHeight w:val="255"/>
        </w:trPr>
        <w:tc>
          <w:tcPr>
            <w:tcW w:w="3823" w:type="dxa"/>
            <w:shd w:val="clear" w:color="auto" w:fill="1F242B" w:themeFill="accent2"/>
            <w:vAlign w:val="center"/>
          </w:tcPr>
          <w:p w:rsidR="009A3457" w:rsidRPr="00135B15" w:rsidRDefault="00587FDA" w:rsidP="00E36BD1">
            <w:pPr>
              <w:widowControl w:val="0"/>
              <w:spacing w:before="60" w:after="60"/>
              <w:rPr>
                <w:rFonts w:ascii="Arial" w:hAnsi="Arial" w:cs="Arial"/>
                <w:b/>
                <w:sz w:val="16"/>
                <w:szCs w:val="16"/>
              </w:rPr>
            </w:pPr>
            <w:r w:rsidRPr="00135B15">
              <w:rPr>
                <w:rFonts w:ascii="Arial" w:hAnsi="Arial"/>
                <w:b/>
                <w:sz w:val="16"/>
                <w:szCs w:val="16"/>
              </w:rPr>
              <w:t>Industrial, logistics | Hamburg</w:t>
            </w:r>
            <w:r w:rsidR="00E36BD1" w:rsidRPr="00135B15">
              <w:rPr>
                <w:rFonts w:ascii="Arial" w:hAnsi="Arial"/>
                <w:b/>
                <w:sz w:val="16"/>
                <w:szCs w:val="16"/>
              </w:rPr>
              <w:t>,</w:t>
            </w:r>
            <w:r w:rsidR="00135B15">
              <w:rPr>
                <w:rFonts w:ascii="Arial" w:hAnsi="Arial"/>
                <w:b/>
                <w:sz w:val="16"/>
                <w:szCs w:val="16"/>
              </w:rPr>
              <w:t xml:space="preserve"> e</w:t>
            </w:r>
            <w:r w:rsidRPr="00135B15">
              <w:rPr>
                <w:rFonts w:ascii="Arial" w:hAnsi="Arial"/>
                <w:b/>
                <w:sz w:val="16"/>
                <w:szCs w:val="16"/>
              </w:rPr>
              <w:t>nvirons | 2021</w:t>
            </w:r>
          </w:p>
        </w:tc>
        <w:tc>
          <w:tcPr>
            <w:tcW w:w="1842" w:type="dxa"/>
            <w:shd w:val="clear" w:color="auto" w:fill="1F242B" w:themeFill="accent2"/>
            <w:vAlign w:val="center"/>
          </w:tcPr>
          <w:p w:rsidR="009A3457" w:rsidRPr="00135B15" w:rsidRDefault="00514293" w:rsidP="009A3457">
            <w:pPr>
              <w:widowControl w:val="0"/>
              <w:spacing w:before="60" w:after="60"/>
              <w:jc w:val="center"/>
              <w:rPr>
                <w:rFonts w:ascii="Arial" w:hAnsi="Arial" w:cs="Arial"/>
                <w:b/>
                <w:sz w:val="16"/>
                <w:szCs w:val="16"/>
              </w:rPr>
            </w:pPr>
            <w:r w:rsidRPr="00135B15">
              <w:rPr>
                <w:rFonts w:ascii="Arial" w:hAnsi="Arial"/>
                <w:b/>
                <w:sz w:val="16"/>
                <w:szCs w:val="16"/>
              </w:rPr>
              <w:t>Q1</w:t>
            </w:r>
          </w:p>
        </w:tc>
      </w:tr>
      <w:tr w:rsidR="009A3457" w:rsidRPr="006F49D0" w:rsidTr="00135B15">
        <w:trPr>
          <w:trHeight w:val="255"/>
        </w:trPr>
        <w:tc>
          <w:tcPr>
            <w:tcW w:w="3823" w:type="dxa"/>
            <w:vAlign w:val="center"/>
          </w:tcPr>
          <w:p w:rsidR="009A3457" w:rsidRPr="00135B15" w:rsidRDefault="009A3457" w:rsidP="009A3457">
            <w:pPr>
              <w:widowControl w:val="0"/>
              <w:spacing w:before="60" w:after="60"/>
              <w:jc w:val="both"/>
              <w:rPr>
                <w:rFonts w:ascii="Arial" w:hAnsi="Arial" w:cs="Arial"/>
                <w:b/>
                <w:sz w:val="16"/>
                <w:szCs w:val="16"/>
              </w:rPr>
            </w:pPr>
            <w:r w:rsidRPr="00135B15">
              <w:rPr>
                <w:rFonts w:ascii="Arial" w:hAnsi="Arial"/>
                <w:b/>
                <w:sz w:val="16"/>
                <w:szCs w:val="16"/>
              </w:rPr>
              <w:t xml:space="preserve">Space take-up </w:t>
            </w:r>
            <w:r w:rsidRPr="00135B15">
              <w:rPr>
                <w:rFonts w:ascii="Arial" w:hAnsi="Arial"/>
                <w:sz w:val="16"/>
                <w:szCs w:val="16"/>
              </w:rPr>
              <w:t>[m²]</w:t>
            </w:r>
          </w:p>
        </w:tc>
        <w:tc>
          <w:tcPr>
            <w:tcW w:w="1842" w:type="dxa"/>
            <w:vAlign w:val="center"/>
          </w:tcPr>
          <w:p w:rsidR="009A3457" w:rsidRPr="00135B15" w:rsidRDefault="00E04869" w:rsidP="009A3457">
            <w:pPr>
              <w:widowControl w:val="0"/>
              <w:spacing w:before="60" w:after="60"/>
              <w:jc w:val="right"/>
              <w:rPr>
                <w:rFonts w:ascii="Arial" w:hAnsi="Arial" w:cs="Arial"/>
                <w:sz w:val="16"/>
                <w:szCs w:val="16"/>
              </w:rPr>
            </w:pPr>
            <w:r w:rsidRPr="00135B15">
              <w:rPr>
                <w:rFonts w:ascii="Arial" w:hAnsi="Arial"/>
                <w:sz w:val="16"/>
                <w:szCs w:val="16"/>
              </w:rPr>
              <w:t>135,000</w:t>
            </w:r>
          </w:p>
        </w:tc>
      </w:tr>
      <w:tr w:rsidR="009A3457" w:rsidRPr="006F49D0" w:rsidTr="00135B15">
        <w:trPr>
          <w:trHeight w:val="255"/>
        </w:trPr>
        <w:tc>
          <w:tcPr>
            <w:tcW w:w="3823" w:type="dxa"/>
            <w:vAlign w:val="center"/>
          </w:tcPr>
          <w:p w:rsidR="009A3457" w:rsidRPr="00135B15" w:rsidRDefault="009A3457" w:rsidP="009A3457">
            <w:pPr>
              <w:widowControl w:val="0"/>
              <w:spacing w:before="60" w:after="60"/>
              <w:jc w:val="both"/>
              <w:rPr>
                <w:rFonts w:ascii="Arial" w:hAnsi="Arial" w:cs="Arial"/>
                <w:sz w:val="16"/>
                <w:szCs w:val="16"/>
              </w:rPr>
            </w:pPr>
            <w:r w:rsidRPr="00135B15">
              <w:rPr>
                <w:rFonts w:ascii="Arial" w:hAnsi="Arial"/>
                <w:sz w:val="16"/>
                <w:szCs w:val="16"/>
              </w:rPr>
              <w:t xml:space="preserve">against prior </w:t>
            </w:r>
            <w:proofErr w:type="spellStart"/>
            <w:r w:rsidRPr="00135B15">
              <w:rPr>
                <w:rFonts w:ascii="Arial" w:hAnsi="Arial"/>
                <w:sz w:val="16"/>
                <w:szCs w:val="16"/>
              </w:rPr>
              <w:t>yr</w:t>
            </w:r>
            <w:proofErr w:type="spellEnd"/>
            <w:r w:rsidRPr="00135B15">
              <w:rPr>
                <w:rFonts w:ascii="Arial" w:hAnsi="Arial"/>
                <w:sz w:val="16"/>
                <w:szCs w:val="16"/>
              </w:rPr>
              <w:t xml:space="preserve"> [%]</w:t>
            </w:r>
          </w:p>
        </w:tc>
        <w:tc>
          <w:tcPr>
            <w:tcW w:w="1842" w:type="dxa"/>
            <w:vAlign w:val="center"/>
          </w:tcPr>
          <w:p w:rsidR="009A3457" w:rsidRPr="00135B15" w:rsidRDefault="00E04869" w:rsidP="009A3457">
            <w:pPr>
              <w:widowControl w:val="0"/>
              <w:spacing w:before="60" w:after="60"/>
              <w:jc w:val="right"/>
              <w:rPr>
                <w:rFonts w:ascii="Arial" w:hAnsi="Arial" w:cs="Arial"/>
                <w:sz w:val="16"/>
                <w:szCs w:val="16"/>
              </w:rPr>
            </w:pPr>
            <w:r w:rsidRPr="00135B15">
              <w:rPr>
                <w:rFonts w:ascii="Arial" w:hAnsi="Arial"/>
                <w:sz w:val="16"/>
                <w:szCs w:val="16"/>
              </w:rPr>
              <w:t>+12.5</w:t>
            </w:r>
          </w:p>
        </w:tc>
      </w:tr>
      <w:tr w:rsidR="009A3457" w:rsidRPr="006F49D0" w:rsidTr="00135B15">
        <w:trPr>
          <w:trHeight w:val="255"/>
        </w:trPr>
        <w:tc>
          <w:tcPr>
            <w:tcW w:w="3823" w:type="dxa"/>
            <w:vAlign w:val="center"/>
          </w:tcPr>
          <w:p w:rsidR="009A3457" w:rsidRPr="00135B15" w:rsidRDefault="009A3457" w:rsidP="009A3457">
            <w:pPr>
              <w:widowControl w:val="0"/>
              <w:spacing w:before="60" w:after="60"/>
              <w:jc w:val="both"/>
              <w:rPr>
                <w:rFonts w:ascii="Arial" w:hAnsi="Arial" w:cs="Arial"/>
                <w:b/>
                <w:sz w:val="16"/>
                <w:szCs w:val="16"/>
              </w:rPr>
            </w:pPr>
            <w:r w:rsidRPr="00135B15">
              <w:rPr>
                <w:rFonts w:ascii="Arial" w:hAnsi="Arial"/>
                <w:b/>
                <w:sz w:val="16"/>
                <w:szCs w:val="16"/>
              </w:rPr>
              <w:t>Ratio of owner-occupiers</w:t>
            </w:r>
            <w:r w:rsidRPr="00135B15">
              <w:rPr>
                <w:rFonts w:ascii="Arial" w:hAnsi="Arial"/>
                <w:sz w:val="16"/>
                <w:szCs w:val="16"/>
              </w:rPr>
              <w:t xml:space="preserve"> [%]</w:t>
            </w:r>
          </w:p>
        </w:tc>
        <w:tc>
          <w:tcPr>
            <w:tcW w:w="1842" w:type="dxa"/>
            <w:vAlign w:val="center"/>
          </w:tcPr>
          <w:p w:rsidR="009A3457" w:rsidRPr="00135B15" w:rsidRDefault="00E04869" w:rsidP="009A3457">
            <w:pPr>
              <w:widowControl w:val="0"/>
              <w:spacing w:before="60" w:after="60"/>
              <w:jc w:val="right"/>
              <w:rPr>
                <w:rFonts w:ascii="Arial" w:hAnsi="Arial" w:cs="Arial"/>
                <w:sz w:val="16"/>
                <w:szCs w:val="16"/>
              </w:rPr>
            </w:pPr>
            <w:r w:rsidRPr="00135B15">
              <w:rPr>
                <w:rFonts w:ascii="Arial" w:hAnsi="Arial"/>
                <w:sz w:val="16"/>
                <w:szCs w:val="16"/>
              </w:rPr>
              <w:t>10</w:t>
            </w:r>
          </w:p>
        </w:tc>
      </w:tr>
      <w:tr w:rsidR="009A3457" w:rsidRPr="006F49D0" w:rsidTr="00135B15">
        <w:trPr>
          <w:trHeight w:val="255"/>
        </w:trPr>
        <w:tc>
          <w:tcPr>
            <w:tcW w:w="3823" w:type="dxa"/>
            <w:vAlign w:val="center"/>
          </w:tcPr>
          <w:p w:rsidR="009A3457" w:rsidRPr="00135B15" w:rsidRDefault="009A3457" w:rsidP="009A3457">
            <w:pPr>
              <w:widowControl w:val="0"/>
              <w:spacing w:before="60" w:after="60"/>
              <w:jc w:val="both"/>
              <w:rPr>
                <w:rFonts w:ascii="Arial" w:hAnsi="Arial" w:cs="Arial"/>
                <w:b/>
                <w:sz w:val="16"/>
                <w:szCs w:val="16"/>
              </w:rPr>
            </w:pPr>
            <w:r w:rsidRPr="00135B15">
              <w:rPr>
                <w:rFonts w:ascii="Arial" w:hAnsi="Arial"/>
                <w:sz w:val="16"/>
                <w:szCs w:val="16"/>
              </w:rPr>
              <w:t xml:space="preserve">against prior </w:t>
            </w:r>
            <w:proofErr w:type="spellStart"/>
            <w:r w:rsidRPr="00135B15">
              <w:rPr>
                <w:rFonts w:ascii="Arial" w:hAnsi="Arial"/>
                <w:sz w:val="16"/>
                <w:szCs w:val="16"/>
              </w:rPr>
              <w:t>yr</w:t>
            </w:r>
            <w:proofErr w:type="spellEnd"/>
            <w:r w:rsidRPr="00135B15">
              <w:rPr>
                <w:rFonts w:ascii="Arial" w:hAnsi="Arial"/>
                <w:sz w:val="16"/>
                <w:szCs w:val="16"/>
              </w:rPr>
              <w:t xml:space="preserve"> [percentage points]</w:t>
            </w:r>
          </w:p>
        </w:tc>
        <w:tc>
          <w:tcPr>
            <w:tcW w:w="1842" w:type="dxa"/>
            <w:vAlign w:val="center"/>
          </w:tcPr>
          <w:p w:rsidR="009A3457" w:rsidRPr="00135B15" w:rsidRDefault="00E138AB" w:rsidP="009A3457">
            <w:pPr>
              <w:widowControl w:val="0"/>
              <w:spacing w:before="60" w:after="60"/>
              <w:jc w:val="right"/>
              <w:rPr>
                <w:rFonts w:ascii="Arial" w:hAnsi="Arial" w:cs="Arial"/>
                <w:sz w:val="16"/>
                <w:szCs w:val="16"/>
              </w:rPr>
            </w:pPr>
            <w:r w:rsidRPr="00135B15">
              <w:rPr>
                <w:rFonts w:ascii="Arial" w:hAnsi="Arial"/>
                <w:sz w:val="16"/>
                <w:szCs w:val="16"/>
              </w:rPr>
              <w:t>-18</w:t>
            </w:r>
          </w:p>
        </w:tc>
      </w:tr>
      <w:tr w:rsidR="009A3457" w:rsidRPr="006F49D0" w:rsidTr="00135B15">
        <w:trPr>
          <w:trHeight w:val="255"/>
        </w:trPr>
        <w:tc>
          <w:tcPr>
            <w:tcW w:w="3823" w:type="dxa"/>
            <w:vAlign w:val="center"/>
          </w:tcPr>
          <w:p w:rsidR="009A3457" w:rsidRPr="00135B15" w:rsidRDefault="009A3457" w:rsidP="009A3457">
            <w:pPr>
              <w:widowControl w:val="0"/>
              <w:spacing w:before="60" w:after="60"/>
              <w:jc w:val="both"/>
              <w:rPr>
                <w:rFonts w:ascii="Arial" w:hAnsi="Arial" w:cs="Arial"/>
                <w:b/>
                <w:sz w:val="16"/>
                <w:szCs w:val="16"/>
              </w:rPr>
            </w:pPr>
            <w:r w:rsidRPr="00135B15">
              <w:rPr>
                <w:rFonts w:ascii="Arial" w:hAnsi="Arial"/>
                <w:b/>
                <w:sz w:val="16"/>
                <w:szCs w:val="16"/>
              </w:rPr>
              <w:t xml:space="preserve">Premium rent </w:t>
            </w:r>
            <w:r w:rsidRPr="00135B15">
              <w:rPr>
                <w:rFonts w:ascii="Arial" w:hAnsi="Arial"/>
                <w:sz w:val="16"/>
                <w:szCs w:val="16"/>
              </w:rPr>
              <w:t>[€/m²/month net of services]</w:t>
            </w:r>
          </w:p>
        </w:tc>
        <w:tc>
          <w:tcPr>
            <w:tcW w:w="1842" w:type="dxa"/>
            <w:vAlign w:val="center"/>
          </w:tcPr>
          <w:p w:rsidR="009A3457" w:rsidRPr="00135B15" w:rsidRDefault="00E04869" w:rsidP="00627692">
            <w:pPr>
              <w:widowControl w:val="0"/>
              <w:spacing w:before="60" w:after="60"/>
              <w:jc w:val="right"/>
              <w:rPr>
                <w:rFonts w:ascii="Arial" w:hAnsi="Arial" w:cs="Arial"/>
                <w:sz w:val="16"/>
                <w:szCs w:val="16"/>
              </w:rPr>
            </w:pPr>
            <w:r w:rsidRPr="00135B15">
              <w:rPr>
                <w:rFonts w:ascii="Arial" w:hAnsi="Arial"/>
                <w:sz w:val="16"/>
                <w:szCs w:val="16"/>
              </w:rPr>
              <w:t>6.40</w:t>
            </w:r>
          </w:p>
        </w:tc>
      </w:tr>
      <w:tr w:rsidR="009A3457" w:rsidTr="00135B15">
        <w:trPr>
          <w:trHeight w:val="255"/>
        </w:trPr>
        <w:tc>
          <w:tcPr>
            <w:tcW w:w="3823" w:type="dxa"/>
            <w:vAlign w:val="center"/>
          </w:tcPr>
          <w:p w:rsidR="009A3457" w:rsidRPr="00135B15" w:rsidRDefault="009A3457" w:rsidP="009A3457">
            <w:pPr>
              <w:widowControl w:val="0"/>
              <w:spacing w:before="60" w:after="60"/>
              <w:jc w:val="both"/>
              <w:rPr>
                <w:rFonts w:ascii="Arial" w:hAnsi="Arial" w:cs="Arial"/>
                <w:sz w:val="16"/>
                <w:szCs w:val="16"/>
              </w:rPr>
            </w:pPr>
            <w:r w:rsidRPr="00135B15">
              <w:rPr>
                <w:rFonts w:ascii="Arial" w:hAnsi="Arial"/>
                <w:sz w:val="16"/>
                <w:szCs w:val="16"/>
              </w:rPr>
              <w:t xml:space="preserve">against prior </w:t>
            </w:r>
            <w:proofErr w:type="spellStart"/>
            <w:r w:rsidRPr="00135B15">
              <w:rPr>
                <w:rFonts w:ascii="Arial" w:hAnsi="Arial"/>
                <w:sz w:val="16"/>
                <w:szCs w:val="16"/>
              </w:rPr>
              <w:t>yr</w:t>
            </w:r>
            <w:proofErr w:type="spellEnd"/>
            <w:r w:rsidRPr="00135B15">
              <w:rPr>
                <w:rFonts w:ascii="Arial" w:hAnsi="Arial"/>
                <w:sz w:val="16"/>
                <w:szCs w:val="16"/>
              </w:rPr>
              <w:t xml:space="preserve"> [%]</w:t>
            </w:r>
          </w:p>
        </w:tc>
        <w:tc>
          <w:tcPr>
            <w:tcW w:w="1842" w:type="dxa"/>
            <w:vAlign w:val="center"/>
          </w:tcPr>
          <w:p w:rsidR="009A3457" w:rsidRPr="00135B15" w:rsidRDefault="00E04869" w:rsidP="009A3457">
            <w:pPr>
              <w:widowControl w:val="0"/>
              <w:spacing w:before="60" w:after="60"/>
              <w:jc w:val="right"/>
              <w:rPr>
                <w:rFonts w:ascii="Arial" w:hAnsi="Arial" w:cs="Arial"/>
                <w:sz w:val="16"/>
                <w:szCs w:val="16"/>
              </w:rPr>
            </w:pPr>
            <w:r w:rsidRPr="00135B15">
              <w:rPr>
                <w:rFonts w:ascii="Arial" w:hAnsi="Arial"/>
                <w:sz w:val="16"/>
                <w:szCs w:val="16"/>
              </w:rPr>
              <w:t>+1.6</w:t>
            </w:r>
          </w:p>
        </w:tc>
      </w:tr>
      <w:tr w:rsidR="009A3457" w:rsidRPr="006F49D0" w:rsidTr="00135B15">
        <w:trPr>
          <w:trHeight w:val="255"/>
        </w:trPr>
        <w:tc>
          <w:tcPr>
            <w:tcW w:w="3823" w:type="dxa"/>
            <w:vAlign w:val="center"/>
          </w:tcPr>
          <w:p w:rsidR="009A3457" w:rsidRPr="00135B15" w:rsidRDefault="009A3457" w:rsidP="009A3457">
            <w:pPr>
              <w:widowControl w:val="0"/>
              <w:spacing w:before="60" w:after="60"/>
              <w:jc w:val="both"/>
              <w:rPr>
                <w:rFonts w:ascii="Arial" w:hAnsi="Arial" w:cs="Arial"/>
                <w:b/>
                <w:sz w:val="16"/>
                <w:szCs w:val="16"/>
              </w:rPr>
            </w:pPr>
            <w:r w:rsidRPr="00135B15">
              <w:rPr>
                <w:rFonts w:ascii="Arial" w:hAnsi="Arial"/>
                <w:b/>
                <w:sz w:val="16"/>
                <w:szCs w:val="16"/>
              </w:rPr>
              <w:t xml:space="preserve">Average rent </w:t>
            </w:r>
            <w:r w:rsidRPr="00135B15">
              <w:rPr>
                <w:rFonts w:ascii="Arial" w:hAnsi="Arial"/>
                <w:sz w:val="16"/>
                <w:szCs w:val="16"/>
              </w:rPr>
              <w:t>[€/m²/month net of services]</w:t>
            </w:r>
          </w:p>
        </w:tc>
        <w:tc>
          <w:tcPr>
            <w:tcW w:w="1842" w:type="dxa"/>
            <w:vAlign w:val="center"/>
          </w:tcPr>
          <w:p w:rsidR="009A3457" w:rsidRPr="00135B15" w:rsidRDefault="00E04869" w:rsidP="00627692">
            <w:pPr>
              <w:widowControl w:val="0"/>
              <w:spacing w:before="60" w:after="60"/>
              <w:jc w:val="right"/>
              <w:rPr>
                <w:rFonts w:ascii="Arial" w:hAnsi="Arial" w:cs="Arial"/>
                <w:sz w:val="16"/>
                <w:szCs w:val="16"/>
              </w:rPr>
            </w:pPr>
            <w:r w:rsidRPr="00135B15">
              <w:rPr>
                <w:rFonts w:ascii="Arial" w:hAnsi="Arial"/>
                <w:sz w:val="16"/>
                <w:szCs w:val="16"/>
              </w:rPr>
              <w:t>5.20</w:t>
            </w:r>
          </w:p>
        </w:tc>
      </w:tr>
      <w:tr w:rsidR="009A3457" w:rsidTr="00135B15">
        <w:trPr>
          <w:trHeight w:val="255"/>
        </w:trPr>
        <w:tc>
          <w:tcPr>
            <w:tcW w:w="3823" w:type="dxa"/>
            <w:vAlign w:val="center"/>
          </w:tcPr>
          <w:p w:rsidR="009A3457" w:rsidRPr="00135B15" w:rsidRDefault="009A3457" w:rsidP="009A3457">
            <w:pPr>
              <w:widowControl w:val="0"/>
              <w:spacing w:before="60" w:after="60"/>
              <w:jc w:val="both"/>
              <w:rPr>
                <w:rFonts w:ascii="Arial" w:hAnsi="Arial" w:cs="Arial"/>
                <w:sz w:val="16"/>
                <w:szCs w:val="16"/>
              </w:rPr>
            </w:pPr>
            <w:r w:rsidRPr="00135B15">
              <w:rPr>
                <w:rFonts w:ascii="Arial" w:hAnsi="Arial"/>
                <w:sz w:val="16"/>
                <w:szCs w:val="16"/>
              </w:rPr>
              <w:t xml:space="preserve">against prior </w:t>
            </w:r>
            <w:proofErr w:type="spellStart"/>
            <w:r w:rsidRPr="00135B15">
              <w:rPr>
                <w:rFonts w:ascii="Arial" w:hAnsi="Arial"/>
                <w:sz w:val="16"/>
                <w:szCs w:val="16"/>
              </w:rPr>
              <w:t>yr</w:t>
            </w:r>
            <w:proofErr w:type="spellEnd"/>
            <w:r w:rsidRPr="00135B15">
              <w:rPr>
                <w:rFonts w:ascii="Arial" w:hAnsi="Arial"/>
                <w:sz w:val="16"/>
                <w:szCs w:val="16"/>
              </w:rPr>
              <w:t xml:space="preserve"> [%]</w:t>
            </w:r>
          </w:p>
        </w:tc>
        <w:tc>
          <w:tcPr>
            <w:tcW w:w="1842" w:type="dxa"/>
            <w:vAlign w:val="center"/>
          </w:tcPr>
          <w:p w:rsidR="009A3457" w:rsidRPr="00135B15" w:rsidRDefault="00E04869" w:rsidP="009A3457">
            <w:pPr>
              <w:widowControl w:val="0"/>
              <w:spacing w:before="60" w:after="60"/>
              <w:jc w:val="right"/>
              <w:rPr>
                <w:rFonts w:ascii="Arial" w:hAnsi="Arial" w:cs="Arial"/>
                <w:sz w:val="16"/>
                <w:szCs w:val="16"/>
              </w:rPr>
            </w:pPr>
            <w:r w:rsidRPr="00135B15">
              <w:rPr>
                <w:rFonts w:ascii="Arial" w:hAnsi="Arial"/>
                <w:sz w:val="16"/>
                <w:szCs w:val="16"/>
              </w:rPr>
              <w:t>+2.0</w:t>
            </w:r>
          </w:p>
        </w:tc>
      </w:tr>
      <w:tr w:rsidR="00395ED5" w:rsidRPr="006F49D0" w:rsidTr="00135B15">
        <w:trPr>
          <w:trHeight w:val="255"/>
        </w:trPr>
        <w:tc>
          <w:tcPr>
            <w:tcW w:w="3823" w:type="dxa"/>
            <w:vAlign w:val="center"/>
          </w:tcPr>
          <w:p w:rsidR="00395ED5" w:rsidRPr="00135B15" w:rsidRDefault="00395ED5" w:rsidP="00395ED5">
            <w:pPr>
              <w:widowControl w:val="0"/>
              <w:spacing w:after="0"/>
              <w:jc w:val="both"/>
              <w:rPr>
                <w:rFonts w:ascii="Arial" w:hAnsi="Arial" w:cs="Arial"/>
                <w:b/>
                <w:sz w:val="16"/>
                <w:szCs w:val="16"/>
              </w:rPr>
            </w:pPr>
            <w:r w:rsidRPr="00135B15">
              <w:rPr>
                <w:rFonts w:ascii="Arial" w:hAnsi="Arial"/>
                <w:b/>
                <w:sz w:val="16"/>
                <w:szCs w:val="16"/>
              </w:rPr>
              <w:t>Most popular sub-market</w:t>
            </w:r>
          </w:p>
        </w:tc>
        <w:tc>
          <w:tcPr>
            <w:tcW w:w="1842" w:type="dxa"/>
            <w:vAlign w:val="center"/>
          </w:tcPr>
          <w:p w:rsidR="00395ED5" w:rsidRPr="00135B15" w:rsidRDefault="00E04869" w:rsidP="00395ED5">
            <w:pPr>
              <w:widowControl w:val="0"/>
              <w:spacing w:before="60" w:after="60"/>
              <w:jc w:val="right"/>
              <w:rPr>
                <w:rFonts w:ascii="Arial" w:hAnsi="Arial" w:cs="Arial"/>
                <w:sz w:val="16"/>
                <w:szCs w:val="16"/>
              </w:rPr>
            </w:pPr>
            <w:r w:rsidRPr="00135B15">
              <w:rPr>
                <w:rFonts w:ascii="Arial" w:hAnsi="Arial"/>
                <w:sz w:val="16"/>
                <w:szCs w:val="16"/>
              </w:rPr>
              <w:t>Hamburg East</w:t>
            </w:r>
          </w:p>
        </w:tc>
      </w:tr>
      <w:tr w:rsidR="00395ED5" w:rsidTr="00135B15">
        <w:trPr>
          <w:trHeight w:val="255"/>
        </w:trPr>
        <w:tc>
          <w:tcPr>
            <w:tcW w:w="3823" w:type="dxa"/>
            <w:vAlign w:val="center"/>
          </w:tcPr>
          <w:p w:rsidR="00395ED5" w:rsidRPr="00135B15" w:rsidRDefault="00395ED5" w:rsidP="00395ED5">
            <w:pPr>
              <w:widowControl w:val="0"/>
              <w:spacing w:after="0"/>
              <w:rPr>
                <w:rFonts w:ascii="Arial" w:hAnsi="Arial" w:cs="Arial"/>
                <w:sz w:val="16"/>
                <w:szCs w:val="16"/>
              </w:rPr>
            </w:pPr>
            <w:r w:rsidRPr="00135B15">
              <w:rPr>
                <w:rFonts w:ascii="Arial" w:hAnsi="Arial"/>
                <w:sz w:val="16"/>
                <w:szCs w:val="16"/>
              </w:rPr>
              <w:t>Most popular sub-market [%]</w:t>
            </w:r>
          </w:p>
        </w:tc>
        <w:tc>
          <w:tcPr>
            <w:tcW w:w="1842" w:type="dxa"/>
            <w:vAlign w:val="center"/>
          </w:tcPr>
          <w:p w:rsidR="00395ED5" w:rsidRPr="00135B15" w:rsidRDefault="00E04869" w:rsidP="00395ED5">
            <w:pPr>
              <w:widowControl w:val="0"/>
              <w:spacing w:before="60" w:after="60"/>
              <w:jc w:val="right"/>
              <w:rPr>
                <w:rFonts w:ascii="Arial" w:hAnsi="Arial" w:cs="Arial"/>
                <w:sz w:val="16"/>
                <w:szCs w:val="16"/>
              </w:rPr>
            </w:pPr>
            <w:r w:rsidRPr="00135B15">
              <w:rPr>
                <w:rFonts w:ascii="Arial" w:hAnsi="Arial"/>
                <w:sz w:val="16"/>
                <w:szCs w:val="16"/>
              </w:rPr>
              <w:t>56</w:t>
            </w:r>
          </w:p>
        </w:tc>
      </w:tr>
      <w:tr w:rsidR="009A3457" w:rsidRPr="006F49D0" w:rsidTr="00135B15">
        <w:trPr>
          <w:trHeight w:val="255"/>
        </w:trPr>
        <w:tc>
          <w:tcPr>
            <w:tcW w:w="3823" w:type="dxa"/>
            <w:tcBorders>
              <w:bottom w:val="single" w:sz="4" w:space="0" w:color="auto"/>
            </w:tcBorders>
            <w:vAlign w:val="center"/>
          </w:tcPr>
          <w:p w:rsidR="009A3457" w:rsidRPr="00135B15" w:rsidRDefault="009A3457" w:rsidP="009A3457">
            <w:pPr>
              <w:widowControl w:val="0"/>
              <w:spacing w:before="60" w:after="60"/>
              <w:jc w:val="both"/>
              <w:rPr>
                <w:rFonts w:ascii="Arial" w:hAnsi="Arial" w:cs="Arial"/>
                <w:b/>
                <w:sz w:val="16"/>
                <w:szCs w:val="16"/>
              </w:rPr>
            </w:pPr>
            <w:r w:rsidRPr="00135B15">
              <w:rPr>
                <w:rFonts w:ascii="Arial" w:hAnsi="Arial"/>
                <w:b/>
                <w:sz w:val="16"/>
                <w:szCs w:val="16"/>
              </w:rPr>
              <w:t>Industry with highest turnover</w:t>
            </w:r>
          </w:p>
        </w:tc>
        <w:tc>
          <w:tcPr>
            <w:tcW w:w="1842" w:type="dxa"/>
            <w:tcBorders>
              <w:bottom w:val="single" w:sz="4" w:space="0" w:color="auto"/>
            </w:tcBorders>
            <w:vAlign w:val="center"/>
          </w:tcPr>
          <w:p w:rsidR="009A3457" w:rsidRPr="00135B15" w:rsidRDefault="00EA6822" w:rsidP="00B9664E">
            <w:pPr>
              <w:widowControl w:val="0"/>
              <w:spacing w:before="60" w:after="60"/>
              <w:jc w:val="right"/>
              <w:rPr>
                <w:rFonts w:ascii="Arial" w:hAnsi="Arial" w:cs="Arial"/>
                <w:sz w:val="16"/>
                <w:szCs w:val="16"/>
              </w:rPr>
            </w:pPr>
            <w:r w:rsidRPr="00135B15">
              <w:rPr>
                <w:rFonts w:ascii="Arial" w:hAnsi="Arial"/>
                <w:sz w:val="16"/>
                <w:szCs w:val="16"/>
              </w:rPr>
              <w:t>Logistics</w:t>
            </w:r>
            <w:r w:rsidR="00B9664E" w:rsidRPr="00135B15">
              <w:rPr>
                <w:rFonts w:ascii="Arial" w:hAnsi="Arial"/>
                <w:sz w:val="16"/>
                <w:szCs w:val="16"/>
              </w:rPr>
              <w:t>/</w:t>
            </w:r>
            <w:r w:rsidRPr="00135B15">
              <w:rPr>
                <w:rFonts w:ascii="Arial" w:hAnsi="Arial"/>
                <w:sz w:val="16"/>
                <w:szCs w:val="16"/>
              </w:rPr>
              <w:t xml:space="preserve"> </w:t>
            </w:r>
            <w:r w:rsidR="00E04869" w:rsidRPr="00135B15">
              <w:rPr>
                <w:rFonts w:ascii="Arial" w:hAnsi="Arial"/>
                <w:sz w:val="16"/>
                <w:szCs w:val="16"/>
              </w:rPr>
              <w:t>forwarding</w:t>
            </w:r>
          </w:p>
        </w:tc>
      </w:tr>
      <w:tr w:rsidR="009A3457" w:rsidRPr="006F49D0" w:rsidTr="00135B15">
        <w:trPr>
          <w:trHeight w:val="255"/>
        </w:trPr>
        <w:tc>
          <w:tcPr>
            <w:tcW w:w="3823" w:type="dxa"/>
            <w:tcBorders>
              <w:bottom w:val="single" w:sz="4" w:space="0" w:color="auto"/>
            </w:tcBorders>
            <w:vAlign w:val="center"/>
          </w:tcPr>
          <w:p w:rsidR="009A3457" w:rsidRPr="00135B15" w:rsidRDefault="009A3457" w:rsidP="009A3457">
            <w:pPr>
              <w:widowControl w:val="0"/>
              <w:spacing w:before="60" w:after="60"/>
              <w:jc w:val="both"/>
              <w:rPr>
                <w:rFonts w:ascii="Arial" w:hAnsi="Arial" w:cs="Arial"/>
                <w:b/>
                <w:sz w:val="16"/>
                <w:szCs w:val="16"/>
              </w:rPr>
            </w:pPr>
            <w:r w:rsidRPr="00135B15">
              <w:rPr>
                <w:rFonts w:ascii="Arial" w:hAnsi="Arial"/>
                <w:sz w:val="16"/>
                <w:szCs w:val="16"/>
              </w:rPr>
              <w:t>Industry with highest turnover [%]</w:t>
            </w:r>
          </w:p>
        </w:tc>
        <w:tc>
          <w:tcPr>
            <w:tcW w:w="1842" w:type="dxa"/>
            <w:tcBorders>
              <w:bottom w:val="single" w:sz="4" w:space="0" w:color="auto"/>
            </w:tcBorders>
            <w:vAlign w:val="center"/>
          </w:tcPr>
          <w:p w:rsidR="009A3457" w:rsidRPr="00135B15" w:rsidRDefault="00E04869" w:rsidP="009A3457">
            <w:pPr>
              <w:widowControl w:val="0"/>
              <w:spacing w:before="60" w:after="60"/>
              <w:jc w:val="right"/>
              <w:rPr>
                <w:rFonts w:ascii="Arial" w:hAnsi="Arial" w:cs="Arial"/>
                <w:sz w:val="16"/>
                <w:szCs w:val="16"/>
              </w:rPr>
            </w:pPr>
            <w:r w:rsidRPr="00135B15">
              <w:rPr>
                <w:rFonts w:ascii="Arial" w:hAnsi="Arial"/>
                <w:sz w:val="16"/>
                <w:szCs w:val="16"/>
              </w:rPr>
              <w:t>56</w:t>
            </w:r>
          </w:p>
        </w:tc>
      </w:tr>
    </w:tbl>
    <w:p w:rsidR="008E65DC" w:rsidRDefault="00E36BD1" w:rsidP="0099386F">
      <w:pPr>
        <w:tabs>
          <w:tab w:val="left" w:pos="1730"/>
        </w:tabs>
        <w:spacing w:after="0" w:line="360" w:lineRule="auto"/>
        <w:rPr>
          <w:rFonts w:ascii="Arial" w:hAnsi="Arial" w:cs="Arial"/>
          <w:b/>
          <w:sz w:val="20"/>
          <w:szCs w:val="20"/>
        </w:rPr>
      </w:pPr>
      <w:r>
        <w:rPr>
          <w:rFonts w:ascii="Arial" w:hAnsi="Arial" w:cs="Arial"/>
          <w:b/>
          <w:noProof/>
          <w:sz w:val="20"/>
          <w:szCs w:val="20"/>
          <w:lang w:val="de-DE" w:eastAsia="de-DE"/>
        </w:rPr>
        <w:drawing>
          <wp:anchor distT="0" distB="0" distL="114300" distR="114300" simplePos="0" relativeHeight="251658240" behindDoc="0" locked="0" layoutInCell="1" allowOverlap="1">
            <wp:simplePos x="0" y="0"/>
            <wp:positionH relativeFrom="margin">
              <wp:posOffset>3655060</wp:posOffset>
            </wp:positionH>
            <wp:positionV relativeFrom="paragraph">
              <wp:posOffset>75565</wp:posOffset>
            </wp:positionV>
            <wp:extent cx="2451100" cy="1726565"/>
            <wp:effectExtent l="19050" t="19050" r="25400" b="260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ustrial-market-Hamburg-take-up-2017-2021.jpg"/>
                    <pic:cNvPicPr/>
                  </pic:nvPicPr>
                  <pic:blipFill>
                    <a:blip r:embed="rId8">
                      <a:extLst>
                        <a:ext uri="{28A0092B-C50C-407E-A947-70E740481C1C}">
                          <a14:useLocalDpi xmlns:a14="http://schemas.microsoft.com/office/drawing/2010/main" val="0"/>
                        </a:ext>
                      </a:extLst>
                    </a:blip>
                    <a:stretch>
                      <a:fillRect/>
                    </a:stretch>
                  </pic:blipFill>
                  <pic:spPr>
                    <a:xfrm>
                      <a:off x="0" y="0"/>
                      <a:ext cx="2451100" cy="172656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99386F">
        <w:rPr>
          <w:rFonts w:ascii="Arial" w:hAnsi="Arial"/>
          <w:b/>
          <w:sz w:val="20"/>
          <w:szCs w:val="20"/>
        </w:rPr>
        <w:tab/>
      </w:r>
    </w:p>
    <w:p w:rsidR="001F0C02" w:rsidRDefault="001F0C02" w:rsidP="009A3457">
      <w:pPr>
        <w:spacing w:after="0" w:line="360" w:lineRule="auto"/>
        <w:rPr>
          <w:rFonts w:ascii="Arial" w:hAnsi="Arial" w:cs="Arial"/>
          <w:b/>
          <w:sz w:val="20"/>
          <w:szCs w:val="20"/>
        </w:rPr>
      </w:pPr>
    </w:p>
    <w:p w:rsidR="00451D07" w:rsidRDefault="00451D07" w:rsidP="009A3457">
      <w:pPr>
        <w:spacing w:after="0" w:line="360" w:lineRule="auto"/>
        <w:rPr>
          <w:rFonts w:ascii="Arial" w:hAnsi="Arial"/>
          <w:b/>
          <w:sz w:val="20"/>
          <w:szCs w:val="20"/>
        </w:rPr>
      </w:pPr>
    </w:p>
    <w:p w:rsidR="00E36BD1" w:rsidRDefault="00E36BD1" w:rsidP="009A3457">
      <w:pPr>
        <w:spacing w:after="0" w:line="360" w:lineRule="auto"/>
        <w:rPr>
          <w:rFonts w:ascii="Arial" w:hAnsi="Arial"/>
          <w:b/>
          <w:sz w:val="20"/>
          <w:szCs w:val="20"/>
        </w:rPr>
      </w:pPr>
    </w:p>
    <w:p w:rsidR="00E36BD1" w:rsidRDefault="00E36BD1" w:rsidP="009A3457">
      <w:pPr>
        <w:spacing w:after="0" w:line="360" w:lineRule="auto"/>
        <w:rPr>
          <w:rFonts w:ascii="Arial" w:hAnsi="Arial"/>
          <w:b/>
          <w:sz w:val="20"/>
          <w:szCs w:val="20"/>
        </w:rPr>
      </w:pPr>
    </w:p>
    <w:p w:rsidR="009A3457" w:rsidRDefault="00B9664E" w:rsidP="009A3457">
      <w:pPr>
        <w:spacing w:after="0" w:line="360" w:lineRule="auto"/>
        <w:rPr>
          <w:rFonts w:ascii="Arial" w:hAnsi="Arial" w:cs="Arial"/>
          <w:b/>
          <w:sz w:val="20"/>
          <w:szCs w:val="20"/>
        </w:rPr>
      </w:pPr>
      <w:r>
        <w:rPr>
          <w:rFonts w:ascii="Arial" w:hAnsi="Arial"/>
          <w:b/>
          <w:sz w:val="20"/>
          <w:szCs w:val="20"/>
        </w:rPr>
        <w:t>Selected top transactions</w:t>
      </w:r>
      <w:r w:rsidR="00135B15">
        <w:rPr>
          <w:rFonts w:ascii="Arial" w:hAnsi="Arial"/>
          <w:b/>
          <w:sz w:val="20"/>
          <w:szCs w:val="20"/>
        </w:rPr>
        <w:t xml:space="preserve"> |</w:t>
      </w:r>
      <w:r w:rsidR="00C36C38">
        <w:rPr>
          <w:rFonts w:ascii="Arial" w:hAnsi="Arial"/>
          <w:b/>
          <w:sz w:val="20"/>
          <w:szCs w:val="20"/>
        </w:rPr>
        <w:t xml:space="preserve"> </w:t>
      </w:r>
      <w:r>
        <w:rPr>
          <w:rFonts w:ascii="Arial" w:hAnsi="Arial"/>
          <w:b/>
          <w:sz w:val="20"/>
          <w:szCs w:val="20"/>
        </w:rPr>
        <w:t>industrial</w:t>
      </w:r>
      <w:r w:rsidR="00135B15">
        <w:rPr>
          <w:rFonts w:ascii="Arial" w:hAnsi="Arial"/>
          <w:b/>
          <w:sz w:val="20"/>
          <w:szCs w:val="20"/>
        </w:rPr>
        <w:t>,</w:t>
      </w:r>
      <w:r>
        <w:rPr>
          <w:rFonts w:ascii="Arial" w:hAnsi="Arial"/>
          <w:b/>
          <w:sz w:val="20"/>
          <w:szCs w:val="20"/>
        </w:rPr>
        <w:t xml:space="preserve"> logistics | Hamburg</w:t>
      </w:r>
      <w:r w:rsidR="00135B15">
        <w:rPr>
          <w:rFonts w:ascii="Arial" w:hAnsi="Arial"/>
          <w:b/>
          <w:sz w:val="20"/>
          <w:szCs w:val="20"/>
        </w:rPr>
        <w:t>,</w:t>
      </w:r>
      <w:r>
        <w:rPr>
          <w:rFonts w:ascii="Arial" w:hAnsi="Arial"/>
          <w:b/>
          <w:sz w:val="20"/>
          <w:szCs w:val="20"/>
        </w:rPr>
        <w:t xml:space="preserve"> environs |</w:t>
      </w:r>
      <w:r w:rsidR="00C36C38">
        <w:rPr>
          <w:rFonts w:ascii="Arial" w:hAnsi="Arial"/>
          <w:b/>
          <w:sz w:val="20"/>
          <w:szCs w:val="20"/>
        </w:rPr>
        <w:t xml:space="preserve"> 1st quarter of 2021</w:t>
      </w:r>
    </w:p>
    <w:tbl>
      <w:tblPr>
        <w:tblStyle w:val="Tabellenraster"/>
        <w:tblpPr w:leftFromText="141" w:rightFromText="141" w:vertAnchor="text" w:horzAnchor="margin" w:tblpY="-23"/>
        <w:tblW w:w="9634" w:type="dxa"/>
        <w:tblLook w:val="04A0" w:firstRow="1" w:lastRow="0" w:firstColumn="1" w:lastColumn="0" w:noHBand="0" w:noVBand="1"/>
      </w:tblPr>
      <w:tblGrid>
        <w:gridCol w:w="1080"/>
        <w:gridCol w:w="2459"/>
        <w:gridCol w:w="1843"/>
        <w:gridCol w:w="3128"/>
        <w:gridCol w:w="1124"/>
      </w:tblGrid>
      <w:tr w:rsidR="00C36C38" w:rsidRPr="0017364E" w:rsidTr="00E36BD1">
        <w:trPr>
          <w:trHeight w:val="542"/>
        </w:trPr>
        <w:tc>
          <w:tcPr>
            <w:tcW w:w="1080" w:type="dxa"/>
            <w:shd w:val="clear" w:color="auto" w:fill="1F242B" w:themeFill="accent2"/>
          </w:tcPr>
          <w:p w:rsidR="00C36C38" w:rsidRPr="0017364E" w:rsidRDefault="00C36C38" w:rsidP="00C36C38">
            <w:pPr>
              <w:spacing w:before="60" w:after="60"/>
              <w:rPr>
                <w:rFonts w:ascii="Arial" w:hAnsi="Arial" w:cs="Arial"/>
                <w:b/>
                <w:sz w:val="18"/>
                <w:szCs w:val="16"/>
              </w:rPr>
            </w:pPr>
            <w:r>
              <w:rPr>
                <w:rFonts w:ascii="Arial" w:hAnsi="Arial"/>
                <w:b/>
                <w:sz w:val="16"/>
                <w:szCs w:val="16"/>
              </w:rPr>
              <w:t>City</w:t>
            </w:r>
          </w:p>
        </w:tc>
        <w:tc>
          <w:tcPr>
            <w:tcW w:w="2459" w:type="dxa"/>
            <w:shd w:val="clear" w:color="auto" w:fill="1F242B" w:themeFill="accent2"/>
          </w:tcPr>
          <w:p w:rsidR="00C36C38" w:rsidRPr="0017364E" w:rsidRDefault="00C36C38" w:rsidP="00C36C38">
            <w:pPr>
              <w:spacing w:before="60" w:after="60"/>
              <w:rPr>
                <w:rFonts w:ascii="Arial" w:hAnsi="Arial" w:cs="Arial"/>
                <w:b/>
                <w:sz w:val="18"/>
                <w:szCs w:val="16"/>
              </w:rPr>
            </w:pPr>
            <w:r>
              <w:rPr>
                <w:rFonts w:ascii="Arial" w:hAnsi="Arial"/>
                <w:b/>
                <w:sz w:val="16"/>
                <w:szCs w:val="16"/>
              </w:rPr>
              <w:t>Road/street</w:t>
            </w:r>
          </w:p>
        </w:tc>
        <w:tc>
          <w:tcPr>
            <w:tcW w:w="1843" w:type="dxa"/>
            <w:shd w:val="clear" w:color="auto" w:fill="1F242B" w:themeFill="accent2"/>
          </w:tcPr>
          <w:p w:rsidR="00C36C38" w:rsidRPr="0017364E" w:rsidRDefault="00C36C38" w:rsidP="00C36C38">
            <w:pPr>
              <w:spacing w:before="60" w:after="60"/>
              <w:rPr>
                <w:rFonts w:ascii="Arial" w:hAnsi="Arial" w:cs="Arial"/>
                <w:b/>
                <w:sz w:val="18"/>
                <w:szCs w:val="16"/>
              </w:rPr>
            </w:pPr>
            <w:r>
              <w:rPr>
                <w:rFonts w:ascii="Arial" w:hAnsi="Arial"/>
                <w:b/>
                <w:sz w:val="16"/>
                <w:szCs w:val="16"/>
              </w:rPr>
              <w:t>Property/project</w:t>
            </w:r>
          </w:p>
        </w:tc>
        <w:tc>
          <w:tcPr>
            <w:tcW w:w="3128" w:type="dxa"/>
            <w:shd w:val="clear" w:color="auto" w:fill="1F242B" w:themeFill="accent2"/>
          </w:tcPr>
          <w:p w:rsidR="00C36C38" w:rsidRPr="0017364E" w:rsidRDefault="00C36C38" w:rsidP="00C36C38">
            <w:pPr>
              <w:spacing w:before="60" w:after="60"/>
              <w:rPr>
                <w:rFonts w:ascii="Arial" w:hAnsi="Arial" w:cs="Arial"/>
                <w:b/>
                <w:sz w:val="18"/>
                <w:szCs w:val="16"/>
              </w:rPr>
            </w:pPr>
            <w:r>
              <w:rPr>
                <w:rFonts w:ascii="Arial" w:hAnsi="Arial"/>
                <w:b/>
                <w:sz w:val="16"/>
                <w:szCs w:val="16"/>
              </w:rPr>
              <w:t>Tenant/owner-occupier</w:t>
            </w:r>
            <w:r w:rsidR="00E36BD1">
              <w:rPr>
                <w:rFonts w:ascii="Arial" w:hAnsi="Arial"/>
                <w:b/>
                <w:sz w:val="16"/>
                <w:szCs w:val="16"/>
              </w:rPr>
              <w:t xml:space="preserve"> (</w:t>
            </w:r>
            <w:proofErr w:type="spellStart"/>
            <w:r w:rsidR="00E36BD1">
              <w:rPr>
                <w:rFonts w:ascii="Arial" w:hAnsi="Arial"/>
                <w:b/>
                <w:sz w:val="16"/>
                <w:szCs w:val="16"/>
              </w:rPr>
              <w:t>oo</w:t>
            </w:r>
            <w:proofErr w:type="spellEnd"/>
            <w:r w:rsidR="00E36BD1">
              <w:rPr>
                <w:rFonts w:ascii="Arial" w:hAnsi="Arial"/>
                <w:b/>
                <w:sz w:val="16"/>
                <w:szCs w:val="16"/>
              </w:rPr>
              <w:t>)</w:t>
            </w:r>
          </w:p>
        </w:tc>
        <w:tc>
          <w:tcPr>
            <w:tcW w:w="1124" w:type="dxa"/>
            <w:shd w:val="clear" w:color="auto" w:fill="1F242B" w:themeFill="accent2"/>
          </w:tcPr>
          <w:p w:rsidR="00C36C38" w:rsidRPr="00873089" w:rsidRDefault="00E36BD1" w:rsidP="00C36C38">
            <w:pPr>
              <w:spacing w:after="0"/>
              <w:rPr>
                <w:rFonts w:ascii="Arial" w:hAnsi="Arial" w:cs="Arial"/>
                <w:b/>
                <w:sz w:val="16"/>
                <w:szCs w:val="16"/>
              </w:rPr>
            </w:pPr>
            <w:r>
              <w:rPr>
                <w:rFonts w:ascii="Arial" w:hAnsi="Arial"/>
                <w:b/>
                <w:sz w:val="16"/>
                <w:szCs w:val="16"/>
              </w:rPr>
              <w:t>Floor area</w:t>
            </w:r>
          </w:p>
          <w:p w:rsidR="00C36C38" w:rsidRPr="00627692" w:rsidRDefault="00627692" w:rsidP="00C36C38">
            <w:pPr>
              <w:spacing w:before="60" w:after="60"/>
              <w:rPr>
                <w:rFonts w:ascii="Arial" w:hAnsi="Arial" w:cs="Arial"/>
                <w:sz w:val="18"/>
                <w:szCs w:val="16"/>
              </w:rPr>
            </w:pPr>
            <w:r>
              <w:rPr>
                <w:rFonts w:ascii="Arial" w:hAnsi="Arial"/>
                <w:sz w:val="16"/>
                <w:szCs w:val="16"/>
              </w:rPr>
              <w:t>[ca. m²]</w:t>
            </w:r>
          </w:p>
        </w:tc>
      </w:tr>
      <w:tr w:rsidR="003A22D7" w:rsidRPr="0017364E" w:rsidTr="00E36BD1">
        <w:trPr>
          <w:trHeight w:val="542"/>
        </w:trPr>
        <w:tc>
          <w:tcPr>
            <w:tcW w:w="1080" w:type="dxa"/>
            <w:shd w:val="clear" w:color="auto" w:fill="auto"/>
            <w:vAlign w:val="center"/>
          </w:tcPr>
          <w:p w:rsidR="003A22D7" w:rsidRPr="003A22D7" w:rsidRDefault="00E04869" w:rsidP="003A22D7">
            <w:pPr>
              <w:spacing w:after="0"/>
              <w:rPr>
                <w:rFonts w:ascii="Arial" w:hAnsi="Arial" w:cs="Arial"/>
                <w:sz w:val="16"/>
                <w:szCs w:val="16"/>
              </w:rPr>
            </w:pPr>
            <w:proofErr w:type="spellStart"/>
            <w:r>
              <w:rPr>
                <w:rFonts w:ascii="Arial" w:hAnsi="Arial"/>
                <w:sz w:val="16"/>
                <w:szCs w:val="16"/>
              </w:rPr>
              <w:t>Henstedt-Ulzburg</w:t>
            </w:r>
            <w:proofErr w:type="spellEnd"/>
          </w:p>
        </w:tc>
        <w:tc>
          <w:tcPr>
            <w:tcW w:w="2459" w:type="dxa"/>
            <w:shd w:val="clear" w:color="auto" w:fill="auto"/>
            <w:vAlign w:val="center"/>
          </w:tcPr>
          <w:p w:rsidR="003A22D7" w:rsidRPr="003A22D7" w:rsidRDefault="00E04869" w:rsidP="003A22D7">
            <w:pPr>
              <w:spacing w:after="0"/>
              <w:rPr>
                <w:rFonts w:ascii="Arial" w:hAnsi="Arial" w:cs="Arial"/>
                <w:sz w:val="16"/>
                <w:szCs w:val="16"/>
              </w:rPr>
            </w:pPr>
            <w:r>
              <w:rPr>
                <w:rFonts w:ascii="Arial" w:hAnsi="Arial"/>
                <w:sz w:val="16"/>
                <w:szCs w:val="16"/>
              </w:rPr>
              <w:t>Rudolf-Diesel-</w:t>
            </w:r>
            <w:proofErr w:type="spellStart"/>
            <w:r>
              <w:rPr>
                <w:rFonts w:ascii="Arial" w:hAnsi="Arial"/>
                <w:sz w:val="16"/>
                <w:szCs w:val="16"/>
              </w:rPr>
              <w:t>Strasse</w:t>
            </w:r>
            <w:proofErr w:type="spellEnd"/>
            <w:r>
              <w:rPr>
                <w:rFonts w:ascii="Arial" w:hAnsi="Arial"/>
                <w:sz w:val="16"/>
                <w:szCs w:val="16"/>
              </w:rPr>
              <w:t xml:space="preserve"> 11-13</w:t>
            </w:r>
          </w:p>
        </w:tc>
        <w:tc>
          <w:tcPr>
            <w:tcW w:w="1843" w:type="dxa"/>
            <w:shd w:val="clear" w:color="auto" w:fill="auto"/>
            <w:vAlign w:val="center"/>
          </w:tcPr>
          <w:p w:rsidR="003A22D7" w:rsidRPr="003A22D7" w:rsidRDefault="00E04869" w:rsidP="003A22D7">
            <w:pPr>
              <w:spacing w:after="0"/>
              <w:rPr>
                <w:rFonts w:ascii="Arial" w:hAnsi="Arial" w:cs="Arial"/>
                <w:sz w:val="16"/>
                <w:szCs w:val="16"/>
              </w:rPr>
            </w:pPr>
            <w:r>
              <w:rPr>
                <w:rFonts w:ascii="Arial" w:hAnsi="Arial"/>
                <w:sz w:val="16"/>
                <w:szCs w:val="16"/>
              </w:rPr>
              <w:t>Distribution centre</w:t>
            </w:r>
          </w:p>
        </w:tc>
        <w:tc>
          <w:tcPr>
            <w:tcW w:w="3128" w:type="dxa"/>
            <w:shd w:val="clear" w:color="auto" w:fill="auto"/>
            <w:vAlign w:val="center"/>
          </w:tcPr>
          <w:p w:rsidR="003A22D7" w:rsidRPr="003A22D7" w:rsidRDefault="00E04869" w:rsidP="003A22D7">
            <w:pPr>
              <w:spacing w:after="0"/>
              <w:rPr>
                <w:rFonts w:ascii="Arial" w:hAnsi="Arial" w:cs="Arial"/>
                <w:sz w:val="16"/>
                <w:szCs w:val="16"/>
              </w:rPr>
            </w:pPr>
            <w:r>
              <w:rPr>
                <w:rFonts w:ascii="Arial" w:hAnsi="Arial"/>
                <w:sz w:val="16"/>
                <w:szCs w:val="16"/>
              </w:rPr>
              <w:t>Boeing Distribution Services</w:t>
            </w:r>
          </w:p>
        </w:tc>
        <w:tc>
          <w:tcPr>
            <w:tcW w:w="1124" w:type="dxa"/>
            <w:shd w:val="clear" w:color="auto" w:fill="auto"/>
            <w:vAlign w:val="center"/>
          </w:tcPr>
          <w:p w:rsidR="003A22D7" w:rsidRPr="003A22D7" w:rsidRDefault="00E04869" w:rsidP="003A22D7">
            <w:pPr>
              <w:spacing w:after="0"/>
              <w:jc w:val="center"/>
              <w:rPr>
                <w:rFonts w:ascii="Arial" w:hAnsi="Arial" w:cs="Arial"/>
                <w:sz w:val="16"/>
                <w:szCs w:val="16"/>
              </w:rPr>
            </w:pPr>
            <w:r>
              <w:rPr>
                <w:rFonts w:ascii="Arial" w:hAnsi="Arial"/>
                <w:sz w:val="16"/>
                <w:szCs w:val="16"/>
              </w:rPr>
              <w:t>15,400</w:t>
            </w:r>
          </w:p>
        </w:tc>
      </w:tr>
      <w:tr w:rsidR="003A22D7" w:rsidRPr="0017364E" w:rsidTr="00E36BD1">
        <w:trPr>
          <w:trHeight w:val="542"/>
        </w:trPr>
        <w:tc>
          <w:tcPr>
            <w:tcW w:w="1080" w:type="dxa"/>
            <w:shd w:val="clear" w:color="auto" w:fill="auto"/>
            <w:vAlign w:val="center"/>
          </w:tcPr>
          <w:p w:rsidR="003A22D7" w:rsidRPr="003A22D7" w:rsidRDefault="00E04869" w:rsidP="003A22D7">
            <w:pPr>
              <w:spacing w:after="0"/>
              <w:rPr>
                <w:rFonts w:ascii="Arial" w:hAnsi="Arial" w:cs="Arial"/>
                <w:sz w:val="16"/>
                <w:szCs w:val="16"/>
              </w:rPr>
            </w:pPr>
            <w:r>
              <w:rPr>
                <w:rFonts w:ascii="Arial" w:hAnsi="Arial"/>
                <w:sz w:val="16"/>
                <w:szCs w:val="16"/>
              </w:rPr>
              <w:t>Hamburg</w:t>
            </w:r>
          </w:p>
        </w:tc>
        <w:tc>
          <w:tcPr>
            <w:tcW w:w="2459" w:type="dxa"/>
            <w:shd w:val="clear" w:color="auto" w:fill="auto"/>
            <w:vAlign w:val="center"/>
          </w:tcPr>
          <w:p w:rsidR="003A22D7" w:rsidRPr="003A22D7" w:rsidRDefault="00E04869" w:rsidP="003A22D7">
            <w:pPr>
              <w:spacing w:after="0"/>
              <w:rPr>
                <w:rFonts w:ascii="Arial" w:hAnsi="Arial" w:cs="Arial"/>
                <w:sz w:val="16"/>
                <w:szCs w:val="16"/>
              </w:rPr>
            </w:pPr>
            <w:proofErr w:type="spellStart"/>
            <w:r>
              <w:rPr>
                <w:rFonts w:ascii="Arial" w:hAnsi="Arial"/>
                <w:sz w:val="16"/>
                <w:szCs w:val="16"/>
              </w:rPr>
              <w:t>Bredowstrasse</w:t>
            </w:r>
            <w:proofErr w:type="spellEnd"/>
            <w:r>
              <w:rPr>
                <w:rFonts w:ascii="Arial" w:hAnsi="Arial"/>
                <w:sz w:val="16"/>
                <w:szCs w:val="16"/>
              </w:rPr>
              <w:t xml:space="preserve"> 6</w:t>
            </w:r>
          </w:p>
        </w:tc>
        <w:tc>
          <w:tcPr>
            <w:tcW w:w="1843" w:type="dxa"/>
            <w:shd w:val="clear" w:color="auto" w:fill="auto"/>
            <w:vAlign w:val="center"/>
          </w:tcPr>
          <w:p w:rsidR="003A22D7" w:rsidRPr="003A22D7" w:rsidRDefault="00082FDC" w:rsidP="003A22D7">
            <w:pPr>
              <w:spacing w:after="0"/>
              <w:rPr>
                <w:rFonts w:ascii="Arial" w:hAnsi="Arial" w:cs="Arial"/>
                <w:sz w:val="16"/>
                <w:szCs w:val="16"/>
              </w:rPr>
            </w:pPr>
            <w:r>
              <w:rPr>
                <w:rFonts w:ascii="Arial" w:hAnsi="Arial"/>
                <w:sz w:val="16"/>
                <w:szCs w:val="16"/>
              </w:rPr>
              <w:t>New build</w:t>
            </w:r>
          </w:p>
        </w:tc>
        <w:tc>
          <w:tcPr>
            <w:tcW w:w="3128" w:type="dxa"/>
            <w:shd w:val="clear" w:color="auto" w:fill="auto"/>
            <w:vAlign w:val="center"/>
          </w:tcPr>
          <w:p w:rsidR="003A22D7" w:rsidRPr="003A22D7" w:rsidRDefault="001C72E7" w:rsidP="003A22D7">
            <w:pPr>
              <w:spacing w:after="0"/>
              <w:rPr>
                <w:rFonts w:ascii="Arial" w:hAnsi="Arial" w:cs="Arial"/>
                <w:sz w:val="16"/>
                <w:szCs w:val="16"/>
              </w:rPr>
            </w:pPr>
            <w:r>
              <w:rPr>
                <w:rFonts w:ascii="Arial" w:hAnsi="Arial"/>
                <w:sz w:val="16"/>
                <w:szCs w:val="16"/>
              </w:rPr>
              <w:t xml:space="preserve">Heinrich </w:t>
            </w:r>
            <w:proofErr w:type="spellStart"/>
            <w:r>
              <w:rPr>
                <w:rFonts w:ascii="Arial" w:hAnsi="Arial"/>
                <w:sz w:val="16"/>
                <w:szCs w:val="16"/>
              </w:rPr>
              <w:t>Dehn</w:t>
            </w:r>
            <w:proofErr w:type="spellEnd"/>
            <w:r>
              <w:rPr>
                <w:rFonts w:ascii="Arial" w:hAnsi="Arial"/>
                <w:sz w:val="16"/>
                <w:szCs w:val="16"/>
              </w:rPr>
              <w:t xml:space="preserve"> Internationale </w:t>
            </w:r>
            <w:proofErr w:type="spellStart"/>
            <w:r>
              <w:rPr>
                <w:rFonts w:ascii="Arial" w:hAnsi="Arial"/>
                <w:sz w:val="16"/>
                <w:szCs w:val="16"/>
              </w:rPr>
              <w:t>Spedition</w:t>
            </w:r>
            <w:proofErr w:type="spellEnd"/>
          </w:p>
        </w:tc>
        <w:tc>
          <w:tcPr>
            <w:tcW w:w="1124" w:type="dxa"/>
            <w:shd w:val="clear" w:color="auto" w:fill="auto"/>
            <w:vAlign w:val="center"/>
          </w:tcPr>
          <w:p w:rsidR="003A22D7" w:rsidRPr="003A22D7" w:rsidRDefault="001C72E7" w:rsidP="003A22D7">
            <w:pPr>
              <w:spacing w:after="0"/>
              <w:jc w:val="center"/>
              <w:rPr>
                <w:rFonts w:ascii="Arial" w:hAnsi="Arial" w:cs="Arial"/>
                <w:sz w:val="16"/>
                <w:szCs w:val="16"/>
              </w:rPr>
            </w:pPr>
            <w:r>
              <w:rPr>
                <w:rFonts w:ascii="Arial" w:hAnsi="Arial"/>
                <w:sz w:val="16"/>
                <w:szCs w:val="16"/>
              </w:rPr>
              <w:t>15,300</w:t>
            </w:r>
          </w:p>
        </w:tc>
      </w:tr>
      <w:tr w:rsidR="00C36C38" w:rsidRPr="0017364E" w:rsidTr="00E36BD1">
        <w:trPr>
          <w:trHeight w:val="542"/>
        </w:trPr>
        <w:tc>
          <w:tcPr>
            <w:tcW w:w="1080" w:type="dxa"/>
            <w:shd w:val="clear" w:color="auto" w:fill="auto"/>
            <w:vAlign w:val="center"/>
          </w:tcPr>
          <w:p w:rsidR="00C36C38" w:rsidRPr="003A22D7" w:rsidRDefault="00E04869" w:rsidP="00C36C38">
            <w:pPr>
              <w:spacing w:before="60" w:after="60"/>
              <w:rPr>
                <w:rFonts w:ascii="Arial" w:hAnsi="Arial" w:cs="Arial"/>
                <w:sz w:val="16"/>
                <w:szCs w:val="16"/>
              </w:rPr>
            </w:pPr>
            <w:r>
              <w:rPr>
                <w:rFonts w:ascii="Arial" w:hAnsi="Arial"/>
                <w:sz w:val="16"/>
                <w:szCs w:val="16"/>
              </w:rPr>
              <w:t>Hamburg</w:t>
            </w:r>
          </w:p>
        </w:tc>
        <w:tc>
          <w:tcPr>
            <w:tcW w:w="2459" w:type="dxa"/>
            <w:shd w:val="clear" w:color="auto" w:fill="auto"/>
            <w:vAlign w:val="center"/>
          </w:tcPr>
          <w:p w:rsidR="00C36C38" w:rsidRPr="003A22D7" w:rsidRDefault="001C72E7" w:rsidP="00C36C38">
            <w:pPr>
              <w:spacing w:before="60" w:after="60"/>
              <w:rPr>
                <w:rFonts w:ascii="Arial" w:hAnsi="Arial" w:cs="Arial"/>
                <w:sz w:val="16"/>
                <w:szCs w:val="16"/>
              </w:rPr>
            </w:pPr>
            <w:proofErr w:type="spellStart"/>
            <w:r>
              <w:rPr>
                <w:rFonts w:ascii="Arial" w:hAnsi="Arial"/>
                <w:sz w:val="16"/>
                <w:szCs w:val="16"/>
              </w:rPr>
              <w:t>Bredowstrasse</w:t>
            </w:r>
            <w:proofErr w:type="spellEnd"/>
            <w:r>
              <w:rPr>
                <w:rFonts w:ascii="Arial" w:hAnsi="Arial"/>
                <w:sz w:val="16"/>
                <w:szCs w:val="16"/>
              </w:rPr>
              <w:t xml:space="preserve"> 20</w:t>
            </w:r>
          </w:p>
        </w:tc>
        <w:tc>
          <w:tcPr>
            <w:tcW w:w="1843" w:type="dxa"/>
            <w:shd w:val="clear" w:color="auto" w:fill="auto"/>
            <w:vAlign w:val="center"/>
          </w:tcPr>
          <w:p w:rsidR="00C36C38" w:rsidRPr="003A22D7" w:rsidRDefault="00B4491B" w:rsidP="00C36C38">
            <w:pPr>
              <w:spacing w:before="60" w:after="60"/>
              <w:rPr>
                <w:rFonts w:ascii="Arial" w:hAnsi="Arial" w:cs="Arial"/>
                <w:sz w:val="16"/>
                <w:szCs w:val="16"/>
              </w:rPr>
            </w:pPr>
            <w:r>
              <w:rPr>
                <w:rFonts w:ascii="Arial" w:hAnsi="Arial"/>
                <w:sz w:val="16"/>
                <w:szCs w:val="16"/>
              </w:rPr>
              <w:t>Existing building</w:t>
            </w:r>
          </w:p>
        </w:tc>
        <w:tc>
          <w:tcPr>
            <w:tcW w:w="3128" w:type="dxa"/>
            <w:shd w:val="clear" w:color="auto" w:fill="auto"/>
            <w:vAlign w:val="center"/>
          </w:tcPr>
          <w:p w:rsidR="00C36C38" w:rsidRPr="003A22D7" w:rsidRDefault="001C72E7" w:rsidP="00C36C38">
            <w:pPr>
              <w:spacing w:before="60" w:after="60"/>
              <w:rPr>
                <w:rFonts w:ascii="Arial" w:hAnsi="Arial" w:cs="Arial"/>
                <w:sz w:val="16"/>
                <w:szCs w:val="16"/>
              </w:rPr>
            </w:pPr>
            <w:r>
              <w:rPr>
                <w:rFonts w:ascii="Arial" w:hAnsi="Arial"/>
                <w:sz w:val="16"/>
                <w:szCs w:val="16"/>
              </w:rPr>
              <w:t xml:space="preserve">Teamwork </w:t>
            </w:r>
            <w:proofErr w:type="spellStart"/>
            <w:r>
              <w:rPr>
                <w:rFonts w:ascii="Arial" w:hAnsi="Arial"/>
                <w:sz w:val="16"/>
                <w:szCs w:val="16"/>
              </w:rPr>
              <w:t>Instore</w:t>
            </w:r>
            <w:proofErr w:type="spellEnd"/>
            <w:r>
              <w:rPr>
                <w:rFonts w:ascii="Arial" w:hAnsi="Arial"/>
                <w:sz w:val="16"/>
                <w:szCs w:val="16"/>
              </w:rPr>
              <w:t xml:space="preserve"> Services</w:t>
            </w:r>
          </w:p>
        </w:tc>
        <w:tc>
          <w:tcPr>
            <w:tcW w:w="1124" w:type="dxa"/>
            <w:shd w:val="clear" w:color="auto" w:fill="auto"/>
            <w:vAlign w:val="center"/>
          </w:tcPr>
          <w:p w:rsidR="00C36C38" w:rsidRPr="003A22D7" w:rsidRDefault="001C72E7" w:rsidP="003A22D7">
            <w:pPr>
              <w:spacing w:before="60" w:after="60"/>
              <w:jc w:val="center"/>
              <w:rPr>
                <w:rFonts w:ascii="Arial" w:hAnsi="Arial" w:cs="Arial"/>
                <w:sz w:val="16"/>
                <w:szCs w:val="16"/>
              </w:rPr>
            </w:pPr>
            <w:r>
              <w:rPr>
                <w:rFonts w:ascii="Arial" w:hAnsi="Arial"/>
                <w:sz w:val="16"/>
                <w:szCs w:val="16"/>
              </w:rPr>
              <w:t>13,500</w:t>
            </w:r>
          </w:p>
        </w:tc>
      </w:tr>
      <w:tr w:rsidR="003A22D7" w:rsidRPr="0017364E" w:rsidTr="00E36BD1">
        <w:trPr>
          <w:trHeight w:val="542"/>
        </w:trPr>
        <w:tc>
          <w:tcPr>
            <w:tcW w:w="1080" w:type="dxa"/>
            <w:shd w:val="clear" w:color="auto" w:fill="auto"/>
            <w:vAlign w:val="center"/>
          </w:tcPr>
          <w:p w:rsidR="003A22D7" w:rsidRPr="003A22D7" w:rsidRDefault="00E04869" w:rsidP="003A22D7">
            <w:pPr>
              <w:spacing w:after="0"/>
              <w:rPr>
                <w:rFonts w:ascii="Arial" w:hAnsi="Arial" w:cs="Arial"/>
                <w:sz w:val="16"/>
                <w:szCs w:val="16"/>
              </w:rPr>
            </w:pPr>
            <w:proofErr w:type="spellStart"/>
            <w:r>
              <w:rPr>
                <w:rFonts w:ascii="Arial" w:hAnsi="Arial"/>
                <w:sz w:val="16"/>
                <w:szCs w:val="16"/>
              </w:rPr>
              <w:t>Wenzendorf</w:t>
            </w:r>
            <w:proofErr w:type="spellEnd"/>
          </w:p>
        </w:tc>
        <w:tc>
          <w:tcPr>
            <w:tcW w:w="2459" w:type="dxa"/>
            <w:shd w:val="clear" w:color="auto" w:fill="auto"/>
            <w:vAlign w:val="center"/>
          </w:tcPr>
          <w:p w:rsidR="003A22D7" w:rsidRPr="003A22D7" w:rsidRDefault="001C72E7" w:rsidP="003A22D7">
            <w:pPr>
              <w:spacing w:after="0"/>
              <w:rPr>
                <w:rFonts w:ascii="Arial" w:hAnsi="Arial" w:cs="Arial"/>
                <w:sz w:val="16"/>
                <w:szCs w:val="16"/>
              </w:rPr>
            </w:pPr>
            <w:r>
              <w:rPr>
                <w:rFonts w:ascii="Arial" w:hAnsi="Arial"/>
                <w:sz w:val="16"/>
                <w:szCs w:val="16"/>
              </w:rPr>
              <w:t>Otto-Lilienthal-</w:t>
            </w:r>
            <w:proofErr w:type="spellStart"/>
            <w:r>
              <w:rPr>
                <w:rFonts w:ascii="Arial" w:hAnsi="Arial"/>
                <w:sz w:val="16"/>
                <w:szCs w:val="16"/>
              </w:rPr>
              <w:t>Strasse</w:t>
            </w:r>
            <w:proofErr w:type="spellEnd"/>
            <w:r>
              <w:rPr>
                <w:rFonts w:ascii="Arial" w:hAnsi="Arial"/>
                <w:sz w:val="16"/>
                <w:szCs w:val="16"/>
              </w:rPr>
              <w:t xml:space="preserve"> 1</w:t>
            </w:r>
          </w:p>
        </w:tc>
        <w:tc>
          <w:tcPr>
            <w:tcW w:w="1843" w:type="dxa"/>
            <w:shd w:val="clear" w:color="auto" w:fill="auto"/>
            <w:vAlign w:val="center"/>
          </w:tcPr>
          <w:p w:rsidR="003A22D7" w:rsidRPr="003A22D7" w:rsidRDefault="00B4491B" w:rsidP="003A22D7">
            <w:pPr>
              <w:spacing w:after="0"/>
              <w:rPr>
                <w:rFonts w:ascii="Arial" w:hAnsi="Arial" w:cs="Arial"/>
                <w:sz w:val="16"/>
                <w:szCs w:val="16"/>
              </w:rPr>
            </w:pPr>
            <w:r>
              <w:rPr>
                <w:rFonts w:ascii="Arial" w:hAnsi="Arial"/>
                <w:sz w:val="16"/>
                <w:szCs w:val="16"/>
              </w:rPr>
              <w:t>Existing building</w:t>
            </w:r>
          </w:p>
        </w:tc>
        <w:tc>
          <w:tcPr>
            <w:tcW w:w="3128" w:type="dxa"/>
            <w:shd w:val="clear" w:color="auto" w:fill="auto"/>
            <w:vAlign w:val="center"/>
          </w:tcPr>
          <w:p w:rsidR="003A22D7" w:rsidRPr="003A22D7" w:rsidRDefault="001C72E7" w:rsidP="003A22D7">
            <w:pPr>
              <w:spacing w:after="0"/>
              <w:rPr>
                <w:rFonts w:ascii="Arial" w:hAnsi="Arial" w:cs="Arial"/>
                <w:sz w:val="16"/>
                <w:szCs w:val="16"/>
              </w:rPr>
            </w:pPr>
            <w:r>
              <w:rPr>
                <w:rFonts w:ascii="Arial" w:hAnsi="Arial"/>
                <w:sz w:val="16"/>
                <w:szCs w:val="16"/>
              </w:rPr>
              <w:t>DSV Solutions</w:t>
            </w:r>
          </w:p>
        </w:tc>
        <w:tc>
          <w:tcPr>
            <w:tcW w:w="1124" w:type="dxa"/>
            <w:shd w:val="clear" w:color="auto" w:fill="auto"/>
            <w:vAlign w:val="center"/>
          </w:tcPr>
          <w:p w:rsidR="003A22D7" w:rsidRPr="003A22D7" w:rsidRDefault="001C72E7" w:rsidP="003A22D7">
            <w:pPr>
              <w:spacing w:after="0"/>
              <w:jc w:val="center"/>
              <w:rPr>
                <w:rFonts w:ascii="Arial" w:hAnsi="Arial" w:cs="Arial"/>
                <w:sz w:val="16"/>
                <w:szCs w:val="16"/>
              </w:rPr>
            </w:pPr>
            <w:r>
              <w:rPr>
                <w:rFonts w:ascii="Arial" w:hAnsi="Arial"/>
                <w:sz w:val="16"/>
                <w:szCs w:val="16"/>
              </w:rPr>
              <w:t>9,500</w:t>
            </w:r>
          </w:p>
        </w:tc>
      </w:tr>
      <w:tr w:rsidR="003A22D7" w:rsidRPr="0017364E" w:rsidTr="00E36BD1">
        <w:trPr>
          <w:trHeight w:val="542"/>
        </w:trPr>
        <w:tc>
          <w:tcPr>
            <w:tcW w:w="1080" w:type="dxa"/>
            <w:shd w:val="clear" w:color="auto" w:fill="auto"/>
            <w:vAlign w:val="center"/>
          </w:tcPr>
          <w:p w:rsidR="003A22D7" w:rsidRPr="003A22D7" w:rsidRDefault="00E04869" w:rsidP="003A22D7">
            <w:pPr>
              <w:spacing w:after="0"/>
              <w:rPr>
                <w:rFonts w:ascii="Arial" w:hAnsi="Arial" w:cs="Arial"/>
                <w:sz w:val="16"/>
                <w:szCs w:val="16"/>
              </w:rPr>
            </w:pPr>
            <w:r>
              <w:rPr>
                <w:rFonts w:ascii="Arial" w:hAnsi="Arial"/>
                <w:sz w:val="16"/>
                <w:szCs w:val="16"/>
              </w:rPr>
              <w:t>Hamburg</w:t>
            </w:r>
          </w:p>
        </w:tc>
        <w:tc>
          <w:tcPr>
            <w:tcW w:w="2459" w:type="dxa"/>
            <w:shd w:val="clear" w:color="auto" w:fill="auto"/>
            <w:vAlign w:val="center"/>
          </w:tcPr>
          <w:p w:rsidR="003A22D7" w:rsidRPr="003A22D7" w:rsidRDefault="001C72E7" w:rsidP="003A22D7">
            <w:pPr>
              <w:spacing w:after="0"/>
              <w:rPr>
                <w:rFonts w:ascii="Arial" w:hAnsi="Arial" w:cs="Arial"/>
                <w:sz w:val="16"/>
                <w:szCs w:val="16"/>
              </w:rPr>
            </w:pPr>
            <w:proofErr w:type="spellStart"/>
            <w:r>
              <w:rPr>
                <w:rFonts w:ascii="Arial" w:hAnsi="Arial"/>
                <w:sz w:val="16"/>
                <w:szCs w:val="16"/>
              </w:rPr>
              <w:t>Pinkertweg</w:t>
            </w:r>
            <w:proofErr w:type="spellEnd"/>
            <w:r>
              <w:rPr>
                <w:rFonts w:ascii="Arial" w:hAnsi="Arial"/>
                <w:sz w:val="16"/>
                <w:szCs w:val="16"/>
              </w:rPr>
              <w:t xml:space="preserve"> 20</w:t>
            </w:r>
          </w:p>
        </w:tc>
        <w:tc>
          <w:tcPr>
            <w:tcW w:w="1843" w:type="dxa"/>
            <w:shd w:val="clear" w:color="auto" w:fill="auto"/>
            <w:vAlign w:val="center"/>
          </w:tcPr>
          <w:p w:rsidR="003A22D7" w:rsidRPr="003A22D7" w:rsidRDefault="00B4491B" w:rsidP="003A22D7">
            <w:pPr>
              <w:spacing w:after="0"/>
              <w:rPr>
                <w:rFonts w:ascii="Arial" w:hAnsi="Arial" w:cs="Arial"/>
                <w:sz w:val="16"/>
                <w:szCs w:val="16"/>
              </w:rPr>
            </w:pPr>
            <w:r>
              <w:rPr>
                <w:rFonts w:ascii="Arial" w:hAnsi="Arial"/>
                <w:sz w:val="16"/>
                <w:szCs w:val="16"/>
              </w:rPr>
              <w:t>Existing building</w:t>
            </w:r>
          </w:p>
        </w:tc>
        <w:tc>
          <w:tcPr>
            <w:tcW w:w="3128" w:type="dxa"/>
            <w:shd w:val="clear" w:color="auto" w:fill="auto"/>
            <w:vAlign w:val="center"/>
          </w:tcPr>
          <w:p w:rsidR="003A22D7" w:rsidRPr="003A22D7" w:rsidRDefault="001C72E7" w:rsidP="003A22D7">
            <w:pPr>
              <w:spacing w:after="0"/>
              <w:rPr>
                <w:rFonts w:ascii="Arial" w:hAnsi="Arial" w:cs="Arial"/>
                <w:sz w:val="16"/>
                <w:szCs w:val="16"/>
              </w:rPr>
            </w:pPr>
            <w:r>
              <w:rPr>
                <w:rFonts w:ascii="Arial" w:hAnsi="Arial"/>
                <w:sz w:val="16"/>
                <w:szCs w:val="16"/>
              </w:rPr>
              <w:t>TSIT</w:t>
            </w:r>
          </w:p>
        </w:tc>
        <w:tc>
          <w:tcPr>
            <w:tcW w:w="1124" w:type="dxa"/>
            <w:shd w:val="clear" w:color="auto" w:fill="auto"/>
            <w:vAlign w:val="center"/>
          </w:tcPr>
          <w:p w:rsidR="003A22D7" w:rsidRPr="003A22D7" w:rsidRDefault="001C72E7" w:rsidP="003A22D7">
            <w:pPr>
              <w:spacing w:after="0"/>
              <w:jc w:val="center"/>
              <w:rPr>
                <w:rFonts w:ascii="Arial" w:hAnsi="Arial" w:cs="Arial"/>
                <w:sz w:val="16"/>
                <w:szCs w:val="16"/>
              </w:rPr>
            </w:pPr>
            <w:r>
              <w:rPr>
                <w:rFonts w:ascii="Arial" w:hAnsi="Arial"/>
                <w:sz w:val="16"/>
                <w:szCs w:val="16"/>
              </w:rPr>
              <w:t>8,000</w:t>
            </w:r>
          </w:p>
        </w:tc>
      </w:tr>
    </w:tbl>
    <w:p w:rsidR="009A3457" w:rsidRDefault="009A3457" w:rsidP="00587FDA">
      <w:pPr>
        <w:spacing w:after="0" w:line="360" w:lineRule="auto"/>
        <w:rPr>
          <w:rFonts w:ascii="Arial" w:eastAsia="Arial" w:hAnsi="Arial" w:cs="Arial"/>
          <w:color w:val="000000" w:themeColor="text1"/>
          <w:sz w:val="20"/>
          <w:szCs w:val="20"/>
        </w:rPr>
      </w:pPr>
    </w:p>
    <w:p w:rsidR="00E36AA4" w:rsidRPr="001C40AD" w:rsidRDefault="00E36AA4" w:rsidP="00587FDA">
      <w:pPr>
        <w:spacing w:after="0" w:line="360" w:lineRule="auto"/>
        <w:rPr>
          <w:rFonts w:ascii="Arial" w:eastAsia="Arial" w:hAnsi="Arial" w:cs="Arial"/>
          <w:b/>
          <w:color w:val="000000" w:themeColor="text1"/>
          <w:sz w:val="20"/>
          <w:szCs w:val="20"/>
        </w:rPr>
      </w:pPr>
      <w:r>
        <w:rPr>
          <w:rFonts w:ascii="Arial" w:hAnsi="Arial"/>
          <w:color w:val="000000" w:themeColor="text1"/>
          <w:sz w:val="20"/>
          <w:szCs w:val="20"/>
        </w:rPr>
        <w:t xml:space="preserve">The next detailed market survey </w:t>
      </w:r>
      <w:hyperlink r:id="rId9" w:history="1">
        <w:r>
          <w:rPr>
            <w:rStyle w:val="Hyperlink"/>
            <w:rFonts w:ascii="Arial" w:hAnsi="Arial"/>
            <w:sz w:val="20"/>
            <w:szCs w:val="20"/>
          </w:rPr>
          <w:t>Industrial Properties Hamburg</w:t>
        </w:r>
      </w:hyperlink>
      <w:r>
        <w:rPr>
          <w:rFonts w:ascii="Arial" w:hAnsi="Arial"/>
          <w:color w:val="000000" w:themeColor="text1"/>
          <w:sz w:val="20"/>
          <w:szCs w:val="20"/>
        </w:rPr>
        <w:t xml:space="preserve"> will be published at the end of the </w:t>
      </w:r>
      <w:r w:rsidR="00E36BD1">
        <w:rPr>
          <w:rFonts w:ascii="Arial" w:hAnsi="Arial"/>
          <w:color w:val="000000" w:themeColor="text1"/>
          <w:sz w:val="20"/>
          <w:szCs w:val="20"/>
        </w:rPr>
        <w:t>1st</w:t>
      </w:r>
      <w:r>
        <w:rPr>
          <w:rFonts w:ascii="Arial" w:hAnsi="Arial"/>
          <w:color w:val="000000" w:themeColor="text1"/>
          <w:sz w:val="20"/>
          <w:szCs w:val="20"/>
        </w:rPr>
        <w:t xml:space="preserve"> half of 2021.</w:t>
      </w:r>
    </w:p>
    <w:p w:rsidR="006E5C9C" w:rsidRDefault="006E5C9C" w:rsidP="00587FDA">
      <w:pPr>
        <w:spacing w:after="0" w:line="360" w:lineRule="auto"/>
        <w:rPr>
          <w:rFonts w:ascii="Arial" w:hAnsi="Arial" w:cs="Arial"/>
          <w:b/>
          <w:sz w:val="16"/>
          <w:szCs w:val="16"/>
        </w:rPr>
      </w:pPr>
    </w:p>
    <w:p w:rsidR="00201338" w:rsidRDefault="00201338" w:rsidP="00587FDA">
      <w:pPr>
        <w:spacing w:after="0" w:line="360" w:lineRule="auto"/>
        <w:rPr>
          <w:rFonts w:ascii="Arial" w:hAnsi="Arial" w:cs="Arial"/>
          <w:b/>
          <w:sz w:val="16"/>
          <w:szCs w:val="16"/>
        </w:rPr>
      </w:pPr>
    </w:p>
    <w:p w:rsidR="0090748B" w:rsidRPr="0090748B" w:rsidRDefault="0090748B" w:rsidP="006C1DD8">
      <w:pPr>
        <w:spacing w:after="0" w:line="360" w:lineRule="auto"/>
        <w:rPr>
          <w:rFonts w:ascii="Arial" w:hAnsi="Arial" w:cs="Arial"/>
          <w:b/>
          <w:sz w:val="16"/>
          <w:szCs w:val="16"/>
        </w:rPr>
      </w:pPr>
      <w:r>
        <w:rPr>
          <w:rFonts w:ascii="Arial" w:hAnsi="Arial"/>
          <w:b/>
          <w:sz w:val="16"/>
          <w:szCs w:val="16"/>
        </w:rPr>
        <w:t>About Grossmann &amp; Berger</w:t>
      </w:r>
    </w:p>
    <w:p w:rsidR="00E36AA4" w:rsidRPr="001A49B0" w:rsidRDefault="00135B15" w:rsidP="00E36AA4">
      <w:pPr>
        <w:spacing w:after="0" w:line="360" w:lineRule="auto"/>
        <w:rPr>
          <w:rFonts w:ascii="Arial" w:hAnsi="Arial" w:cs="Arial"/>
          <w:sz w:val="16"/>
          <w:szCs w:val="16"/>
        </w:rPr>
      </w:pPr>
      <w:hyperlink r:id="rId10" w:history="1">
        <w:r w:rsidR="00E36AA4" w:rsidRPr="00451D07">
          <w:rPr>
            <w:rStyle w:val="Hyperlink"/>
            <w:rFonts w:ascii="Arial" w:hAnsi="Arial" w:cs="Arial"/>
            <w:snapToGrid w:val="0"/>
            <w:sz w:val="16"/>
            <w:szCs w:val="16"/>
          </w:rPr>
          <w:t>Grossmann &amp; Berger GmbH</w:t>
        </w:r>
      </w:hyperlink>
      <w:r w:rsidR="00E36AA4" w:rsidRPr="00451D07">
        <w:rPr>
          <w:rFonts w:ascii="Arial" w:hAnsi="Arial" w:cs="Arial"/>
          <w:snapToGrid w:val="0"/>
          <w:sz w:val="16"/>
          <w:szCs w:val="16"/>
        </w:rPr>
        <w:t xml:space="preserve"> is one of the leading service providers for selling and letting commercial and residential properties in North Germany. Headquartered in Hamburg, the Company has a branch office in</w:t>
      </w:r>
      <w:r w:rsidR="00E36AA4">
        <w:rPr>
          <w:rFonts w:ascii="Arial" w:hAnsi="Arial"/>
          <w:snapToGrid w:val="0"/>
          <w:sz w:val="16"/>
          <w:szCs w:val="16"/>
        </w:rPr>
        <w:t xml:space="preserve"> Berlin, fourteen property shops, and some 190 employees who cover the entire North German market. With over 85 years of experience in the business, Grossmann &amp; Berger offers a complete package of real estate expertise. </w:t>
      </w:r>
      <w:r w:rsidR="00E36AA4">
        <w:rPr>
          <w:rFonts w:ascii="Arial" w:hAnsi="Arial"/>
          <w:sz w:val="16"/>
          <w:szCs w:val="16"/>
        </w:rPr>
        <w:t xml:space="preserve">Grossmann &amp; Berger is a member of the HASPA Group of Companies, which also includes Germany's </w:t>
      </w:r>
      <w:proofErr w:type="gramStart"/>
      <w:r w:rsidR="00E36AA4">
        <w:rPr>
          <w:rFonts w:ascii="Arial" w:hAnsi="Arial"/>
          <w:sz w:val="16"/>
          <w:szCs w:val="16"/>
        </w:rPr>
        <w:t>largest</w:t>
      </w:r>
      <w:proofErr w:type="gramEnd"/>
      <w:r w:rsidR="00E36AA4">
        <w:rPr>
          <w:rFonts w:ascii="Arial" w:hAnsi="Arial"/>
          <w:sz w:val="16"/>
          <w:szCs w:val="16"/>
        </w:rPr>
        <w:t xml:space="preserve"> savings bank, Hamburger </w:t>
      </w:r>
      <w:proofErr w:type="spellStart"/>
      <w:r w:rsidR="00E36AA4">
        <w:rPr>
          <w:rFonts w:ascii="Arial" w:hAnsi="Arial"/>
          <w:sz w:val="16"/>
          <w:szCs w:val="16"/>
        </w:rPr>
        <w:t>Sparkasse</w:t>
      </w:r>
      <w:proofErr w:type="spellEnd"/>
      <w:r w:rsidR="00E36AA4">
        <w:rPr>
          <w:rFonts w:ascii="Arial" w:hAnsi="Arial"/>
          <w:sz w:val="16"/>
          <w:szCs w:val="16"/>
        </w:rPr>
        <w:t xml:space="preserve"> (</w:t>
      </w:r>
      <w:proofErr w:type="spellStart"/>
      <w:r w:rsidR="00E36AA4">
        <w:rPr>
          <w:rFonts w:ascii="Arial" w:hAnsi="Arial"/>
          <w:sz w:val="16"/>
          <w:szCs w:val="16"/>
        </w:rPr>
        <w:t>Haspa</w:t>
      </w:r>
      <w:proofErr w:type="spellEnd"/>
      <w:r w:rsidR="00E36AA4">
        <w:rPr>
          <w:rFonts w:ascii="Arial" w:hAnsi="Arial"/>
          <w:sz w:val="16"/>
          <w:szCs w:val="16"/>
        </w:rPr>
        <w:t xml:space="preserve">). Moreover, the Company is a founding member of the nation-wide commercial property network </w:t>
      </w:r>
      <w:hyperlink r:id="rId11" w:history="1">
        <w:r w:rsidR="00E36AA4">
          <w:rPr>
            <w:rStyle w:val="Hyperlink"/>
            <w:rFonts w:ascii="Arial" w:hAnsi="Arial"/>
            <w:sz w:val="16"/>
            <w:szCs w:val="16"/>
          </w:rPr>
          <w:t>German Property Partners</w:t>
        </w:r>
      </w:hyperlink>
      <w:r w:rsidR="00E36AA4">
        <w:rPr>
          <w:rFonts w:ascii="Arial" w:hAnsi="Arial"/>
          <w:sz w:val="16"/>
          <w:szCs w:val="16"/>
        </w:rPr>
        <w:t xml:space="preserve"> (GPP) and the working group of brokers associated with banks and building societies, </w:t>
      </w:r>
      <w:proofErr w:type="spellStart"/>
      <w:r w:rsidR="00E36AA4">
        <w:rPr>
          <w:rFonts w:ascii="Arial" w:hAnsi="Arial"/>
          <w:sz w:val="16"/>
          <w:szCs w:val="16"/>
        </w:rPr>
        <w:t>Arbeitsgemeinschaft</w:t>
      </w:r>
      <w:proofErr w:type="spellEnd"/>
      <w:r w:rsidR="00E36AA4">
        <w:rPr>
          <w:rFonts w:ascii="Arial" w:hAnsi="Arial"/>
          <w:sz w:val="16"/>
          <w:szCs w:val="16"/>
        </w:rPr>
        <w:t xml:space="preserve"> </w:t>
      </w:r>
      <w:proofErr w:type="spellStart"/>
      <w:r w:rsidR="00E36AA4">
        <w:rPr>
          <w:rFonts w:ascii="Arial" w:hAnsi="Arial"/>
          <w:sz w:val="16"/>
          <w:szCs w:val="16"/>
        </w:rPr>
        <w:t>ImmobilienVermittler</w:t>
      </w:r>
      <w:proofErr w:type="spellEnd"/>
      <w:r w:rsidR="00E36AA4">
        <w:rPr>
          <w:rFonts w:ascii="Arial" w:hAnsi="Arial"/>
          <w:sz w:val="16"/>
          <w:szCs w:val="16"/>
        </w:rPr>
        <w:t xml:space="preserve"> </w:t>
      </w:r>
      <w:proofErr w:type="spellStart"/>
      <w:r w:rsidR="00E36AA4">
        <w:rPr>
          <w:rFonts w:ascii="Arial" w:hAnsi="Arial"/>
          <w:sz w:val="16"/>
          <w:szCs w:val="16"/>
        </w:rPr>
        <w:t>Banken</w:t>
      </w:r>
      <w:proofErr w:type="spellEnd"/>
      <w:r w:rsidR="00E36AA4">
        <w:rPr>
          <w:rFonts w:ascii="Arial" w:hAnsi="Arial"/>
          <w:sz w:val="16"/>
          <w:szCs w:val="16"/>
        </w:rPr>
        <w:t xml:space="preserve"> </w:t>
      </w:r>
      <w:proofErr w:type="spellStart"/>
      <w:r w:rsidR="00E36AA4">
        <w:rPr>
          <w:rFonts w:ascii="Arial" w:hAnsi="Arial"/>
          <w:sz w:val="16"/>
          <w:szCs w:val="16"/>
        </w:rPr>
        <w:t>Bausparkassen</w:t>
      </w:r>
      <w:proofErr w:type="spellEnd"/>
      <w:r w:rsidR="00E36AA4">
        <w:rPr>
          <w:rFonts w:ascii="Arial" w:hAnsi="Arial"/>
          <w:sz w:val="16"/>
          <w:szCs w:val="16"/>
        </w:rPr>
        <w:t xml:space="preserve"> </w:t>
      </w:r>
      <w:proofErr w:type="spellStart"/>
      <w:r w:rsidR="00E36AA4">
        <w:rPr>
          <w:rFonts w:ascii="Arial" w:hAnsi="Arial"/>
          <w:sz w:val="16"/>
          <w:szCs w:val="16"/>
        </w:rPr>
        <w:t>e.V</w:t>
      </w:r>
      <w:proofErr w:type="spellEnd"/>
      <w:r w:rsidR="00E36AA4">
        <w:rPr>
          <w:rFonts w:ascii="Arial" w:hAnsi="Arial"/>
          <w:sz w:val="16"/>
          <w:szCs w:val="16"/>
        </w:rPr>
        <w:t>. (IVBB).</w:t>
      </w:r>
    </w:p>
    <w:p w:rsidR="0090748B" w:rsidRDefault="0090748B" w:rsidP="000C770D">
      <w:pPr>
        <w:spacing w:after="0" w:line="360" w:lineRule="auto"/>
        <w:rPr>
          <w:rFonts w:ascii="Arial" w:hAnsi="Arial" w:cs="Arial"/>
          <w:sz w:val="20"/>
          <w:szCs w:val="20"/>
        </w:rPr>
      </w:pPr>
    </w:p>
    <w:p w:rsidR="00503D8C" w:rsidRPr="00503D8C" w:rsidRDefault="003C6AB4" w:rsidP="00E36AA4">
      <w:pPr>
        <w:spacing w:after="0" w:line="360" w:lineRule="auto"/>
        <w:rPr>
          <w:rFonts w:ascii="Arial" w:hAnsi="Arial" w:cs="Arial"/>
          <w:b/>
          <w:color w:val="000000" w:themeColor="text1"/>
          <w:spacing w:val="20"/>
          <w:sz w:val="20"/>
          <w:szCs w:val="20"/>
        </w:rPr>
      </w:pPr>
      <w:r>
        <w:rPr>
          <w:rFonts w:ascii="Arial" w:hAnsi="Arial"/>
          <w:sz w:val="16"/>
          <w:szCs w:val="16"/>
        </w:rPr>
        <w:t>Please consult our website for Grossmann &amp; Berger’s</w:t>
      </w:r>
      <w:hyperlink r:id="rId12" w:history="1">
        <w:r w:rsidRPr="00E36BD1">
          <w:rPr>
            <w:rStyle w:val="Hyperlink"/>
            <w:rFonts w:ascii="Arial" w:hAnsi="Arial"/>
            <w:sz w:val="16"/>
            <w:szCs w:val="16"/>
            <w:u w:val="none"/>
          </w:rPr>
          <w:t xml:space="preserve"> </w:t>
        </w:r>
        <w:r>
          <w:rPr>
            <w:rStyle w:val="Hyperlink"/>
            <w:rFonts w:ascii="Arial" w:hAnsi="Arial"/>
            <w:sz w:val="16"/>
            <w:szCs w:val="16"/>
          </w:rPr>
          <w:t>data privacy policy</w:t>
        </w:r>
        <w:r w:rsidRPr="00E36BD1">
          <w:rPr>
            <w:rStyle w:val="Hyperlink"/>
            <w:rFonts w:ascii="Arial" w:hAnsi="Arial"/>
            <w:sz w:val="16"/>
            <w:szCs w:val="16"/>
            <w:u w:val="none"/>
          </w:rPr>
          <w:t>.</w:t>
        </w:r>
      </w:hyperlink>
      <w:r w:rsidR="00E36BD1">
        <w:rPr>
          <w:rFonts w:ascii="Arial" w:hAnsi="Arial"/>
          <w:sz w:val="16"/>
          <w:szCs w:val="16"/>
        </w:rPr>
        <w:t xml:space="preserve"> </w:t>
      </w:r>
      <w:r>
        <w:rPr>
          <w:rFonts w:ascii="Arial" w:hAnsi="Arial"/>
          <w:sz w:val="16"/>
          <w:szCs w:val="16"/>
        </w:rPr>
        <w:t xml:space="preserve">Here you will also be able to access our </w:t>
      </w:r>
      <w:hyperlink r:id="rId13" w:history="1">
        <w:r>
          <w:rPr>
            <w:rStyle w:val="Hyperlink"/>
            <w:rFonts w:ascii="Arial" w:hAnsi="Arial"/>
            <w:sz w:val="16"/>
            <w:szCs w:val="16"/>
          </w:rPr>
          <w:t>press kit</w:t>
        </w:r>
      </w:hyperlink>
      <w:r>
        <w:rPr>
          <w:rFonts w:ascii="Arial" w:hAnsi="Arial"/>
          <w:sz w:val="16"/>
          <w:szCs w:val="16"/>
        </w:rPr>
        <w:t xml:space="preserve"> and the associated </w:t>
      </w:r>
      <w:hyperlink r:id="rId14"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5" w:history="1">
        <w:r>
          <w:rPr>
            <w:rStyle w:val="Hyperlink"/>
            <w:rFonts w:ascii="Arial" w:hAnsi="Arial"/>
            <w:sz w:val="16"/>
            <w:szCs w:val="16"/>
          </w:rPr>
          <w:t>presse@grossmann-berger.de</w:t>
        </w:r>
      </w:hyperlink>
      <w:r>
        <w:rPr>
          <w:rFonts w:ascii="Arial" w:hAnsi="Arial"/>
          <w:sz w:val="16"/>
          <w:szCs w:val="16"/>
        </w:rPr>
        <w:t xml:space="preserve"> quot</w:t>
      </w:r>
      <w:r w:rsidR="00E36BD1">
        <w:rPr>
          <w:rFonts w:ascii="Arial" w:hAnsi="Arial"/>
          <w:sz w:val="16"/>
          <w:szCs w:val="16"/>
        </w:rPr>
        <w:t>ing as reference “</w:t>
      </w:r>
      <w:proofErr w:type="spellStart"/>
      <w:r w:rsidR="00E36BD1">
        <w:rPr>
          <w:rFonts w:ascii="Arial" w:hAnsi="Arial"/>
          <w:sz w:val="16"/>
          <w:szCs w:val="16"/>
        </w:rPr>
        <w:t>Abmeldung</w:t>
      </w:r>
      <w:proofErr w:type="spellEnd"/>
      <w:r w:rsidR="00E36BD1">
        <w:rPr>
          <w:rFonts w:ascii="Arial" w:hAnsi="Arial"/>
          <w:sz w:val="16"/>
          <w:szCs w:val="16"/>
        </w:rPr>
        <w:t xml:space="preserve"> </w:t>
      </w:r>
      <w:proofErr w:type="spellStart"/>
      <w:r w:rsidR="00E36BD1">
        <w:rPr>
          <w:rFonts w:ascii="Arial" w:hAnsi="Arial"/>
          <w:sz w:val="16"/>
          <w:szCs w:val="16"/>
        </w:rPr>
        <w:t>aus</w:t>
      </w:r>
      <w:proofErr w:type="spellEnd"/>
      <w:r w:rsidR="00E36BD1">
        <w:rPr>
          <w:rFonts w:ascii="Arial" w:hAnsi="Arial"/>
          <w:sz w:val="16"/>
          <w:szCs w:val="16"/>
        </w:rPr>
        <w:t xml:space="preserve"> </w:t>
      </w:r>
      <w:proofErr w:type="spellStart"/>
      <w:r w:rsidR="00E36BD1">
        <w:rPr>
          <w:rFonts w:ascii="Arial" w:hAnsi="Arial"/>
          <w:sz w:val="16"/>
          <w:szCs w:val="16"/>
        </w:rPr>
        <w:t>Presseverteiler</w:t>
      </w:r>
      <w:proofErr w:type="spellEnd"/>
      <w:r w:rsidR="00E36BD1">
        <w:rPr>
          <w:rFonts w:ascii="Arial" w:hAnsi="Arial"/>
          <w:sz w:val="16"/>
          <w:szCs w:val="16"/>
        </w:rPr>
        <w:t>”</w:t>
      </w:r>
      <w:r>
        <w:rPr>
          <w:rFonts w:ascii="Arial" w:hAnsi="Arial"/>
          <w:sz w:val="16"/>
          <w:szCs w:val="16"/>
        </w:rPr>
        <w:t xml:space="preserve"> / “Unsubscribe from press mailing list”.</w:t>
      </w:r>
    </w:p>
    <w:sectPr w:rsidR="00503D8C" w:rsidRPr="00503D8C" w:rsidSect="00D83CB7">
      <w:headerReference w:type="default" r:id="rId16"/>
      <w:footerReference w:type="default" r:id="rId17"/>
      <w:headerReference w:type="first" r:id="rId18"/>
      <w:footerReference w:type="first" r:id="rId19"/>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5E3" w:rsidRDefault="00CD55E3">
      <w:r>
        <w:separator/>
      </w:r>
    </w:p>
  </w:endnote>
  <w:endnote w:type="continuationSeparator" w:id="0">
    <w:p w:rsidR="00CD55E3" w:rsidRDefault="00CD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E36BD1">
      <w:rPr>
        <w:rFonts w:ascii="Arial" w:hAnsi="Arial"/>
        <w:b/>
        <w:bCs/>
        <w:color w:val="918F90"/>
        <w:sz w:val="18"/>
        <w:szCs w:val="18"/>
        <w:lang w:val="de-DE"/>
      </w:rPr>
      <w:t xml:space="preserve">Grossmann &amp; Berger GmbH </w:t>
    </w:r>
    <w:r w:rsidRPr="00E36BD1">
      <w:rPr>
        <w:rFonts w:ascii="Arial" w:hAnsi="Arial"/>
        <w:color w:val="918F90"/>
        <w:sz w:val="18"/>
        <w:szCs w:val="18"/>
        <w:lang w:val="de-DE"/>
      </w:rPr>
      <w:t xml:space="preserve">| </w:t>
    </w:r>
    <w:proofErr w:type="spellStart"/>
    <w:r w:rsidRPr="00E36BD1">
      <w:rPr>
        <w:rFonts w:ascii="Arial" w:hAnsi="Arial"/>
        <w:color w:val="918F90"/>
        <w:sz w:val="18"/>
        <w:szCs w:val="18"/>
        <w:lang w:val="de-DE"/>
      </w:rPr>
      <w:t>Bleichenbrücke</w:t>
    </w:r>
    <w:proofErr w:type="spellEnd"/>
    <w:r w:rsidRPr="00E36BD1">
      <w:rPr>
        <w:rFonts w:ascii="Arial" w:hAnsi="Arial"/>
        <w:color w:val="918F90"/>
        <w:sz w:val="18"/>
        <w:szCs w:val="18"/>
        <w:lang w:val="de-DE"/>
      </w:rPr>
      <w:t xml:space="preserve"> 9 | 20354 Hamburg | Tel. </w:t>
    </w:r>
    <w:r>
      <w:rPr>
        <w:rFonts w:ascii="Arial" w:hAnsi="Arial"/>
        <w:color w:val="918F90"/>
        <w:sz w:val="18"/>
        <w:szCs w:val="18"/>
      </w:rPr>
      <w:t>+49 (0)40/350 80 2-0 | www.grossmann-berger.de</w:t>
    </w:r>
  </w:p>
  <w:p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135B15">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135B15">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8D" w:rsidRDefault="008C608D">
    <w:pPr>
      <w:pStyle w:val="Fuzeile"/>
    </w:pPr>
    <w:r>
      <w:rPr>
        <w:noProof/>
        <w:lang w:val="de-DE" w:eastAsia="de-DE"/>
      </w:rPr>
      <w:drawing>
        <wp:anchor distT="0" distB="0" distL="0" distR="0" simplePos="0" relativeHeight="251659264" behindDoc="0" locked="0" layoutInCell="0" allowOverlap="1" wp14:anchorId="3C8AE65D" wp14:editId="37B4444B">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5E3" w:rsidRDefault="00CD55E3">
      <w:r>
        <w:separator/>
      </w:r>
    </w:p>
  </w:footnote>
  <w:footnote w:type="continuationSeparator" w:id="0">
    <w:p w:rsidR="00CD55E3" w:rsidRDefault="00CD5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8CB" w:rsidRPr="009E3ADA" w:rsidRDefault="006A7604" w:rsidP="006138CB">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7456" behindDoc="0" locked="0" layoutInCell="1" allowOverlap="1">
              <wp:simplePos x="0" y="0"/>
              <wp:positionH relativeFrom="margin">
                <wp:posOffset>-92208</wp:posOffset>
              </wp:positionH>
              <wp:positionV relativeFrom="paragraph">
                <wp:posOffset>7620</wp:posOffset>
              </wp:positionV>
              <wp:extent cx="4779010" cy="281940"/>
              <wp:effectExtent l="0" t="0" r="0" b="381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7.25pt;margin-top:.6pt;width:376.3pt;height: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OPCwIAAPIDAAAOAAAAZHJzL2Uyb0RvYy54bWysU9tu2zAMfR+wfxD0vjgJnKUx4hRduw4D&#10;um5Auw9QdImFSaImKbGzrx8lp2mwvQ3zgyCa5CHPIbW+HqwhBxmiBtfS2WRKiXQchHa7ln5/vn93&#10;RUlMzAlmwMmWHmWk15u3b9a9b+QcOjBCBoIgLja9b2mXkm+qKvJOWhYn4KVDp4JgWUIz7CoRWI/o&#10;1lTz6fR91UMQPgCXMeLfu9FJNwVfKcnTV6WiTMS0FHtL5Qzl3Oaz2qxZswvMd5qf2mD/0IVl2mHR&#10;M9QdS4zsg/4LymoeIIJKEw62AqU0l4UDsplN/2Dz1DEvCxcUJ/qzTPH/wfLHw7dAtGhpTYljFkf0&#10;LIekpBGkzur0PjYY9OQxLA0fYMApF6bRPwD/EYmD2465nbwJAfpOMoHdzXJmdZE64sQMsu2/gMAy&#10;bJ+gAA0q2CwdikEQHad0PE8GWyEcf9bL5Qr1oYSjb341W9VldBVrXrJ9iOmTBEvypaUBJ1/Q2eEh&#10;ptwNa15CcjEH99qYMn3jSN/S1WK+KAkXHqsTLqfRtqVX0/yN65JJfnSiJCemzXjHAsadWGeiI+U0&#10;bAcMzFJsQRyRf4BxCfHR4KWD8IuSHhewpfHnngVJifnsUMPVrEaSJBWjXiznaIRLz/bSwxxHqJYm&#10;SsbrbSpbPnK9Qa2VLjK8dnLqFRerqHN6BHlzL+0S9fpUN78BAAD//wMAUEsDBBQABgAIAAAAIQBd&#10;x2bp3QAAAAgBAAAPAAAAZHJzL2Rvd25yZXYueG1sTI/BTsMwEETvSPyDtUjcWjslKW0ap0IgriDa&#10;gsTNjbdJRLyOYrcJf89yguPqjWbeFtvJdeKCQ2g9aUjmCgRS5W1LtYbD/nm2AhGiIWs6T6jhGwNs&#10;y+urwuTWj/SGl12sBZdQyI2GJsY+lzJUDToT5r5HYnbygzORz6GWdjAjl7tOLpRaSmda4oXG9PjY&#10;YPW1OzsN7y+nz49UvdZPLutHPylJbi21vr2ZHjYgIk7xLwy/+qwOJTsd/ZlsEJ2GWZJmHGWwAMH8&#10;/m6VgDhqSLMlyLKQ/x8ofwAAAP//AwBQSwECLQAUAAYACAAAACEAtoM4kv4AAADhAQAAEwAAAAAA&#10;AAAAAAAAAAAAAAAAW0NvbnRlbnRfVHlwZXNdLnhtbFBLAQItABQABgAIAAAAIQA4/SH/1gAAAJQB&#10;AAALAAAAAAAAAAAAAAAAAC8BAABfcmVscy8ucmVsc1BLAQItABQABgAIAAAAIQAqz1OPCwIAAPID&#10;AAAOAAAAAAAAAAAAAAAAAC4CAABkcnMvZTJvRG9jLnhtbFBLAQItABQABgAIAAAAIQBdx2bp3QAA&#10;AAgBAAAPAAAAAAAAAAAAAAAAAGUEAABkcnMvZG93bnJldi54bWxQSwUGAAAAAAQABADzAAAAbwUA&#10;AAAA&#10;" filled="f" stroked="f">
              <v:textbox>
                <w:txbxContent>
                  <w:p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B7" w:rsidRDefault="006A7604" w:rsidP="000C770D">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5408" behindDoc="0" locked="0" layoutInCell="1" allowOverlap="1">
              <wp:simplePos x="0" y="0"/>
              <wp:positionH relativeFrom="margin">
                <wp:posOffset>-74626</wp:posOffset>
              </wp:positionH>
              <wp:positionV relativeFrom="paragraph">
                <wp:posOffset>8890</wp:posOffset>
              </wp:positionV>
              <wp:extent cx="4832798" cy="281940"/>
              <wp:effectExtent l="0" t="0" r="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798" cy="281940"/>
                      </a:xfrm>
                      <a:prstGeom prst="rect">
                        <a:avLst/>
                      </a:prstGeom>
                      <a:noFill/>
                      <a:ln w="9525">
                        <a:noFill/>
                        <a:miter lim="800000"/>
                        <a:headEnd/>
                        <a:tailEnd/>
                      </a:ln>
                    </wps:spPr>
                    <wps:txbx>
                      <w:txbxContent>
                        <w:p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5.9pt;margin-top:.7pt;width:380.55pt;height: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a/DgIAAPkDAAAOAAAAZHJzL2Uyb0RvYy54bWysU9tu2zAMfR+wfxD0vjjxkjUx4hRduw4D&#10;ugvQ7gMUXWJhkqhJSuzs60vJaRZsb8P8IIgmechzSK2vB2vIQYaowbV0NplSIh0Hod2upd+f7t8s&#10;KYmJOcEMONnSo4z0evP61br3jayhAyNkIAjiYtP7lnYp+aaqIu+kZXECXjp0KgiWJTTDrhKB9Yhu&#10;TVVPp++qHoLwAbiMEf/ejU66KfhKSZ6+KhVlIqal2FsqZyjnNp/VZs2aXWC+0/zUBvuHLizTDoue&#10;oe5YYmQf9F9QVvMAEVSacLAVKKW5LByQzWz6B5vHjnlZuKA40Z9liv8Pln85fAtEC5wdJY5ZHNGT&#10;HJKSRpBZVqf3scGgR49haXgPQ47MTKN/AP4jEge3HXM7eRMC9J1kArsrmdVF6ogTM8i2/wwCy7B9&#10;ggI0qGAzIIpBEB2ndDxPBlshHH/Ol2/rqxXuEkdfvZyt5mV0FWtesn2I6aMES/KlpQEnX9DZ4SEm&#10;5IGhLyG5mIN7bUyZvnGkb+lqUS9KwoXH6oTLabRt6XKav3FdMskPTpTkxLQZ71jAOKyTWWeiI+U0&#10;bIeTvCcxtyCOKEOAcRfx7eClg/CLkh73sKXx554FSYn55FDK1WyOXEkqxnxxVaMRLj3bSw9zHKFa&#10;migZr7epLPtI+QYlV7qokbscOzm1jPtVRDq9hbzAl3aJ+v1iN88AAAD//wMAUEsDBBQABgAIAAAA&#10;IQCyq7nN3QAAAAgBAAAPAAAAZHJzL2Rvd25yZXYueG1sTI/LTsMwEEX3SP0Ha5DYtXYgfYU4FQKx&#10;BbVQJHZuPE2ixuModpvw9wwruhydq3vP5JvRteKCfWg8aUhmCgRS6W1DlYbPj9fpCkSIhqxpPaGG&#10;HwywKSY3ucmsH2iLl12sBJdQyIyGOsYukzKUNToTZr5DYnb0vTORz76StjcDl7tW3iu1kM40xAu1&#10;6fC5xvK0OzsN+7fj91eq3qsXN+8GPypJbi21vrsdnx5BRBzjfxj+9FkdCnY6+DPZIFoN0yRh9cgg&#10;BcF8ma4fQBw0pPMVyCKX1w8UvwAAAP//AwBQSwECLQAUAAYACAAAACEAtoM4kv4AAADhAQAAEwAA&#10;AAAAAAAAAAAAAAAAAAAAW0NvbnRlbnRfVHlwZXNdLnhtbFBLAQItABQABgAIAAAAIQA4/SH/1gAA&#10;AJQBAAALAAAAAAAAAAAAAAAAAC8BAABfcmVscy8ucmVsc1BLAQItABQABgAIAAAAIQC2XXa/DgIA&#10;APkDAAAOAAAAAAAAAAAAAAAAAC4CAABkcnMvZTJvRG9jLnhtbFBLAQItABQABgAIAAAAIQCyq7nN&#10;3QAAAAgBAAAPAAAAAAAAAAAAAAAAAGgEAABkcnMvZG93bnJldi54bWxQSwUGAAAAAAQABADzAAAA&#10;cgUAAAAA&#10;" filled="f" stroked="f">
              <v:textbox>
                <w:txbxContent>
                  <w:p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4B1188"/>
    <w:multiLevelType w:val="hybridMultilevel"/>
    <w:tmpl w:val="034E419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0296C5D"/>
    <w:multiLevelType w:val="hybridMultilevel"/>
    <w:tmpl w:val="0FA2F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5"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6"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7"/>
  </w:num>
  <w:num w:numId="14">
    <w:abstractNumId w:val="15"/>
  </w:num>
  <w:num w:numId="15">
    <w:abstractNumId w:val="16"/>
  </w:num>
  <w:num w:numId="16">
    <w:abstractNumId w:val="1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159FE"/>
    <w:rsid w:val="00022F16"/>
    <w:rsid w:val="00023D78"/>
    <w:rsid w:val="0003075C"/>
    <w:rsid w:val="00044CC7"/>
    <w:rsid w:val="00060743"/>
    <w:rsid w:val="00066796"/>
    <w:rsid w:val="000766D7"/>
    <w:rsid w:val="0007670A"/>
    <w:rsid w:val="00082FDC"/>
    <w:rsid w:val="000A0C99"/>
    <w:rsid w:val="000A5ED1"/>
    <w:rsid w:val="000B1606"/>
    <w:rsid w:val="000B3315"/>
    <w:rsid w:val="000C770D"/>
    <w:rsid w:val="000E03F3"/>
    <w:rsid w:val="000E7BC7"/>
    <w:rsid w:val="000F726E"/>
    <w:rsid w:val="001029C4"/>
    <w:rsid w:val="00105EAA"/>
    <w:rsid w:val="0011486D"/>
    <w:rsid w:val="00121E33"/>
    <w:rsid w:val="00122A77"/>
    <w:rsid w:val="00123619"/>
    <w:rsid w:val="00126550"/>
    <w:rsid w:val="001324D6"/>
    <w:rsid w:val="00135B15"/>
    <w:rsid w:val="00135BD2"/>
    <w:rsid w:val="00135E09"/>
    <w:rsid w:val="00154825"/>
    <w:rsid w:val="0015550E"/>
    <w:rsid w:val="00163DB4"/>
    <w:rsid w:val="0017364E"/>
    <w:rsid w:val="0017516B"/>
    <w:rsid w:val="00176F1D"/>
    <w:rsid w:val="0018068D"/>
    <w:rsid w:val="001871BC"/>
    <w:rsid w:val="001A2ABE"/>
    <w:rsid w:val="001A360C"/>
    <w:rsid w:val="001C72E7"/>
    <w:rsid w:val="001D14DA"/>
    <w:rsid w:val="001E1172"/>
    <w:rsid w:val="001E6995"/>
    <w:rsid w:val="001F0C02"/>
    <w:rsid w:val="001F1513"/>
    <w:rsid w:val="00201338"/>
    <w:rsid w:val="00205769"/>
    <w:rsid w:val="00212FEC"/>
    <w:rsid w:val="002131BB"/>
    <w:rsid w:val="0022086D"/>
    <w:rsid w:val="00227E31"/>
    <w:rsid w:val="00230F81"/>
    <w:rsid w:val="002341EE"/>
    <w:rsid w:val="00237341"/>
    <w:rsid w:val="00251750"/>
    <w:rsid w:val="00254C6F"/>
    <w:rsid w:val="00255679"/>
    <w:rsid w:val="0027266B"/>
    <w:rsid w:val="00281E80"/>
    <w:rsid w:val="002834B0"/>
    <w:rsid w:val="00283671"/>
    <w:rsid w:val="00284A5D"/>
    <w:rsid w:val="00284E27"/>
    <w:rsid w:val="00294B7D"/>
    <w:rsid w:val="002A1973"/>
    <w:rsid w:val="002B14F6"/>
    <w:rsid w:val="002C055A"/>
    <w:rsid w:val="002C2392"/>
    <w:rsid w:val="002D1C5C"/>
    <w:rsid w:val="002D1E20"/>
    <w:rsid w:val="002E6860"/>
    <w:rsid w:val="002F0411"/>
    <w:rsid w:val="002F4176"/>
    <w:rsid w:val="002F4A7D"/>
    <w:rsid w:val="002F767E"/>
    <w:rsid w:val="00301F3A"/>
    <w:rsid w:val="0031494D"/>
    <w:rsid w:val="003246F0"/>
    <w:rsid w:val="00325E2A"/>
    <w:rsid w:val="003272F3"/>
    <w:rsid w:val="00345716"/>
    <w:rsid w:val="0034786C"/>
    <w:rsid w:val="003517C9"/>
    <w:rsid w:val="00357EC4"/>
    <w:rsid w:val="003627E1"/>
    <w:rsid w:val="00363EAC"/>
    <w:rsid w:val="00370000"/>
    <w:rsid w:val="00373507"/>
    <w:rsid w:val="0038230E"/>
    <w:rsid w:val="00382529"/>
    <w:rsid w:val="0039259C"/>
    <w:rsid w:val="00395ED5"/>
    <w:rsid w:val="003A00C9"/>
    <w:rsid w:val="003A22D7"/>
    <w:rsid w:val="003A25A4"/>
    <w:rsid w:val="003B49E4"/>
    <w:rsid w:val="003B4CCF"/>
    <w:rsid w:val="003B6CD4"/>
    <w:rsid w:val="003C6AB4"/>
    <w:rsid w:val="003C7E40"/>
    <w:rsid w:val="003D0A8A"/>
    <w:rsid w:val="003D2BB6"/>
    <w:rsid w:val="003E099F"/>
    <w:rsid w:val="003E4DF9"/>
    <w:rsid w:val="003F665D"/>
    <w:rsid w:val="0040086D"/>
    <w:rsid w:val="004017D8"/>
    <w:rsid w:val="00411E03"/>
    <w:rsid w:val="004123B1"/>
    <w:rsid w:val="004303A1"/>
    <w:rsid w:val="00440DC9"/>
    <w:rsid w:val="004450C4"/>
    <w:rsid w:val="004506D2"/>
    <w:rsid w:val="00451D07"/>
    <w:rsid w:val="00456F40"/>
    <w:rsid w:val="004609BD"/>
    <w:rsid w:val="004661EE"/>
    <w:rsid w:val="00466741"/>
    <w:rsid w:val="00470064"/>
    <w:rsid w:val="004843A0"/>
    <w:rsid w:val="004A2BEA"/>
    <w:rsid w:val="004A3C64"/>
    <w:rsid w:val="004A5AEA"/>
    <w:rsid w:val="004B2FDA"/>
    <w:rsid w:val="004B480A"/>
    <w:rsid w:val="004C0CA2"/>
    <w:rsid w:val="004C6712"/>
    <w:rsid w:val="004D50C0"/>
    <w:rsid w:val="004D772A"/>
    <w:rsid w:val="004E339B"/>
    <w:rsid w:val="004E4273"/>
    <w:rsid w:val="004E4562"/>
    <w:rsid w:val="004E7B3E"/>
    <w:rsid w:val="004F077F"/>
    <w:rsid w:val="005023DD"/>
    <w:rsid w:val="00503D8C"/>
    <w:rsid w:val="00510F37"/>
    <w:rsid w:val="00514293"/>
    <w:rsid w:val="00522B84"/>
    <w:rsid w:val="00530EB4"/>
    <w:rsid w:val="00531A7F"/>
    <w:rsid w:val="00534BAD"/>
    <w:rsid w:val="005360E8"/>
    <w:rsid w:val="005428C5"/>
    <w:rsid w:val="00543C55"/>
    <w:rsid w:val="0055393B"/>
    <w:rsid w:val="005554C7"/>
    <w:rsid w:val="00556F58"/>
    <w:rsid w:val="005606A6"/>
    <w:rsid w:val="00567D57"/>
    <w:rsid w:val="00580EB7"/>
    <w:rsid w:val="00582B99"/>
    <w:rsid w:val="00587FDA"/>
    <w:rsid w:val="00590903"/>
    <w:rsid w:val="005A617A"/>
    <w:rsid w:val="005B0FC9"/>
    <w:rsid w:val="005B66D3"/>
    <w:rsid w:val="005C100F"/>
    <w:rsid w:val="005C29E5"/>
    <w:rsid w:val="005C4556"/>
    <w:rsid w:val="005C5302"/>
    <w:rsid w:val="005D307B"/>
    <w:rsid w:val="005E362E"/>
    <w:rsid w:val="005F7593"/>
    <w:rsid w:val="006029D7"/>
    <w:rsid w:val="0061109D"/>
    <w:rsid w:val="00612AA0"/>
    <w:rsid w:val="006138CB"/>
    <w:rsid w:val="006224C4"/>
    <w:rsid w:val="006225EA"/>
    <w:rsid w:val="006261DF"/>
    <w:rsid w:val="00627588"/>
    <w:rsid w:val="00627692"/>
    <w:rsid w:val="00641270"/>
    <w:rsid w:val="00642074"/>
    <w:rsid w:val="006424F8"/>
    <w:rsid w:val="006752B2"/>
    <w:rsid w:val="00681CAB"/>
    <w:rsid w:val="006842EF"/>
    <w:rsid w:val="00687256"/>
    <w:rsid w:val="00692D1D"/>
    <w:rsid w:val="00695E58"/>
    <w:rsid w:val="0069757D"/>
    <w:rsid w:val="006A1329"/>
    <w:rsid w:val="006A66F9"/>
    <w:rsid w:val="006A7604"/>
    <w:rsid w:val="006C1DD8"/>
    <w:rsid w:val="006D024C"/>
    <w:rsid w:val="006D58B9"/>
    <w:rsid w:val="006E5C9C"/>
    <w:rsid w:val="006F1774"/>
    <w:rsid w:val="006F625D"/>
    <w:rsid w:val="0070224E"/>
    <w:rsid w:val="00715FB9"/>
    <w:rsid w:val="00717A20"/>
    <w:rsid w:val="00720DFF"/>
    <w:rsid w:val="00730E23"/>
    <w:rsid w:val="0074780F"/>
    <w:rsid w:val="0075428A"/>
    <w:rsid w:val="00762CC5"/>
    <w:rsid w:val="00764E36"/>
    <w:rsid w:val="00786781"/>
    <w:rsid w:val="007906B4"/>
    <w:rsid w:val="007970A0"/>
    <w:rsid w:val="007A592B"/>
    <w:rsid w:val="007B215B"/>
    <w:rsid w:val="007B4617"/>
    <w:rsid w:val="007E759D"/>
    <w:rsid w:val="007F2DBE"/>
    <w:rsid w:val="007F33B6"/>
    <w:rsid w:val="007F5D65"/>
    <w:rsid w:val="007F642D"/>
    <w:rsid w:val="007F756A"/>
    <w:rsid w:val="0080256B"/>
    <w:rsid w:val="00812471"/>
    <w:rsid w:val="008261A5"/>
    <w:rsid w:val="0083382E"/>
    <w:rsid w:val="00855325"/>
    <w:rsid w:val="00855494"/>
    <w:rsid w:val="00855D4A"/>
    <w:rsid w:val="00862E34"/>
    <w:rsid w:val="00865915"/>
    <w:rsid w:val="00871832"/>
    <w:rsid w:val="008740D8"/>
    <w:rsid w:val="00874930"/>
    <w:rsid w:val="00875FB0"/>
    <w:rsid w:val="00886360"/>
    <w:rsid w:val="00886CCE"/>
    <w:rsid w:val="008942C6"/>
    <w:rsid w:val="00896B33"/>
    <w:rsid w:val="008A486B"/>
    <w:rsid w:val="008A62FB"/>
    <w:rsid w:val="008A77B7"/>
    <w:rsid w:val="008B0F67"/>
    <w:rsid w:val="008C0F8D"/>
    <w:rsid w:val="008C608D"/>
    <w:rsid w:val="008C7E5F"/>
    <w:rsid w:val="008E461D"/>
    <w:rsid w:val="008E65DC"/>
    <w:rsid w:val="008F08E5"/>
    <w:rsid w:val="008F0EA4"/>
    <w:rsid w:val="008F38F6"/>
    <w:rsid w:val="008F5213"/>
    <w:rsid w:val="009000CF"/>
    <w:rsid w:val="0090748B"/>
    <w:rsid w:val="009101A6"/>
    <w:rsid w:val="00920C9C"/>
    <w:rsid w:val="00922754"/>
    <w:rsid w:val="00925781"/>
    <w:rsid w:val="009258D0"/>
    <w:rsid w:val="00926F5D"/>
    <w:rsid w:val="00932E7E"/>
    <w:rsid w:val="00935AB3"/>
    <w:rsid w:val="00956905"/>
    <w:rsid w:val="009646C4"/>
    <w:rsid w:val="009734CE"/>
    <w:rsid w:val="00974E78"/>
    <w:rsid w:val="0098460C"/>
    <w:rsid w:val="0099386F"/>
    <w:rsid w:val="0099413E"/>
    <w:rsid w:val="00996E1A"/>
    <w:rsid w:val="009A3457"/>
    <w:rsid w:val="009B1E98"/>
    <w:rsid w:val="009B4392"/>
    <w:rsid w:val="009B7D09"/>
    <w:rsid w:val="009D24DA"/>
    <w:rsid w:val="009D35EC"/>
    <w:rsid w:val="009D5D75"/>
    <w:rsid w:val="009E0C0B"/>
    <w:rsid w:val="009F32A2"/>
    <w:rsid w:val="009F54CE"/>
    <w:rsid w:val="00A05C3F"/>
    <w:rsid w:val="00A06264"/>
    <w:rsid w:val="00A10FB6"/>
    <w:rsid w:val="00A1639A"/>
    <w:rsid w:val="00A215C9"/>
    <w:rsid w:val="00A443FF"/>
    <w:rsid w:val="00A46F56"/>
    <w:rsid w:val="00A5364B"/>
    <w:rsid w:val="00A615E0"/>
    <w:rsid w:val="00A65E2B"/>
    <w:rsid w:val="00A74AA0"/>
    <w:rsid w:val="00A7546D"/>
    <w:rsid w:val="00A77100"/>
    <w:rsid w:val="00AA4D97"/>
    <w:rsid w:val="00AC41D5"/>
    <w:rsid w:val="00AD17B7"/>
    <w:rsid w:val="00AE4157"/>
    <w:rsid w:val="00AF08D2"/>
    <w:rsid w:val="00B069C5"/>
    <w:rsid w:val="00B06D1B"/>
    <w:rsid w:val="00B077D5"/>
    <w:rsid w:val="00B16A78"/>
    <w:rsid w:val="00B200E4"/>
    <w:rsid w:val="00B210A4"/>
    <w:rsid w:val="00B26FFD"/>
    <w:rsid w:val="00B35B6D"/>
    <w:rsid w:val="00B35DC6"/>
    <w:rsid w:val="00B40403"/>
    <w:rsid w:val="00B42F67"/>
    <w:rsid w:val="00B4491B"/>
    <w:rsid w:val="00B51699"/>
    <w:rsid w:val="00B53FAF"/>
    <w:rsid w:val="00B60999"/>
    <w:rsid w:val="00B63153"/>
    <w:rsid w:val="00B6527D"/>
    <w:rsid w:val="00B73B3A"/>
    <w:rsid w:val="00B74507"/>
    <w:rsid w:val="00B75718"/>
    <w:rsid w:val="00B75E7E"/>
    <w:rsid w:val="00B93817"/>
    <w:rsid w:val="00B9391B"/>
    <w:rsid w:val="00B9664E"/>
    <w:rsid w:val="00B9682D"/>
    <w:rsid w:val="00BA0849"/>
    <w:rsid w:val="00BA0B96"/>
    <w:rsid w:val="00BB15DA"/>
    <w:rsid w:val="00BB340D"/>
    <w:rsid w:val="00BC2A3A"/>
    <w:rsid w:val="00BC3E27"/>
    <w:rsid w:val="00BC64EC"/>
    <w:rsid w:val="00BD073D"/>
    <w:rsid w:val="00BE4198"/>
    <w:rsid w:val="00BF3AFD"/>
    <w:rsid w:val="00BF6593"/>
    <w:rsid w:val="00C12F1D"/>
    <w:rsid w:val="00C1606C"/>
    <w:rsid w:val="00C23180"/>
    <w:rsid w:val="00C26F94"/>
    <w:rsid w:val="00C2798B"/>
    <w:rsid w:val="00C36C38"/>
    <w:rsid w:val="00C41492"/>
    <w:rsid w:val="00C502EC"/>
    <w:rsid w:val="00C50874"/>
    <w:rsid w:val="00C51419"/>
    <w:rsid w:val="00C702B5"/>
    <w:rsid w:val="00C70389"/>
    <w:rsid w:val="00C748A6"/>
    <w:rsid w:val="00C904B6"/>
    <w:rsid w:val="00C90A75"/>
    <w:rsid w:val="00C96DF4"/>
    <w:rsid w:val="00CA6A66"/>
    <w:rsid w:val="00CC1337"/>
    <w:rsid w:val="00CC2514"/>
    <w:rsid w:val="00CC48DF"/>
    <w:rsid w:val="00CD4A91"/>
    <w:rsid w:val="00CD55E3"/>
    <w:rsid w:val="00CD70E7"/>
    <w:rsid w:val="00CD7363"/>
    <w:rsid w:val="00CE0964"/>
    <w:rsid w:val="00CE0C1F"/>
    <w:rsid w:val="00CE455F"/>
    <w:rsid w:val="00CF0BF9"/>
    <w:rsid w:val="00CF5957"/>
    <w:rsid w:val="00D02D0D"/>
    <w:rsid w:val="00D04BA2"/>
    <w:rsid w:val="00D077B0"/>
    <w:rsid w:val="00D13F86"/>
    <w:rsid w:val="00D22D42"/>
    <w:rsid w:val="00D232F7"/>
    <w:rsid w:val="00D36D8D"/>
    <w:rsid w:val="00D45711"/>
    <w:rsid w:val="00D500FC"/>
    <w:rsid w:val="00D51597"/>
    <w:rsid w:val="00D5326E"/>
    <w:rsid w:val="00D55867"/>
    <w:rsid w:val="00D634A3"/>
    <w:rsid w:val="00D64886"/>
    <w:rsid w:val="00D713A7"/>
    <w:rsid w:val="00D72339"/>
    <w:rsid w:val="00D73E47"/>
    <w:rsid w:val="00D74ABB"/>
    <w:rsid w:val="00D77B6E"/>
    <w:rsid w:val="00D83CB7"/>
    <w:rsid w:val="00D97FA8"/>
    <w:rsid w:val="00DA2E1E"/>
    <w:rsid w:val="00DB4363"/>
    <w:rsid w:val="00DC7B25"/>
    <w:rsid w:val="00DD422D"/>
    <w:rsid w:val="00DD6B73"/>
    <w:rsid w:val="00DE23F8"/>
    <w:rsid w:val="00DE7CC2"/>
    <w:rsid w:val="00E04869"/>
    <w:rsid w:val="00E05CF6"/>
    <w:rsid w:val="00E112C9"/>
    <w:rsid w:val="00E1314C"/>
    <w:rsid w:val="00E138AB"/>
    <w:rsid w:val="00E158F7"/>
    <w:rsid w:val="00E2087E"/>
    <w:rsid w:val="00E2636D"/>
    <w:rsid w:val="00E34976"/>
    <w:rsid w:val="00E36818"/>
    <w:rsid w:val="00E36AA4"/>
    <w:rsid w:val="00E36BD1"/>
    <w:rsid w:val="00E47B97"/>
    <w:rsid w:val="00E5010B"/>
    <w:rsid w:val="00E5203C"/>
    <w:rsid w:val="00E634CC"/>
    <w:rsid w:val="00E64B2E"/>
    <w:rsid w:val="00E70EF5"/>
    <w:rsid w:val="00E82F0E"/>
    <w:rsid w:val="00E90644"/>
    <w:rsid w:val="00E95F89"/>
    <w:rsid w:val="00E96FAC"/>
    <w:rsid w:val="00EA129F"/>
    <w:rsid w:val="00EA6822"/>
    <w:rsid w:val="00EB7A31"/>
    <w:rsid w:val="00ED0582"/>
    <w:rsid w:val="00ED1262"/>
    <w:rsid w:val="00ED7374"/>
    <w:rsid w:val="00EE31F6"/>
    <w:rsid w:val="00EE36DC"/>
    <w:rsid w:val="00F044EE"/>
    <w:rsid w:val="00F2157F"/>
    <w:rsid w:val="00F25B1B"/>
    <w:rsid w:val="00F32201"/>
    <w:rsid w:val="00F3320B"/>
    <w:rsid w:val="00F40E92"/>
    <w:rsid w:val="00F41947"/>
    <w:rsid w:val="00F435AA"/>
    <w:rsid w:val="00F46168"/>
    <w:rsid w:val="00F6611E"/>
    <w:rsid w:val="00F71846"/>
    <w:rsid w:val="00F76C6A"/>
    <w:rsid w:val="00F83BF1"/>
    <w:rsid w:val="00F869C3"/>
    <w:rsid w:val="00F90CB9"/>
    <w:rsid w:val="00F93E08"/>
    <w:rsid w:val="00F97373"/>
    <w:rsid w:val="00FA0254"/>
    <w:rsid w:val="00FA6854"/>
    <w:rsid w:val="00FB064F"/>
    <w:rsid w:val="00FB0F6B"/>
    <w:rsid w:val="00FB144F"/>
    <w:rsid w:val="00FB159A"/>
    <w:rsid w:val="00FB4D77"/>
    <w:rsid w:val="00FC497D"/>
    <w:rsid w:val="00FD076B"/>
    <w:rsid w:val="00FE1986"/>
    <w:rsid w:val="00FE43D5"/>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EF16279"/>
  <w15:docId w15:val="{A93C23A6-9722-4FF7-A55F-A0FFA6B6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table" w:customStyle="1" w:styleId="TableGrid1">
    <w:name w:val="Table Grid1"/>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rossmann-berger.de/news/pressemapp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ossmann-berger.de/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rmanpropertypartners.de/de/" TargetMode="External"/><Relationship Id="rId5" Type="http://schemas.openxmlformats.org/officeDocument/2006/relationships/webSettings" Target="webSettings.xml"/><Relationship Id="rId15" Type="http://schemas.openxmlformats.org/officeDocument/2006/relationships/hyperlink" Target="mailto:presse@grossmann-berger.de" TargetMode="External"/><Relationship Id="rId10" Type="http://schemas.openxmlformats.org/officeDocument/2006/relationships/hyperlink" Target="https://www.grossmann-berger.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rossmann-berger.de/marktbericht/gewerbe/industrie-lager-logistik/" TargetMode="External"/><Relationship Id="rId14" Type="http://schemas.openxmlformats.org/officeDocument/2006/relationships/hyperlink" Target="file:///\\file01\Marketing\Presse\Vorlagen\20180517_Dokumentation%20der%20Verarbeitungstaetigkeit%20nach%20DSGVO_Presse.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EE028-7E00-4658-AE70-1AD938BB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5094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3</cp:revision>
  <cp:lastPrinted>2021-04-21T08:41:00Z</cp:lastPrinted>
  <dcterms:created xsi:type="dcterms:W3CDTF">2021-04-22T07:01:00Z</dcterms:created>
  <dcterms:modified xsi:type="dcterms:W3CDTF">2021-04-22T12:52:00Z</dcterms:modified>
</cp:coreProperties>
</file>