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33C6FDA2" w:rsidR="000B1E51" w:rsidRPr="004D02F0" w:rsidRDefault="00436816" w:rsidP="00462FC6">
      <w:pPr>
        <w:widowControl w:val="0"/>
        <w:spacing w:after="40"/>
        <w:rPr>
          <w:rFonts w:ascii="Arial" w:hAnsi="Arial" w:cs="Arial"/>
          <w:b/>
          <w:color w:val="000000" w:themeColor="text1"/>
          <w:sz w:val="40"/>
          <w:szCs w:val="40"/>
        </w:rPr>
      </w:pPr>
      <w:r>
        <w:rPr>
          <w:noProof/>
          <w:color w:val="000000" w:themeColor="text1"/>
          <w:lang w:val="de-DE"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 xml:space="preserve">E-Mail: </w:t>
                            </w:r>
                            <w:proofErr w:type="spellStart"/>
                            <w:r>
                              <w:rPr>
                                <w:rFonts w:ascii="Arial" w:hAnsi="Arial"/>
                                <w:color w:val="808080" w:themeColor="background1" w:themeShade="80"/>
                                <w:sz w:val="16"/>
                                <w:szCs w:val="16"/>
                              </w:rPr>
                              <w:t>presse@germanpropertypartners.de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v:textbox>
              </v:shape>
            </w:pict>
          </mc:Fallback>
        </mc:AlternateContent>
      </w:r>
      <w:r>
        <w:rPr>
          <w:noProof/>
          <w:color w:val="000000" w:themeColor="text1"/>
          <w:lang w:val="de-DE"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v:textbox>
              </v:shape>
            </w:pict>
          </mc:Fallback>
        </mc:AlternateContent>
      </w:r>
      <w:bookmarkStart w:id="0" w:name="_Hlk526187594"/>
      <w:r>
        <w:rPr>
          <w:rFonts w:ascii="Arial" w:hAnsi="Arial"/>
          <w:color w:val="000000" w:themeColor="text1"/>
          <w:sz w:val="40"/>
          <w:szCs w:val="40"/>
        </w:rPr>
        <w:t xml:space="preserve">TOP 7 INVESTMENT MARKETS </w:t>
      </w:r>
      <w:bookmarkEnd w:id="0"/>
      <w:r w:rsidR="002841B3">
        <w:rPr>
          <w:rFonts w:ascii="Arial" w:hAnsi="Arial"/>
          <w:color w:val="000000" w:themeColor="text1"/>
          <w:sz w:val="40"/>
          <w:szCs w:val="40"/>
        </w:rPr>
        <w:t>Q2</w:t>
      </w:r>
      <w:r>
        <w:rPr>
          <w:rFonts w:ascii="Arial" w:hAnsi="Arial"/>
          <w:color w:val="000000" w:themeColor="text1"/>
          <w:sz w:val="40"/>
          <w:szCs w:val="40"/>
        </w:rPr>
        <w:t>/2021</w:t>
      </w:r>
    </w:p>
    <w:p w14:paraId="3B735A9E" w14:textId="66C7B994" w:rsidR="00073A8E" w:rsidRPr="00D02362" w:rsidRDefault="00A643AD" w:rsidP="00462FC6">
      <w:pPr>
        <w:widowControl w:val="0"/>
        <w:spacing w:after="120"/>
        <w:rPr>
          <w:rFonts w:ascii="Arial" w:hAnsi="Arial" w:cs="Arial"/>
          <w:b/>
          <w:caps/>
          <w:sz w:val="40"/>
          <w:szCs w:val="40"/>
        </w:rPr>
      </w:pPr>
      <w:r>
        <w:rPr>
          <w:rFonts w:ascii="Arial" w:hAnsi="Arial"/>
          <w:b/>
          <w:caps/>
          <w:sz w:val="40"/>
          <w:szCs w:val="40"/>
        </w:rPr>
        <w:t xml:space="preserve">Market activity varies </w:t>
      </w:r>
      <w:r w:rsidR="001D58C8">
        <w:rPr>
          <w:rFonts w:ascii="Arial" w:hAnsi="Arial"/>
          <w:b/>
          <w:caps/>
          <w:sz w:val="40"/>
          <w:szCs w:val="40"/>
        </w:rPr>
        <w:t xml:space="preserve">VERY </w:t>
      </w:r>
      <w:r>
        <w:rPr>
          <w:rFonts w:ascii="Arial" w:hAnsi="Arial"/>
          <w:b/>
          <w:caps/>
          <w:sz w:val="40"/>
          <w:szCs w:val="40"/>
        </w:rPr>
        <w:t xml:space="preserve">widely </w:t>
      </w:r>
    </w:p>
    <w:p w14:paraId="28BEC29F" w14:textId="7B8F866E" w:rsidR="007D3839" w:rsidRDefault="00224B51" w:rsidP="004C416A">
      <w:pPr>
        <w:widowControl w:val="0"/>
        <w:spacing w:after="120"/>
        <w:jc w:val="center"/>
        <w:rPr>
          <w:rFonts w:ascii="Arial" w:hAnsi="Arial" w:cs="Arial"/>
          <w:b/>
          <w:sz w:val="20"/>
          <w:szCs w:val="20"/>
        </w:rPr>
      </w:pPr>
      <w:r>
        <w:rPr>
          <w:noProof/>
          <w:lang w:val="de-DE" w:eastAsia="de-DE"/>
        </w:rPr>
        <w:drawing>
          <wp:anchor distT="0" distB="0" distL="114300" distR="114300" simplePos="0" relativeHeight="251659266" behindDoc="0" locked="0" layoutInCell="1" allowOverlap="1" wp14:anchorId="33D94CDA" wp14:editId="1F62964C">
            <wp:simplePos x="0" y="0"/>
            <wp:positionH relativeFrom="margin">
              <wp:posOffset>718185</wp:posOffset>
            </wp:positionH>
            <wp:positionV relativeFrom="margin">
              <wp:posOffset>910590</wp:posOffset>
            </wp:positionV>
            <wp:extent cx="4319905" cy="2508885"/>
            <wp:effectExtent l="0" t="0" r="4445"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19905" cy="2508885"/>
                    </a:xfrm>
                    <a:prstGeom prst="rect">
                      <a:avLst/>
                    </a:prstGeom>
                  </pic:spPr>
                </pic:pic>
              </a:graphicData>
            </a:graphic>
          </wp:anchor>
        </w:drawing>
      </w: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7B0A7C37">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1E2F6"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Pr>
          <w:rFonts w:ascii="Arial" w:hAnsi="Arial"/>
          <w:b/>
          <w:sz w:val="20"/>
          <w:szCs w:val="20"/>
        </w:rPr>
        <w:br/>
      </w:r>
    </w:p>
    <w:p w14:paraId="0D843304" w14:textId="3AE4EE1C" w:rsidR="00D02362" w:rsidRDefault="006A0566" w:rsidP="00727CFC">
      <w:pPr>
        <w:widowControl w:val="0"/>
        <w:spacing w:after="120"/>
        <w:jc w:val="both"/>
        <w:rPr>
          <w:rFonts w:ascii="Arial" w:hAnsi="Arial" w:cs="Arial"/>
          <w:b/>
          <w:sz w:val="20"/>
          <w:szCs w:val="20"/>
        </w:rPr>
      </w:pPr>
      <w:r>
        <w:rPr>
          <w:rFonts w:ascii="Arial" w:hAnsi="Arial"/>
          <w:b/>
          <w:sz w:val="20"/>
          <w:szCs w:val="20"/>
        </w:rPr>
        <w:br/>
      </w:r>
    </w:p>
    <w:p w14:paraId="35FA1C85" w14:textId="1D007D61" w:rsidR="00D02362" w:rsidRDefault="00D02362" w:rsidP="00727CFC">
      <w:pPr>
        <w:widowControl w:val="0"/>
        <w:spacing w:after="120"/>
        <w:jc w:val="both"/>
        <w:rPr>
          <w:rFonts w:ascii="Arial" w:hAnsi="Arial" w:cs="Arial"/>
          <w:b/>
          <w:sz w:val="20"/>
          <w:szCs w:val="20"/>
        </w:rPr>
      </w:pPr>
    </w:p>
    <w:p w14:paraId="7BFE03E9" w14:textId="71806ABC" w:rsidR="00D02362" w:rsidRDefault="00D02362" w:rsidP="00727CFC">
      <w:pPr>
        <w:widowControl w:val="0"/>
        <w:spacing w:after="120"/>
        <w:jc w:val="both"/>
        <w:rPr>
          <w:rFonts w:ascii="Arial" w:hAnsi="Arial" w:cs="Arial"/>
          <w:b/>
          <w:sz w:val="20"/>
          <w:szCs w:val="20"/>
        </w:rPr>
      </w:pPr>
    </w:p>
    <w:p w14:paraId="22C8795E" w14:textId="1B586448" w:rsidR="00D02362" w:rsidRDefault="00D02362" w:rsidP="00727CFC">
      <w:pPr>
        <w:widowControl w:val="0"/>
        <w:spacing w:after="120"/>
        <w:jc w:val="both"/>
        <w:rPr>
          <w:rFonts w:ascii="Arial" w:hAnsi="Arial" w:cs="Arial"/>
          <w:b/>
          <w:sz w:val="20"/>
          <w:szCs w:val="20"/>
        </w:rPr>
      </w:pPr>
    </w:p>
    <w:p w14:paraId="22E4578B" w14:textId="6213F371" w:rsidR="00D02362" w:rsidRDefault="00D02362" w:rsidP="00727CFC">
      <w:pPr>
        <w:widowControl w:val="0"/>
        <w:spacing w:after="120"/>
        <w:jc w:val="both"/>
        <w:rPr>
          <w:rFonts w:ascii="Arial" w:hAnsi="Arial" w:cs="Arial"/>
          <w:b/>
          <w:sz w:val="20"/>
          <w:szCs w:val="20"/>
        </w:rPr>
      </w:pPr>
    </w:p>
    <w:p w14:paraId="4F1AD27F" w14:textId="77777777" w:rsidR="00D02362" w:rsidRDefault="00D02362" w:rsidP="00727CFC">
      <w:pPr>
        <w:widowControl w:val="0"/>
        <w:spacing w:after="120"/>
        <w:jc w:val="both"/>
        <w:rPr>
          <w:rFonts w:ascii="Arial" w:hAnsi="Arial" w:cs="Arial"/>
          <w:b/>
          <w:sz w:val="20"/>
          <w:szCs w:val="20"/>
        </w:rPr>
      </w:pPr>
    </w:p>
    <w:p w14:paraId="1FF41F7C" w14:textId="77777777" w:rsidR="00D02362" w:rsidRDefault="00D02362" w:rsidP="00727CFC">
      <w:pPr>
        <w:widowControl w:val="0"/>
        <w:spacing w:after="120"/>
        <w:jc w:val="both"/>
        <w:rPr>
          <w:rFonts w:ascii="Arial" w:hAnsi="Arial" w:cs="Arial"/>
          <w:b/>
          <w:sz w:val="20"/>
          <w:szCs w:val="20"/>
        </w:rPr>
      </w:pPr>
    </w:p>
    <w:p w14:paraId="3D852292" w14:textId="77777777" w:rsidR="00D02362" w:rsidRDefault="00D02362" w:rsidP="00727CFC">
      <w:pPr>
        <w:widowControl w:val="0"/>
        <w:spacing w:after="120"/>
        <w:jc w:val="both"/>
        <w:rPr>
          <w:rFonts w:ascii="Arial" w:hAnsi="Arial" w:cs="Arial"/>
          <w:b/>
          <w:sz w:val="20"/>
          <w:szCs w:val="20"/>
        </w:rPr>
      </w:pPr>
    </w:p>
    <w:p w14:paraId="75923157" w14:textId="77777777" w:rsidR="00D02362" w:rsidRDefault="00D02362" w:rsidP="00727CFC">
      <w:pPr>
        <w:widowControl w:val="0"/>
        <w:spacing w:after="120"/>
        <w:jc w:val="both"/>
        <w:rPr>
          <w:rFonts w:ascii="Arial" w:hAnsi="Arial" w:cs="Arial"/>
          <w:b/>
          <w:sz w:val="20"/>
          <w:szCs w:val="20"/>
        </w:rPr>
      </w:pPr>
    </w:p>
    <w:p w14:paraId="3DA8D00C" w14:textId="77777777" w:rsidR="00D02362" w:rsidRDefault="00D02362" w:rsidP="00727CFC">
      <w:pPr>
        <w:widowControl w:val="0"/>
        <w:spacing w:after="120"/>
        <w:jc w:val="both"/>
        <w:rPr>
          <w:rFonts w:ascii="Arial" w:hAnsi="Arial" w:cs="Arial"/>
          <w:b/>
          <w:sz w:val="20"/>
          <w:szCs w:val="20"/>
        </w:rPr>
      </w:pPr>
    </w:p>
    <w:p w14:paraId="34DAE7F7" w14:textId="77777777" w:rsidR="00D02362" w:rsidRDefault="00D02362" w:rsidP="00727CFC">
      <w:pPr>
        <w:widowControl w:val="0"/>
        <w:spacing w:after="120"/>
        <w:jc w:val="both"/>
        <w:rPr>
          <w:rFonts w:ascii="Arial" w:hAnsi="Arial" w:cs="Arial"/>
          <w:b/>
          <w:sz w:val="20"/>
          <w:szCs w:val="20"/>
        </w:rPr>
      </w:pPr>
    </w:p>
    <w:p w14:paraId="6DF6352E" w14:textId="4085296F" w:rsidR="00F804F3" w:rsidRDefault="00F804F3" w:rsidP="00727CFC">
      <w:pPr>
        <w:widowControl w:val="0"/>
        <w:spacing w:after="120"/>
        <w:jc w:val="both"/>
        <w:rPr>
          <w:rFonts w:ascii="Arial" w:hAnsi="Arial" w:cs="Arial"/>
          <w:bCs/>
          <w:sz w:val="20"/>
          <w:szCs w:val="20"/>
        </w:rPr>
      </w:pPr>
      <w:r>
        <w:rPr>
          <w:rFonts w:ascii="Arial" w:hAnsi="Arial"/>
          <w:b/>
          <w:sz w:val="20"/>
          <w:szCs w:val="20"/>
        </w:rPr>
        <w:t xml:space="preserve">02 July 2021, </w:t>
      </w:r>
      <w:bookmarkStart w:id="3" w:name="_Hlk486831588"/>
      <w:r>
        <w:rPr>
          <w:rFonts w:ascii="Arial" w:hAnsi="Arial"/>
          <w:b/>
          <w:sz w:val="20"/>
          <w:szCs w:val="20"/>
        </w:rPr>
        <w:t>Hamburg.</w:t>
      </w:r>
      <w:r>
        <w:rPr>
          <w:rFonts w:ascii="Arial" w:hAnsi="Arial"/>
          <w:bCs/>
          <w:sz w:val="20"/>
          <w:szCs w:val="20"/>
        </w:rPr>
        <w:t xml:space="preserve"> Overall, the market for investments in commercial properties located in Germany’s top 7 cities was back on an even keel by the end of the 2nd quarter of 2021 and transactions totalled €12.5bn. The result for the half year is thus only 1 % below the figure for 2020. However, a very uneven picture emerges if the cities - Hamburg, Berlin, Düsseldorf, Cologne, Frankfurt, Stuttgart and Munich - are viewed separately. Reviewing totals traded, German Property Partners, a network of service providers in the commer</w:t>
      </w:r>
      <w:r w:rsidR="00264E1F">
        <w:rPr>
          <w:rFonts w:ascii="Arial" w:hAnsi="Arial"/>
          <w:bCs/>
          <w:sz w:val="20"/>
          <w:szCs w:val="20"/>
        </w:rPr>
        <w:t>cial real estate sector</w:t>
      </w:r>
      <w:r>
        <w:rPr>
          <w:rFonts w:ascii="Arial" w:hAnsi="Arial"/>
          <w:bCs/>
          <w:sz w:val="20"/>
          <w:szCs w:val="20"/>
        </w:rPr>
        <w:t xml:space="preserve"> consisting of Grossmann &amp; Berger, Anteon </w:t>
      </w:r>
      <w:proofErr w:type="spellStart"/>
      <w:r>
        <w:rPr>
          <w:rFonts w:ascii="Arial" w:hAnsi="Arial"/>
          <w:bCs/>
          <w:sz w:val="20"/>
          <w:szCs w:val="20"/>
        </w:rPr>
        <w:t>Immobilien</w:t>
      </w:r>
      <w:proofErr w:type="spellEnd"/>
      <w:r>
        <w:rPr>
          <w:rFonts w:ascii="Arial" w:hAnsi="Arial"/>
          <w:bCs/>
          <w:sz w:val="20"/>
          <w:szCs w:val="20"/>
        </w:rPr>
        <w:t xml:space="preserve">, GREIF &amp; CONTZEN </w:t>
      </w:r>
      <w:proofErr w:type="spellStart"/>
      <w:r>
        <w:rPr>
          <w:rFonts w:ascii="Arial" w:hAnsi="Arial"/>
          <w:bCs/>
          <w:sz w:val="20"/>
          <w:szCs w:val="20"/>
        </w:rPr>
        <w:t>Immobilien</w:t>
      </w:r>
      <w:proofErr w:type="spellEnd"/>
      <w:r>
        <w:rPr>
          <w:rFonts w:ascii="Arial" w:hAnsi="Arial"/>
          <w:bCs/>
          <w:sz w:val="20"/>
          <w:szCs w:val="20"/>
        </w:rPr>
        <w:t xml:space="preserve">, </w:t>
      </w:r>
      <w:proofErr w:type="spellStart"/>
      <w:r>
        <w:rPr>
          <w:rFonts w:ascii="Arial" w:hAnsi="Arial"/>
          <w:bCs/>
          <w:sz w:val="20"/>
          <w:szCs w:val="20"/>
        </w:rPr>
        <w:t>blackolive</w:t>
      </w:r>
      <w:proofErr w:type="spellEnd"/>
      <w:r>
        <w:rPr>
          <w:rFonts w:ascii="Arial" w:hAnsi="Arial"/>
          <w:bCs/>
          <w:sz w:val="20"/>
          <w:szCs w:val="20"/>
        </w:rPr>
        <w:t xml:space="preserve"> and E &amp; G Real Estate, found that results ranged from -46 % in Hamburg to +97 % in Munich. </w:t>
      </w:r>
    </w:p>
    <w:p w14:paraId="2ACCDC89" w14:textId="77777777" w:rsidR="00735CE6" w:rsidRDefault="00735CE6" w:rsidP="00727CFC">
      <w:pPr>
        <w:widowControl w:val="0"/>
        <w:spacing w:after="0"/>
        <w:jc w:val="both"/>
        <w:rPr>
          <w:rFonts w:ascii="Arial" w:hAnsi="Arial" w:cs="Arial"/>
          <w:b/>
          <w:bCs/>
          <w:caps/>
          <w:sz w:val="20"/>
          <w:szCs w:val="20"/>
        </w:rPr>
      </w:pPr>
    </w:p>
    <w:p w14:paraId="035D3C6D" w14:textId="753E8B08" w:rsidR="004C1EFC" w:rsidRPr="00D02362" w:rsidRDefault="00D02362" w:rsidP="00727CFC">
      <w:pPr>
        <w:widowControl w:val="0"/>
        <w:spacing w:after="0"/>
        <w:jc w:val="center"/>
        <w:rPr>
          <w:rFonts w:ascii="Arial" w:hAnsi="Arial" w:cs="Arial"/>
          <w:b/>
          <w:bCs/>
          <w:caps/>
          <w:sz w:val="20"/>
          <w:szCs w:val="20"/>
        </w:rPr>
      </w:pPr>
      <w:r>
        <w:rPr>
          <w:rFonts w:ascii="Arial" w:hAnsi="Arial"/>
          <w:b/>
          <w:bCs/>
          <w:caps/>
          <w:sz w:val="20"/>
          <w:szCs w:val="20"/>
        </w:rPr>
        <w:t>Trading dynamics vary following weak start to</w:t>
      </w:r>
      <w:r w:rsidR="00B719E8">
        <w:rPr>
          <w:rFonts w:ascii="Arial" w:hAnsi="Arial"/>
          <w:b/>
          <w:bCs/>
          <w:caps/>
          <w:sz w:val="20"/>
          <w:szCs w:val="20"/>
        </w:rPr>
        <w:t xml:space="preserve"> t</w:t>
      </w:r>
      <w:r>
        <w:rPr>
          <w:rFonts w:ascii="Arial" w:hAnsi="Arial"/>
          <w:b/>
          <w:bCs/>
          <w:caps/>
          <w:sz w:val="20"/>
          <w:szCs w:val="20"/>
        </w:rPr>
        <w:t>he year</w:t>
      </w:r>
    </w:p>
    <w:p w14:paraId="465237C3" w14:textId="042C46C9" w:rsidR="00A035D3" w:rsidRDefault="00A035D3" w:rsidP="00727CFC">
      <w:pPr>
        <w:widowControl w:val="0"/>
        <w:spacing w:after="0"/>
        <w:jc w:val="both"/>
        <w:rPr>
          <w:rFonts w:ascii="Arial" w:hAnsi="Arial" w:cs="Arial"/>
          <w:sz w:val="20"/>
          <w:szCs w:val="20"/>
        </w:rPr>
      </w:pPr>
    </w:p>
    <w:p w14:paraId="6C459BF0" w14:textId="15E30FD8" w:rsidR="00314976" w:rsidRDefault="00633C54" w:rsidP="00727CFC">
      <w:pPr>
        <w:widowControl w:val="0"/>
        <w:spacing w:after="0"/>
        <w:jc w:val="both"/>
        <w:rPr>
          <w:rFonts w:ascii="Arial" w:hAnsi="Arial" w:cs="Arial"/>
          <w:sz w:val="20"/>
          <w:szCs w:val="20"/>
        </w:rPr>
      </w:pPr>
      <w:r>
        <w:rPr>
          <w:rFonts w:ascii="Arial" w:hAnsi="Arial"/>
          <w:sz w:val="20"/>
          <w:szCs w:val="20"/>
        </w:rPr>
        <w:t xml:space="preserve">In Cologne </w:t>
      </w:r>
      <w:proofErr w:type="spellStart"/>
      <w:r>
        <w:rPr>
          <w:rFonts w:ascii="Arial" w:hAnsi="Arial"/>
          <w:sz w:val="20"/>
          <w:szCs w:val="20"/>
        </w:rPr>
        <w:t>Proximus</w:t>
      </w:r>
      <w:proofErr w:type="spellEnd"/>
      <w:r>
        <w:rPr>
          <w:rFonts w:ascii="Arial" w:hAnsi="Arial"/>
          <w:sz w:val="20"/>
          <w:szCs w:val="20"/>
        </w:rPr>
        <w:t xml:space="preserve"> and Quantum sold fairly large ensembles such as “The Corner Cologne” and “The Spikes” to a Hines fund for some €100m, thus boosting trading totals by 33 %. Additionally, some retail shop properties also changed hands. In Berlin </w:t>
      </w:r>
      <w:proofErr w:type="spellStart"/>
      <w:r>
        <w:rPr>
          <w:rFonts w:ascii="Arial" w:hAnsi="Arial"/>
          <w:sz w:val="20"/>
          <w:szCs w:val="20"/>
        </w:rPr>
        <w:t>Vivion</w:t>
      </w:r>
      <w:proofErr w:type="spellEnd"/>
      <w:r>
        <w:rPr>
          <w:rFonts w:ascii="Arial" w:hAnsi="Arial"/>
          <w:sz w:val="20"/>
          <w:szCs w:val="20"/>
        </w:rPr>
        <w:t xml:space="preserve"> sold th</w:t>
      </w:r>
      <w:r w:rsidR="00B719E8">
        <w:rPr>
          <w:rFonts w:ascii="Arial" w:hAnsi="Arial"/>
          <w:sz w:val="20"/>
          <w:szCs w:val="20"/>
        </w:rPr>
        <w:t>e “</w:t>
      </w:r>
      <w:proofErr w:type="spellStart"/>
      <w:r w:rsidR="00B719E8">
        <w:rPr>
          <w:rFonts w:ascii="Arial" w:hAnsi="Arial"/>
          <w:sz w:val="20"/>
          <w:szCs w:val="20"/>
        </w:rPr>
        <w:t>Fürst</w:t>
      </w:r>
      <w:proofErr w:type="spellEnd"/>
      <w:r w:rsidR="00B719E8">
        <w:rPr>
          <w:rFonts w:ascii="Arial" w:hAnsi="Arial"/>
          <w:sz w:val="20"/>
          <w:szCs w:val="20"/>
        </w:rPr>
        <w:t xml:space="preserve">” at </w:t>
      </w:r>
      <w:proofErr w:type="spellStart"/>
      <w:r w:rsidR="00B719E8">
        <w:rPr>
          <w:rFonts w:ascii="Arial" w:hAnsi="Arial"/>
          <w:sz w:val="20"/>
          <w:szCs w:val="20"/>
        </w:rPr>
        <w:t>Kurfürstendamm</w:t>
      </w:r>
      <w:proofErr w:type="spellEnd"/>
      <w:r w:rsidR="00B719E8">
        <w:rPr>
          <w:rFonts w:ascii="Arial" w:hAnsi="Arial"/>
          <w:sz w:val="20"/>
          <w:szCs w:val="20"/>
        </w:rPr>
        <w:t xml:space="preserve"> 206-</w:t>
      </w:r>
      <w:r>
        <w:rPr>
          <w:rFonts w:ascii="Arial" w:hAnsi="Arial"/>
          <w:sz w:val="20"/>
          <w:szCs w:val="20"/>
        </w:rPr>
        <w:t xml:space="preserve">209 to Aggregate Holdings for more than €1bn; this outlier transaction helped boost the total volume traded by 24 %. Munich also posted </w:t>
      </w:r>
      <w:r w:rsidR="00B719E8">
        <w:rPr>
          <w:rFonts w:ascii="Arial" w:hAnsi="Arial"/>
          <w:sz w:val="20"/>
          <w:szCs w:val="20"/>
        </w:rPr>
        <w:t xml:space="preserve">an </w:t>
      </w:r>
      <w:r>
        <w:rPr>
          <w:rFonts w:ascii="Arial" w:hAnsi="Arial"/>
          <w:sz w:val="20"/>
          <w:szCs w:val="20"/>
        </w:rPr>
        <w:t>unusual</w:t>
      </w:r>
      <w:r w:rsidR="00B719E8">
        <w:rPr>
          <w:rFonts w:ascii="Arial" w:hAnsi="Arial"/>
          <w:sz w:val="20"/>
          <w:szCs w:val="20"/>
        </w:rPr>
        <w:t xml:space="preserve"> volume of expensive trades </w:t>
      </w:r>
      <w:r>
        <w:rPr>
          <w:rFonts w:ascii="Arial" w:hAnsi="Arial"/>
          <w:sz w:val="20"/>
          <w:szCs w:val="20"/>
        </w:rPr>
        <w:t xml:space="preserve">with the sale of three properties with price tags higher than €500m. The result in the Bavarian state capital thus shot up by a record 97 %. Düsseldorf’s market </w:t>
      </w:r>
      <w:r w:rsidR="00B719E8">
        <w:rPr>
          <w:rFonts w:ascii="Arial" w:hAnsi="Arial"/>
          <w:sz w:val="20"/>
          <w:szCs w:val="20"/>
        </w:rPr>
        <w:t>stabilized</w:t>
      </w:r>
      <w:r>
        <w:rPr>
          <w:rFonts w:ascii="Arial" w:hAnsi="Arial"/>
          <w:sz w:val="20"/>
          <w:szCs w:val="20"/>
        </w:rPr>
        <w:t xml:space="preserve"> in the 2nd quarter of 2021. Due to the all-time low noted at the beginning of the year, the volume of transactions in the first half of 2021 was, however, 42 % lower than the same period of 2020. By contrast the weak market at the start of 2021 persisted in Hamburg (-46 %), Frankfurt (-34 %) and Stuttgart (-29 %), because the ongoing shortage of core real estate</w:t>
      </w:r>
      <w:r w:rsidR="00DF6E65">
        <w:rPr>
          <w:rFonts w:ascii="Arial" w:hAnsi="Arial"/>
          <w:sz w:val="20"/>
          <w:szCs w:val="20"/>
        </w:rPr>
        <w:t xml:space="preserve"> acted against high </w:t>
      </w:r>
      <w:r w:rsidR="00DF6E65">
        <w:rPr>
          <w:rFonts w:ascii="Arial" w:hAnsi="Arial"/>
          <w:sz w:val="20"/>
          <w:szCs w:val="20"/>
        </w:rPr>
        <w:lastRenderedPageBreak/>
        <w:t>transaction</w:t>
      </w:r>
      <w:r>
        <w:rPr>
          <w:rFonts w:ascii="Arial" w:hAnsi="Arial"/>
          <w:sz w:val="20"/>
          <w:szCs w:val="20"/>
        </w:rPr>
        <w:t xml:space="preserve"> volumes. </w:t>
      </w:r>
      <w:r>
        <w:rPr>
          <w:rFonts w:ascii="Arial" w:hAnsi="Arial"/>
          <w:i/>
          <w:sz w:val="20"/>
          <w:szCs w:val="20"/>
        </w:rPr>
        <w:t>“Such a wide range of market activity in a second quarter is very unusual in the commercial real estate investment sector.</w:t>
      </w:r>
      <w:r>
        <w:rPr>
          <w:rFonts w:ascii="Arial" w:hAnsi="Arial"/>
          <w:sz w:val="20"/>
          <w:szCs w:val="20"/>
        </w:rPr>
        <w:t xml:space="preserve"> </w:t>
      </w:r>
      <w:r>
        <w:rPr>
          <w:rFonts w:ascii="Arial" w:hAnsi="Arial"/>
          <w:i/>
          <w:sz w:val="20"/>
          <w:szCs w:val="20"/>
        </w:rPr>
        <w:t>As one can see from the outlier transactions in Berlin and Munich, there is unabated demand for core real estate and when attractive properties come onto the market, new benchmarks are set,”</w:t>
      </w:r>
      <w:r>
        <w:rPr>
          <w:rFonts w:ascii="Arial" w:hAnsi="Arial"/>
          <w:sz w:val="20"/>
          <w:szCs w:val="20"/>
        </w:rPr>
        <w:t xml:space="preserve"> remarks </w:t>
      </w:r>
      <w:r>
        <w:rPr>
          <w:rFonts w:ascii="Arial" w:hAnsi="Arial"/>
          <w:b/>
          <w:sz w:val="20"/>
          <w:szCs w:val="20"/>
        </w:rPr>
        <w:t xml:space="preserve">Oliver </w:t>
      </w:r>
      <w:proofErr w:type="spellStart"/>
      <w:r>
        <w:rPr>
          <w:rFonts w:ascii="Arial" w:hAnsi="Arial"/>
          <w:b/>
          <w:sz w:val="20"/>
          <w:szCs w:val="20"/>
        </w:rPr>
        <w:t>Schön</w:t>
      </w:r>
      <w:proofErr w:type="spellEnd"/>
      <w:r>
        <w:rPr>
          <w:rFonts w:ascii="Arial" w:hAnsi="Arial"/>
          <w:sz w:val="20"/>
          <w:szCs w:val="20"/>
        </w:rPr>
        <w:t xml:space="preserve">, spokesperson for German Property Partners. Overall, the proportion of sales that involved portfolios remained low at 11 % in the first half of 2021. Their share of the total topped 20 % only in Cologne and Stuttgart. </w:t>
      </w:r>
    </w:p>
    <w:p w14:paraId="2D7FC3FE" w14:textId="60CDF049" w:rsidR="00AA7AD2" w:rsidRPr="00DB5E18" w:rsidRDefault="00AA7AD2" w:rsidP="00727CFC">
      <w:pPr>
        <w:widowControl w:val="0"/>
        <w:spacing w:after="0"/>
        <w:jc w:val="both"/>
        <w:rPr>
          <w:rFonts w:ascii="Arial" w:hAnsi="Arial" w:cs="Arial"/>
          <w:color w:val="FF0000"/>
          <w:sz w:val="20"/>
          <w:szCs w:val="20"/>
        </w:rPr>
      </w:pPr>
    </w:p>
    <w:p w14:paraId="441E0ACC" w14:textId="4AA59A4D" w:rsidR="00487ECE" w:rsidRPr="007E5481" w:rsidRDefault="007E5481" w:rsidP="00727CFC">
      <w:pPr>
        <w:widowControl w:val="0"/>
        <w:spacing w:after="0"/>
        <w:jc w:val="center"/>
        <w:rPr>
          <w:rFonts w:ascii="Arial" w:hAnsi="Arial" w:cs="Arial"/>
          <w:b/>
          <w:bCs/>
          <w:caps/>
          <w:sz w:val="20"/>
          <w:szCs w:val="20"/>
        </w:rPr>
      </w:pPr>
      <w:r>
        <w:rPr>
          <w:rFonts w:ascii="Arial" w:hAnsi="Arial"/>
          <w:b/>
          <w:bCs/>
          <w:caps/>
          <w:sz w:val="20"/>
          <w:szCs w:val="20"/>
        </w:rPr>
        <w:t>International investors more eager to buy</w:t>
      </w:r>
    </w:p>
    <w:p w14:paraId="1FB7C3C1" w14:textId="7950B649" w:rsidR="006B7430" w:rsidRDefault="006B7430" w:rsidP="00727CFC">
      <w:pPr>
        <w:widowControl w:val="0"/>
        <w:spacing w:after="0"/>
        <w:jc w:val="both"/>
        <w:rPr>
          <w:rFonts w:ascii="Arial" w:hAnsi="Arial" w:cs="Arial"/>
          <w:sz w:val="20"/>
          <w:szCs w:val="20"/>
        </w:rPr>
      </w:pPr>
    </w:p>
    <w:p w14:paraId="59E56696" w14:textId="58C0C331" w:rsidR="001C37AC" w:rsidRDefault="001C37AC" w:rsidP="00727CFC">
      <w:pPr>
        <w:widowControl w:val="0"/>
        <w:spacing w:after="0"/>
        <w:jc w:val="both"/>
        <w:rPr>
          <w:rFonts w:ascii="Arial" w:hAnsi="Arial" w:cs="Arial"/>
          <w:sz w:val="20"/>
          <w:szCs w:val="20"/>
        </w:rPr>
      </w:pPr>
      <w:r>
        <w:rPr>
          <w:rFonts w:ascii="Arial" w:hAnsi="Arial"/>
          <w:sz w:val="20"/>
          <w:szCs w:val="20"/>
        </w:rPr>
        <w:t>Year on year international investors were far less prominent in the 1st quarter of 2021 but by the end of the 2nd quarter of 2021 their numbers had grown to 37 % of the market. In 4 of the top 7 cities international buyers played a less active role than in the same period of the prior year. Despite international participation in the huge “</w:t>
      </w:r>
      <w:proofErr w:type="spellStart"/>
      <w:r>
        <w:rPr>
          <w:rFonts w:ascii="Arial" w:hAnsi="Arial"/>
          <w:sz w:val="20"/>
          <w:szCs w:val="20"/>
        </w:rPr>
        <w:t>Fürst</w:t>
      </w:r>
      <w:proofErr w:type="spellEnd"/>
      <w:r>
        <w:rPr>
          <w:rFonts w:ascii="Arial" w:hAnsi="Arial"/>
          <w:sz w:val="20"/>
          <w:szCs w:val="20"/>
        </w:rPr>
        <w:t xml:space="preserve">” transaction, foreign actors were less prominent in Berlin year on year. </w:t>
      </w:r>
      <w:r w:rsidR="00DF6E65">
        <w:rPr>
          <w:rFonts w:ascii="Arial" w:hAnsi="Arial"/>
          <w:sz w:val="20"/>
          <w:szCs w:val="20"/>
        </w:rPr>
        <w:t>The l</w:t>
      </w:r>
      <w:r>
        <w:rPr>
          <w:rFonts w:ascii="Arial" w:hAnsi="Arial"/>
          <w:sz w:val="20"/>
          <w:szCs w:val="20"/>
        </w:rPr>
        <w:t xml:space="preserve">atter transaction, however, resulted in the mixed-use category of real estate (51 % of market) displacing office buildings (35 %) as the best-selling asset in the German capital. In all other top 7 cities the majority of transactions involved office buildings, above all in Munich where they accounted for 83 % of the total traded in the first two quarters of 2021. The big-ticket transactions previously noted were partly responsible for the high proportion of office block sales. </w:t>
      </w:r>
      <w:r>
        <w:rPr>
          <w:rFonts w:ascii="Arial" w:hAnsi="Arial"/>
          <w:i/>
          <w:sz w:val="20"/>
          <w:szCs w:val="20"/>
        </w:rPr>
        <w:t>“These outlier transactions do not reflect usual market activity, so that it is to be expected that over the further course of the year key market figures will return to more normal levels,”</w:t>
      </w:r>
      <w:r>
        <w:rPr>
          <w:rFonts w:ascii="Arial" w:hAnsi="Arial"/>
          <w:sz w:val="20"/>
          <w:szCs w:val="20"/>
        </w:rPr>
        <w:t xml:space="preserve"> says </w:t>
      </w:r>
      <w:r>
        <w:rPr>
          <w:rFonts w:ascii="Arial" w:hAnsi="Arial"/>
          <w:b/>
          <w:sz w:val="20"/>
          <w:szCs w:val="20"/>
        </w:rPr>
        <w:t xml:space="preserve">Oliver </w:t>
      </w:r>
      <w:proofErr w:type="spellStart"/>
      <w:r>
        <w:rPr>
          <w:rFonts w:ascii="Arial" w:hAnsi="Arial"/>
          <w:b/>
          <w:sz w:val="20"/>
          <w:szCs w:val="20"/>
        </w:rPr>
        <w:t>Schön</w:t>
      </w:r>
      <w:proofErr w:type="spellEnd"/>
      <w:r>
        <w:rPr>
          <w:rFonts w:ascii="Arial" w:hAnsi="Arial"/>
          <w:sz w:val="20"/>
          <w:szCs w:val="20"/>
        </w:rPr>
        <w:t xml:space="preserve">, putting the results into context. Prime yields have altered very little in the 1st half of 2021 compared with the same period of 2020. Due to great demand for core real estate, the average prime yield on offices was practically unchanged at 2.88 % (-0.05 percentage points). Prime yields were compressed </w:t>
      </w:r>
      <w:r w:rsidR="00DF6E65">
        <w:rPr>
          <w:rFonts w:ascii="Arial" w:hAnsi="Arial"/>
          <w:sz w:val="20"/>
          <w:szCs w:val="20"/>
        </w:rPr>
        <w:t>furthest</w:t>
      </w:r>
      <w:r>
        <w:rPr>
          <w:rFonts w:ascii="Arial" w:hAnsi="Arial"/>
          <w:sz w:val="20"/>
          <w:szCs w:val="20"/>
        </w:rPr>
        <w:t xml:space="preserve"> in Hamburg, dropping 0.20 percentage points to 2.60 %, the lowest prime yield in any top 7 city. Prime yields on industrial and logistics real estate slipped appreciably, averaging a loss of 0.31 percentage points against the 1st half of 2020 and falling to 3.75 %. Cologne and Stuttgart posted the highest decline at -0.50 percentage points.</w:t>
      </w:r>
    </w:p>
    <w:p w14:paraId="3DD099DD" w14:textId="77777777" w:rsidR="00BB0BF5" w:rsidRDefault="00BB0BF5" w:rsidP="00727CFC">
      <w:pPr>
        <w:widowControl w:val="0"/>
        <w:spacing w:after="0"/>
        <w:jc w:val="both"/>
        <w:rPr>
          <w:rFonts w:ascii="Arial" w:hAnsi="Arial" w:cs="Arial"/>
          <w:sz w:val="20"/>
          <w:szCs w:val="20"/>
        </w:rPr>
      </w:pPr>
    </w:p>
    <w:p w14:paraId="5BB2BD37" w14:textId="4831AFC2" w:rsidR="00D6747B" w:rsidRPr="00CA1597" w:rsidRDefault="00D6747B" w:rsidP="00CA1597">
      <w:pPr>
        <w:widowControl w:val="0"/>
        <w:spacing w:after="0"/>
        <w:jc w:val="center"/>
        <w:rPr>
          <w:rFonts w:ascii="Arial" w:eastAsiaTheme="minorEastAsia" w:hAnsi="Arial" w:cs="Arial"/>
          <w:b/>
          <w:bCs/>
          <w:sz w:val="20"/>
          <w:szCs w:val="20"/>
        </w:rPr>
      </w:pPr>
      <w:r>
        <w:rPr>
          <w:rFonts w:ascii="Arial" w:hAnsi="Arial"/>
          <w:b/>
          <w:bCs/>
          <w:sz w:val="20"/>
          <w:szCs w:val="20"/>
        </w:rPr>
        <w:t>FORECAST: LARGE TRANSACTIONS REVITALIZE THE MARKET</w:t>
      </w:r>
    </w:p>
    <w:p w14:paraId="0B4A2806" w14:textId="56E863A4" w:rsidR="00D6747B" w:rsidRDefault="00D6747B" w:rsidP="00727CFC">
      <w:pPr>
        <w:widowControl w:val="0"/>
        <w:spacing w:after="0"/>
        <w:jc w:val="both"/>
        <w:rPr>
          <w:rFonts w:ascii="Arial" w:eastAsiaTheme="minorEastAsia" w:hAnsi="Arial" w:cs="Arial"/>
          <w:sz w:val="20"/>
          <w:szCs w:val="20"/>
          <w:lang w:eastAsia="de-DE"/>
        </w:rPr>
      </w:pPr>
    </w:p>
    <w:p w14:paraId="66A15F32" w14:textId="00FFCEEA" w:rsidR="00FC53B5" w:rsidRDefault="0027498A" w:rsidP="00727CFC">
      <w:pPr>
        <w:widowControl w:val="0"/>
        <w:spacing w:after="0"/>
        <w:jc w:val="both"/>
        <w:rPr>
          <w:rFonts w:ascii="Arial" w:eastAsiaTheme="minorEastAsia" w:hAnsi="Arial" w:cs="Arial"/>
          <w:sz w:val="20"/>
          <w:szCs w:val="20"/>
        </w:rPr>
      </w:pPr>
      <w:r>
        <w:rPr>
          <w:rFonts w:ascii="Arial" w:hAnsi="Arial"/>
          <w:sz w:val="20"/>
          <w:szCs w:val="20"/>
        </w:rPr>
        <w:t xml:space="preserve">German Property Partners expect to see further recover on the markets in some of the cities. In Hamburg, Cologne and Frankfurt in particular, some big-ticket transactions should produce an acceptable overall result for the year. </w:t>
      </w:r>
      <w:r w:rsidR="00264E1F">
        <w:rPr>
          <w:rFonts w:ascii="Arial" w:hAnsi="Arial"/>
          <w:sz w:val="20"/>
          <w:szCs w:val="20"/>
        </w:rPr>
        <w:t>“</w:t>
      </w:r>
      <w:r>
        <w:rPr>
          <w:rFonts w:ascii="Arial" w:hAnsi="Arial"/>
          <w:i/>
          <w:sz w:val="20"/>
          <w:szCs w:val="20"/>
        </w:rPr>
        <w:t xml:space="preserve">Generally speaking and compared with pre-coronavirus levels there are </w:t>
      </w:r>
      <w:r w:rsidR="00DF6E65">
        <w:rPr>
          <w:rFonts w:ascii="Arial" w:hAnsi="Arial"/>
          <w:i/>
          <w:sz w:val="20"/>
          <w:szCs w:val="20"/>
        </w:rPr>
        <w:t>still very few</w:t>
      </w:r>
      <w:r>
        <w:rPr>
          <w:rFonts w:ascii="Arial" w:hAnsi="Arial"/>
          <w:i/>
          <w:sz w:val="20"/>
          <w:szCs w:val="20"/>
        </w:rPr>
        <w:t xml:space="preserve"> properties on the market. At the same time investors are desperately keen to find attractive real estate. This is likely to keep yields under pressure in the near future,”</w:t>
      </w:r>
      <w:r>
        <w:rPr>
          <w:rFonts w:ascii="Arial" w:hAnsi="Arial"/>
          <w:sz w:val="20"/>
          <w:szCs w:val="20"/>
        </w:rPr>
        <w:t xml:space="preserve"> concludes </w:t>
      </w:r>
      <w:proofErr w:type="spellStart"/>
      <w:r>
        <w:rPr>
          <w:rFonts w:ascii="Arial" w:hAnsi="Arial"/>
          <w:b/>
          <w:sz w:val="20"/>
          <w:szCs w:val="20"/>
        </w:rPr>
        <w:t>Schön</w:t>
      </w:r>
      <w:proofErr w:type="spellEnd"/>
      <w:r>
        <w:rPr>
          <w:rFonts w:ascii="Arial" w:hAnsi="Arial"/>
          <w:b/>
          <w:sz w:val="20"/>
          <w:szCs w:val="20"/>
        </w:rPr>
        <w:t>.</w:t>
      </w:r>
    </w:p>
    <w:p w14:paraId="769C9903" w14:textId="4AA915A0" w:rsidR="00FC53B5" w:rsidRDefault="00FC53B5" w:rsidP="00727CFC">
      <w:pPr>
        <w:widowControl w:val="0"/>
        <w:spacing w:after="0"/>
        <w:jc w:val="both"/>
        <w:rPr>
          <w:rFonts w:ascii="Arial" w:eastAsiaTheme="minorEastAsia" w:hAnsi="Arial" w:cs="Arial"/>
          <w:sz w:val="20"/>
          <w:szCs w:val="20"/>
          <w:lang w:eastAsia="de-DE"/>
        </w:rPr>
      </w:pPr>
    </w:p>
    <w:p w14:paraId="53AF7590" w14:textId="3811A426" w:rsidR="00FC53B5" w:rsidRDefault="00FC53B5" w:rsidP="00727CFC">
      <w:pPr>
        <w:widowControl w:val="0"/>
        <w:spacing w:after="0"/>
        <w:jc w:val="both"/>
        <w:rPr>
          <w:rFonts w:ascii="Arial" w:eastAsiaTheme="minorEastAsia" w:hAnsi="Arial" w:cs="Arial"/>
          <w:sz w:val="20"/>
          <w:szCs w:val="20"/>
          <w:lang w:eastAsia="de-DE"/>
        </w:rPr>
      </w:pPr>
    </w:p>
    <w:p w14:paraId="17D30712" w14:textId="71F3E867" w:rsidR="00FC53B5" w:rsidRDefault="00FC53B5" w:rsidP="00727CFC">
      <w:pPr>
        <w:widowControl w:val="0"/>
        <w:spacing w:after="0"/>
        <w:jc w:val="both"/>
        <w:rPr>
          <w:rFonts w:ascii="Arial" w:eastAsiaTheme="minorEastAsia" w:hAnsi="Arial" w:cs="Arial"/>
          <w:sz w:val="20"/>
          <w:szCs w:val="20"/>
          <w:lang w:eastAsia="de-DE"/>
        </w:rPr>
      </w:pPr>
    </w:p>
    <w:p w14:paraId="17274F1D" w14:textId="77777777" w:rsidR="001D58C8" w:rsidRDefault="001D58C8" w:rsidP="00727CFC">
      <w:pPr>
        <w:widowControl w:val="0"/>
        <w:spacing w:after="0"/>
        <w:jc w:val="both"/>
        <w:rPr>
          <w:rFonts w:ascii="Arial" w:eastAsiaTheme="minorEastAsia" w:hAnsi="Arial" w:cs="Arial"/>
          <w:sz w:val="20"/>
          <w:szCs w:val="20"/>
          <w:lang w:eastAsia="de-DE"/>
        </w:rPr>
      </w:pPr>
    </w:p>
    <w:p w14:paraId="57ACE4B6" w14:textId="77777777" w:rsidR="001D58C8" w:rsidRDefault="001D58C8" w:rsidP="00727CFC">
      <w:pPr>
        <w:widowControl w:val="0"/>
        <w:spacing w:after="0"/>
        <w:jc w:val="both"/>
        <w:rPr>
          <w:rFonts w:ascii="Arial" w:eastAsiaTheme="minorEastAsia" w:hAnsi="Arial" w:cs="Arial"/>
          <w:sz w:val="20"/>
          <w:szCs w:val="20"/>
          <w:lang w:eastAsia="de-DE"/>
        </w:rPr>
      </w:pPr>
    </w:p>
    <w:p w14:paraId="1ECEF263" w14:textId="77777777" w:rsidR="001D58C8" w:rsidRDefault="001D58C8" w:rsidP="00727CFC">
      <w:pPr>
        <w:widowControl w:val="0"/>
        <w:spacing w:after="0"/>
        <w:jc w:val="both"/>
        <w:rPr>
          <w:rFonts w:ascii="Arial" w:eastAsiaTheme="minorEastAsia" w:hAnsi="Arial" w:cs="Arial"/>
          <w:sz w:val="20"/>
          <w:szCs w:val="20"/>
          <w:lang w:eastAsia="de-DE"/>
        </w:rPr>
      </w:pPr>
    </w:p>
    <w:bookmarkEnd w:id="1"/>
    <w:bookmarkEnd w:id="3"/>
    <w:p w14:paraId="32FF8DF1" w14:textId="535A9D72" w:rsidR="0071679E" w:rsidRDefault="0071679E" w:rsidP="00727CFC">
      <w:pPr>
        <w:widowControl w:val="0"/>
        <w:spacing w:after="0"/>
        <w:jc w:val="both"/>
        <w:rPr>
          <w:rFonts w:ascii="Arial" w:hAnsi="Arial" w:cs="Arial"/>
          <w:sz w:val="20"/>
          <w:szCs w:val="20"/>
        </w:rPr>
      </w:pPr>
    </w:p>
    <w:p w14:paraId="69CD4A75" w14:textId="77777777" w:rsidR="00122101" w:rsidRDefault="00122101">
      <w:pPr>
        <w:rPr>
          <w:rFonts w:ascii="Arial" w:hAnsi="Arial"/>
          <w:b/>
          <w:sz w:val="20"/>
          <w:szCs w:val="20"/>
        </w:rPr>
      </w:pPr>
      <w:r>
        <w:rPr>
          <w:rFonts w:ascii="Arial" w:hAnsi="Arial"/>
          <w:b/>
          <w:sz w:val="20"/>
          <w:szCs w:val="20"/>
        </w:rPr>
        <w:br w:type="page"/>
      </w:r>
    </w:p>
    <w:p w14:paraId="143EE438" w14:textId="475382CA" w:rsidR="006A0566" w:rsidRDefault="006A0566" w:rsidP="006A0566">
      <w:pPr>
        <w:spacing w:after="0" w:line="240" w:lineRule="auto"/>
        <w:jc w:val="both"/>
        <w:rPr>
          <w:rFonts w:ascii="Arial" w:hAnsi="Arial" w:cs="Arial"/>
          <w:b/>
          <w:sz w:val="20"/>
          <w:szCs w:val="20"/>
        </w:rPr>
      </w:pPr>
      <w:r>
        <w:rPr>
          <w:rFonts w:ascii="Arial" w:hAnsi="Arial"/>
          <w:b/>
          <w:sz w:val="20"/>
          <w:szCs w:val="20"/>
        </w:rPr>
        <w:lastRenderedPageBreak/>
        <w:t>Top 10 known agree</w:t>
      </w:r>
      <w:r w:rsidR="00DF6E65">
        <w:rPr>
          <w:rFonts w:ascii="Arial" w:hAnsi="Arial"/>
          <w:b/>
          <w:sz w:val="20"/>
          <w:szCs w:val="20"/>
        </w:rPr>
        <w:t>ments | top 7 locations | 1st-2n</w:t>
      </w:r>
      <w:r>
        <w:rPr>
          <w:rFonts w:ascii="Arial" w:hAnsi="Arial"/>
          <w:b/>
          <w:sz w:val="20"/>
          <w:szCs w:val="20"/>
        </w:rPr>
        <w:t>d quarters of 2021</w:t>
      </w:r>
    </w:p>
    <w:tbl>
      <w:tblPr>
        <w:tblStyle w:val="TableGrid1"/>
        <w:tblW w:w="9231" w:type="dxa"/>
        <w:tblLayout w:type="fixed"/>
        <w:tblLook w:val="04A0" w:firstRow="1" w:lastRow="0" w:firstColumn="1" w:lastColumn="0" w:noHBand="0" w:noVBand="1"/>
      </w:tblPr>
      <w:tblGrid>
        <w:gridCol w:w="687"/>
        <w:gridCol w:w="2569"/>
        <w:gridCol w:w="2693"/>
        <w:gridCol w:w="2126"/>
        <w:gridCol w:w="1156"/>
      </w:tblGrid>
      <w:tr w:rsidR="006A0566" w:rsidRPr="006F49D0" w14:paraId="39E8140D" w14:textId="77777777" w:rsidTr="007C214B">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City</w:t>
            </w:r>
          </w:p>
        </w:tc>
        <w:tc>
          <w:tcPr>
            <w:tcW w:w="2569"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Project/property</w:t>
            </w:r>
          </w:p>
        </w:tc>
        <w:tc>
          <w:tcPr>
            <w:tcW w:w="2693"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Buyer/investor</w:t>
            </w:r>
          </w:p>
        </w:tc>
        <w:tc>
          <w:tcPr>
            <w:tcW w:w="2126"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Vendor:</w:t>
            </w:r>
          </w:p>
        </w:tc>
        <w:tc>
          <w:tcPr>
            <w:tcW w:w="1156"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proofErr w:type="spellStart"/>
            <w:r>
              <w:rPr>
                <w:rFonts w:ascii="Arial" w:hAnsi="Arial"/>
                <w:b/>
                <w:sz w:val="16"/>
                <w:szCs w:val="16"/>
              </w:rPr>
              <w:t>Pur</w:t>
            </w:r>
            <w:proofErr w:type="spellEnd"/>
            <w:r>
              <w:rPr>
                <w:rFonts w:ascii="Arial" w:hAnsi="Arial"/>
                <w:b/>
                <w:sz w:val="16"/>
                <w:szCs w:val="16"/>
              </w:rPr>
              <w:t>. price*</w:t>
            </w:r>
          </w:p>
          <w:p w14:paraId="6D60E96E" w14:textId="77777777" w:rsidR="006A0566" w:rsidRPr="006F49D0" w:rsidRDefault="006A0566" w:rsidP="00CB4698">
            <w:pPr>
              <w:widowControl w:val="0"/>
              <w:jc w:val="center"/>
              <w:rPr>
                <w:rFonts w:ascii="Arial" w:hAnsi="Arial" w:cs="Arial"/>
                <w:b/>
                <w:sz w:val="16"/>
                <w:szCs w:val="16"/>
              </w:rPr>
            </w:pPr>
            <w:r>
              <w:rPr>
                <w:rFonts w:ascii="Arial" w:hAnsi="Arial"/>
                <w:sz w:val="16"/>
                <w:szCs w:val="16"/>
              </w:rPr>
              <w:t>(about €m)</w:t>
            </w:r>
          </w:p>
        </w:tc>
      </w:tr>
      <w:tr w:rsidR="00A17B9C" w:rsidRPr="006F49D0" w14:paraId="5D2561C0" w14:textId="77777777" w:rsidTr="007C214B">
        <w:trPr>
          <w:trHeight w:val="552"/>
        </w:trPr>
        <w:tc>
          <w:tcPr>
            <w:tcW w:w="687" w:type="dxa"/>
            <w:shd w:val="clear" w:color="auto" w:fill="D9D9D9" w:themeFill="background1" w:themeFillShade="D9"/>
            <w:vAlign w:val="center"/>
          </w:tcPr>
          <w:p w14:paraId="04822A2A" w14:textId="593A14F5" w:rsidR="00A17B9C" w:rsidRPr="002C7BE0" w:rsidRDefault="00517975" w:rsidP="00CB4698">
            <w:pPr>
              <w:widowControl w:val="0"/>
              <w:jc w:val="center"/>
              <w:rPr>
                <w:rFonts w:ascii="Arial" w:hAnsi="Arial" w:cs="Arial"/>
                <w:sz w:val="16"/>
                <w:szCs w:val="16"/>
              </w:rPr>
            </w:pPr>
            <w:r>
              <w:rPr>
                <w:rFonts w:ascii="Arial" w:hAnsi="Arial"/>
                <w:sz w:val="16"/>
                <w:szCs w:val="16"/>
              </w:rPr>
              <w:t>BER</w:t>
            </w:r>
          </w:p>
        </w:tc>
        <w:tc>
          <w:tcPr>
            <w:tcW w:w="2569" w:type="dxa"/>
            <w:shd w:val="clear" w:color="auto" w:fill="D9D9D9" w:themeFill="background1" w:themeFillShade="D9"/>
            <w:vAlign w:val="center"/>
          </w:tcPr>
          <w:p w14:paraId="109831D3" w14:textId="4B591E40" w:rsidR="00A17B9C" w:rsidRPr="002C7BE0" w:rsidRDefault="00517975" w:rsidP="00CB4698">
            <w:pPr>
              <w:widowControl w:val="0"/>
              <w:jc w:val="center"/>
              <w:rPr>
                <w:rFonts w:ascii="Arial" w:hAnsi="Arial" w:cs="Arial"/>
                <w:sz w:val="16"/>
                <w:szCs w:val="16"/>
              </w:rPr>
            </w:pPr>
            <w:r>
              <w:rPr>
                <w:rFonts w:ascii="Arial" w:hAnsi="Arial"/>
                <w:sz w:val="16"/>
                <w:szCs w:val="16"/>
              </w:rPr>
              <w:t>“</w:t>
            </w:r>
            <w:proofErr w:type="spellStart"/>
            <w:r>
              <w:rPr>
                <w:rFonts w:ascii="Arial" w:hAnsi="Arial"/>
                <w:sz w:val="16"/>
                <w:szCs w:val="16"/>
              </w:rPr>
              <w:t>Fürst</w:t>
            </w:r>
            <w:proofErr w:type="spellEnd"/>
            <w:r>
              <w:rPr>
                <w:rFonts w:ascii="Arial" w:hAnsi="Arial"/>
                <w:sz w:val="16"/>
                <w:szCs w:val="16"/>
              </w:rPr>
              <w:t xml:space="preserve">”, </w:t>
            </w:r>
            <w:proofErr w:type="spellStart"/>
            <w:r>
              <w:rPr>
                <w:rFonts w:ascii="Arial" w:hAnsi="Arial"/>
                <w:sz w:val="16"/>
                <w:szCs w:val="16"/>
              </w:rPr>
              <w:t>Kurfürstendamm</w:t>
            </w:r>
            <w:proofErr w:type="spellEnd"/>
            <w:r>
              <w:rPr>
                <w:rFonts w:ascii="Arial" w:hAnsi="Arial"/>
                <w:sz w:val="16"/>
                <w:szCs w:val="16"/>
              </w:rPr>
              <w:t xml:space="preserve"> 206-209</w:t>
            </w:r>
          </w:p>
        </w:tc>
        <w:tc>
          <w:tcPr>
            <w:tcW w:w="2693" w:type="dxa"/>
            <w:shd w:val="clear" w:color="auto" w:fill="D9D9D9" w:themeFill="background1" w:themeFillShade="D9"/>
            <w:vAlign w:val="center"/>
          </w:tcPr>
          <w:p w14:paraId="39BC37B5" w14:textId="565DACBA" w:rsidR="00A17B9C" w:rsidRPr="002C7BE0" w:rsidRDefault="00517975" w:rsidP="00CB4698">
            <w:pPr>
              <w:widowControl w:val="0"/>
              <w:jc w:val="center"/>
              <w:rPr>
                <w:rFonts w:ascii="Arial" w:hAnsi="Arial" w:cs="Arial"/>
                <w:sz w:val="16"/>
                <w:szCs w:val="16"/>
              </w:rPr>
            </w:pPr>
            <w:r>
              <w:rPr>
                <w:rFonts w:ascii="Arial" w:hAnsi="Arial"/>
                <w:sz w:val="16"/>
                <w:szCs w:val="16"/>
              </w:rPr>
              <w:t>Aggregate Holdings</w:t>
            </w:r>
          </w:p>
        </w:tc>
        <w:tc>
          <w:tcPr>
            <w:tcW w:w="2126" w:type="dxa"/>
            <w:shd w:val="clear" w:color="auto" w:fill="D9D9D9" w:themeFill="background1" w:themeFillShade="D9"/>
            <w:vAlign w:val="center"/>
          </w:tcPr>
          <w:p w14:paraId="04B1DC3F" w14:textId="15CF80B4" w:rsidR="00A17B9C" w:rsidRPr="002C7BE0" w:rsidRDefault="00517975" w:rsidP="00CB4698">
            <w:pPr>
              <w:widowControl w:val="0"/>
              <w:jc w:val="center"/>
              <w:rPr>
                <w:rFonts w:ascii="Arial" w:hAnsi="Arial" w:cs="Arial"/>
                <w:sz w:val="16"/>
                <w:szCs w:val="16"/>
              </w:rPr>
            </w:pPr>
            <w:proofErr w:type="spellStart"/>
            <w:r>
              <w:rPr>
                <w:rFonts w:ascii="Arial" w:hAnsi="Arial"/>
                <w:sz w:val="16"/>
                <w:szCs w:val="16"/>
              </w:rPr>
              <w:t>Vivion</w:t>
            </w:r>
            <w:proofErr w:type="spellEnd"/>
          </w:p>
        </w:tc>
        <w:tc>
          <w:tcPr>
            <w:tcW w:w="1156" w:type="dxa"/>
            <w:shd w:val="clear" w:color="auto" w:fill="D9D9D9" w:themeFill="background1" w:themeFillShade="D9"/>
            <w:vAlign w:val="center"/>
          </w:tcPr>
          <w:p w14:paraId="365B06EC" w14:textId="193DD664" w:rsidR="00A17B9C" w:rsidRPr="002C7BE0" w:rsidRDefault="00517975" w:rsidP="00CB4698">
            <w:pPr>
              <w:widowControl w:val="0"/>
              <w:jc w:val="center"/>
              <w:rPr>
                <w:rFonts w:ascii="Arial" w:hAnsi="Arial" w:cs="Arial"/>
                <w:sz w:val="16"/>
                <w:szCs w:val="16"/>
              </w:rPr>
            </w:pPr>
            <w:r>
              <w:rPr>
                <w:rFonts w:ascii="Arial" w:hAnsi="Arial"/>
                <w:sz w:val="16"/>
                <w:szCs w:val="16"/>
              </w:rPr>
              <w:t>&gt; 1,000</w:t>
            </w:r>
          </w:p>
        </w:tc>
      </w:tr>
      <w:tr w:rsidR="00517975" w:rsidRPr="006F49D0" w14:paraId="0ED9713D" w14:textId="77777777" w:rsidTr="007C214B">
        <w:trPr>
          <w:trHeight w:val="552"/>
        </w:trPr>
        <w:tc>
          <w:tcPr>
            <w:tcW w:w="687" w:type="dxa"/>
            <w:shd w:val="clear" w:color="auto" w:fill="D9D9D9" w:themeFill="background1" w:themeFillShade="D9"/>
            <w:vAlign w:val="center"/>
          </w:tcPr>
          <w:p w14:paraId="6B341D0A" w14:textId="5895F3E8" w:rsidR="00517975" w:rsidRDefault="00517975" w:rsidP="00CB4698">
            <w:pPr>
              <w:widowControl w:val="0"/>
              <w:jc w:val="center"/>
              <w:rPr>
                <w:rFonts w:ascii="Arial" w:hAnsi="Arial" w:cs="Arial"/>
                <w:sz w:val="16"/>
                <w:szCs w:val="16"/>
              </w:rPr>
            </w:pPr>
            <w:r>
              <w:rPr>
                <w:rFonts w:ascii="Arial" w:hAnsi="Arial"/>
                <w:sz w:val="16"/>
                <w:szCs w:val="16"/>
              </w:rPr>
              <w:t>MUC</w:t>
            </w:r>
          </w:p>
        </w:tc>
        <w:tc>
          <w:tcPr>
            <w:tcW w:w="2569" w:type="dxa"/>
            <w:shd w:val="clear" w:color="auto" w:fill="D9D9D9" w:themeFill="background1" w:themeFillShade="D9"/>
            <w:vAlign w:val="center"/>
          </w:tcPr>
          <w:p w14:paraId="4E308EF0" w14:textId="77777777" w:rsidR="000863AC" w:rsidRDefault="00517975" w:rsidP="00CB4698">
            <w:pPr>
              <w:widowControl w:val="0"/>
              <w:jc w:val="center"/>
              <w:rPr>
                <w:rFonts w:ascii="Arial" w:hAnsi="Arial" w:cs="Arial"/>
                <w:sz w:val="16"/>
                <w:szCs w:val="16"/>
              </w:rPr>
            </w:pPr>
            <w:r>
              <w:rPr>
                <w:rFonts w:ascii="Arial" w:hAnsi="Arial"/>
                <w:sz w:val="16"/>
                <w:szCs w:val="16"/>
              </w:rPr>
              <w:t xml:space="preserve">“Highlight Towers” </w:t>
            </w:r>
          </w:p>
          <w:p w14:paraId="494B010B" w14:textId="0E46D39B" w:rsidR="00517975" w:rsidRDefault="00517975" w:rsidP="00CB4698">
            <w:pPr>
              <w:widowControl w:val="0"/>
              <w:jc w:val="center"/>
              <w:rPr>
                <w:rFonts w:ascii="Arial" w:hAnsi="Arial" w:cs="Arial"/>
                <w:sz w:val="16"/>
                <w:szCs w:val="16"/>
              </w:rPr>
            </w:pPr>
            <w:proofErr w:type="spellStart"/>
            <w:r>
              <w:rPr>
                <w:rFonts w:ascii="Arial" w:hAnsi="Arial"/>
                <w:sz w:val="16"/>
                <w:szCs w:val="16"/>
              </w:rPr>
              <w:t>Mies</w:t>
            </w:r>
            <w:proofErr w:type="spellEnd"/>
            <w:r>
              <w:rPr>
                <w:rFonts w:ascii="Arial" w:hAnsi="Arial"/>
                <w:sz w:val="16"/>
                <w:szCs w:val="16"/>
              </w:rPr>
              <w:t>-van-der-</w:t>
            </w:r>
            <w:proofErr w:type="spellStart"/>
            <w:r>
              <w:rPr>
                <w:rFonts w:ascii="Arial" w:hAnsi="Arial"/>
                <w:sz w:val="16"/>
                <w:szCs w:val="16"/>
              </w:rPr>
              <w:t>Rohe</w:t>
            </w:r>
            <w:proofErr w:type="spellEnd"/>
            <w:r>
              <w:rPr>
                <w:rFonts w:ascii="Arial" w:hAnsi="Arial"/>
                <w:sz w:val="16"/>
                <w:szCs w:val="16"/>
              </w:rPr>
              <w:t>-</w:t>
            </w:r>
            <w:proofErr w:type="spellStart"/>
            <w:r>
              <w:rPr>
                <w:rFonts w:ascii="Arial" w:hAnsi="Arial"/>
                <w:sz w:val="16"/>
                <w:szCs w:val="16"/>
              </w:rPr>
              <w:t>Strasse</w:t>
            </w:r>
            <w:proofErr w:type="spellEnd"/>
            <w:r>
              <w:rPr>
                <w:rFonts w:ascii="Arial" w:hAnsi="Arial"/>
                <w:sz w:val="16"/>
                <w:szCs w:val="16"/>
              </w:rPr>
              <w:t xml:space="preserve"> 6</w:t>
            </w:r>
          </w:p>
        </w:tc>
        <w:tc>
          <w:tcPr>
            <w:tcW w:w="2693" w:type="dxa"/>
            <w:shd w:val="clear" w:color="auto" w:fill="D9D9D9" w:themeFill="background1" w:themeFillShade="D9"/>
            <w:vAlign w:val="center"/>
          </w:tcPr>
          <w:p w14:paraId="5D73D8F0" w14:textId="156C1C7E" w:rsidR="00517975" w:rsidRDefault="00517975" w:rsidP="00CB4698">
            <w:pPr>
              <w:widowControl w:val="0"/>
              <w:jc w:val="center"/>
              <w:rPr>
                <w:rFonts w:ascii="Arial" w:hAnsi="Arial" w:cs="Arial"/>
                <w:sz w:val="16"/>
                <w:szCs w:val="16"/>
              </w:rPr>
            </w:pPr>
            <w:proofErr w:type="spellStart"/>
            <w:r>
              <w:rPr>
                <w:rFonts w:ascii="Arial" w:hAnsi="Arial"/>
                <w:sz w:val="16"/>
                <w:szCs w:val="16"/>
              </w:rPr>
              <w:t>Imfarr</w:t>
            </w:r>
            <w:proofErr w:type="spellEnd"/>
            <w:r>
              <w:rPr>
                <w:rFonts w:ascii="Arial" w:hAnsi="Arial"/>
                <w:sz w:val="16"/>
                <w:szCs w:val="16"/>
              </w:rPr>
              <w:t xml:space="preserve"> + SN</w:t>
            </w:r>
          </w:p>
        </w:tc>
        <w:tc>
          <w:tcPr>
            <w:tcW w:w="2126" w:type="dxa"/>
            <w:shd w:val="clear" w:color="auto" w:fill="D9D9D9" w:themeFill="background1" w:themeFillShade="D9"/>
            <w:vAlign w:val="center"/>
          </w:tcPr>
          <w:p w14:paraId="40565624" w14:textId="7FF211A6" w:rsidR="00517975" w:rsidRDefault="00517975" w:rsidP="00CB4698">
            <w:pPr>
              <w:widowControl w:val="0"/>
              <w:jc w:val="center"/>
              <w:rPr>
                <w:rFonts w:ascii="Arial" w:hAnsi="Arial" w:cs="Arial"/>
                <w:sz w:val="16"/>
                <w:szCs w:val="16"/>
              </w:rPr>
            </w:pPr>
            <w:proofErr w:type="spellStart"/>
            <w:r>
              <w:rPr>
                <w:rFonts w:ascii="Arial" w:hAnsi="Arial"/>
                <w:sz w:val="16"/>
                <w:szCs w:val="16"/>
              </w:rPr>
              <w:t>Commerz</w:t>
            </w:r>
            <w:proofErr w:type="spellEnd"/>
            <w:r>
              <w:rPr>
                <w:rFonts w:ascii="Arial" w:hAnsi="Arial"/>
                <w:sz w:val="16"/>
                <w:szCs w:val="16"/>
              </w:rPr>
              <w:t xml:space="preserve"> Real</w:t>
            </w:r>
          </w:p>
        </w:tc>
        <w:tc>
          <w:tcPr>
            <w:tcW w:w="1156" w:type="dxa"/>
            <w:shd w:val="clear" w:color="auto" w:fill="D9D9D9" w:themeFill="background1" w:themeFillShade="D9"/>
            <w:vAlign w:val="center"/>
          </w:tcPr>
          <w:p w14:paraId="4B336C95" w14:textId="132AB334" w:rsidR="00517975" w:rsidRDefault="00517975" w:rsidP="00CB4698">
            <w:pPr>
              <w:widowControl w:val="0"/>
              <w:jc w:val="center"/>
              <w:rPr>
                <w:rFonts w:ascii="Arial" w:hAnsi="Arial" w:cs="Arial"/>
                <w:sz w:val="16"/>
                <w:szCs w:val="16"/>
              </w:rPr>
            </w:pPr>
            <w:r>
              <w:rPr>
                <w:rFonts w:ascii="Arial" w:hAnsi="Arial"/>
                <w:sz w:val="16"/>
                <w:szCs w:val="16"/>
              </w:rPr>
              <w:t>650</w:t>
            </w:r>
          </w:p>
        </w:tc>
      </w:tr>
      <w:tr w:rsidR="00517975" w:rsidRPr="006F49D0" w14:paraId="5F371FBE" w14:textId="77777777" w:rsidTr="007C214B">
        <w:trPr>
          <w:trHeight w:val="552"/>
        </w:trPr>
        <w:tc>
          <w:tcPr>
            <w:tcW w:w="687" w:type="dxa"/>
            <w:shd w:val="clear" w:color="auto" w:fill="D9D9D9" w:themeFill="background1" w:themeFillShade="D9"/>
            <w:vAlign w:val="center"/>
          </w:tcPr>
          <w:p w14:paraId="3D9D4003" w14:textId="4E5A11AA" w:rsidR="00517975" w:rsidRDefault="00517975" w:rsidP="00CB4698">
            <w:pPr>
              <w:widowControl w:val="0"/>
              <w:jc w:val="center"/>
              <w:rPr>
                <w:rFonts w:ascii="Arial" w:hAnsi="Arial" w:cs="Arial"/>
                <w:sz w:val="16"/>
                <w:szCs w:val="16"/>
              </w:rPr>
            </w:pPr>
            <w:r>
              <w:rPr>
                <w:rFonts w:ascii="Arial" w:hAnsi="Arial"/>
                <w:sz w:val="16"/>
                <w:szCs w:val="16"/>
              </w:rPr>
              <w:t>MUC</w:t>
            </w:r>
          </w:p>
        </w:tc>
        <w:tc>
          <w:tcPr>
            <w:tcW w:w="2569" w:type="dxa"/>
            <w:shd w:val="clear" w:color="auto" w:fill="D9D9D9" w:themeFill="background1" w:themeFillShade="D9"/>
            <w:vAlign w:val="center"/>
          </w:tcPr>
          <w:p w14:paraId="741DF718" w14:textId="77777777" w:rsidR="000863AC" w:rsidRDefault="000863AC" w:rsidP="00CB4698">
            <w:pPr>
              <w:widowControl w:val="0"/>
              <w:jc w:val="center"/>
              <w:rPr>
                <w:rFonts w:ascii="Arial" w:hAnsi="Arial" w:cs="Arial"/>
                <w:sz w:val="16"/>
                <w:szCs w:val="16"/>
              </w:rPr>
            </w:pPr>
            <w:r>
              <w:rPr>
                <w:rFonts w:ascii="Arial" w:hAnsi="Arial"/>
                <w:sz w:val="16"/>
                <w:szCs w:val="16"/>
              </w:rPr>
              <w:t xml:space="preserve">“Media Works”, </w:t>
            </w:r>
          </w:p>
          <w:p w14:paraId="54AD9B17" w14:textId="352CEC76" w:rsidR="00517975" w:rsidRDefault="000863AC" w:rsidP="00CB4698">
            <w:pPr>
              <w:widowControl w:val="0"/>
              <w:jc w:val="center"/>
              <w:rPr>
                <w:rFonts w:ascii="Arial" w:hAnsi="Arial" w:cs="Arial"/>
                <w:sz w:val="16"/>
                <w:szCs w:val="16"/>
              </w:rPr>
            </w:pPr>
            <w:proofErr w:type="spellStart"/>
            <w:r>
              <w:rPr>
                <w:rFonts w:ascii="Arial" w:hAnsi="Arial"/>
                <w:sz w:val="16"/>
                <w:szCs w:val="16"/>
              </w:rPr>
              <w:t>Rosenheimer</w:t>
            </w:r>
            <w:proofErr w:type="spellEnd"/>
            <w:r>
              <w:rPr>
                <w:rFonts w:ascii="Arial" w:hAnsi="Arial"/>
                <w:sz w:val="16"/>
                <w:szCs w:val="16"/>
              </w:rPr>
              <w:t xml:space="preserve"> </w:t>
            </w:r>
            <w:proofErr w:type="spellStart"/>
            <w:r>
              <w:rPr>
                <w:rFonts w:ascii="Arial" w:hAnsi="Arial"/>
                <w:sz w:val="16"/>
                <w:szCs w:val="16"/>
              </w:rPr>
              <w:t>Strasse</w:t>
            </w:r>
            <w:proofErr w:type="spellEnd"/>
            <w:r>
              <w:rPr>
                <w:rFonts w:ascii="Arial" w:hAnsi="Arial"/>
                <w:sz w:val="16"/>
                <w:szCs w:val="16"/>
              </w:rPr>
              <w:t xml:space="preserve"> 145a-i / </w:t>
            </w:r>
            <w:proofErr w:type="spellStart"/>
            <w:r>
              <w:rPr>
                <w:rFonts w:ascii="Arial" w:hAnsi="Arial"/>
                <w:sz w:val="16"/>
                <w:szCs w:val="16"/>
              </w:rPr>
              <w:t>Anzinger</w:t>
            </w:r>
            <w:proofErr w:type="spellEnd"/>
            <w:r>
              <w:rPr>
                <w:rFonts w:ascii="Arial" w:hAnsi="Arial"/>
                <w:sz w:val="16"/>
                <w:szCs w:val="16"/>
              </w:rPr>
              <w:t xml:space="preserve"> </w:t>
            </w:r>
            <w:proofErr w:type="spellStart"/>
            <w:r>
              <w:rPr>
                <w:rFonts w:ascii="Arial" w:hAnsi="Arial"/>
                <w:sz w:val="16"/>
                <w:szCs w:val="16"/>
              </w:rPr>
              <w:t>Straße</w:t>
            </w:r>
            <w:proofErr w:type="spellEnd"/>
            <w:r>
              <w:rPr>
                <w:rFonts w:ascii="Arial" w:hAnsi="Arial"/>
                <w:sz w:val="16"/>
                <w:szCs w:val="16"/>
              </w:rPr>
              <w:t xml:space="preserve"> 1-17</w:t>
            </w:r>
          </w:p>
        </w:tc>
        <w:tc>
          <w:tcPr>
            <w:tcW w:w="2693" w:type="dxa"/>
            <w:shd w:val="clear" w:color="auto" w:fill="D9D9D9" w:themeFill="background1" w:themeFillShade="D9"/>
            <w:vAlign w:val="center"/>
          </w:tcPr>
          <w:p w14:paraId="23239FB1" w14:textId="67B8601B" w:rsidR="00517975" w:rsidRDefault="000863AC" w:rsidP="00CB4698">
            <w:pPr>
              <w:widowControl w:val="0"/>
              <w:jc w:val="center"/>
              <w:rPr>
                <w:rFonts w:ascii="Arial" w:hAnsi="Arial" w:cs="Arial"/>
                <w:sz w:val="16"/>
                <w:szCs w:val="16"/>
              </w:rPr>
            </w:pPr>
            <w:r>
              <w:rPr>
                <w:rFonts w:ascii="Arial" w:hAnsi="Arial"/>
                <w:sz w:val="16"/>
                <w:szCs w:val="16"/>
              </w:rPr>
              <w:t>Union Investment and Hines</w:t>
            </w:r>
          </w:p>
        </w:tc>
        <w:tc>
          <w:tcPr>
            <w:tcW w:w="2126" w:type="dxa"/>
            <w:shd w:val="clear" w:color="auto" w:fill="D9D9D9" w:themeFill="background1" w:themeFillShade="D9"/>
            <w:vAlign w:val="center"/>
          </w:tcPr>
          <w:p w14:paraId="28B21714" w14:textId="27BD5EAA" w:rsidR="00517975" w:rsidRDefault="000863AC" w:rsidP="00CB4698">
            <w:pPr>
              <w:widowControl w:val="0"/>
              <w:jc w:val="center"/>
              <w:rPr>
                <w:rFonts w:ascii="Arial" w:hAnsi="Arial" w:cs="Arial"/>
                <w:sz w:val="16"/>
                <w:szCs w:val="16"/>
              </w:rPr>
            </w:pPr>
            <w:proofErr w:type="spellStart"/>
            <w:r>
              <w:rPr>
                <w:rFonts w:ascii="Arial" w:hAnsi="Arial"/>
                <w:sz w:val="16"/>
                <w:szCs w:val="16"/>
              </w:rPr>
              <w:t>Officefirst</w:t>
            </w:r>
            <w:proofErr w:type="spellEnd"/>
          </w:p>
        </w:tc>
        <w:tc>
          <w:tcPr>
            <w:tcW w:w="1156" w:type="dxa"/>
            <w:shd w:val="clear" w:color="auto" w:fill="D9D9D9" w:themeFill="background1" w:themeFillShade="D9"/>
            <w:vAlign w:val="center"/>
          </w:tcPr>
          <w:p w14:paraId="532C2292" w14:textId="347794B4" w:rsidR="00517975" w:rsidRDefault="000863AC" w:rsidP="00CB4698">
            <w:pPr>
              <w:widowControl w:val="0"/>
              <w:jc w:val="center"/>
              <w:rPr>
                <w:rFonts w:ascii="Arial" w:hAnsi="Arial" w:cs="Arial"/>
                <w:sz w:val="16"/>
                <w:szCs w:val="16"/>
              </w:rPr>
            </w:pPr>
            <w:r>
              <w:rPr>
                <w:rFonts w:ascii="Arial" w:hAnsi="Arial"/>
                <w:sz w:val="16"/>
                <w:szCs w:val="16"/>
              </w:rPr>
              <w:t>650</w:t>
            </w:r>
          </w:p>
        </w:tc>
      </w:tr>
      <w:tr w:rsidR="000863AC" w:rsidRPr="006F49D0" w14:paraId="2FE25EB1" w14:textId="77777777" w:rsidTr="007C214B">
        <w:trPr>
          <w:trHeight w:val="552"/>
        </w:trPr>
        <w:tc>
          <w:tcPr>
            <w:tcW w:w="687" w:type="dxa"/>
            <w:shd w:val="clear" w:color="auto" w:fill="D9D9D9" w:themeFill="background1" w:themeFillShade="D9"/>
            <w:vAlign w:val="center"/>
          </w:tcPr>
          <w:p w14:paraId="2B5023B8" w14:textId="12C3F163" w:rsidR="000863AC" w:rsidRDefault="000863AC" w:rsidP="00CB4698">
            <w:pPr>
              <w:widowControl w:val="0"/>
              <w:jc w:val="center"/>
              <w:rPr>
                <w:rFonts w:ascii="Arial" w:hAnsi="Arial" w:cs="Arial"/>
                <w:sz w:val="16"/>
                <w:szCs w:val="16"/>
              </w:rPr>
            </w:pPr>
            <w:r>
              <w:rPr>
                <w:rFonts w:ascii="Arial" w:hAnsi="Arial"/>
                <w:sz w:val="16"/>
                <w:szCs w:val="16"/>
              </w:rPr>
              <w:t>MUC</w:t>
            </w:r>
          </w:p>
        </w:tc>
        <w:tc>
          <w:tcPr>
            <w:tcW w:w="2569" w:type="dxa"/>
            <w:shd w:val="clear" w:color="auto" w:fill="D9D9D9" w:themeFill="background1" w:themeFillShade="D9"/>
            <w:vAlign w:val="center"/>
          </w:tcPr>
          <w:p w14:paraId="7A583A4D" w14:textId="77777777" w:rsidR="000863AC" w:rsidRDefault="000863AC" w:rsidP="00CB4698">
            <w:pPr>
              <w:widowControl w:val="0"/>
              <w:jc w:val="center"/>
              <w:rPr>
                <w:rFonts w:ascii="Arial" w:hAnsi="Arial" w:cs="Arial"/>
                <w:sz w:val="16"/>
                <w:szCs w:val="16"/>
              </w:rPr>
            </w:pPr>
            <w:r>
              <w:rPr>
                <w:rFonts w:ascii="Arial" w:hAnsi="Arial"/>
                <w:sz w:val="16"/>
                <w:szCs w:val="16"/>
              </w:rPr>
              <w:t>“O2 Tower”</w:t>
            </w:r>
          </w:p>
          <w:p w14:paraId="3C771107" w14:textId="4BD724BE" w:rsidR="000863AC" w:rsidRDefault="000863AC" w:rsidP="00CB4698">
            <w:pPr>
              <w:widowControl w:val="0"/>
              <w:jc w:val="center"/>
              <w:rPr>
                <w:rFonts w:ascii="Arial" w:hAnsi="Arial" w:cs="Arial"/>
                <w:sz w:val="16"/>
                <w:szCs w:val="16"/>
              </w:rPr>
            </w:pPr>
            <w:r>
              <w:rPr>
                <w:rFonts w:ascii="Arial" w:hAnsi="Arial"/>
                <w:sz w:val="16"/>
                <w:szCs w:val="16"/>
              </w:rPr>
              <w:t>Georg-</w:t>
            </w:r>
            <w:proofErr w:type="spellStart"/>
            <w:r>
              <w:rPr>
                <w:rFonts w:ascii="Arial" w:hAnsi="Arial"/>
                <w:sz w:val="16"/>
                <w:szCs w:val="16"/>
              </w:rPr>
              <w:t>Brauchle</w:t>
            </w:r>
            <w:proofErr w:type="spellEnd"/>
            <w:r>
              <w:rPr>
                <w:rFonts w:ascii="Arial" w:hAnsi="Arial"/>
                <w:sz w:val="16"/>
                <w:szCs w:val="16"/>
              </w:rPr>
              <w:t>-Ring</w:t>
            </w:r>
          </w:p>
        </w:tc>
        <w:tc>
          <w:tcPr>
            <w:tcW w:w="2693" w:type="dxa"/>
            <w:shd w:val="clear" w:color="auto" w:fill="D9D9D9" w:themeFill="background1" w:themeFillShade="D9"/>
            <w:vAlign w:val="center"/>
          </w:tcPr>
          <w:p w14:paraId="3ED50273" w14:textId="3CF52FE1" w:rsidR="000863AC" w:rsidRDefault="000863AC" w:rsidP="00CB4698">
            <w:pPr>
              <w:widowControl w:val="0"/>
              <w:jc w:val="center"/>
              <w:rPr>
                <w:rFonts w:ascii="Arial" w:hAnsi="Arial" w:cs="Arial"/>
                <w:sz w:val="16"/>
                <w:szCs w:val="16"/>
              </w:rPr>
            </w:pPr>
            <w:r>
              <w:rPr>
                <w:rFonts w:ascii="Arial" w:hAnsi="Arial"/>
                <w:sz w:val="16"/>
                <w:szCs w:val="16"/>
              </w:rPr>
              <w:t xml:space="preserve">DIC Asset </w:t>
            </w:r>
            <w:bookmarkStart w:id="4" w:name="_GoBack"/>
            <w:bookmarkEnd w:id="4"/>
          </w:p>
        </w:tc>
        <w:tc>
          <w:tcPr>
            <w:tcW w:w="2126" w:type="dxa"/>
            <w:shd w:val="clear" w:color="auto" w:fill="D9D9D9" w:themeFill="background1" w:themeFillShade="D9"/>
            <w:vAlign w:val="center"/>
          </w:tcPr>
          <w:p w14:paraId="0CCBC581" w14:textId="7C6A7393" w:rsidR="000863AC" w:rsidRDefault="000863AC" w:rsidP="00CB4698">
            <w:pPr>
              <w:widowControl w:val="0"/>
              <w:jc w:val="center"/>
              <w:rPr>
                <w:rFonts w:ascii="Arial" w:hAnsi="Arial" w:cs="Arial"/>
                <w:sz w:val="16"/>
                <w:szCs w:val="16"/>
              </w:rPr>
            </w:pPr>
            <w:r>
              <w:rPr>
                <w:rFonts w:ascii="Arial" w:hAnsi="Arial"/>
                <w:sz w:val="16"/>
                <w:szCs w:val="16"/>
              </w:rPr>
              <w:t>GIC</w:t>
            </w:r>
          </w:p>
        </w:tc>
        <w:tc>
          <w:tcPr>
            <w:tcW w:w="1156" w:type="dxa"/>
            <w:shd w:val="clear" w:color="auto" w:fill="D9D9D9" w:themeFill="background1" w:themeFillShade="D9"/>
            <w:vAlign w:val="center"/>
          </w:tcPr>
          <w:p w14:paraId="0064A389" w14:textId="0A6FBC78" w:rsidR="000863AC" w:rsidRDefault="000863AC" w:rsidP="00CB4698">
            <w:pPr>
              <w:widowControl w:val="0"/>
              <w:jc w:val="center"/>
              <w:rPr>
                <w:rFonts w:ascii="Arial" w:hAnsi="Arial" w:cs="Arial"/>
                <w:sz w:val="16"/>
                <w:szCs w:val="16"/>
              </w:rPr>
            </w:pPr>
            <w:r>
              <w:rPr>
                <w:rFonts w:ascii="Arial" w:hAnsi="Arial"/>
                <w:sz w:val="16"/>
                <w:szCs w:val="16"/>
              </w:rPr>
              <w:t>570</w:t>
            </w:r>
          </w:p>
        </w:tc>
      </w:tr>
      <w:tr w:rsidR="00517975" w:rsidRPr="006F49D0" w14:paraId="3235E6FD" w14:textId="77777777" w:rsidTr="007C214B">
        <w:trPr>
          <w:trHeight w:val="552"/>
        </w:trPr>
        <w:tc>
          <w:tcPr>
            <w:tcW w:w="687" w:type="dxa"/>
            <w:shd w:val="clear" w:color="auto" w:fill="auto"/>
            <w:vAlign w:val="center"/>
          </w:tcPr>
          <w:p w14:paraId="299E3F27" w14:textId="6420562A" w:rsidR="00517975" w:rsidRPr="002C7BE0" w:rsidRDefault="00A51332" w:rsidP="00517975">
            <w:pPr>
              <w:widowControl w:val="0"/>
              <w:jc w:val="center"/>
              <w:rPr>
                <w:rFonts w:ascii="Arial" w:hAnsi="Arial" w:cs="Arial"/>
                <w:sz w:val="16"/>
                <w:szCs w:val="16"/>
              </w:rPr>
            </w:pPr>
            <w:r>
              <w:rPr>
                <w:rFonts w:ascii="Arial" w:hAnsi="Arial"/>
                <w:sz w:val="16"/>
                <w:szCs w:val="16"/>
              </w:rPr>
              <w:t>FFM</w:t>
            </w:r>
          </w:p>
        </w:tc>
        <w:tc>
          <w:tcPr>
            <w:tcW w:w="2569" w:type="dxa"/>
            <w:shd w:val="clear" w:color="auto" w:fill="auto"/>
            <w:vAlign w:val="center"/>
          </w:tcPr>
          <w:p w14:paraId="36E9837A" w14:textId="30801D14" w:rsidR="00517975" w:rsidRPr="002C7BE0" w:rsidRDefault="00517975" w:rsidP="00517975">
            <w:pPr>
              <w:widowControl w:val="0"/>
              <w:jc w:val="center"/>
              <w:rPr>
                <w:rFonts w:ascii="Arial" w:hAnsi="Arial" w:cs="Arial"/>
                <w:sz w:val="16"/>
                <w:szCs w:val="16"/>
              </w:rPr>
            </w:pPr>
            <w:r>
              <w:rPr>
                <w:rFonts w:ascii="Arial" w:hAnsi="Arial"/>
                <w:sz w:val="16"/>
                <w:szCs w:val="16"/>
              </w:rPr>
              <w:t xml:space="preserve">Ludwig-Erhard </w:t>
            </w:r>
            <w:proofErr w:type="spellStart"/>
            <w:r>
              <w:rPr>
                <w:rFonts w:ascii="Arial" w:hAnsi="Arial"/>
                <w:sz w:val="16"/>
                <w:szCs w:val="16"/>
              </w:rPr>
              <w:t>Strasse</w:t>
            </w:r>
            <w:proofErr w:type="spellEnd"/>
            <w:r>
              <w:rPr>
                <w:rFonts w:ascii="Arial" w:hAnsi="Arial"/>
                <w:sz w:val="16"/>
                <w:szCs w:val="16"/>
              </w:rPr>
              <w:t xml:space="preserve"> 7, </w:t>
            </w:r>
            <w:proofErr w:type="spellStart"/>
            <w:r>
              <w:rPr>
                <w:rFonts w:ascii="Arial" w:hAnsi="Arial"/>
                <w:sz w:val="16"/>
                <w:szCs w:val="16"/>
              </w:rPr>
              <w:t>Eschborn</w:t>
            </w:r>
            <w:proofErr w:type="spellEnd"/>
          </w:p>
        </w:tc>
        <w:tc>
          <w:tcPr>
            <w:tcW w:w="2693" w:type="dxa"/>
            <w:shd w:val="clear" w:color="auto" w:fill="auto"/>
            <w:vAlign w:val="center"/>
          </w:tcPr>
          <w:p w14:paraId="37659DA9" w14:textId="3DE86720" w:rsidR="00517975" w:rsidRPr="002C7BE0" w:rsidRDefault="00517975" w:rsidP="00517975">
            <w:pPr>
              <w:widowControl w:val="0"/>
              <w:jc w:val="center"/>
              <w:rPr>
                <w:rFonts w:ascii="Arial" w:hAnsi="Arial" w:cs="Arial"/>
                <w:sz w:val="16"/>
                <w:szCs w:val="16"/>
              </w:rPr>
            </w:pPr>
            <w:r>
              <w:rPr>
                <w:rFonts w:ascii="Arial" w:hAnsi="Arial"/>
                <w:sz w:val="16"/>
                <w:szCs w:val="16"/>
              </w:rPr>
              <w:t xml:space="preserve">Deutsche </w:t>
            </w:r>
            <w:proofErr w:type="spellStart"/>
            <w:r>
              <w:rPr>
                <w:rFonts w:ascii="Arial" w:hAnsi="Arial"/>
                <w:sz w:val="16"/>
                <w:szCs w:val="16"/>
              </w:rPr>
              <w:t>Gesellschaft</w:t>
            </w:r>
            <w:proofErr w:type="spellEnd"/>
            <w:r>
              <w:rPr>
                <w:rFonts w:ascii="Arial" w:hAnsi="Arial"/>
                <w:sz w:val="16"/>
                <w:szCs w:val="16"/>
              </w:rPr>
              <w:t xml:space="preserve"> </w:t>
            </w:r>
            <w:proofErr w:type="spellStart"/>
            <w:r>
              <w:rPr>
                <w:rFonts w:ascii="Arial" w:hAnsi="Arial"/>
                <w:sz w:val="16"/>
                <w:szCs w:val="16"/>
              </w:rPr>
              <w:t>für</w:t>
            </w:r>
            <w:proofErr w:type="spellEnd"/>
            <w:r>
              <w:rPr>
                <w:rFonts w:ascii="Arial" w:hAnsi="Arial"/>
                <w:sz w:val="16"/>
                <w:szCs w:val="16"/>
              </w:rPr>
              <w:t xml:space="preserve"> Internationale </w:t>
            </w:r>
            <w:proofErr w:type="spellStart"/>
            <w:r>
              <w:rPr>
                <w:rFonts w:ascii="Arial" w:hAnsi="Arial"/>
                <w:sz w:val="16"/>
                <w:szCs w:val="16"/>
              </w:rPr>
              <w:t>Zusammenarbeit</w:t>
            </w:r>
            <w:proofErr w:type="spellEnd"/>
            <w:r>
              <w:rPr>
                <w:rFonts w:ascii="Arial" w:hAnsi="Arial"/>
                <w:sz w:val="16"/>
                <w:szCs w:val="16"/>
              </w:rPr>
              <w:t xml:space="preserve"> (Fed. int. aid org.)</w:t>
            </w:r>
          </w:p>
        </w:tc>
        <w:tc>
          <w:tcPr>
            <w:tcW w:w="2126" w:type="dxa"/>
            <w:shd w:val="clear" w:color="auto" w:fill="auto"/>
            <w:vAlign w:val="center"/>
          </w:tcPr>
          <w:p w14:paraId="505E3B07" w14:textId="17C90ED2" w:rsidR="00517975" w:rsidRPr="002C7BE0" w:rsidRDefault="00517975" w:rsidP="00517975">
            <w:pPr>
              <w:widowControl w:val="0"/>
              <w:jc w:val="center"/>
              <w:rPr>
                <w:rFonts w:ascii="Arial" w:hAnsi="Arial" w:cs="Arial"/>
                <w:sz w:val="16"/>
                <w:szCs w:val="16"/>
              </w:rPr>
            </w:pPr>
            <w:r>
              <w:rPr>
                <w:rFonts w:ascii="Arial" w:hAnsi="Arial"/>
                <w:sz w:val="16"/>
                <w:szCs w:val="16"/>
              </w:rPr>
              <w:t>PHOENIX Real Estate Development</w:t>
            </w:r>
          </w:p>
        </w:tc>
        <w:tc>
          <w:tcPr>
            <w:tcW w:w="1156" w:type="dxa"/>
            <w:shd w:val="clear" w:color="auto" w:fill="auto"/>
            <w:vAlign w:val="center"/>
          </w:tcPr>
          <w:p w14:paraId="4A0B6531" w14:textId="174A39C0" w:rsidR="00517975" w:rsidRPr="002C7BE0" w:rsidRDefault="00517975" w:rsidP="00517975">
            <w:pPr>
              <w:widowControl w:val="0"/>
              <w:jc w:val="center"/>
              <w:rPr>
                <w:rFonts w:ascii="Arial" w:hAnsi="Arial" w:cs="Arial"/>
                <w:sz w:val="16"/>
                <w:szCs w:val="16"/>
              </w:rPr>
            </w:pPr>
            <w:r>
              <w:rPr>
                <w:rFonts w:ascii="Arial" w:hAnsi="Arial"/>
                <w:sz w:val="16"/>
                <w:szCs w:val="16"/>
              </w:rPr>
              <w:t>220</w:t>
            </w:r>
          </w:p>
        </w:tc>
      </w:tr>
      <w:tr w:rsidR="00F93E6D" w:rsidRPr="006F49D0" w14:paraId="5CB3E894" w14:textId="77777777" w:rsidTr="007C214B">
        <w:trPr>
          <w:trHeight w:val="552"/>
        </w:trPr>
        <w:tc>
          <w:tcPr>
            <w:tcW w:w="687" w:type="dxa"/>
            <w:shd w:val="clear" w:color="auto" w:fill="D9D9D9" w:themeFill="background1" w:themeFillShade="D9"/>
            <w:vAlign w:val="center"/>
          </w:tcPr>
          <w:p w14:paraId="7DA7BABD" w14:textId="1AA72656" w:rsidR="00F93E6D" w:rsidRPr="002C7BE0" w:rsidRDefault="00F93E6D" w:rsidP="00F93E6D">
            <w:pPr>
              <w:widowControl w:val="0"/>
              <w:jc w:val="center"/>
              <w:rPr>
                <w:rFonts w:ascii="Arial" w:hAnsi="Arial" w:cs="Arial"/>
                <w:sz w:val="16"/>
                <w:szCs w:val="16"/>
              </w:rPr>
            </w:pPr>
            <w:r>
              <w:rPr>
                <w:rFonts w:ascii="Arial" w:hAnsi="Arial"/>
                <w:sz w:val="16"/>
                <w:szCs w:val="16"/>
              </w:rPr>
              <w:t>BER</w:t>
            </w:r>
          </w:p>
        </w:tc>
        <w:tc>
          <w:tcPr>
            <w:tcW w:w="2569" w:type="dxa"/>
            <w:shd w:val="clear" w:color="auto" w:fill="D9D9D9" w:themeFill="background1" w:themeFillShade="D9"/>
            <w:vAlign w:val="center"/>
          </w:tcPr>
          <w:p w14:paraId="19767D72" w14:textId="77777777" w:rsidR="00F93E6D" w:rsidRDefault="00F93E6D" w:rsidP="00F93E6D">
            <w:pPr>
              <w:widowControl w:val="0"/>
              <w:jc w:val="center"/>
              <w:rPr>
                <w:rFonts w:ascii="Arial" w:hAnsi="Arial" w:cs="Arial"/>
                <w:sz w:val="16"/>
                <w:szCs w:val="16"/>
              </w:rPr>
            </w:pPr>
            <w:r>
              <w:rPr>
                <w:rFonts w:ascii="Arial" w:hAnsi="Arial"/>
                <w:sz w:val="16"/>
                <w:szCs w:val="16"/>
              </w:rPr>
              <w:t>“Quartier 206”,</w:t>
            </w:r>
          </w:p>
          <w:p w14:paraId="26B3D20F" w14:textId="71B74DD6" w:rsidR="00F93E6D" w:rsidRPr="002C7BE0" w:rsidRDefault="00F93E6D" w:rsidP="00F93E6D">
            <w:pPr>
              <w:widowControl w:val="0"/>
              <w:jc w:val="center"/>
              <w:rPr>
                <w:rFonts w:ascii="Arial" w:hAnsi="Arial" w:cs="Arial"/>
                <w:sz w:val="16"/>
                <w:szCs w:val="16"/>
              </w:rPr>
            </w:pPr>
            <w:proofErr w:type="spellStart"/>
            <w:r>
              <w:rPr>
                <w:rFonts w:ascii="Arial" w:hAnsi="Arial"/>
                <w:sz w:val="16"/>
                <w:szCs w:val="16"/>
              </w:rPr>
              <w:t>Friedrichstrasse</w:t>
            </w:r>
            <w:proofErr w:type="spellEnd"/>
            <w:r>
              <w:rPr>
                <w:rFonts w:ascii="Arial" w:hAnsi="Arial"/>
                <w:sz w:val="16"/>
                <w:szCs w:val="16"/>
              </w:rPr>
              <w:t xml:space="preserve"> 71</w:t>
            </w:r>
          </w:p>
        </w:tc>
        <w:tc>
          <w:tcPr>
            <w:tcW w:w="2693" w:type="dxa"/>
            <w:shd w:val="clear" w:color="auto" w:fill="D9D9D9" w:themeFill="background1" w:themeFillShade="D9"/>
            <w:vAlign w:val="center"/>
          </w:tcPr>
          <w:p w14:paraId="5B8E446B" w14:textId="2031F944" w:rsidR="00F93E6D" w:rsidRPr="002C7BE0" w:rsidRDefault="00F93E6D" w:rsidP="00F93E6D">
            <w:pPr>
              <w:widowControl w:val="0"/>
              <w:jc w:val="center"/>
              <w:rPr>
                <w:rFonts w:ascii="Arial" w:hAnsi="Arial" w:cs="Arial"/>
                <w:sz w:val="16"/>
                <w:szCs w:val="16"/>
              </w:rPr>
            </w:pPr>
            <w:r>
              <w:rPr>
                <w:rFonts w:ascii="Arial" w:hAnsi="Arial"/>
                <w:sz w:val="16"/>
                <w:szCs w:val="16"/>
              </w:rPr>
              <w:t>RFR Holding</w:t>
            </w:r>
          </w:p>
        </w:tc>
        <w:tc>
          <w:tcPr>
            <w:tcW w:w="2126" w:type="dxa"/>
            <w:shd w:val="clear" w:color="auto" w:fill="D9D9D9" w:themeFill="background1" w:themeFillShade="D9"/>
            <w:vAlign w:val="center"/>
          </w:tcPr>
          <w:p w14:paraId="7BE394D5" w14:textId="2D72958C" w:rsidR="00F93E6D" w:rsidRPr="002C7BE0" w:rsidRDefault="00F93E6D" w:rsidP="00F93E6D">
            <w:pPr>
              <w:widowControl w:val="0"/>
              <w:jc w:val="center"/>
              <w:rPr>
                <w:rFonts w:ascii="Arial" w:hAnsi="Arial" w:cs="Arial"/>
                <w:sz w:val="16"/>
                <w:szCs w:val="16"/>
              </w:rPr>
            </w:pPr>
            <w:r>
              <w:rPr>
                <w:rFonts w:ascii="Arial" w:hAnsi="Arial"/>
                <w:sz w:val="16"/>
                <w:szCs w:val="16"/>
              </w:rPr>
              <w:t>Bank consortium headed by Credit Suisse</w:t>
            </w:r>
          </w:p>
        </w:tc>
        <w:tc>
          <w:tcPr>
            <w:tcW w:w="1156" w:type="dxa"/>
            <w:shd w:val="clear" w:color="auto" w:fill="D9D9D9" w:themeFill="background1" w:themeFillShade="D9"/>
            <w:vAlign w:val="center"/>
          </w:tcPr>
          <w:p w14:paraId="64D1B905" w14:textId="2532888C" w:rsidR="00F93E6D" w:rsidRPr="002C7BE0" w:rsidRDefault="00F93E6D" w:rsidP="00F93E6D">
            <w:pPr>
              <w:widowControl w:val="0"/>
              <w:jc w:val="center"/>
              <w:rPr>
                <w:rFonts w:ascii="Arial" w:hAnsi="Arial" w:cs="Arial"/>
                <w:sz w:val="16"/>
                <w:szCs w:val="16"/>
              </w:rPr>
            </w:pPr>
            <w:r>
              <w:rPr>
                <w:rFonts w:ascii="Arial" w:hAnsi="Arial"/>
                <w:sz w:val="16"/>
                <w:szCs w:val="16"/>
              </w:rPr>
              <w:t>220</w:t>
            </w:r>
          </w:p>
        </w:tc>
      </w:tr>
      <w:tr w:rsidR="00C7221E" w:rsidRPr="006F49D0" w14:paraId="5CB77049" w14:textId="77777777" w:rsidTr="007C214B">
        <w:trPr>
          <w:trHeight w:val="552"/>
        </w:trPr>
        <w:tc>
          <w:tcPr>
            <w:tcW w:w="687" w:type="dxa"/>
            <w:shd w:val="clear" w:color="auto" w:fill="D9D9D9" w:themeFill="background1" w:themeFillShade="D9"/>
            <w:vAlign w:val="center"/>
          </w:tcPr>
          <w:p w14:paraId="50BA0A1A" w14:textId="4B076767" w:rsidR="00C7221E" w:rsidRPr="002C7BE0" w:rsidRDefault="00A51332" w:rsidP="00517975">
            <w:pPr>
              <w:widowControl w:val="0"/>
              <w:jc w:val="center"/>
              <w:rPr>
                <w:rFonts w:ascii="Arial" w:hAnsi="Arial" w:cs="Arial"/>
                <w:sz w:val="16"/>
                <w:szCs w:val="16"/>
              </w:rPr>
            </w:pPr>
            <w:r>
              <w:rPr>
                <w:rFonts w:ascii="Arial" w:hAnsi="Arial"/>
                <w:sz w:val="16"/>
                <w:szCs w:val="16"/>
              </w:rPr>
              <w:t>FFM</w:t>
            </w:r>
          </w:p>
        </w:tc>
        <w:tc>
          <w:tcPr>
            <w:tcW w:w="2569" w:type="dxa"/>
            <w:shd w:val="clear" w:color="auto" w:fill="D9D9D9" w:themeFill="background1" w:themeFillShade="D9"/>
            <w:vAlign w:val="center"/>
          </w:tcPr>
          <w:p w14:paraId="24A64C2B" w14:textId="77777777" w:rsidR="00C7221E" w:rsidRDefault="00C7221E" w:rsidP="00517975">
            <w:pPr>
              <w:widowControl w:val="0"/>
              <w:jc w:val="center"/>
              <w:rPr>
                <w:rFonts w:ascii="Arial" w:hAnsi="Arial" w:cs="Arial"/>
                <w:sz w:val="16"/>
                <w:szCs w:val="16"/>
              </w:rPr>
            </w:pPr>
            <w:r>
              <w:rPr>
                <w:rFonts w:ascii="Arial" w:hAnsi="Arial"/>
                <w:sz w:val="16"/>
                <w:szCs w:val="16"/>
              </w:rPr>
              <w:t>“</w:t>
            </w:r>
            <w:proofErr w:type="spellStart"/>
            <w:r>
              <w:rPr>
                <w:rFonts w:ascii="Arial" w:hAnsi="Arial"/>
                <w:sz w:val="16"/>
                <w:szCs w:val="16"/>
              </w:rPr>
              <w:t>Westend</w:t>
            </w:r>
            <w:proofErr w:type="spellEnd"/>
            <w:r>
              <w:rPr>
                <w:rFonts w:ascii="Arial" w:hAnsi="Arial"/>
                <w:sz w:val="16"/>
                <w:szCs w:val="16"/>
              </w:rPr>
              <w:t xml:space="preserve"> </w:t>
            </w:r>
            <w:proofErr w:type="spellStart"/>
            <w:r>
              <w:rPr>
                <w:rFonts w:ascii="Arial" w:hAnsi="Arial"/>
                <w:sz w:val="16"/>
                <w:szCs w:val="16"/>
              </w:rPr>
              <w:t>Carrée</w:t>
            </w:r>
            <w:proofErr w:type="spellEnd"/>
            <w:r>
              <w:rPr>
                <w:rFonts w:ascii="Arial" w:hAnsi="Arial"/>
                <w:sz w:val="16"/>
                <w:szCs w:val="16"/>
              </w:rPr>
              <w:t>”,</w:t>
            </w:r>
          </w:p>
          <w:p w14:paraId="0C226DE0" w14:textId="7AB7C329" w:rsidR="00C7221E" w:rsidRPr="002C7BE0" w:rsidRDefault="00C7221E" w:rsidP="00517975">
            <w:pPr>
              <w:widowControl w:val="0"/>
              <w:jc w:val="center"/>
              <w:rPr>
                <w:rFonts w:ascii="Arial" w:hAnsi="Arial" w:cs="Arial"/>
                <w:sz w:val="16"/>
                <w:szCs w:val="16"/>
              </w:rPr>
            </w:pPr>
            <w:proofErr w:type="spellStart"/>
            <w:r>
              <w:rPr>
                <w:rFonts w:ascii="Arial" w:hAnsi="Arial"/>
                <w:sz w:val="16"/>
                <w:szCs w:val="16"/>
              </w:rPr>
              <w:t>Grüneburgweg</w:t>
            </w:r>
            <w:proofErr w:type="spellEnd"/>
            <w:r>
              <w:rPr>
                <w:rFonts w:ascii="Arial" w:hAnsi="Arial"/>
                <w:sz w:val="16"/>
                <w:szCs w:val="16"/>
              </w:rPr>
              <w:t xml:space="preserve"> 14-18</w:t>
            </w:r>
          </w:p>
        </w:tc>
        <w:tc>
          <w:tcPr>
            <w:tcW w:w="2693" w:type="dxa"/>
            <w:shd w:val="clear" w:color="auto" w:fill="D9D9D9" w:themeFill="background1" w:themeFillShade="D9"/>
            <w:vAlign w:val="center"/>
          </w:tcPr>
          <w:p w14:paraId="1FDDE978" w14:textId="05D67583" w:rsidR="00C7221E" w:rsidRPr="002C7BE0" w:rsidRDefault="00C7221E" w:rsidP="00517975">
            <w:pPr>
              <w:widowControl w:val="0"/>
              <w:jc w:val="center"/>
              <w:rPr>
                <w:rFonts w:ascii="Arial" w:hAnsi="Arial" w:cs="Arial"/>
                <w:sz w:val="16"/>
                <w:szCs w:val="16"/>
              </w:rPr>
            </w:pPr>
            <w:proofErr w:type="spellStart"/>
            <w:r>
              <w:rPr>
                <w:rFonts w:ascii="Arial" w:hAnsi="Arial"/>
                <w:sz w:val="16"/>
                <w:szCs w:val="16"/>
              </w:rPr>
              <w:t>Ardian</w:t>
            </w:r>
            <w:proofErr w:type="spellEnd"/>
            <w:r>
              <w:rPr>
                <w:rFonts w:ascii="Arial" w:hAnsi="Arial"/>
                <w:sz w:val="16"/>
                <w:szCs w:val="16"/>
              </w:rPr>
              <w:t xml:space="preserve"> Real Estate</w:t>
            </w:r>
          </w:p>
        </w:tc>
        <w:tc>
          <w:tcPr>
            <w:tcW w:w="2126" w:type="dxa"/>
            <w:shd w:val="clear" w:color="auto" w:fill="D9D9D9" w:themeFill="background1" w:themeFillShade="D9"/>
            <w:vAlign w:val="center"/>
          </w:tcPr>
          <w:p w14:paraId="1F5251D3" w14:textId="24B5954D" w:rsidR="00C7221E" w:rsidRPr="002C7BE0" w:rsidRDefault="00C7221E" w:rsidP="00517975">
            <w:pPr>
              <w:widowControl w:val="0"/>
              <w:jc w:val="center"/>
              <w:rPr>
                <w:rFonts w:ascii="Arial" w:hAnsi="Arial" w:cs="Arial"/>
                <w:sz w:val="16"/>
                <w:szCs w:val="16"/>
              </w:rPr>
            </w:pPr>
            <w:proofErr w:type="spellStart"/>
            <w:r>
              <w:rPr>
                <w:rFonts w:ascii="Arial" w:hAnsi="Arial"/>
                <w:sz w:val="16"/>
                <w:szCs w:val="16"/>
              </w:rPr>
              <w:t>publity</w:t>
            </w:r>
            <w:proofErr w:type="spellEnd"/>
            <w:r>
              <w:rPr>
                <w:rFonts w:ascii="Arial" w:hAnsi="Arial"/>
                <w:sz w:val="16"/>
                <w:szCs w:val="16"/>
              </w:rPr>
              <w:t xml:space="preserve"> </w:t>
            </w:r>
          </w:p>
        </w:tc>
        <w:tc>
          <w:tcPr>
            <w:tcW w:w="1156" w:type="dxa"/>
            <w:shd w:val="clear" w:color="auto" w:fill="D9D9D9" w:themeFill="background1" w:themeFillShade="D9"/>
            <w:vAlign w:val="center"/>
          </w:tcPr>
          <w:p w14:paraId="3419CC17" w14:textId="7670F8AB" w:rsidR="00C7221E" w:rsidRPr="002C7BE0" w:rsidRDefault="00C7221E" w:rsidP="00517975">
            <w:pPr>
              <w:widowControl w:val="0"/>
              <w:jc w:val="center"/>
              <w:rPr>
                <w:rFonts w:ascii="Arial" w:hAnsi="Arial" w:cs="Arial"/>
                <w:sz w:val="16"/>
                <w:szCs w:val="16"/>
              </w:rPr>
            </w:pPr>
            <w:r>
              <w:rPr>
                <w:rFonts w:ascii="Arial" w:hAnsi="Arial"/>
                <w:sz w:val="16"/>
                <w:szCs w:val="16"/>
              </w:rPr>
              <w:t>&gt; 200</w:t>
            </w:r>
          </w:p>
        </w:tc>
      </w:tr>
      <w:tr w:rsidR="00C7221E" w:rsidRPr="006F49D0" w14:paraId="11154FE1" w14:textId="77777777" w:rsidTr="007C214B">
        <w:trPr>
          <w:trHeight w:val="552"/>
        </w:trPr>
        <w:tc>
          <w:tcPr>
            <w:tcW w:w="687" w:type="dxa"/>
            <w:shd w:val="clear" w:color="auto" w:fill="D9D9D9" w:themeFill="background1" w:themeFillShade="D9"/>
            <w:vAlign w:val="center"/>
          </w:tcPr>
          <w:p w14:paraId="37BD190B" w14:textId="4985910A" w:rsidR="00C7221E" w:rsidRDefault="00C7221E" w:rsidP="00517975">
            <w:pPr>
              <w:widowControl w:val="0"/>
              <w:jc w:val="center"/>
              <w:rPr>
                <w:rFonts w:ascii="Arial" w:hAnsi="Arial" w:cs="Arial"/>
                <w:sz w:val="16"/>
                <w:szCs w:val="16"/>
              </w:rPr>
            </w:pPr>
            <w:r>
              <w:rPr>
                <w:rFonts w:ascii="Arial" w:hAnsi="Arial"/>
                <w:sz w:val="16"/>
                <w:szCs w:val="16"/>
              </w:rPr>
              <w:t>BER</w:t>
            </w:r>
          </w:p>
        </w:tc>
        <w:tc>
          <w:tcPr>
            <w:tcW w:w="2569" w:type="dxa"/>
            <w:shd w:val="clear" w:color="auto" w:fill="D9D9D9" w:themeFill="background1" w:themeFillShade="D9"/>
            <w:vAlign w:val="center"/>
          </w:tcPr>
          <w:p w14:paraId="6C767F67" w14:textId="2D57AA5A" w:rsidR="00C7221E" w:rsidRDefault="00C7221E" w:rsidP="00517975">
            <w:pPr>
              <w:widowControl w:val="0"/>
              <w:jc w:val="center"/>
              <w:rPr>
                <w:rFonts w:ascii="Arial" w:hAnsi="Arial" w:cs="Arial"/>
                <w:sz w:val="16"/>
                <w:szCs w:val="16"/>
              </w:rPr>
            </w:pPr>
            <w:proofErr w:type="spellStart"/>
            <w:r>
              <w:rPr>
                <w:rFonts w:ascii="Arial" w:hAnsi="Arial"/>
                <w:sz w:val="16"/>
                <w:szCs w:val="16"/>
              </w:rPr>
              <w:t>Landsberger</w:t>
            </w:r>
            <w:proofErr w:type="spellEnd"/>
            <w:r>
              <w:rPr>
                <w:rFonts w:ascii="Arial" w:hAnsi="Arial"/>
                <w:sz w:val="16"/>
                <w:szCs w:val="16"/>
              </w:rPr>
              <w:t xml:space="preserve"> </w:t>
            </w:r>
            <w:proofErr w:type="spellStart"/>
            <w:r>
              <w:rPr>
                <w:rFonts w:ascii="Arial" w:hAnsi="Arial"/>
                <w:sz w:val="16"/>
                <w:szCs w:val="16"/>
              </w:rPr>
              <w:t>Allee</w:t>
            </w:r>
            <w:proofErr w:type="spellEnd"/>
            <w:r>
              <w:rPr>
                <w:rFonts w:ascii="Arial" w:hAnsi="Arial"/>
                <w:sz w:val="16"/>
                <w:szCs w:val="16"/>
              </w:rPr>
              <w:t xml:space="preserve"> 52</w:t>
            </w:r>
          </w:p>
        </w:tc>
        <w:tc>
          <w:tcPr>
            <w:tcW w:w="2693" w:type="dxa"/>
            <w:shd w:val="clear" w:color="auto" w:fill="D9D9D9" w:themeFill="background1" w:themeFillShade="D9"/>
            <w:vAlign w:val="center"/>
          </w:tcPr>
          <w:p w14:paraId="19028C67" w14:textId="71B45481" w:rsidR="00C7221E" w:rsidRDefault="00C7221E" w:rsidP="00517975">
            <w:pPr>
              <w:widowControl w:val="0"/>
              <w:jc w:val="center"/>
              <w:rPr>
                <w:rFonts w:ascii="Arial" w:hAnsi="Arial" w:cs="Arial"/>
                <w:sz w:val="16"/>
                <w:szCs w:val="16"/>
              </w:rPr>
            </w:pPr>
            <w:r>
              <w:rPr>
                <w:rFonts w:ascii="Arial" w:hAnsi="Arial"/>
                <w:sz w:val="16"/>
                <w:szCs w:val="16"/>
              </w:rPr>
              <w:t>Values</w:t>
            </w:r>
          </w:p>
        </w:tc>
        <w:tc>
          <w:tcPr>
            <w:tcW w:w="2126" w:type="dxa"/>
            <w:shd w:val="clear" w:color="auto" w:fill="D9D9D9" w:themeFill="background1" w:themeFillShade="D9"/>
            <w:vAlign w:val="center"/>
          </w:tcPr>
          <w:p w14:paraId="11D11A2C" w14:textId="6E8743D1" w:rsidR="00C7221E" w:rsidRDefault="00C7221E" w:rsidP="00517975">
            <w:pPr>
              <w:widowControl w:val="0"/>
              <w:jc w:val="center"/>
              <w:rPr>
                <w:rFonts w:ascii="Arial" w:hAnsi="Arial" w:cs="Arial"/>
                <w:sz w:val="16"/>
                <w:szCs w:val="16"/>
              </w:rPr>
            </w:pPr>
            <w:r>
              <w:rPr>
                <w:rFonts w:ascii="Arial" w:hAnsi="Arial"/>
                <w:sz w:val="16"/>
                <w:szCs w:val="16"/>
              </w:rPr>
              <w:t xml:space="preserve">Centrum </w:t>
            </w:r>
            <w:proofErr w:type="spellStart"/>
            <w:r>
              <w:rPr>
                <w:rFonts w:ascii="Arial" w:hAnsi="Arial"/>
                <w:sz w:val="16"/>
                <w:szCs w:val="16"/>
              </w:rPr>
              <w:t>Grundstücksgesellschaft</w:t>
            </w:r>
            <w:proofErr w:type="spellEnd"/>
          </w:p>
        </w:tc>
        <w:tc>
          <w:tcPr>
            <w:tcW w:w="1156" w:type="dxa"/>
            <w:shd w:val="clear" w:color="auto" w:fill="D9D9D9" w:themeFill="background1" w:themeFillShade="D9"/>
            <w:vAlign w:val="center"/>
          </w:tcPr>
          <w:p w14:paraId="1DE5B9CB" w14:textId="3734CC26" w:rsidR="00C7221E" w:rsidRDefault="00C7221E" w:rsidP="00517975">
            <w:pPr>
              <w:widowControl w:val="0"/>
              <w:jc w:val="center"/>
              <w:rPr>
                <w:rFonts w:ascii="Arial" w:hAnsi="Arial" w:cs="Arial"/>
                <w:sz w:val="16"/>
                <w:szCs w:val="16"/>
              </w:rPr>
            </w:pPr>
            <w:r>
              <w:rPr>
                <w:rFonts w:ascii="Arial" w:hAnsi="Arial"/>
                <w:sz w:val="16"/>
                <w:szCs w:val="16"/>
              </w:rPr>
              <w:t>200</w:t>
            </w:r>
          </w:p>
        </w:tc>
      </w:tr>
      <w:tr w:rsidR="003878D6" w:rsidRPr="006F49D0" w14:paraId="03D2E0F0" w14:textId="77777777" w:rsidTr="007C214B">
        <w:trPr>
          <w:trHeight w:val="552"/>
        </w:trPr>
        <w:tc>
          <w:tcPr>
            <w:tcW w:w="687" w:type="dxa"/>
            <w:tcBorders>
              <w:bottom w:val="single" w:sz="4" w:space="0" w:color="auto"/>
            </w:tcBorders>
            <w:shd w:val="clear" w:color="auto" w:fill="D9D9D9" w:themeFill="background1" w:themeFillShade="D9"/>
            <w:vAlign w:val="center"/>
          </w:tcPr>
          <w:p w14:paraId="1896A61F" w14:textId="27F21FA1" w:rsidR="003878D6" w:rsidRDefault="003878D6" w:rsidP="00517975">
            <w:pPr>
              <w:widowControl w:val="0"/>
              <w:jc w:val="center"/>
              <w:rPr>
                <w:rFonts w:ascii="Arial" w:hAnsi="Arial" w:cs="Arial"/>
                <w:sz w:val="16"/>
                <w:szCs w:val="16"/>
              </w:rPr>
            </w:pPr>
            <w:r>
              <w:rPr>
                <w:rFonts w:ascii="Arial" w:hAnsi="Arial"/>
                <w:sz w:val="16"/>
                <w:szCs w:val="16"/>
              </w:rPr>
              <w:t>DUS</w:t>
            </w:r>
          </w:p>
        </w:tc>
        <w:tc>
          <w:tcPr>
            <w:tcW w:w="2569" w:type="dxa"/>
            <w:tcBorders>
              <w:bottom w:val="single" w:sz="4" w:space="0" w:color="auto"/>
            </w:tcBorders>
            <w:shd w:val="clear" w:color="auto" w:fill="D9D9D9" w:themeFill="background1" w:themeFillShade="D9"/>
            <w:vAlign w:val="center"/>
          </w:tcPr>
          <w:p w14:paraId="47F384C8" w14:textId="77777777" w:rsidR="003878D6" w:rsidRDefault="0003603A" w:rsidP="0003603A">
            <w:pPr>
              <w:widowControl w:val="0"/>
              <w:jc w:val="center"/>
              <w:rPr>
                <w:rFonts w:ascii="Arial" w:hAnsi="Arial" w:cs="Arial"/>
                <w:sz w:val="16"/>
                <w:szCs w:val="16"/>
              </w:rPr>
            </w:pPr>
            <w:r>
              <w:rPr>
                <w:rFonts w:ascii="Arial" w:hAnsi="Arial"/>
                <w:sz w:val="16"/>
                <w:szCs w:val="16"/>
              </w:rPr>
              <w:t>“</w:t>
            </w:r>
            <w:proofErr w:type="spellStart"/>
            <w:r>
              <w:rPr>
                <w:rFonts w:ascii="Arial" w:hAnsi="Arial"/>
                <w:sz w:val="16"/>
                <w:szCs w:val="16"/>
              </w:rPr>
              <w:t>Trinkhaus</w:t>
            </w:r>
            <w:proofErr w:type="spellEnd"/>
            <w:r>
              <w:rPr>
                <w:rFonts w:ascii="Arial" w:hAnsi="Arial"/>
                <w:sz w:val="16"/>
                <w:szCs w:val="16"/>
              </w:rPr>
              <w:t xml:space="preserve"> </w:t>
            </w:r>
            <w:proofErr w:type="spellStart"/>
            <w:r>
              <w:rPr>
                <w:rFonts w:ascii="Arial" w:hAnsi="Arial"/>
                <w:sz w:val="16"/>
                <w:szCs w:val="16"/>
              </w:rPr>
              <w:t>Galerie</w:t>
            </w:r>
            <w:proofErr w:type="spellEnd"/>
            <w:r>
              <w:rPr>
                <w:rFonts w:ascii="Arial" w:hAnsi="Arial"/>
                <w:sz w:val="16"/>
                <w:szCs w:val="16"/>
              </w:rPr>
              <w:t xml:space="preserve">”, </w:t>
            </w:r>
          </w:p>
          <w:p w14:paraId="666FC083" w14:textId="3BF7E054" w:rsidR="0003603A" w:rsidRPr="0003603A" w:rsidRDefault="0003603A" w:rsidP="0003603A">
            <w:pPr>
              <w:widowControl w:val="0"/>
              <w:jc w:val="center"/>
              <w:rPr>
                <w:rFonts w:ascii="Arial" w:hAnsi="Arial" w:cs="Arial"/>
                <w:sz w:val="16"/>
                <w:szCs w:val="16"/>
              </w:rPr>
            </w:pPr>
            <w:proofErr w:type="spellStart"/>
            <w:r>
              <w:rPr>
                <w:rFonts w:ascii="Arial" w:hAnsi="Arial"/>
                <w:sz w:val="16"/>
                <w:szCs w:val="16"/>
              </w:rPr>
              <w:t>Königsallee</w:t>
            </w:r>
            <w:proofErr w:type="spellEnd"/>
            <w:r>
              <w:rPr>
                <w:rFonts w:ascii="Arial" w:hAnsi="Arial"/>
                <w:sz w:val="16"/>
                <w:szCs w:val="16"/>
              </w:rPr>
              <w:t xml:space="preserve"> 21-23</w:t>
            </w:r>
          </w:p>
        </w:tc>
        <w:tc>
          <w:tcPr>
            <w:tcW w:w="2693" w:type="dxa"/>
            <w:tcBorders>
              <w:bottom w:val="single" w:sz="4" w:space="0" w:color="auto"/>
            </w:tcBorders>
            <w:shd w:val="clear" w:color="auto" w:fill="D9D9D9" w:themeFill="background1" w:themeFillShade="D9"/>
            <w:vAlign w:val="center"/>
          </w:tcPr>
          <w:p w14:paraId="683945D7" w14:textId="3C575B9C" w:rsidR="003878D6" w:rsidRDefault="003878D6" w:rsidP="00517975">
            <w:pPr>
              <w:widowControl w:val="0"/>
              <w:jc w:val="center"/>
              <w:rPr>
                <w:rFonts w:ascii="Arial" w:hAnsi="Arial" w:cs="Arial"/>
                <w:sz w:val="16"/>
                <w:szCs w:val="16"/>
              </w:rPr>
            </w:pPr>
            <w:proofErr w:type="spellStart"/>
            <w:r>
              <w:rPr>
                <w:rFonts w:ascii="Arial" w:hAnsi="Arial"/>
                <w:sz w:val="16"/>
                <w:szCs w:val="16"/>
              </w:rPr>
              <w:t>Momeni</w:t>
            </w:r>
            <w:proofErr w:type="spellEnd"/>
            <w:r>
              <w:rPr>
                <w:rFonts w:ascii="Arial" w:hAnsi="Arial"/>
                <w:sz w:val="16"/>
                <w:szCs w:val="16"/>
              </w:rPr>
              <w:t>, Wirtgen Invest and Black Horse Investments</w:t>
            </w:r>
          </w:p>
        </w:tc>
        <w:tc>
          <w:tcPr>
            <w:tcW w:w="2126" w:type="dxa"/>
            <w:tcBorders>
              <w:bottom w:val="single" w:sz="4" w:space="0" w:color="auto"/>
            </w:tcBorders>
            <w:shd w:val="clear" w:color="auto" w:fill="D9D9D9" w:themeFill="background1" w:themeFillShade="D9"/>
            <w:vAlign w:val="center"/>
          </w:tcPr>
          <w:p w14:paraId="78394AA7" w14:textId="1DA5C867" w:rsidR="003878D6" w:rsidRDefault="003878D6" w:rsidP="00517975">
            <w:pPr>
              <w:widowControl w:val="0"/>
              <w:jc w:val="center"/>
              <w:rPr>
                <w:rFonts w:ascii="Arial" w:hAnsi="Arial" w:cs="Arial"/>
                <w:sz w:val="16"/>
                <w:szCs w:val="16"/>
              </w:rPr>
            </w:pPr>
            <w:r>
              <w:rPr>
                <w:rFonts w:ascii="Arial" w:hAnsi="Arial"/>
                <w:sz w:val="16"/>
                <w:szCs w:val="16"/>
              </w:rPr>
              <w:t>HSBC</w:t>
            </w:r>
          </w:p>
        </w:tc>
        <w:tc>
          <w:tcPr>
            <w:tcW w:w="1156" w:type="dxa"/>
            <w:tcBorders>
              <w:bottom w:val="single" w:sz="4" w:space="0" w:color="auto"/>
            </w:tcBorders>
            <w:shd w:val="clear" w:color="auto" w:fill="D9D9D9" w:themeFill="background1" w:themeFillShade="D9"/>
            <w:vAlign w:val="center"/>
          </w:tcPr>
          <w:p w14:paraId="48F1EB0B" w14:textId="08045E2C" w:rsidR="003878D6" w:rsidRDefault="0003603A" w:rsidP="00517975">
            <w:pPr>
              <w:widowControl w:val="0"/>
              <w:jc w:val="center"/>
              <w:rPr>
                <w:rFonts w:ascii="Arial" w:hAnsi="Arial" w:cs="Arial"/>
                <w:sz w:val="16"/>
                <w:szCs w:val="16"/>
              </w:rPr>
            </w:pPr>
            <w:r>
              <w:rPr>
                <w:rFonts w:ascii="Arial" w:hAnsi="Arial"/>
                <w:sz w:val="16"/>
                <w:szCs w:val="16"/>
              </w:rPr>
              <w:t>&gt; 155</w:t>
            </w:r>
          </w:p>
        </w:tc>
      </w:tr>
      <w:tr w:rsidR="000F0C1F" w:rsidRPr="006F49D0" w14:paraId="70E24990" w14:textId="77777777" w:rsidTr="007C214B">
        <w:trPr>
          <w:trHeight w:val="70"/>
        </w:trPr>
        <w:tc>
          <w:tcPr>
            <w:tcW w:w="6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5B72B09" w14:textId="77777777" w:rsidR="000F0C1F" w:rsidRDefault="000F0C1F" w:rsidP="00517975">
            <w:pPr>
              <w:widowControl w:val="0"/>
              <w:jc w:val="center"/>
              <w:rPr>
                <w:rFonts w:ascii="Arial" w:hAnsi="Arial" w:cs="Arial"/>
                <w:sz w:val="16"/>
                <w:szCs w:val="16"/>
              </w:rPr>
            </w:pPr>
          </w:p>
        </w:tc>
        <w:tc>
          <w:tcPr>
            <w:tcW w:w="256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EFAE1FE" w14:textId="77777777" w:rsidR="000F0C1F" w:rsidRDefault="000F0C1F" w:rsidP="0003603A">
            <w:pPr>
              <w:widowControl w:val="0"/>
              <w:jc w:val="cente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9BCB26E" w14:textId="77777777" w:rsidR="000F0C1F" w:rsidRPr="003878D6" w:rsidRDefault="000F0C1F" w:rsidP="00517975">
            <w:pPr>
              <w:widowControl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715E1D4" w14:textId="77777777" w:rsidR="000F0C1F" w:rsidRPr="003878D6" w:rsidRDefault="000F0C1F" w:rsidP="00517975">
            <w:pPr>
              <w:widowControl w:val="0"/>
              <w:jc w:val="center"/>
              <w:rPr>
                <w:rFonts w:ascii="Arial" w:hAnsi="Arial" w:cs="Arial"/>
                <w:sz w:val="16"/>
                <w:szCs w:val="16"/>
              </w:rPr>
            </w:pPr>
          </w:p>
        </w:tc>
        <w:tc>
          <w:tcPr>
            <w:tcW w:w="115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D8560E0" w14:textId="77777777" w:rsidR="000F0C1F" w:rsidRDefault="000F0C1F" w:rsidP="00517975">
            <w:pPr>
              <w:widowControl w:val="0"/>
              <w:jc w:val="center"/>
              <w:rPr>
                <w:rFonts w:ascii="Arial" w:hAnsi="Arial" w:cs="Arial"/>
                <w:sz w:val="16"/>
                <w:szCs w:val="16"/>
              </w:rPr>
            </w:pPr>
          </w:p>
        </w:tc>
      </w:tr>
      <w:tr w:rsidR="00BA68A3" w:rsidRPr="006F49D0" w14:paraId="1708BADE" w14:textId="77777777" w:rsidTr="007C214B">
        <w:trPr>
          <w:trHeight w:val="610"/>
        </w:trPr>
        <w:tc>
          <w:tcPr>
            <w:tcW w:w="687" w:type="dxa"/>
            <w:tcBorders>
              <w:top w:val="single" w:sz="4" w:space="0" w:color="auto"/>
            </w:tcBorders>
            <w:shd w:val="clear" w:color="auto" w:fill="D9D9D9" w:themeFill="background1" w:themeFillShade="D9"/>
            <w:vAlign w:val="center"/>
          </w:tcPr>
          <w:p w14:paraId="539EC4CB" w14:textId="67F6FE71" w:rsidR="00BA68A3" w:rsidRDefault="00A51332" w:rsidP="00BA68A3">
            <w:pPr>
              <w:widowControl w:val="0"/>
              <w:jc w:val="center"/>
              <w:rPr>
                <w:rFonts w:ascii="Arial" w:hAnsi="Arial" w:cs="Arial"/>
                <w:sz w:val="16"/>
                <w:szCs w:val="16"/>
              </w:rPr>
            </w:pPr>
            <w:r>
              <w:rPr>
                <w:rFonts w:ascii="Arial" w:hAnsi="Arial"/>
                <w:sz w:val="16"/>
                <w:szCs w:val="16"/>
              </w:rPr>
              <w:t>FFM</w:t>
            </w:r>
          </w:p>
        </w:tc>
        <w:tc>
          <w:tcPr>
            <w:tcW w:w="2569" w:type="dxa"/>
            <w:tcBorders>
              <w:top w:val="single" w:sz="4" w:space="0" w:color="auto"/>
            </w:tcBorders>
            <w:shd w:val="clear" w:color="auto" w:fill="D9D9D9" w:themeFill="background1" w:themeFillShade="D9"/>
            <w:vAlign w:val="center"/>
          </w:tcPr>
          <w:p w14:paraId="7119DB44" w14:textId="77777777" w:rsidR="00BA68A3" w:rsidRDefault="00BA68A3" w:rsidP="00BA68A3">
            <w:pPr>
              <w:widowControl w:val="0"/>
              <w:jc w:val="center"/>
              <w:rPr>
                <w:rFonts w:ascii="Arial" w:hAnsi="Arial" w:cs="Arial"/>
                <w:sz w:val="16"/>
                <w:szCs w:val="16"/>
              </w:rPr>
            </w:pPr>
            <w:r>
              <w:rPr>
                <w:rFonts w:ascii="Arial" w:hAnsi="Arial"/>
                <w:sz w:val="16"/>
                <w:szCs w:val="16"/>
              </w:rPr>
              <w:t>“</w:t>
            </w:r>
            <w:proofErr w:type="spellStart"/>
            <w:r>
              <w:rPr>
                <w:rFonts w:ascii="Arial" w:hAnsi="Arial"/>
                <w:sz w:val="16"/>
                <w:szCs w:val="16"/>
              </w:rPr>
              <w:t>Sparda</w:t>
            </w:r>
            <w:proofErr w:type="spellEnd"/>
            <w:r>
              <w:rPr>
                <w:rFonts w:ascii="Arial" w:hAnsi="Arial"/>
                <w:sz w:val="16"/>
                <w:szCs w:val="16"/>
              </w:rPr>
              <w:t xml:space="preserve"> Bank Tower”</w:t>
            </w:r>
          </w:p>
          <w:p w14:paraId="0CF089C6" w14:textId="07FDB45F" w:rsidR="00BA68A3" w:rsidRDefault="00BA68A3" w:rsidP="00BA68A3">
            <w:pPr>
              <w:widowControl w:val="0"/>
              <w:jc w:val="center"/>
              <w:rPr>
                <w:rFonts w:ascii="Arial" w:hAnsi="Arial" w:cs="Arial"/>
                <w:sz w:val="16"/>
                <w:szCs w:val="16"/>
              </w:rPr>
            </w:pPr>
            <w:r>
              <w:rPr>
                <w:rFonts w:ascii="Arial" w:hAnsi="Arial"/>
                <w:sz w:val="16"/>
                <w:szCs w:val="16"/>
              </w:rPr>
              <w:t xml:space="preserve">Europa </w:t>
            </w:r>
            <w:proofErr w:type="spellStart"/>
            <w:r>
              <w:rPr>
                <w:rFonts w:ascii="Arial" w:hAnsi="Arial"/>
                <w:sz w:val="16"/>
                <w:szCs w:val="16"/>
              </w:rPr>
              <w:t>Allee</w:t>
            </w:r>
            <w:proofErr w:type="spellEnd"/>
            <w:r>
              <w:rPr>
                <w:rFonts w:ascii="Arial" w:hAnsi="Arial"/>
                <w:sz w:val="16"/>
                <w:szCs w:val="16"/>
              </w:rPr>
              <w:t xml:space="preserve"> 68</w:t>
            </w:r>
          </w:p>
        </w:tc>
        <w:tc>
          <w:tcPr>
            <w:tcW w:w="2693" w:type="dxa"/>
            <w:tcBorders>
              <w:top w:val="single" w:sz="4" w:space="0" w:color="auto"/>
            </w:tcBorders>
            <w:shd w:val="clear" w:color="auto" w:fill="D9D9D9" w:themeFill="background1" w:themeFillShade="D9"/>
            <w:vAlign w:val="center"/>
          </w:tcPr>
          <w:p w14:paraId="02E2253C" w14:textId="2AFD4CF2" w:rsidR="00BA68A3" w:rsidRPr="003878D6" w:rsidRDefault="00BA68A3" w:rsidP="00BA68A3">
            <w:pPr>
              <w:widowControl w:val="0"/>
              <w:jc w:val="center"/>
              <w:rPr>
                <w:rFonts w:ascii="Arial" w:hAnsi="Arial" w:cs="Arial"/>
                <w:sz w:val="16"/>
                <w:szCs w:val="16"/>
              </w:rPr>
            </w:pPr>
            <w:proofErr w:type="spellStart"/>
            <w:r>
              <w:rPr>
                <w:rFonts w:ascii="Arial" w:hAnsi="Arial"/>
                <w:sz w:val="16"/>
                <w:szCs w:val="16"/>
              </w:rPr>
              <w:t>Sparda</w:t>
            </w:r>
            <w:proofErr w:type="spellEnd"/>
            <w:r>
              <w:rPr>
                <w:rFonts w:ascii="Arial" w:hAnsi="Arial"/>
                <w:sz w:val="16"/>
                <w:szCs w:val="16"/>
              </w:rPr>
              <w:t>-Bank Hessen</w:t>
            </w:r>
          </w:p>
        </w:tc>
        <w:tc>
          <w:tcPr>
            <w:tcW w:w="2126" w:type="dxa"/>
            <w:tcBorders>
              <w:top w:val="single" w:sz="4" w:space="0" w:color="auto"/>
            </w:tcBorders>
            <w:shd w:val="clear" w:color="auto" w:fill="D9D9D9" w:themeFill="background1" w:themeFillShade="D9"/>
            <w:vAlign w:val="center"/>
          </w:tcPr>
          <w:p w14:paraId="38BB1A08" w14:textId="527DAEBD" w:rsidR="00BA68A3" w:rsidRPr="003878D6" w:rsidRDefault="00BA68A3" w:rsidP="00BA68A3">
            <w:pPr>
              <w:widowControl w:val="0"/>
              <w:jc w:val="center"/>
              <w:rPr>
                <w:rFonts w:ascii="Arial" w:hAnsi="Arial" w:cs="Arial"/>
                <w:sz w:val="16"/>
                <w:szCs w:val="16"/>
              </w:rPr>
            </w:pPr>
            <w:r>
              <w:rPr>
                <w:rFonts w:ascii="Arial" w:hAnsi="Arial"/>
                <w:sz w:val="16"/>
                <w:szCs w:val="16"/>
              </w:rPr>
              <w:t xml:space="preserve">Gustav </w:t>
            </w:r>
            <w:proofErr w:type="spellStart"/>
            <w:r>
              <w:rPr>
                <w:rFonts w:ascii="Arial" w:hAnsi="Arial"/>
                <w:sz w:val="16"/>
                <w:szCs w:val="16"/>
              </w:rPr>
              <w:t>Zech</w:t>
            </w:r>
            <w:proofErr w:type="spellEnd"/>
            <w:r>
              <w:rPr>
                <w:rFonts w:ascii="Arial" w:hAnsi="Arial"/>
                <w:sz w:val="16"/>
                <w:szCs w:val="16"/>
              </w:rPr>
              <w:t xml:space="preserve"> </w:t>
            </w:r>
            <w:proofErr w:type="spellStart"/>
            <w:r>
              <w:rPr>
                <w:rFonts w:ascii="Arial" w:hAnsi="Arial"/>
                <w:sz w:val="16"/>
                <w:szCs w:val="16"/>
              </w:rPr>
              <w:t>Stiftung</w:t>
            </w:r>
            <w:proofErr w:type="spellEnd"/>
          </w:p>
        </w:tc>
        <w:tc>
          <w:tcPr>
            <w:tcW w:w="1156" w:type="dxa"/>
            <w:tcBorders>
              <w:top w:val="single" w:sz="4" w:space="0" w:color="auto"/>
            </w:tcBorders>
            <w:shd w:val="clear" w:color="auto" w:fill="D9D9D9" w:themeFill="background1" w:themeFillShade="D9"/>
            <w:vAlign w:val="center"/>
          </w:tcPr>
          <w:p w14:paraId="7CE27754" w14:textId="00370CD6" w:rsidR="00BA68A3" w:rsidRDefault="00BA68A3" w:rsidP="00BA68A3">
            <w:pPr>
              <w:widowControl w:val="0"/>
              <w:jc w:val="center"/>
              <w:rPr>
                <w:rFonts w:ascii="Arial" w:hAnsi="Arial" w:cs="Arial"/>
                <w:sz w:val="16"/>
                <w:szCs w:val="16"/>
              </w:rPr>
            </w:pPr>
            <w:r>
              <w:rPr>
                <w:rFonts w:ascii="Arial" w:hAnsi="Arial"/>
                <w:sz w:val="16"/>
                <w:szCs w:val="16"/>
              </w:rPr>
              <w:t>confidential</w:t>
            </w:r>
          </w:p>
        </w:tc>
      </w:tr>
    </w:tbl>
    <w:p w14:paraId="522DDABE" w14:textId="11639887" w:rsidR="006A0566" w:rsidRPr="00124162" w:rsidRDefault="00D02362" w:rsidP="006A0566">
      <w:pPr>
        <w:widowControl w:val="0"/>
        <w:spacing w:after="0"/>
        <w:rPr>
          <w:rFonts w:ascii="Arial" w:hAnsi="Arial" w:cs="Arial"/>
          <w:sz w:val="16"/>
          <w:szCs w:val="16"/>
        </w:rPr>
      </w:pPr>
      <w:r>
        <w:rPr>
          <w:rFonts w:ascii="Arial" w:hAnsi="Arial"/>
          <w:sz w:val="16"/>
          <w:szCs w:val="16"/>
        </w:rPr>
        <w:t>Transactions occurring in the quarter covered by this report are highlighted. Source: German Property Partners (GPP)</w:t>
      </w:r>
    </w:p>
    <w:p w14:paraId="66A10177" w14:textId="3F8FBC0A" w:rsidR="00A4078F" w:rsidRDefault="00A4078F" w:rsidP="00DD4941">
      <w:pPr>
        <w:widowControl w:val="0"/>
        <w:spacing w:after="0"/>
        <w:rPr>
          <w:rFonts w:ascii="Arial" w:hAnsi="Arial" w:cs="Arial"/>
          <w:sz w:val="16"/>
          <w:szCs w:val="16"/>
        </w:rPr>
      </w:pPr>
    </w:p>
    <w:p w14:paraId="082D94B1" w14:textId="77777777" w:rsidR="00A30AB0" w:rsidRPr="00124162" w:rsidRDefault="00A30AB0" w:rsidP="00DD4941">
      <w:pPr>
        <w:widowControl w:val="0"/>
        <w:spacing w:after="0"/>
        <w:rPr>
          <w:rFonts w:ascii="Arial" w:hAnsi="Arial" w:cs="Arial"/>
          <w:sz w:val="16"/>
          <w:szCs w:val="16"/>
        </w:rPr>
      </w:pPr>
    </w:p>
    <w:p w14:paraId="26EA443F" w14:textId="09FA0F21" w:rsidR="006A0566" w:rsidRDefault="006A0566" w:rsidP="006A0566">
      <w:pPr>
        <w:widowControl w:val="0"/>
        <w:spacing w:after="0"/>
        <w:jc w:val="both"/>
        <w:rPr>
          <w:rFonts w:ascii="Arial" w:hAnsi="Arial" w:cs="Arial"/>
          <w:b/>
          <w:sz w:val="20"/>
          <w:szCs w:val="20"/>
        </w:rPr>
      </w:pPr>
      <w:r>
        <w:rPr>
          <w:rFonts w:ascii="Arial" w:hAnsi="Arial"/>
          <w:b/>
          <w:sz w:val="20"/>
          <w:szCs w:val="20"/>
        </w:rPr>
        <w:t>Top 7 cities | 1st-2nd quarters of 2021</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Pr>
                <w:rFonts w:ascii="Arial" w:hAnsi="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Pr>
                <w:rFonts w:ascii="Arial" w:hAnsi="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Top 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Transaction volume</w:t>
            </w:r>
          </w:p>
          <w:p w14:paraId="6009DF5B"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In €m</w:t>
            </w:r>
          </w:p>
        </w:tc>
        <w:tc>
          <w:tcPr>
            <w:tcW w:w="817" w:type="dxa"/>
            <w:vAlign w:val="center"/>
          </w:tcPr>
          <w:p w14:paraId="75CA8E5B" w14:textId="3D53CB75" w:rsidR="006A0566" w:rsidRPr="00424A11" w:rsidRDefault="00CC752F" w:rsidP="00AA7124">
            <w:pPr>
              <w:widowControl w:val="0"/>
              <w:jc w:val="center"/>
              <w:rPr>
                <w:rFonts w:ascii="Arial" w:hAnsi="Arial" w:cs="Arial"/>
                <w:sz w:val="16"/>
                <w:szCs w:val="16"/>
              </w:rPr>
            </w:pPr>
            <w:r>
              <w:rPr>
                <w:rFonts w:ascii="Arial" w:hAnsi="Arial"/>
                <w:sz w:val="16"/>
                <w:szCs w:val="16"/>
              </w:rPr>
              <w:t>1,090</w:t>
            </w:r>
          </w:p>
        </w:tc>
        <w:tc>
          <w:tcPr>
            <w:tcW w:w="816" w:type="dxa"/>
            <w:vAlign w:val="center"/>
          </w:tcPr>
          <w:p w14:paraId="76C43343" w14:textId="67016C93" w:rsidR="006A0566" w:rsidRPr="003A29FA" w:rsidRDefault="00CC752F" w:rsidP="00CB4698">
            <w:pPr>
              <w:widowControl w:val="0"/>
              <w:jc w:val="center"/>
              <w:rPr>
                <w:rFonts w:ascii="Arial" w:hAnsi="Arial" w:cs="Arial"/>
                <w:sz w:val="16"/>
                <w:szCs w:val="16"/>
                <w:highlight w:val="yellow"/>
                <w:u w:val="single"/>
              </w:rPr>
            </w:pPr>
            <w:r>
              <w:rPr>
                <w:rFonts w:ascii="Arial" w:hAnsi="Arial"/>
                <w:sz w:val="16"/>
                <w:szCs w:val="16"/>
                <w:u w:val="single"/>
              </w:rPr>
              <w:t>4,300</w:t>
            </w:r>
          </w:p>
        </w:tc>
        <w:tc>
          <w:tcPr>
            <w:tcW w:w="933" w:type="dxa"/>
            <w:vAlign w:val="center"/>
          </w:tcPr>
          <w:p w14:paraId="5FEF9B6E" w14:textId="216130B0" w:rsidR="006A0566" w:rsidRPr="00424A11" w:rsidRDefault="00CC752F" w:rsidP="00CB4698">
            <w:pPr>
              <w:widowControl w:val="0"/>
              <w:jc w:val="center"/>
              <w:rPr>
                <w:rFonts w:ascii="Arial" w:hAnsi="Arial" w:cs="Arial"/>
                <w:sz w:val="16"/>
                <w:szCs w:val="16"/>
                <w:highlight w:val="yellow"/>
              </w:rPr>
            </w:pPr>
            <w:r>
              <w:rPr>
                <w:rFonts w:ascii="Arial" w:hAnsi="Arial"/>
                <w:sz w:val="16"/>
                <w:szCs w:val="16"/>
              </w:rPr>
              <w:t>920</w:t>
            </w:r>
          </w:p>
        </w:tc>
        <w:tc>
          <w:tcPr>
            <w:tcW w:w="937" w:type="dxa"/>
            <w:vAlign w:val="center"/>
          </w:tcPr>
          <w:p w14:paraId="062AC22D" w14:textId="37CEA36B" w:rsidR="006A0566" w:rsidRPr="00424A11" w:rsidRDefault="00C240EF" w:rsidP="00CB4698">
            <w:pPr>
              <w:widowControl w:val="0"/>
              <w:jc w:val="center"/>
              <w:rPr>
                <w:rFonts w:ascii="Arial" w:hAnsi="Arial" w:cs="Arial"/>
                <w:sz w:val="16"/>
                <w:szCs w:val="16"/>
              </w:rPr>
            </w:pPr>
            <w:r>
              <w:rPr>
                <w:rFonts w:ascii="Arial" w:hAnsi="Arial"/>
                <w:sz w:val="16"/>
                <w:szCs w:val="16"/>
              </w:rPr>
              <w:t>800</w:t>
            </w:r>
          </w:p>
        </w:tc>
        <w:tc>
          <w:tcPr>
            <w:tcW w:w="937" w:type="dxa"/>
            <w:vAlign w:val="center"/>
          </w:tcPr>
          <w:p w14:paraId="3167EB73" w14:textId="50F325E8" w:rsidR="006A0566" w:rsidRPr="002C7BE0" w:rsidRDefault="00A761F2" w:rsidP="00CB4698">
            <w:pPr>
              <w:widowControl w:val="0"/>
              <w:jc w:val="center"/>
              <w:rPr>
                <w:rFonts w:ascii="Arial" w:hAnsi="Arial" w:cs="Arial"/>
                <w:sz w:val="16"/>
                <w:szCs w:val="16"/>
              </w:rPr>
            </w:pPr>
            <w:r>
              <w:rPr>
                <w:rFonts w:ascii="Arial" w:hAnsi="Arial"/>
                <w:sz w:val="16"/>
                <w:szCs w:val="16"/>
              </w:rPr>
              <w:t>1,855</w:t>
            </w:r>
          </w:p>
        </w:tc>
        <w:tc>
          <w:tcPr>
            <w:tcW w:w="932" w:type="dxa"/>
            <w:vAlign w:val="center"/>
          </w:tcPr>
          <w:p w14:paraId="7AC06FF8" w14:textId="3049AE8F" w:rsidR="006A0566" w:rsidRPr="002C7BE0" w:rsidRDefault="00CC752F" w:rsidP="00CB4698">
            <w:pPr>
              <w:widowControl w:val="0"/>
              <w:jc w:val="center"/>
              <w:rPr>
                <w:rFonts w:ascii="Arial" w:hAnsi="Arial" w:cs="Arial"/>
                <w:sz w:val="16"/>
                <w:szCs w:val="16"/>
              </w:rPr>
            </w:pPr>
            <w:r>
              <w:rPr>
                <w:rFonts w:ascii="Arial" w:hAnsi="Arial"/>
                <w:sz w:val="16"/>
                <w:szCs w:val="16"/>
              </w:rPr>
              <w:t>449</w:t>
            </w:r>
          </w:p>
        </w:tc>
        <w:tc>
          <w:tcPr>
            <w:tcW w:w="936" w:type="dxa"/>
            <w:shd w:val="clear" w:color="auto" w:fill="auto"/>
            <w:vAlign w:val="center"/>
          </w:tcPr>
          <w:p w14:paraId="43946B17" w14:textId="71951DF1" w:rsidR="006A0566" w:rsidRPr="002C7BE0" w:rsidRDefault="00CC752F" w:rsidP="00CB4698">
            <w:pPr>
              <w:widowControl w:val="0"/>
              <w:jc w:val="center"/>
              <w:rPr>
                <w:rFonts w:ascii="Arial" w:hAnsi="Arial" w:cs="Arial"/>
                <w:sz w:val="16"/>
                <w:szCs w:val="16"/>
              </w:rPr>
            </w:pPr>
            <w:r>
              <w:rPr>
                <w:rFonts w:ascii="Arial" w:hAnsi="Arial"/>
                <w:sz w:val="16"/>
                <w:szCs w:val="16"/>
              </w:rPr>
              <w:t>3,044</w:t>
            </w:r>
          </w:p>
        </w:tc>
        <w:tc>
          <w:tcPr>
            <w:tcW w:w="800" w:type="dxa"/>
            <w:vAlign w:val="center"/>
          </w:tcPr>
          <w:p w14:paraId="2FDD1DB5" w14:textId="37B0C997" w:rsidR="006A0566" w:rsidRPr="00C240EF" w:rsidRDefault="00CC752F" w:rsidP="00CC752F">
            <w:pPr>
              <w:widowControl w:val="0"/>
              <w:jc w:val="center"/>
              <w:rPr>
                <w:rFonts w:ascii="Arial" w:hAnsi="Arial" w:cs="Arial"/>
                <w:b/>
                <w:color w:val="FF0000"/>
                <w:sz w:val="16"/>
                <w:szCs w:val="16"/>
              </w:rPr>
            </w:pPr>
            <w:r>
              <w:rPr>
                <w:rFonts w:ascii="Arial" w:hAnsi="Arial"/>
                <w:b/>
                <w:sz w:val="16"/>
                <w:szCs w:val="16"/>
              </w:rPr>
              <w:t>12,458</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Change</w:t>
            </w:r>
          </w:p>
          <w:p w14:paraId="2FCBBF14"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 xml:space="preserve">against prior </w:t>
            </w:r>
            <w:proofErr w:type="spellStart"/>
            <w:r>
              <w:rPr>
                <w:rFonts w:ascii="Arial" w:hAnsi="Arial"/>
                <w:sz w:val="16"/>
                <w:szCs w:val="16"/>
              </w:rPr>
              <w:t>yr</w:t>
            </w:r>
            <w:proofErr w:type="spellEnd"/>
            <w:r>
              <w:rPr>
                <w:rFonts w:ascii="Arial" w:hAnsi="Arial"/>
                <w:sz w:val="16"/>
                <w:szCs w:val="16"/>
              </w:rPr>
              <w:t xml:space="preserve"> in %</w:t>
            </w:r>
          </w:p>
        </w:tc>
        <w:tc>
          <w:tcPr>
            <w:tcW w:w="817" w:type="dxa"/>
            <w:vAlign w:val="center"/>
          </w:tcPr>
          <w:p w14:paraId="366E421A" w14:textId="139CDE8B" w:rsidR="006A0566" w:rsidRPr="00CC752F" w:rsidRDefault="00CC752F" w:rsidP="00CB4698">
            <w:pPr>
              <w:widowControl w:val="0"/>
              <w:jc w:val="center"/>
              <w:rPr>
                <w:rFonts w:ascii="Arial" w:hAnsi="Arial" w:cs="Arial"/>
                <w:sz w:val="16"/>
                <w:szCs w:val="16"/>
                <w:u w:val="single"/>
              </w:rPr>
            </w:pPr>
            <w:r>
              <w:rPr>
                <w:rFonts w:ascii="Arial" w:hAnsi="Arial"/>
                <w:sz w:val="16"/>
                <w:szCs w:val="16"/>
                <w:u w:val="single"/>
              </w:rPr>
              <w:t>-46</w:t>
            </w:r>
          </w:p>
        </w:tc>
        <w:tc>
          <w:tcPr>
            <w:tcW w:w="816" w:type="dxa"/>
            <w:vAlign w:val="center"/>
          </w:tcPr>
          <w:p w14:paraId="3EEA9F22" w14:textId="5CCAD07D" w:rsidR="006A0566" w:rsidRPr="00424A11" w:rsidRDefault="00CC752F" w:rsidP="00CB4698">
            <w:pPr>
              <w:widowControl w:val="0"/>
              <w:jc w:val="center"/>
              <w:rPr>
                <w:rFonts w:ascii="Arial" w:hAnsi="Arial" w:cs="Arial"/>
                <w:sz w:val="16"/>
                <w:szCs w:val="16"/>
                <w:highlight w:val="yellow"/>
              </w:rPr>
            </w:pPr>
            <w:r>
              <w:rPr>
                <w:rFonts w:ascii="Arial" w:hAnsi="Arial"/>
                <w:sz w:val="16"/>
                <w:szCs w:val="16"/>
              </w:rPr>
              <w:t>+24</w:t>
            </w:r>
          </w:p>
        </w:tc>
        <w:tc>
          <w:tcPr>
            <w:tcW w:w="933" w:type="dxa"/>
            <w:vAlign w:val="center"/>
          </w:tcPr>
          <w:p w14:paraId="49E7C453" w14:textId="77C568A0" w:rsidR="006A0566" w:rsidRPr="00CC752F" w:rsidRDefault="00CC752F" w:rsidP="00CB4698">
            <w:pPr>
              <w:widowControl w:val="0"/>
              <w:jc w:val="center"/>
              <w:rPr>
                <w:rFonts w:ascii="Arial" w:hAnsi="Arial" w:cs="Arial"/>
                <w:sz w:val="16"/>
                <w:szCs w:val="16"/>
                <w:highlight w:val="yellow"/>
              </w:rPr>
            </w:pPr>
            <w:r>
              <w:rPr>
                <w:rFonts w:ascii="Arial" w:hAnsi="Arial"/>
                <w:sz w:val="16"/>
                <w:szCs w:val="16"/>
              </w:rPr>
              <w:t>-42</w:t>
            </w:r>
          </w:p>
        </w:tc>
        <w:tc>
          <w:tcPr>
            <w:tcW w:w="937" w:type="dxa"/>
            <w:vAlign w:val="center"/>
          </w:tcPr>
          <w:p w14:paraId="5B639059" w14:textId="6A7072B6" w:rsidR="006A0566" w:rsidRPr="00424A11" w:rsidRDefault="00C240EF" w:rsidP="00CB4698">
            <w:pPr>
              <w:widowControl w:val="0"/>
              <w:jc w:val="center"/>
              <w:rPr>
                <w:rFonts w:ascii="Arial" w:hAnsi="Arial" w:cs="Arial"/>
                <w:sz w:val="16"/>
                <w:szCs w:val="16"/>
              </w:rPr>
            </w:pPr>
            <w:r>
              <w:rPr>
                <w:rFonts w:ascii="Arial" w:hAnsi="Arial"/>
                <w:sz w:val="16"/>
                <w:szCs w:val="16"/>
              </w:rPr>
              <w:t>+33</w:t>
            </w:r>
          </w:p>
        </w:tc>
        <w:tc>
          <w:tcPr>
            <w:tcW w:w="937" w:type="dxa"/>
            <w:vAlign w:val="center"/>
          </w:tcPr>
          <w:p w14:paraId="15A58B43" w14:textId="1E3F048A" w:rsidR="006A0566" w:rsidRPr="002C7BE0" w:rsidRDefault="00A761F2" w:rsidP="00CB4698">
            <w:pPr>
              <w:widowControl w:val="0"/>
              <w:jc w:val="center"/>
              <w:rPr>
                <w:rFonts w:ascii="Arial" w:hAnsi="Arial" w:cs="Arial"/>
                <w:sz w:val="16"/>
                <w:szCs w:val="16"/>
              </w:rPr>
            </w:pPr>
            <w:r>
              <w:rPr>
                <w:rFonts w:ascii="Arial" w:hAnsi="Arial"/>
                <w:sz w:val="16"/>
                <w:szCs w:val="16"/>
              </w:rPr>
              <w:t>-34</w:t>
            </w:r>
          </w:p>
        </w:tc>
        <w:tc>
          <w:tcPr>
            <w:tcW w:w="932" w:type="dxa"/>
            <w:vAlign w:val="center"/>
          </w:tcPr>
          <w:p w14:paraId="0ADC5685" w14:textId="5DF0D4F7" w:rsidR="006A0566" w:rsidRPr="002C7BE0" w:rsidRDefault="00CC752F" w:rsidP="00CB4698">
            <w:pPr>
              <w:widowControl w:val="0"/>
              <w:jc w:val="center"/>
              <w:rPr>
                <w:rFonts w:ascii="Arial" w:hAnsi="Arial" w:cs="Arial"/>
                <w:sz w:val="16"/>
                <w:szCs w:val="16"/>
              </w:rPr>
            </w:pPr>
            <w:r>
              <w:rPr>
                <w:rFonts w:ascii="Arial" w:hAnsi="Arial"/>
                <w:sz w:val="16"/>
                <w:szCs w:val="16"/>
              </w:rPr>
              <w:t>-29</w:t>
            </w:r>
          </w:p>
        </w:tc>
        <w:tc>
          <w:tcPr>
            <w:tcW w:w="936" w:type="dxa"/>
            <w:shd w:val="clear" w:color="auto" w:fill="auto"/>
            <w:vAlign w:val="center"/>
          </w:tcPr>
          <w:p w14:paraId="41EFE33D" w14:textId="106140B0" w:rsidR="006A0566" w:rsidRPr="002C7BE0" w:rsidRDefault="00CC752F" w:rsidP="00CB4698">
            <w:pPr>
              <w:widowControl w:val="0"/>
              <w:jc w:val="center"/>
              <w:rPr>
                <w:rFonts w:ascii="Arial" w:hAnsi="Arial" w:cs="Arial"/>
                <w:sz w:val="16"/>
                <w:szCs w:val="16"/>
              </w:rPr>
            </w:pPr>
            <w:r>
              <w:rPr>
                <w:rFonts w:ascii="Arial" w:hAnsi="Arial"/>
                <w:sz w:val="16"/>
                <w:szCs w:val="16"/>
              </w:rPr>
              <w:t>+97</w:t>
            </w:r>
          </w:p>
        </w:tc>
        <w:tc>
          <w:tcPr>
            <w:tcW w:w="800" w:type="dxa"/>
            <w:vAlign w:val="center"/>
          </w:tcPr>
          <w:p w14:paraId="2AED7A78" w14:textId="06DBFDD7" w:rsidR="006A0566" w:rsidRPr="00C240EF" w:rsidRDefault="00A761F2" w:rsidP="000A0966">
            <w:pPr>
              <w:widowControl w:val="0"/>
              <w:jc w:val="center"/>
              <w:rPr>
                <w:rFonts w:ascii="Arial" w:hAnsi="Arial" w:cs="Arial"/>
                <w:b/>
                <w:color w:val="FF0000"/>
                <w:sz w:val="16"/>
                <w:szCs w:val="16"/>
              </w:rPr>
            </w:pPr>
            <w:r>
              <w:rPr>
                <w:rFonts w:ascii="Arial" w:hAnsi="Arial"/>
                <w:b/>
                <w:sz w:val="16"/>
                <w:szCs w:val="16"/>
              </w:rPr>
              <w:t>-1</w:t>
            </w:r>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Pr>
                <w:rFonts w:ascii="Arial" w:hAnsi="Arial"/>
                <w:b/>
                <w:sz w:val="16"/>
                <w:szCs w:val="16"/>
              </w:rPr>
              <w:t>Prime yield*, offices</w:t>
            </w:r>
          </w:p>
          <w:p w14:paraId="0FFB638E"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in %</w:t>
            </w:r>
          </w:p>
        </w:tc>
        <w:tc>
          <w:tcPr>
            <w:tcW w:w="817" w:type="dxa"/>
            <w:vAlign w:val="center"/>
          </w:tcPr>
          <w:p w14:paraId="3A26FD60" w14:textId="797E50EF" w:rsidR="006A0566" w:rsidRPr="003A29FA" w:rsidRDefault="00486B6F" w:rsidP="00CB4698">
            <w:pPr>
              <w:widowControl w:val="0"/>
              <w:jc w:val="center"/>
              <w:rPr>
                <w:rFonts w:ascii="Arial" w:hAnsi="Arial" w:cs="Arial"/>
                <w:sz w:val="16"/>
                <w:szCs w:val="16"/>
                <w:u w:val="single"/>
              </w:rPr>
            </w:pPr>
            <w:r>
              <w:rPr>
                <w:rFonts w:ascii="Arial" w:hAnsi="Arial"/>
                <w:sz w:val="16"/>
                <w:szCs w:val="16"/>
                <w:u w:val="single"/>
              </w:rPr>
              <w:t>2.60</w:t>
            </w:r>
          </w:p>
        </w:tc>
        <w:tc>
          <w:tcPr>
            <w:tcW w:w="816" w:type="dxa"/>
            <w:vAlign w:val="center"/>
          </w:tcPr>
          <w:p w14:paraId="04D32DF6" w14:textId="4AF4AFC4" w:rsidR="006A0566" w:rsidRPr="00486B6F" w:rsidRDefault="00486B6F" w:rsidP="00CB4698">
            <w:pPr>
              <w:widowControl w:val="0"/>
              <w:jc w:val="center"/>
              <w:rPr>
                <w:rFonts w:ascii="Arial" w:hAnsi="Arial" w:cs="Arial"/>
                <w:sz w:val="16"/>
                <w:szCs w:val="16"/>
              </w:rPr>
            </w:pPr>
            <w:r>
              <w:rPr>
                <w:rFonts w:ascii="Arial" w:hAnsi="Arial"/>
                <w:sz w:val="16"/>
                <w:szCs w:val="16"/>
              </w:rPr>
              <w:t>2.65</w:t>
            </w:r>
          </w:p>
        </w:tc>
        <w:tc>
          <w:tcPr>
            <w:tcW w:w="933" w:type="dxa"/>
            <w:vAlign w:val="center"/>
          </w:tcPr>
          <w:p w14:paraId="3496E0ED" w14:textId="63342228" w:rsidR="006A0566" w:rsidRPr="00424A11" w:rsidRDefault="00615151" w:rsidP="00CB4698">
            <w:pPr>
              <w:widowControl w:val="0"/>
              <w:jc w:val="center"/>
              <w:rPr>
                <w:rFonts w:ascii="Arial" w:hAnsi="Arial" w:cs="Arial"/>
                <w:sz w:val="16"/>
                <w:szCs w:val="16"/>
              </w:rPr>
            </w:pPr>
            <w:r>
              <w:rPr>
                <w:rFonts w:ascii="Arial" w:hAnsi="Arial"/>
                <w:sz w:val="16"/>
                <w:szCs w:val="16"/>
              </w:rPr>
              <w:t>2.90</w:t>
            </w:r>
          </w:p>
        </w:tc>
        <w:tc>
          <w:tcPr>
            <w:tcW w:w="937" w:type="dxa"/>
            <w:vAlign w:val="center"/>
          </w:tcPr>
          <w:p w14:paraId="1B3FC488" w14:textId="77777777" w:rsidR="006A0566" w:rsidRPr="00424A11" w:rsidRDefault="006A0566" w:rsidP="00CB4698">
            <w:pPr>
              <w:widowControl w:val="0"/>
              <w:jc w:val="center"/>
              <w:rPr>
                <w:rFonts w:ascii="Arial" w:hAnsi="Arial" w:cs="Arial"/>
                <w:sz w:val="16"/>
                <w:szCs w:val="16"/>
              </w:rPr>
            </w:pPr>
            <w:r>
              <w:rPr>
                <w:rFonts w:ascii="Arial" w:hAnsi="Arial"/>
                <w:sz w:val="16"/>
                <w:szCs w:val="16"/>
              </w:rPr>
              <w:t>3.00</w:t>
            </w:r>
          </w:p>
        </w:tc>
        <w:tc>
          <w:tcPr>
            <w:tcW w:w="937" w:type="dxa"/>
            <w:vAlign w:val="center"/>
          </w:tcPr>
          <w:p w14:paraId="7863667A" w14:textId="28EB0B18" w:rsidR="006A0566" w:rsidRPr="00424A11" w:rsidRDefault="00367F82" w:rsidP="00CB4698">
            <w:pPr>
              <w:widowControl w:val="0"/>
              <w:jc w:val="center"/>
              <w:rPr>
                <w:rFonts w:ascii="Arial" w:hAnsi="Arial" w:cs="Arial"/>
                <w:sz w:val="16"/>
                <w:szCs w:val="16"/>
              </w:rPr>
            </w:pPr>
            <w:r>
              <w:rPr>
                <w:rFonts w:ascii="Arial" w:hAnsi="Arial"/>
                <w:sz w:val="16"/>
                <w:szCs w:val="16"/>
              </w:rPr>
              <w:t>2.90</w:t>
            </w:r>
          </w:p>
        </w:tc>
        <w:tc>
          <w:tcPr>
            <w:tcW w:w="932" w:type="dxa"/>
            <w:vAlign w:val="center"/>
          </w:tcPr>
          <w:p w14:paraId="185F44B1" w14:textId="7273303B" w:rsidR="006A0566" w:rsidRPr="00424A11" w:rsidRDefault="00486B6F" w:rsidP="00CB4698">
            <w:pPr>
              <w:widowControl w:val="0"/>
              <w:jc w:val="center"/>
              <w:rPr>
                <w:rFonts w:ascii="Arial" w:hAnsi="Arial" w:cs="Arial"/>
                <w:sz w:val="16"/>
                <w:szCs w:val="16"/>
              </w:rPr>
            </w:pPr>
            <w:r>
              <w:rPr>
                <w:rFonts w:ascii="Arial" w:hAnsi="Arial"/>
                <w:sz w:val="16"/>
                <w:szCs w:val="16"/>
              </w:rPr>
              <w:t>3.10</w:t>
            </w:r>
          </w:p>
        </w:tc>
        <w:tc>
          <w:tcPr>
            <w:tcW w:w="936" w:type="dxa"/>
            <w:shd w:val="clear" w:color="auto" w:fill="auto"/>
            <w:vAlign w:val="center"/>
          </w:tcPr>
          <w:p w14:paraId="19DB0335" w14:textId="21A7C409" w:rsidR="006A0566" w:rsidRPr="00424A11" w:rsidRDefault="00486B6F" w:rsidP="00CB4698">
            <w:pPr>
              <w:widowControl w:val="0"/>
              <w:jc w:val="center"/>
              <w:rPr>
                <w:rFonts w:ascii="Arial" w:hAnsi="Arial" w:cs="Arial"/>
                <w:sz w:val="16"/>
                <w:szCs w:val="16"/>
              </w:rPr>
            </w:pPr>
            <w:r>
              <w:rPr>
                <w:rFonts w:ascii="Arial" w:hAnsi="Arial"/>
                <w:sz w:val="16"/>
                <w:szCs w:val="16"/>
              </w:rPr>
              <w:t>3.00</w:t>
            </w:r>
          </w:p>
        </w:tc>
        <w:tc>
          <w:tcPr>
            <w:tcW w:w="800" w:type="dxa"/>
            <w:vAlign w:val="center"/>
          </w:tcPr>
          <w:p w14:paraId="0216D7FB" w14:textId="712E60B7" w:rsidR="006A0566" w:rsidRPr="00424A11" w:rsidRDefault="00486B6F" w:rsidP="00F374EE">
            <w:pPr>
              <w:widowControl w:val="0"/>
              <w:jc w:val="center"/>
              <w:rPr>
                <w:rFonts w:ascii="Arial" w:hAnsi="Arial" w:cs="Arial"/>
                <w:b/>
                <w:sz w:val="16"/>
                <w:szCs w:val="16"/>
              </w:rPr>
            </w:pPr>
            <w:r>
              <w:rPr>
                <w:rFonts w:ascii="Arial" w:hAnsi="Arial"/>
                <w:b/>
                <w:sz w:val="16"/>
                <w:szCs w:val="16"/>
              </w:rPr>
              <w:t>2.88</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percentage points</w:t>
            </w:r>
          </w:p>
        </w:tc>
        <w:tc>
          <w:tcPr>
            <w:tcW w:w="817" w:type="dxa"/>
            <w:vAlign w:val="center"/>
          </w:tcPr>
          <w:p w14:paraId="7DCC31B2" w14:textId="02DE3934" w:rsidR="006A0566" w:rsidRPr="00424A11" w:rsidRDefault="002C7BE0" w:rsidP="00CB4698">
            <w:pPr>
              <w:widowControl w:val="0"/>
              <w:jc w:val="center"/>
              <w:rPr>
                <w:rFonts w:ascii="Arial" w:hAnsi="Arial" w:cs="Arial"/>
                <w:sz w:val="16"/>
                <w:szCs w:val="16"/>
              </w:rPr>
            </w:pPr>
            <w:r>
              <w:rPr>
                <w:rFonts w:ascii="Arial" w:hAnsi="Arial"/>
                <w:sz w:val="16"/>
                <w:szCs w:val="16"/>
              </w:rPr>
              <w:t>-0.20</w:t>
            </w:r>
          </w:p>
        </w:tc>
        <w:tc>
          <w:tcPr>
            <w:tcW w:w="816" w:type="dxa"/>
            <w:vAlign w:val="center"/>
          </w:tcPr>
          <w:p w14:paraId="1D9B71C7" w14:textId="4586D36E" w:rsidR="006A0566" w:rsidRPr="00424A11" w:rsidRDefault="00486B6F" w:rsidP="00CB4698">
            <w:pPr>
              <w:widowControl w:val="0"/>
              <w:jc w:val="center"/>
              <w:rPr>
                <w:rFonts w:ascii="Arial" w:hAnsi="Arial" w:cs="Arial"/>
                <w:sz w:val="16"/>
                <w:szCs w:val="16"/>
              </w:rPr>
            </w:pPr>
            <w:r>
              <w:rPr>
                <w:rFonts w:ascii="Arial" w:hAnsi="Arial"/>
                <w:sz w:val="16"/>
                <w:szCs w:val="16"/>
              </w:rPr>
              <w:t>-0.05</w:t>
            </w:r>
          </w:p>
        </w:tc>
        <w:tc>
          <w:tcPr>
            <w:tcW w:w="933" w:type="dxa"/>
            <w:vAlign w:val="center"/>
          </w:tcPr>
          <w:p w14:paraId="6F68995C" w14:textId="372B4C78" w:rsidR="006A0566" w:rsidRPr="00424A11" w:rsidRDefault="00486B6F" w:rsidP="00CB4698">
            <w:pPr>
              <w:widowControl w:val="0"/>
              <w:jc w:val="center"/>
              <w:rPr>
                <w:rFonts w:ascii="Arial" w:hAnsi="Arial" w:cs="Arial"/>
                <w:sz w:val="16"/>
                <w:szCs w:val="16"/>
              </w:rPr>
            </w:pPr>
            <w:r>
              <w:rPr>
                <w:rFonts w:ascii="Arial" w:hAnsi="Arial"/>
                <w:sz w:val="16"/>
                <w:szCs w:val="16"/>
              </w:rPr>
              <w:t>-0.05</w:t>
            </w:r>
          </w:p>
        </w:tc>
        <w:tc>
          <w:tcPr>
            <w:tcW w:w="937" w:type="dxa"/>
            <w:vAlign w:val="center"/>
          </w:tcPr>
          <w:p w14:paraId="1AD055DC" w14:textId="68EDF5BA" w:rsidR="006A0566" w:rsidRPr="00424A11" w:rsidRDefault="004815B7" w:rsidP="00CB4698">
            <w:pPr>
              <w:widowControl w:val="0"/>
              <w:jc w:val="center"/>
              <w:rPr>
                <w:rFonts w:ascii="Arial" w:hAnsi="Arial" w:cs="Arial"/>
                <w:sz w:val="16"/>
                <w:szCs w:val="16"/>
              </w:rPr>
            </w:pPr>
            <w:r>
              <w:rPr>
                <w:rFonts w:ascii="Arial" w:hAnsi="Arial"/>
                <w:sz w:val="16"/>
                <w:szCs w:val="16"/>
              </w:rPr>
              <w:t>0.00</w:t>
            </w:r>
          </w:p>
        </w:tc>
        <w:tc>
          <w:tcPr>
            <w:tcW w:w="937" w:type="dxa"/>
            <w:vAlign w:val="center"/>
          </w:tcPr>
          <w:p w14:paraId="457AA114" w14:textId="0585A466" w:rsidR="006A0566" w:rsidRPr="00424A11" w:rsidRDefault="00367F82" w:rsidP="00CB4698">
            <w:pPr>
              <w:widowControl w:val="0"/>
              <w:jc w:val="center"/>
              <w:rPr>
                <w:rFonts w:ascii="Arial" w:hAnsi="Arial" w:cs="Arial"/>
                <w:sz w:val="16"/>
                <w:szCs w:val="16"/>
              </w:rPr>
            </w:pPr>
            <w:r>
              <w:rPr>
                <w:rFonts w:ascii="Arial" w:hAnsi="Arial"/>
                <w:sz w:val="16"/>
                <w:szCs w:val="16"/>
              </w:rPr>
              <w:t>-0.05</w:t>
            </w:r>
          </w:p>
        </w:tc>
        <w:tc>
          <w:tcPr>
            <w:tcW w:w="932" w:type="dxa"/>
            <w:vAlign w:val="center"/>
          </w:tcPr>
          <w:p w14:paraId="0C825309" w14:textId="28B6A0B5" w:rsidR="006A0566" w:rsidRPr="00403699" w:rsidRDefault="006A0566" w:rsidP="00F374EE">
            <w:pPr>
              <w:widowControl w:val="0"/>
              <w:jc w:val="center"/>
              <w:rPr>
                <w:rFonts w:ascii="Arial" w:hAnsi="Arial" w:cs="Arial"/>
                <w:sz w:val="16"/>
                <w:szCs w:val="16"/>
                <w:u w:val="single"/>
              </w:rPr>
            </w:pPr>
            <w:r>
              <w:rPr>
                <w:rFonts w:ascii="Arial" w:hAnsi="Arial"/>
                <w:sz w:val="16"/>
                <w:szCs w:val="16"/>
                <w:u w:val="single"/>
              </w:rPr>
              <w:t>0.00</w:t>
            </w:r>
          </w:p>
        </w:tc>
        <w:tc>
          <w:tcPr>
            <w:tcW w:w="936" w:type="dxa"/>
            <w:shd w:val="clear" w:color="auto" w:fill="auto"/>
            <w:vAlign w:val="center"/>
          </w:tcPr>
          <w:p w14:paraId="7EB840C7" w14:textId="3B0D395B" w:rsidR="006A0566" w:rsidRPr="00403699" w:rsidRDefault="00486B6F" w:rsidP="00CB4698">
            <w:pPr>
              <w:widowControl w:val="0"/>
              <w:jc w:val="center"/>
              <w:rPr>
                <w:rFonts w:ascii="Arial" w:hAnsi="Arial" w:cs="Arial"/>
                <w:sz w:val="16"/>
                <w:szCs w:val="16"/>
                <w:u w:val="single"/>
              </w:rPr>
            </w:pPr>
            <w:r>
              <w:rPr>
                <w:rFonts w:ascii="Arial" w:hAnsi="Arial"/>
                <w:sz w:val="16"/>
                <w:szCs w:val="16"/>
                <w:u w:val="single"/>
              </w:rPr>
              <w:t>0.00</w:t>
            </w:r>
          </w:p>
        </w:tc>
        <w:tc>
          <w:tcPr>
            <w:tcW w:w="800" w:type="dxa"/>
            <w:vAlign w:val="center"/>
          </w:tcPr>
          <w:p w14:paraId="7D9A218D" w14:textId="00B89BCF" w:rsidR="006A0566" w:rsidRPr="00424A11" w:rsidRDefault="006A0566" w:rsidP="00CB4698">
            <w:pPr>
              <w:widowControl w:val="0"/>
              <w:jc w:val="center"/>
              <w:rPr>
                <w:rFonts w:ascii="Arial" w:hAnsi="Arial" w:cs="Arial"/>
                <w:b/>
                <w:sz w:val="16"/>
                <w:szCs w:val="16"/>
              </w:rPr>
            </w:pPr>
            <w:r>
              <w:rPr>
                <w:rFonts w:ascii="Arial" w:hAnsi="Arial"/>
                <w:b/>
                <w:sz w:val="16"/>
                <w:szCs w:val="16"/>
              </w:rPr>
              <w:t>-0.05</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Prime yield*, logistics</w:t>
            </w:r>
            <w:r>
              <w:rPr>
                <w:rFonts w:ascii="Arial" w:hAnsi="Arial"/>
                <w:sz w:val="16"/>
                <w:szCs w:val="16"/>
              </w:rPr>
              <w:t xml:space="preserve"> in %</w:t>
            </w:r>
          </w:p>
        </w:tc>
        <w:tc>
          <w:tcPr>
            <w:tcW w:w="817" w:type="dxa"/>
            <w:vAlign w:val="center"/>
          </w:tcPr>
          <w:p w14:paraId="723DA8B4" w14:textId="1F43FAFD" w:rsidR="006A0566" w:rsidRPr="00424A11" w:rsidRDefault="00486B6F" w:rsidP="00CB4698">
            <w:pPr>
              <w:widowControl w:val="0"/>
              <w:jc w:val="center"/>
              <w:rPr>
                <w:rFonts w:ascii="Arial" w:hAnsi="Arial" w:cs="Arial"/>
                <w:sz w:val="16"/>
                <w:szCs w:val="16"/>
              </w:rPr>
            </w:pPr>
            <w:r>
              <w:rPr>
                <w:rFonts w:ascii="Arial" w:hAnsi="Arial"/>
                <w:sz w:val="16"/>
                <w:szCs w:val="16"/>
              </w:rPr>
              <w:t>3.80</w:t>
            </w:r>
          </w:p>
        </w:tc>
        <w:tc>
          <w:tcPr>
            <w:tcW w:w="816" w:type="dxa"/>
            <w:vAlign w:val="center"/>
          </w:tcPr>
          <w:p w14:paraId="427E0471" w14:textId="2C381165" w:rsidR="006A0566" w:rsidRPr="00486B6F" w:rsidRDefault="00486B6F" w:rsidP="00CB4698">
            <w:pPr>
              <w:widowControl w:val="0"/>
              <w:jc w:val="center"/>
              <w:rPr>
                <w:rFonts w:ascii="Arial" w:hAnsi="Arial" w:cs="Arial"/>
                <w:sz w:val="16"/>
                <w:szCs w:val="16"/>
                <w:u w:val="single"/>
              </w:rPr>
            </w:pPr>
            <w:r>
              <w:rPr>
                <w:rFonts w:ascii="Arial" w:hAnsi="Arial"/>
                <w:sz w:val="16"/>
                <w:szCs w:val="16"/>
                <w:u w:val="single"/>
              </w:rPr>
              <w:t>3.50</w:t>
            </w:r>
          </w:p>
        </w:tc>
        <w:tc>
          <w:tcPr>
            <w:tcW w:w="933" w:type="dxa"/>
            <w:vAlign w:val="center"/>
          </w:tcPr>
          <w:p w14:paraId="777D310C" w14:textId="58927657" w:rsidR="006A0566" w:rsidRPr="00424A11" w:rsidRDefault="00615151" w:rsidP="00CB4698">
            <w:pPr>
              <w:widowControl w:val="0"/>
              <w:jc w:val="center"/>
              <w:rPr>
                <w:rFonts w:ascii="Arial" w:hAnsi="Arial" w:cs="Arial"/>
                <w:sz w:val="16"/>
                <w:szCs w:val="16"/>
              </w:rPr>
            </w:pPr>
            <w:r>
              <w:rPr>
                <w:rFonts w:ascii="Arial" w:hAnsi="Arial"/>
                <w:sz w:val="16"/>
                <w:szCs w:val="16"/>
              </w:rPr>
              <w:t>3.75</w:t>
            </w:r>
          </w:p>
        </w:tc>
        <w:tc>
          <w:tcPr>
            <w:tcW w:w="937" w:type="dxa"/>
            <w:vAlign w:val="center"/>
          </w:tcPr>
          <w:p w14:paraId="18CF9CF0" w14:textId="496ABA2A" w:rsidR="006A0566" w:rsidRPr="00424A11" w:rsidRDefault="00AD0891" w:rsidP="00AD0891">
            <w:pPr>
              <w:widowControl w:val="0"/>
              <w:jc w:val="center"/>
              <w:rPr>
                <w:rFonts w:ascii="Arial" w:hAnsi="Arial" w:cs="Arial"/>
                <w:sz w:val="16"/>
                <w:szCs w:val="16"/>
              </w:rPr>
            </w:pPr>
            <w:r>
              <w:rPr>
                <w:rFonts w:ascii="Arial" w:hAnsi="Arial"/>
                <w:sz w:val="16"/>
                <w:szCs w:val="16"/>
              </w:rPr>
              <w:t>3.60</w:t>
            </w:r>
          </w:p>
        </w:tc>
        <w:tc>
          <w:tcPr>
            <w:tcW w:w="937" w:type="dxa"/>
            <w:vAlign w:val="center"/>
          </w:tcPr>
          <w:p w14:paraId="6FC45529" w14:textId="6044D4A8" w:rsidR="006A0566" w:rsidRPr="00424A11" w:rsidRDefault="006A0566" w:rsidP="006C17CE">
            <w:pPr>
              <w:widowControl w:val="0"/>
              <w:jc w:val="center"/>
              <w:rPr>
                <w:rFonts w:ascii="Arial" w:hAnsi="Arial" w:cs="Arial"/>
                <w:sz w:val="16"/>
                <w:szCs w:val="16"/>
              </w:rPr>
            </w:pPr>
            <w:r>
              <w:rPr>
                <w:rFonts w:ascii="Arial" w:hAnsi="Arial"/>
                <w:sz w:val="16"/>
                <w:szCs w:val="16"/>
              </w:rPr>
              <w:t>3.60</w:t>
            </w:r>
          </w:p>
        </w:tc>
        <w:tc>
          <w:tcPr>
            <w:tcW w:w="932" w:type="dxa"/>
            <w:vAlign w:val="center"/>
          </w:tcPr>
          <w:p w14:paraId="5A040C04" w14:textId="63760B58" w:rsidR="006A0566" w:rsidRPr="00424A11" w:rsidRDefault="006A0566" w:rsidP="00DE33B5">
            <w:pPr>
              <w:widowControl w:val="0"/>
              <w:jc w:val="center"/>
              <w:rPr>
                <w:rFonts w:ascii="Arial" w:hAnsi="Arial" w:cs="Arial"/>
                <w:sz w:val="16"/>
                <w:szCs w:val="16"/>
              </w:rPr>
            </w:pPr>
            <w:r>
              <w:rPr>
                <w:rFonts w:ascii="Arial" w:hAnsi="Arial"/>
                <w:sz w:val="16"/>
                <w:szCs w:val="16"/>
              </w:rPr>
              <w:t>4.00</w:t>
            </w:r>
          </w:p>
        </w:tc>
        <w:tc>
          <w:tcPr>
            <w:tcW w:w="936" w:type="dxa"/>
            <w:shd w:val="clear" w:color="auto" w:fill="auto"/>
            <w:vAlign w:val="center"/>
          </w:tcPr>
          <w:p w14:paraId="684DD4AF" w14:textId="59F06FD0" w:rsidR="006A0566" w:rsidRPr="00486B6F" w:rsidRDefault="00486B6F" w:rsidP="00CB4698">
            <w:pPr>
              <w:widowControl w:val="0"/>
              <w:jc w:val="center"/>
              <w:rPr>
                <w:rFonts w:ascii="Arial" w:hAnsi="Arial" w:cs="Arial"/>
                <w:sz w:val="16"/>
                <w:szCs w:val="16"/>
              </w:rPr>
            </w:pPr>
            <w:r>
              <w:rPr>
                <w:rFonts w:ascii="Arial" w:hAnsi="Arial"/>
                <w:sz w:val="16"/>
                <w:szCs w:val="16"/>
              </w:rPr>
              <w:t>4.00</w:t>
            </w:r>
          </w:p>
        </w:tc>
        <w:tc>
          <w:tcPr>
            <w:tcW w:w="800" w:type="dxa"/>
            <w:vAlign w:val="center"/>
          </w:tcPr>
          <w:p w14:paraId="0CE5389C" w14:textId="62DB7970" w:rsidR="006A0566" w:rsidRPr="00424A11" w:rsidRDefault="00486B6F" w:rsidP="00CB4698">
            <w:pPr>
              <w:widowControl w:val="0"/>
              <w:jc w:val="center"/>
              <w:rPr>
                <w:rFonts w:ascii="Arial" w:hAnsi="Arial" w:cs="Arial"/>
                <w:b/>
                <w:sz w:val="16"/>
                <w:szCs w:val="16"/>
              </w:rPr>
            </w:pPr>
            <w:r>
              <w:rPr>
                <w:rFonts w:ascii="Arial" w:hAnsi="Arial"/>
                <w:b/>
                <w:sz w:val="16"/>
                <w:szCs w:val="16"/>
              </w:rPr>
              <w:t>3.75</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percentage points</w:t>
            </w:r>
          </w:p>
        </w:tc>
        <w:tc>
          <w:tcPr>
            <w:tcW w:w="817" w:type="dxa"/>
            <w:vAlign w:val="center"/>
          </w:tcPr>
          <w:p w14:paraId="0A5E4A80" w14:textId="1263F9E2" w:rsidR="006A0566" w:rsidRPr="00424A11" w:rsidRDefault="00486B6F" w:rsidP="00CB4698">
            <w:pPr>
              <w:widowControl w:val="0"/>
              <w:jc w:val="center"/>
              <w:rPr>
                <w:rFonts w:ascii="Arial" w:hAnsi="Arial" w:cs="Arial"/>
                <w:sz w:val="16"/>
                <w:szCs w:val="16"/>
              </w:rPr>
            </w:pPr>
            <w:r>
              <w:rPr>
                <w:rFonts w:ascii="Arial" w:hAnsi="Arial"/>
                <w:sz w:val="16"/>
                <w:szCs w:val="16"/>
              </w:rPr>
              <w:t>-0.40</w:t>
            </w:r>
          </w:p>
        </w:tc>
        <w:tc>
          <w:tcPr>
            <w:tcW w:w="816" w:type="dxa"/>
            <w:vAlign w:val="center"/>
          </w:tcPr>
          <w:p w14:paraId="5E5CC2C6" w14:textId="337A4E27" w:rsidR="006A0566" w:rsidRPr="00424A11" w:rsidRDefault="00486B6F" w:rsidP="00CB4698">
            <w:pPr>
              <w:widowControl w:val="0"/>
              <w:jc w:val="center"/>
              <w:rPr>
                <w:rFonts w:ascii="Arial" w:hAnsi="Arial" w:cs="Arial"/>
                <w:sz w:val="16"/>
                <w:szCs w:val="16"/>
              </w:rPr>
            </w:pPr>
            <w:r>
              <w:rPr>
                <w:rFonts w:ascii="Arial" w:hAnsi="Arial"/>
                <w:sz w:val="16"/>
                <w:szCs w:val="16"/>
              </w:rPr>
              <w:t>-0.30</w:t>
            </w:r>
          </w:p>
        </w:tc>
        <w:tc>
          <w:tcPr>
            <w:tcW w:w="933" w:type="dxa"/>
            <w:vAlign w:val="center"/>
          </w:tcPr>
          <w:p w14:paraId="27A92190" w14:textId="1AF51264" w:rsidR="006A0566" w:rsidRPr="00424A11" w:rsidRDefault="00615151" w:rsidP="00CB4698">
            <w:pPr>
              <w:widowControl w:val="0"/>
              <w:jc w:val="center"/>
              <w:rPr>
                <w:rFonts w:ascii="Arial" w:hAnsi="Arial" w:cs="Arial"/>
                <w:sz w:val="16"/>
                <w:szCs w:val="16"/>
              </w:rPr>
            </w:pPr>
            <w:r>
              <w:rPr>
                <w:rFonts w:ascii="Arial" w:hAnsi="Arial"/>
                <w:sz w:val="16"/>
                <w:szCs w:val="16"/>
              </w:rPr>
              <w:t>-0.25</w:t>
            </w:r>
          </w:p>
        </w:tc>
        <w:tc>
          <w:tcPr>
            <w:tcW w:w="937" w:type="dxa"/>
            <w:vAlign w:val="center"/>
          </w:tcPr>
          <w:p w14:paraId="1E795FEA" w14:textId="6F188F74" w:rsidR="006A0566" w:rsidRPr="003A29FA" w:rsidRDefault="006A0566" w:rsidP="00AD0891">
            <w:pPr>
              <w:widowControl w:val="0"/>
              <w:jc w:val="center"/>
              <w:rPr>
                <w:rFonts w:ascii="Arial" w:hAnsi="Arial" w:cs="Arial"/>
                <w:sz w:val="16"/>
                <w:szCs w:val="16"/>
                <w:u w:val="single"/>
              </w:rPr>
            </w:pPr>
            <w:r>
              <w:rPr>
                <w:rFonts w:ascii="Arial" w:hAnsi="Arial"/>
                <w:sz w:val="16"/>
                <w:szCs w:val="16"/>
                <w:u w:val="single"/>
              </w:rPr>
              <w:t>-0.50</w:t>
            </w:r>
          </w:p>
        </w:tc>
        <w:tc>
          <w:tcPr>
            <w:tcW w:w="937" w:type="dxa"/>
            <w:vAlign w:val="center"/>
          </w:tcPr>
          <w:p w14:paraId="31615C3D" w14:textId="4D2DCB75" w:rsidR="006A0566" w:rsidRPr="00424A11" w:rsidRDefault="006A0566" w:rsidP="006C17CE">
            <w:pPr>
              <w:widowControl w:val="0"/>
              <w:jc w:val="center"/>
              <w:rPr>
                <w:rFonts w:ascii="Arial" w:hAnsi="Arial" w:cs="Arial"/>
                <w:sz w:val="16"/>
                <w:szCs w:val="16"/>
              </w:rPr>
            </w:pPr>
            <w:r>
              <w:rPr>
                <w:rFonts w:ascii="Arial" w:hAnsi="Arial"/>
                <w:sz w:val="16"/>
                <w:szCs w:val="16"/>
              </w:rPr>
              <w:t>-0.20</w:t>
            </w:r>
          </w:p>
        </w:tc>
        <w:tc>
          <w:tcPr>
            <w:tcW w:w="932" w:type="dxa"/>
            <w:vAlign w:val="center"/>
          </w:tcPr>
          <w:p w14:paraId="7F1C6DE4" w14:textId="4408C5D6" w:rsidR="006A0566" w:rsidRPr="00486B6F" w:rsidRDefault="00A30AB0" w:rsidP="00DE33B5">
            <w:pPr>
              <w:widowControl w:val="0"/>
              <w:jc w:val="center"/>
              <w:rPr>
                <w:rFonts w:ascii="Arial" w:hAnsi="Arial" w:cs="Arial"/>
                <w:sz w:val="16"/>
                <w:szCs w:val="16"/>
                <w:u w:val="single"/>
              </w:rPr>
            </w:pPr>
            <w:r>
              <w:rPr>
                <w:rFonts w:ascii="Arial" w:hAnsi="Arial"/>
                <w:sz w:val="16"/>
                <w:szCs w:val="16"/>
                <w:u w:val="single"/>
              </w:rPr>
              <w:t>-0.50</w:t>
            </w:r>
          </w:p>
        </w:tc>
        <w:tc>
          <w:tcPr>
            <w:tcW w:w="936" w:type="dxa"/>
            <w:shd w:val="clear" w:color="auto" w:fill="auto"/>
            <w:vAlign w:val="center"/>
          </w:tcPr>
          <w:p w14:paraId="00B0CCF3" w14:textId="4EB677A4" w:rsidR="006A0566" w:rsidRPr="00424A11" w:rsidRDefault="00486B6F" w:rsidP="00CB4698">
            <w:pPr>
              <w:widowControl w:val="0"/>
              <w:jc w:val="center"/>
              <w:rPr>
                <w:rFonts w:ascii="Arial" w:hAnsi="Arial" w:cs="Arial"/>
                <w:sz w:val="16"/>
                <w:szCs w:val="16"/>
              </w:rPr>
            </w:pPr>
            <w:r>
              <w:rPr>
                <w:rFonts w:ascii="Arial" w:hAnsi="Arial"/>
                <w:sz w:val="16"/>
                <w:szCs w:val="16"/>
              </w:rPr>
              <w:t>0.00</w:t>
            </w:r>
          </w:p>
        </w:tc>
        <w:tc>
          <w:tcPr>
            <w:tcW w:w="800" w:type="dxa"/>
            <w:vAlign w:val="center"/>
          </w:tcPr>
          <w:p w14:paraId="19B34957" w14:textId="75046011" w:rsidR="006A0566" w:rsidRPr="00424A11" w:rsidRDefault="00486B6F" w:rsidP="00CB4698">
            <w:pPr>
              <w:widowControl w:val="0"/>
              <w:jc w:val="center"/>
              <w:rPr>
                <w:rFonts w:ascii="Arial" w:hAnsi="Arial" w:cs="Arial"/>
                <w:b/>
                <w:sz w:val="16"/>
                <w:szCs w:val="16"/>
              </w:rPr>
            </w:pPr>
            <w:r>
              <w:rPr>
                <w:rFonts w:ascii="Arial" w:hAnsi="Arial"/>
                <w:b/>
                <w:sz w:val="16"/>
                <w:szCs w:val="16"/>
              </w:rPr>
              <w:t>-0.31</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Strongest</w:t>
            </w:r>
          </w:p>
          <w:p w14:paraId="31998AB2"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Asset class</w:t>
            </w:r>
          </w:p>
        </w:tc>
        <w:tc>
          <w:tcPr>
            <w:tcW w:w="817" w:type="dxa"/>
            <w:vAlign w:val="center"/>
          </w:tcPr>
          <w:p w14:paraId="6A6A9731"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816" w:type="dxa"/>
            <w:vAlign w:val="center"/>
          </w:tcPr>
          <w:p w14:paraId="16372C6A" w14:textId="026625A3" w:rsidR="006A0566" w:rsidRPr="00424A11" w:rsidRDefault="00486B6F" w:rsidP="00CB4698">
            <w:pPr>
              <w:widowControl w:val="0"/>
              <w:jc w:val="center"/>
              <w:rPr>
                <w:rFonts w:ascii="Arial" w:hAnsi="Arial" w:cs="Arial"/>
                <w:sz w:val="16"/>
                <w:szCs w:val="16"/>
              </w:rPr>
            </w:pPr>
            <w:r>
              <w:rPr>
                <w:rFonts w:ascii="Arial" w:hAnsi="Arial"/>
                <w:sz w:val="16"/>
                <w:szCs w:val="16"/>
              </w:rPr>
              <w:t>Mixed use</w:t>
            </w:r>
          </w:p>
        </w:tc>
        <w:tc>
          <w:tcPr>
            <w:tcW w:w="933" w:type="dxa"/>
            <w:vAlign w:val="center"/>
          </w:tcPr>
          <w:p w14:paraId="5DAF8A6A"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937" w:type="dxa"/>
            <w:vAlign w:val="center"/>
          </w:tcPr>
          <w:p w14:paraId="325DEF48" w14:textId="29623C1A" w:rsidR="006A0566" w:rsidRPr="00424A11" w:rsidRDefault="00486B6F" w:rsidP="00CB4698">
            <w:pPr>
              <w:widowControl w:val="0"/>
              <w:jc w:val="center"/>
              <w:rPr>
                <w:rFonts w:ascii="Arial" w:hAnsi="Arial" w:cs="Arial"/>
                <w:sz w:val="16"/>
                <w:szCs w:val="16"/>
              </w:rPr>
            </w:pPr>
            <w:r>
              <w:rPr>
                <w:rFonts w:ascii="Arial" w:hAnsi="Arial"/>
                <w:sz w:val="16"/>
                <w:szCs w:val="16"/>
              </w:rPr>
              <w:t>Offices</w:t>
            </w:r>
          </w:p>
        </w:tc>
        <w:tc>
          <w:tcPr>
            <w:tcW w:w="937" w:type="dxa"/>
            <w:vAlign w:val="center"/>
          </w:tcPr>
          <w:p w14:paraId="58B170C6"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932" w:type="dxa"/>
            <w:vAlign w:val="center"/>
          </w:tcPr>
          <w:p w14:paraId="2A40510B"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936" w:type="dxa"/>
            <w:shd w:val="clear" w:color="auto" w:fill="auto"/>
            <w:vAlign w:val="center"/>
          </w:tcPr>
          <w:p w14:paraId="0071E92B"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800" w:type="dxa"/>
            <w:vAlign w:val="center"/>
          </w:tcPr>
          <w:p w14:paraId="2D0AC5C1" w14:textId="77777777" w:rsidR="006A0566" w:rsidRPr="00424A11" w:rsidRDefault="006A0566" w:rsidP="00CB4698">
            <w:pPr>
              <w:widowControl w:val="0"/>
              <w:jc w:val="center"/>
              <w:rPr>
                <w:rFonts w:ascii="Arial" w:hAnsi="Arial" w:cs="Arial"/>
                <w:b/>
                <w:sz w:val="16"/>
                <w:szCs w:val="16"/>
              </w:rPr>
            </w:pPr>
            <w:r>
              <w:rPr>
                <w:rFonts w:ascii="Arial" w:hAnsi="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Strongest</w:t>
            </w:r>
          </w:p>
          <w:p w14:paraId="2650C67A"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asset class </w:t>
            </w:r>
            <w:r>
              <w:rPr>
                <w:rFonts w:ascii="Arial" w:hAnsi="Arial"/>
                <w:sz w:val="16"/>
                <w:szCs w:val="16"/>
              </w:rPr>
              <w:t>in %</w:t>
            </w:r>
          </w:p>
        </w:tc>
        <w:tc>
          <w:tcPr>
            <w:tcW w:w="817" w:type="dxa"/>
            <w:vAlign w:val="center"/>
          </w:tcPr>
          <w:p w14:paraId="03DB0EF7" w14:textId="0E024A7D" w:rsidR="006A0566" w:rsidRPr="00424A11" w:rsidRDefault="00486B6F" w:rsidP="00CB4698">
            <w:pPr>
              <w:widowControl w:val="0"/>
              <w:jc w:val="center"/>
              <w:rPr>
                <w:rFonts w:ascii="Arial" w:hAnsi="Arial" w:cs="Arial"/>
                <w:sz w:val="16"/>
                <w:szCs w:val="16"/>
              </w:rPr>
            </w:pPr>
            <w:r>
              <w:rPr>
                <w:rFonts w:ascii="Arial" w:hAnsi="Arial"/>
                <w:sz w:val="16"/>
                <w:szCs w:val="16"/>
              </w:rPr>
              <w:t>51</w:t>
            </w:r>
          </w:p>
        </w:tc>
        <w:tc>
          <w:tcPr>
            <w:tcW w:w="816" w:type="dxa"/>
            <w:vAlign w:val="center"/>
          </w:tcPr>
          <w:p w14:paraId="05D9C8A4" w14:textId="4F6B9F69" w:rsidR="006A0566" w:rsidRPr="00424A11" w:rsidRDefault="00486B6F" w:rsidP="00CB4698">
            <w:pPr>
              <w:widowControl w:val="0"/>
              <w:jc w:val="center"/>
              <w:rPr>
                <w:rFonts w:ascii="Arial" w:hAnsi="Arial" w:cs="Arial"/>
                <w:sz w:val="16"/>
                <w:szCs w:val="16"/>
              </w:rPr>
            </w:pPr>
            <w:r>
              <w:rPr>
                <w:rFonts w:ascii="Arial" w:hAnsi="Arial"/>
                <w:sz w:val="16"/>
                <w:szCs w:val="16"/>
              </w:rPr>
              <w:t>51</w:t>
            </w:r>
          </w:p>
        </w:tc>
        <w:tc>
          <w:tcPr>
            <w:tcW w:w="933" w:type="dxa"/>
            <w:vAlign w:val="center"/>
          </w:tcPr>
          <w:p w14:paraId="0EF2E3D1" w14:textId="6B1733C8" w:rsidR="006A0566" w:rsidRPr="00424A11" w:rsidRDefault="00486B6F" w:rsidP="00CB4698">
            <w:pPr>
              <w:widowControl w:val="0"/>
              <w:jc w:val="center"/>
              <w:rPr>
                <w:rFonts w:ascii="Arial" w:hAnsi="Arial" w:cs="Arial"/>
                <w:sz w:val="16"/>
                <w:szCs w:val="16"/>
              </w:rPr>
            </w:pPr>
            <w:r>
              <w:rPr>
                <w:rFonts w:ascii="Arial" w:hAnsi="Arial"/>
                <w:sz w:val="16"/>
                <w:szCs w:val="16"/>
              </w:rPr>
              <w:t>65</w:t>
            </w:r>
          </w:p>
        </w:tc>
        <w:tc>
          <w:tcPr>
            <w:tcW w:w="937" w:type="dxa"/>
            <w:vAlign w:val="center"/>
          </w:tcPr>
          <w:p w14:paraId="171A9129" w14:textId="060D9FB5" w:rsidR="006A0566" w:rsidRPr="00424A11" w:rsidRDefault="00C240EF" w:rsidP="00CB4698">
            <w:pPr>
              <w:widowControl w:val="0"/>
              <w:jc w:val="center"/>
              <w:rPr>
                <w:rFonts w:ascii="Arial" w:hAnsi="Arial" w:cs="Arial"/>
                <w:sz w:val="16"/>
                <w:szCs w:val="16"/>
              </w:rPr>
            </w:pPr>
            <w:r>
              <w:rPr>
                <w:rFonts w:ascii="Arial" w:hAnsi="Arial"/>
                <w:sz w:val="16"/>
                <w:szCs w:val="16"/>
              </w:rPr>
              <w:t>41</w:t>
            </w:r>
          </w:p>
        </w:tc>
        <w:tc>
          <w:tcPr>
            <w:tcW w:w="937" w:type="dxa"/>
            <w:vAlign w:val="center"/>
          </w:tcPr>
          <w:p w14:paraId="713F8944" w14:textId="09876E49" w:rsidR="006A0566" w:rsidRPr="00486B6F" w:rsidRDefault="00A761F2" w:rsidP="00CB4698">
            <w:pPr>
              <w:widowControl w:val="0"/>
              <w:jc w:val="center"/>
              <w:rPr>
                <w:rFonts w:ascii="Arial" w:hAnsi="Arial" w:cs="Arial"/>
                <w:sz w:val="16"/>
                <w:szCs w:val="16"/>
              </w:rPr>
            </w:pPr>
            <w:r>
              <w:rPr>
                <w:rFonts w:ascii="Arial" w:hAnsi="Arial"/>
                <w:sz w:val="16"/>
                <w:szCs w:val="16"/>
              </w:rPr>
              <w:t>68</w:t>
            </w:r>
          </w:p>
        </w:tc>
        <w:tc>
          <w:tcPr>
            <w:tcW w:w="932" w:type="dxa"/>
            <w:vAlign w:val="center"/>
          </w:tcPr>
          <w:p w14:paraId="2D81D876" w14:textId="41B32959" w:rsidR="006A0566" w:rsidRPr="00424A11" w:rsidRDefault="00486B6F" w:rsidP="00CB4698">
            <w:pPr>
              <w:widowControl w:val="0"/>
              <w:jc w:val="center"/>
              <w:rPr>
                <w:rFonts w:ascii="Arial" w:hAnsi="Arial" w:cs="Arial"/>
                <w:sz w:val="16"/>
                <w:szCs w:val="16"/>
              </w:rPr>
            </w:pPr>
            <w:r>
              <w:rPr>
                <w:rFonts w:ascii="Arial" w:hAnsi="Arial"/>
                <w:sz w:val="16"/>
                <w:szCs w:val="16"/>
              </w:rPr>
              <w:t>36</w:t>
            </w:r>
          </w:p>
        </w:tc>
        <w:tc>
          <w:tcPr>
            <w:tcW w:w="936" w:type="dxa"/>
            <w:shd w:val="clear" w:color="auto" w:fill="auto"/>
            <w:vAlign w:val="center"/>
          </w:tcPr>
          <w:p w14:paraId="6959E9ED" w14:textId="5C555ADE" w:rsidR="006A0566" w:rsidRPr="00486B6F" w:rsidRDefault="00486B6F" w:rsidP="00CB4698">
            <w:pPr>
              <w:widowControl w:val="0"/>
              <w:jc w:val="center"/>
              <w:rPr>
                <w:rFonts w:ascii="Arial" w:hAnsi="Arial" w:cs="Arial"/>
                <w:sz w:val="16"/>
                <w:szCs w:val="16"/>
                <w:u w:val="single"/>
              </w:rPr>
            </w:pPr>
            <w:r>
              <w:rPr>
                <w:rFonts w:ascii="Arial" w:hAnsi="Arial"/>
                <w:sz w:val="16"/>
                <w:szCs w:val="16"/>
                <w:u w:val="single"/>
              </w:rPr>
              <w:t>83</w:t>
            </w:r>
          </w:p>
        </w:tc>
        <w:tc>
          <w:tcPr>
            <w:tcW w:w="800" w:type="dxa"/>
            <w:vAlign w:val="center"/>
          </w:tcPr>
          <w:p w14:paraId="397018BE" w14:textId="77777777" w:rsidR="006A0566" w:rsidRPr="00424A11" w:rsidRDefault="006A0566" w:rsidP="00CB4698">
            <w:pPr>
              <w:widowControl w:val="0"/>
              <w:jc w:val="center"/>
              <w:rPr>
                <w:rFonts w:ascii="Arial" w:hAnsi="Arial" w:cs="Arial"/>
                <w:b/>
                <w:sz w:val="16"/>
                <w:szCs w:val="16"/>
              </w:rPr>
            </w:pPr>
            <w:r>
              <w:rPr>
                <w:rFonts w:ascii="Arial" w:hAnsi="Arial"/>
                <w:b/>
                <w:sz w:val="16"/>
                <w:szCs w:val="16"/>
              </w:rPr>
              <w:t>-</w:t>
            </w:r>
          </w:p>
        </w:tc>
      </w:tr>
    </w:tbl>
    <w:p w14:paraId="5C0C697E" w14:textId="53729E33" w:rsidR="006A0566" w:rsidRDefault="006A0566" w:rsidP="006A0566">
      <w:pPr>
        <w:widowControl w:val="0"/>
        <w:spacing w:after="0"/>
        <w:rPr>
          <w:rFonts w:ascii="Arial" w:hAnsi="Arial" w:cs="Arial"/>
          <w:sz w:val="16"/>
          <w:szCs w:val="16"/>
        </w:rPr>
      </w:pPr>
      <w:r>
        <w:rPr>
          <w:rFonts w:ascii="Arial" w:hAnsi="Arial"/>
          <w:sz w:val="16"/>
          <w:szCs w:val="16"/>
        </w:rPr>
        <w:t>* Net initial yield; Source: German Property Partners (GPP)</w:t>
      </w:r>
    </w:p>
    <w:bookmarkEnd w:id="2"/>
    <w:p w14:paraId="0C6DDF68" w14:textId="4019C1D6" w:rsidR="00A30AB0" w:rsidRDefault="00A30AB0">
      <w:pPr>
        <w:rPr>
          <w:rFonts w:ascii="Arial" w:eastAsia="Arial" w:hAnsi="Arial" w:cs="Arial"/>
          <w:b/>
          <w:iCs/>
          <w:caps/>
          <w:sz w:val="16"/>
          <w:szCs w:val="16"/>
        </w:rPr>
      </w:pPr>
      <w:r>
        <w:br w:type="page"/>
      </w:r>
    </w:p>
    <w:p w14:paraId="4AAB2CD2" w14:textId="7480CE0E" w:rsidR="32E3C701" w:rsidRPr="00487ECE" w:rsidRDefault="32E3C701" w:rsidP="0071679E">
      <w:pPr>
        <w:spacing w:after="0"/>
        <w:rPr>
          <w:b/>
          <w:iCs/>
          <w:sz w:val="16"/>
          <w:szCs w:val="16"/>
        </w:rPr>
      </w:pPr>
      <w:r>
        <w:rPr>
          <w:rFonts w:ascii="Arial" w:hAnsi="Arial"/>
          <w:b/>
          <w:iCs/>
          <w:caps/>
          <w:sz w:val="16"/>
          <w:szCs w:val="16"/>
        </w:rPr>
        <w:lastRenderedPageBreak/>
        <w:t>ABOUT GERMAN PROPERTY PARTNERS</w:t>
      </w:r>
    </w:p>
    <w:p w14:paraId="24D83185" w14:textId="1A476C50" w:rsidR="32E3C701" w:rsidRPr="00934090" w:rsidRDefault="00920A52" w:rsidP="00816FEE">
      <w:pPr>
        <w:jc w:val="both"/>
        <w:rPr>
          <w:rFonts w:ascii="Arial" w:hAnsi="Arial" w:cs="Arial"/>
          <w:i/>
          <w:iCs/>
          <w:sz w:val="20"/>
          <w:szCs w:val="20"/>
        </w:rPr>
      </w:pPr>
      <w:r w:rsidRPr="00DF6E65">
        <w:rPr>
          <w:rFonts w:ascii="Arial" w:hAnsi="Arial" w:cs="Arial"/>
          <w:sz w:val="16"/>
          <w:szCs w:val="16"/>
        </w:rPr>
        <w:t>German Property Partners is a national network of property service providers; they are all leaders in their local markets.</w:t>
      </w:r>
      <w:r w:rsidRPr="00DF6E65">
        <w:rPr>
          <w:rFonts w:ascii="Arial" w:hAnsi="Arial" w:cs="Arial"/>
          <w:iCs/>
          <w:sz w:val="16"/>
          <w:szCs w:val="16"/>
        </w:rPr>
        <w:t xml:space="preserve"> Membership now consists of Grossmann &amp; Berger, Anteon </w:t>
      </w:r>
      <w:proofErr w:type="spellStart"/>
      <w:r w:rsidRPr="00DF6E65">
        <w:rPr>
          <w:rFonts w:ascii="Arial" w:hAnsi="Arial" w:cs="Arial"/>
          <w:iCs/>
          <w:sz w:val="16"/>
          <w:szCs w:val="16"/>
        </w:rPr>
        <w:t>Immobilien</w:t>
      </w:r>
      <w:proofErr w:type="spellEnd"/>
      <w:r w:rsidRPr="00DF6E65">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blackolive</w:t>
      </w:r>
      <w:proofErr w:type="spellEnd"/>
      <w:r>
        <w:rPr>
          <w:rFonts w:ascii="Arial" w:hAnsi="Arial"/>
          <w:iCs/>
          <w:sz w:val="16"/>
          <w:szCs w:val="16"/>
        </w:rPr>
        <w:t xml:space="preserve"> and E &amp; G Real Estate.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2020</w:t>
      </w:r>
      <w:r>
        <w:rPr>
          <w:rFonts w:ascii="Arial" w:hAnsi="Arial"/>
          <w:iCs/>
          <w:sz w:val="16"/>
          <w:szCs w:val="16"/>
        </w:rPr>
        <w:t xml:space="preserve"> involving 462,800 m² of commercial property, and managed investment transactions totalling €2.45bn.</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3A3F" w14:textId="77777777" w:rsidR="001161BC" w:rsidRDefault="001161BC" w:rsidP="0055466B">
      <w:pPr>
        <w:spacing w:after="0" w:line="240" w:lineRule="auto"/>
      </w:pPr>
      <w:r>
        <w:separator/>
      </w:r>
    </w:p>
  </w:endnote>
  <w:endnote w:type="continuationSeparator" w:id="0">
    <w:p w14:paraId="2745574C" w14:textId="77777777" w:rsidR="001161BC" w:rsidRDefault="001161BC" w:rsidP="0055466B">
      <w:pPr>
        <w:spacing w:after="0" w:line="240" w:lineRule="auto"/>
      </w:pPr>
      <w:r>
        <w:continuationSeparator/>
      </w:r>
    </w:p>
  </w:endnote>
  <w:endnote w:type="continuationNotice" w:id="1">
    <w:p w14:paraId="762BC48F" w14:textId="77777777" w:rsidR="001161BC" w:rsidRDefault="00116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5DFBCCB2" w:rsidR="00422A01" w:rsidRPr="00DC19BC" w:rsidRDefault="00422A01">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3662B65"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7C214B">
      <w:rPr>
        <w:rFonts w:ascii="Arial" w:hAnsi="Arial" w:cs="Arial"/>
        <w:b/>
        <w:noProof/>
        <w:sz w:val="18"/>
        <w:szCs w:val="18"/>
      </w:rPr>
      <w:t>4</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7C214B">
      <w:rPr>
        <w:rFonts w:ascii="Arial" w:hAnsi="Arial" w:cs="Arial"/>
        <w:b/>
        <w:noProof/>
        <w:sz w:val="18"/>
        <w:szCs w:val="18"/>
      </w:rPr>
      <w:t>4</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7C07" w14:textId="77777777" w:rsidR="001161BC" w:rsidRDefault="001161BC" w:rsidP="0055466B">
      <w:pPr>
        <w:spacing w:after="0" w:line="240" w:lineRule="auto"/>
      </w:pPr>
      <w:r>
        <w:separator/>
      </w:r>
    </w:p>
  </w:footnote>
  <w:footnote w:type="continuationSeparator" w:id="0">
    <w:p w14:paraId="452C60ED" w14:textId="77777777" w:rsidR="001161BC" w:rsidRDefault="001161BC" w:rsidP="0055466B">
      <w:pPr>
        <w:spacing w:after="0" w:line="240" w:lineRule="auto"/>
      </w:pPr>
      <w:r>
        <w:continuationSeparator/>
      </w:r>
    </w:p>
  </w:footnote>
  <w:footnote w:type="continuationNotice" w:id="1">
    <w:p w14:paraId="5E8C97BC" w14:textId="77777777" w:rsidR="001161BC" w:rsidRDefault="00116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F4CF33E"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80323"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CA9"/>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03A"/>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515"/>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3AC"/>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29F"/>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8E3"/>
    <w:rsid w:val="000C4B39"/>
    <w:rsid w:val="000C4BA4"/>
    <w:rsid w:val="000C4BF4"/>
    <w:rsid w:val="000C58BE"/>
    <w:rsid w:val="000C5F5E"/>
    <w:rsid w:val="000C6F90"/>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0C1F"/>
    <w:rsid w:val="000F101E"/>
    <w:rsid w:val="000F18D0"/>
    <w:rsid w:val="000F1FCB"/>
    <w:rsid w:val="000F25EC"/>
    <w:rsid w:val="000F2955"/>
    <w:rsid w:val="000F2AA6"/>
    <w:rsid w:val="000F2F0E"/>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5B2"/>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1BC"/>
    <w:rsid w:val="00116449"/>
    <w:rsid w:val="00116605"/>
    <w:rsid w:val="0011686D"/>
    <w:rsid w:val="00117789"/>
    <w:rsid w:val="001179B8"/>
    <w:rsid w:val="00117BD5"/>
    <w:rsid w:val="00121174"/>
    <w:rsid w:val="00121705"/>
    <w:rsid w:val="00121787"/>
    <w:rsid w:val="00121ABD"/>
    <w:rsid w:val="00121BB5"/>
    <w:rsid w:val="00121ED5"/>
    <w:rsid w:val="0012205D"/>
    <w:rsid w:val="00122101"/>
    <w:rsid w:val="00122996"/>
    <w:rsid w:val="00122CC7"/>
    <w:rsid w:val="00122FE5"/>
    <w:rsid w:val="00123F6C"/>
    <w:rsid w:val="00124162"/>
    <w:rsid w:val="00126356"/>
    <w:rsid w:val="00126503"/>
    <w:rsid w:val="00126EBF"/>
    <w:rsid w:val="0012773C"/>
    <w:rsid w:val="00127C59"/>
    <w:rsid w:val="00127D4D"/>
    <w:rsid w:val="00127E3E"/>
    <w:rsid w:val="001308DB"/>
    <w:rsid w:val="00130A3B"/>
    <w:rsid w:val="00130D53"/>
    <w:rsid w:val="001311CE"/>
    <w:rsid w:val="0013170E"/>
    <w:rsid w:val="001319F6"/>
    <w:rsid w:val="00131E56"/>
    <w:rsid w:val="0013214E"/>
    <w:rsid w:val="001321D9"/>
    <w:rsid w:val="00132930"/>
    <w:rsid w:val="001336DC"/>
    <w:rsid w:val="001338B1"/>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058"/>
    <w:rsid w:val="00167115"/>
    <w:rsid w:val="00167E41"/>
    <w:rsid w:val="00167FC6"/>
    <w:rsid w:val="001702E5"/>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7AC"/>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1B1"/>
    <w:rsid w:val="001D379F"/>
    <w:rsid w:val="001D3CC9"/>
    <w:rsid w:val="001D4659"/>
    <w:rsid w:val="001D4ECC"/>
    <w:rsid w:val="001D52E0"/>
    <w:rsid w:val="001D5413"/>
    <w:rsid w:val="001D58C8"/>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8ED"/>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B51"/>
    <w:rsid w:val="00224F59"/>
    <w:rsid w:val="0022619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6980"/>
    <w:rsid w:val="002479DF"/>
    <w:rsid w:val="00247F36"/>
    <w:rsid w:val="002514BF"/>
    <w:rsid w:val="00251815"/>
    <w:rsid w:val="00251AA3"/>
    <w:rsid w:val="00251BBE"/>
    <w:rsid w:val="00251D62"/>
    <w:rsid w:val="002526D6"/>
    <w:rsid w:val="00253196"/>
    <w:rsid w:val="00253242"/>
    <w:rsid w:val="002532DD"/>
    <w:rsid w:val="00253367"/>
    <w:rsid w:val="002535BA"/>
    <w:rsid w:val="00253B7D"/>
    <w:rsid w:val="00254568"/>
    <w:rsid w:val="0025470D"/>
    <w:rsid w:val="00254F44"/>
    <w:rsid w:val="00254F70"/>
    <w:rsid w:val="002559B4"/>
    <w:rsid w:val="00255E4F"/>
    <w:rsid w:val="00255F2F"/>
    <w:rsid w:val="00255FB3"/>
    <w:rsid w:val="002564E1"/>
    <w:rsid w:val="0025698F"/>
    <w:rsid w:val="00256A25"/>
    <w:rsid w:val="00256E35"/>
    <w:rsid w:val="00256E6F"/>
    <w:rsid w:val="00256FD1"/>
    <w:rsid w:val="0025738D"/>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1F"/>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274"/>
    <w:rsid w:val="00273547"/>
    <w:rsid w:val="00274970"/>
    <w:rsid w:val="0027498A"/>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0AC0"/>
    <w:rsid w:val="002815AC"/>
    <w:rsid w:val="00281967"/>
    <w:rsid w:val="00281C75"/>
    <w:rsid w:val="00282082"/>
    <w:rsid w:val="0028297F"/>
    <w:rsid w:val="00282BE8"/>
    <w:rsid w:val="00282E9A"/>
    <w:rsid w:val="00283484"/>
    <w:rsid w:val="00283514"/>
    <w:rsid w:val="002841B3"/>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BE0"/>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5E16"/>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171"/>
    <w:rsid w:val="00300AA4"/>
    <w:rsid w:val="00301032"/>
    <w:rsid w:val="0030155C"/>
    <w:rsid w:val="003038E1"/>
    <w:rsid w:val="00303ADF"/>
    <w:rsid w:val="00303B65"/>
    <w:rsid w:val="00303C1E"/>
    <w:rsid w:val="00303F0F"/>
    <w:rsid w:val="00304550"/>
    <w:rsid w:val="0030474A"/>
    <w:rsid w:val="00305548"/>
    <w:rsid w:val="00305580"/>
    <w:rsid w:val="00305D1F"/>
    <w:rsid w:val="00305F72"/>
    <w:rsid w:val="0030610F"/>
    <w:rsid w:val="00306A5A"/>
    <w:rsid w:val="00306BDC"/>
    <w:rsid w:val="003071D0"/>
    <w:rsid w:val="003079CD"/>
    <w:rsid w:val="003107A8"/>
    <w:rsid w:val="00310A04"/>
    <w:rsid w:val="00310AFF"/>
    <w:rsid w:val="00310C48"/>
    <w:rsid w:val="00310F19"/>
    <w:rsid w:val="00312C2A"/>
    <w:rsid w:val="0031302C"/>
    <w:rsid w:val="003133B1"/>
    <w:rsid w:val="003140B8"/>
    <w:rsid w:val="0031428A"/>
    <w:rsid w:val="00314755"/>
    <w:rsid w:val="00314976"/>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434E"/>
    <w:rsid w:val="003453AB"/>
    <w:rsid w:val="0034561D"/>
    <w:rsid w:val="003456DB"/>
    <w:rsid w:val="00345AB2"/>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67F82"/>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0933"/>
    <w:rsid w:val="0038173B"/>
    <w:rsid w:val="00381925"/>
    <w:rsid w:val="00381C20"/>
    <w:rsid w:val="0038248E"/>
    <w:rsid w:val="00382587"/>
    <w:rsid w:val="00382B3E"/>
    <w:rsid w:val="0038428E"/>
    <w:rsid w:val="003846E9"/>
    <w:rsid w:val="00384F0A"/>
    <w:rsid w:val="00385D65"/>
    <w:rsid w:val="00386585"/>
    <w:rsid w:val="00386B4D"/>
    <w:rsid w:val="003874E7"/>
    <w:rsid w:val="003878D6"/>
    <w:rsid w:val="00387A8F"/>
    <w:rsid w:val="0039052B"/>
    <w:rsid w:val="00390A96"/>
    <w:rsid w:val="00390DE9"/>
    <w:rsid w:val="00392189"/>
    <w:rsid w:val="003925BA"/>
    <w:rsid w:val="00392E74"/>
    <w:rsid w:val="00392FE0"/>
    <w:rsid w:val="003933CC"/>
    <w:rsid w:val="0039350A"/>
    <w:rsid w:val="00393809"/>
    <w:rsid w:val="00393883"/>
    <w:rsid w:val="00393CB0"/>
    <w:rsid w:val="00393E83"/>
    <w:rsid w:val="0039412C"/>
    <w:rsid w:val="00394968"/>
    <w:rsid w:val="00394FB6"/>
    <w:rsid w:val="0039541D"/>
    <w:rsid w:val="0039593A"/>
    <w:rsid w:val="00395A6E"/>
    <w:rsid w:val="003972D7"/>
    <w:rsid w:val="003974EA"/>
    <w:rsid w:val="00397D5C"/>
    <w:rsid w:val="00397D7D"/>
    <w:rsid w:val="003A0BD4"/>
    <w:rsid w:val="003A15A2"/>
    <w:rsid w:val="003A15A4"/>
    <w:rsid w:val="003A1E3C"/>
    <w:rsid w:val="003A29FA"/>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2F6"/>
    <w:rsid w:val="003D231C"/>
    <w:rsid w:val="003D2C2F"/>
    <w:rsid w:val="003D3197"/>
    <w:rsid w:val="003D3439"/>
    <w:rsid w:val="003D35D4"/>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795"/>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699"/>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4C0"/>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4A11"/>
    <w:rsid w:val="0042602D"/>
    <w:rsid w:val="0042611E"/>
    <w:rsid w:val="00426634"/>
    <w:rsid w:val="00426B18"/>
    <w:rsid w:val="0043007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6F4"/>
    <w:rsid w:val="00461DE2"/>
    <w:rsid w:val="0046206C"/>
    <w:rsid w:val="004626BA"/>
    <w:rsid w:val="00462D1F"/>
    <w:rsid w:val="00462F1C"/>
    <w:rsid w:val="00462FC6"/>
    <w:rsid w:val="00463157"/>
    <w:rsid w:val="00463238"/>
    <w:rsid w:val="004633CB"/>
    <w:rsid w:val="004635B9"/>
    <w:rsid w:val="004637E8"/>
    <w:rsid w:val="00463ADD"/>
    <w:rsid w:val="00463FC2"/>
    <w:rsid w:val="00464DEB"/>
    <w:rsid w:val="004650A5"/>
    <w:rsid w:val="004652DE"/>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0A4"/>
    <w:rsid w:val="00480307"/>
    <w:rsid w:val="0048098F"/>
    <w:rsid w:val="00480DE6"/>
    <w:rsid w:val="004815B7"/>
    <w:rsid w:val="0048189E"/>
    <w:rsid w:val="00481A88"/>
    <w:rsid w:val="00482627"/>
    <w:rsid w:val="004826F2"/>
    <w:rsid w:val="00482D88"/>
    <w:rsid w:val="00482F5E"/>
    <w:rsid w:val="004834D2"/>
    <w:rsid w:val="0048353C"/>
    <w:rsid w:val="004836EC"/>
    <w:rsid w:val="00483B53"/>
    <w:rsid w:val="00483C18"/>
    <w:rsid w:val="00484514"/>
    <w:rsid w:val="00484F93"/>
    <w:rsid w:val="0048586E"/>
    <w:rsid w:val="00485A5A"/>
    <w:rsid w:val="00485E9E"/>
    <w:rsid w:val="00486658"/>
    <w:rsid w:val="004867CE"/>
    <w:rsid w:val="004867D5"/>
    <w:rsid w:val="00486B6F"/>
    <w:rsid w:val="00486C62"/>
    <w:rsid w:val="00486DFB"/>
    <w:rsid w:val="00486F0C"/>
    <w:rsid w:val="00487966"/>
    <w:rsid w:val="00487D8D"/>
    <w:rsid w:val="00487ECE"/>
    <w:rsid w:val="00490460"/>
    <w:rsid w:val="00490E73"/>
    <w:rsid w:val="00490E92"/>
    <w:rsid w:val="004910AD"/>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0CD"/>
    <w:rsid w:val="004D2427"/>
    <w:rsid w:val="004D27D2"/>
    <w:rsid w:val="004D2C98"/>
    <w:rsid w:val="004D32B7"/>
    <w:rsid w:val="004D33C3"/>
    <w:rsid w:val="004D3602"/>
    <w:rsid w:val="004D37FD"/>
    <w:rsid w:val="004D4691"/>
    <w:rsid w:val="004D4A05"/>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1EE9"/>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5E1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3DDE"/>
    <w:rsid w:val="00504357"/>
    <w:rsid w:val="0050461D"/>
    <w:rsid w:val="00504A8B"/>
    <w:rsid w:val="0050541B"/>
    <w:rsid w:val="005058E5"/>
    <w:rsid w:val="00506693"/>
    <w:rsid w:val="00506B59"/>
    <w:rsid w:val="00506C9D"/>
    <w:rsid w:val="00507D2F"/>
    <w:rsid w:val="0051013F"/>
    <w:rsid w:val="00510346"/>
    <w:rsid w:val="005106FC"/>
    <w:rsid w:val="00510DCB"/>
    <w:rsid w:val="0051115E"/>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6D02"/>
    <w:rsid w:val="005175C2"/>
    <w:rsid w:val="00517975"/>
    <w:rsid w:val="00517C06"/>
    <w:rsid w:val="00517D77"/>
    <w:rsid w:val="00520184"/>
    <w:rsid w:val="00520539"/>
    <w:rsid w:val="00520E2E"/>
    <w:rsid w:val="00521B38"/>
    <w:rsid w:val="00522404"/>
    <w:rsid w:val="00523519"/>
    <w:rsid w:val="005237B0"/>
    <w:rsid w:val="00523F81"/>
    <w:rsid w:val="0052420B"/>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0E"/>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4FB6"/>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5F13"/>
    <w:rsid w:val="005B66ED"/>
    <w:rsid w:val="005B7101"/>
    <w:rsid w:val="005B7CB1"/>
    <w:rsid w:val="005C05B8"/>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A80"/>
    <w:rsid w:val="005F3CA6"/>
    <w:rsid w:val="005F3D95"/>
    <w:rsid w:val="005F441F"/>
    <w:rsid w:val="005F45D7"/>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151"/>
    <w:rsid w:val="00615264"/>
    <w:rsid w:val="00615D10"/>
    <w:rsid w:val="006163B6"/>
    <w:rsid w:val="006170EE"/>
    <w:rsid w:val="006177B3"/>
    <w:rsid w:val="00617B39"/>
    <w:rsid w:val="00620531"/>
    <w:rsid w:val="00620AA6"/>
    <w:rsid w:val="0062114C"/>
    <w:rsid w:val="006217CD"/>
    <w:rsid w:val="00621821"/>
    <w:rsid w:val="00622AFF"/>
    <w:rsid w:val="006231CA"/>
    <w:rsid w:val="00623851"/>
    <w:rsid w:val="00624745"/>
    <w:rsid w:val="006247D9"/>
    <w:rsid w:val="00624C81"/>
    <w:rsid w:val="00624F42"/>
    <w:rsid w:val="00624FA7"/>
    <w:rsid w:val="006253DB"/>
    <w:rsid w:val="00625411"/>
    <w:rsid w:val="0062582B"/>
    <w:rsid w:val="006260EA"/>
    <w:rsid w:val="00626169"/>
    <w:rsid w:val="0062687F"/>
    <w:rsid w:val="00626FD4"/>
    <w:rsid w:val="00627180"/>
    <w:rsid w:val="006276B2"/>
    <w:rsid w:val="0062779A"/>
    <w:rsid w:val="006300DF"/>
    <w:rsid w:val="00630AFC"/>
    <w:rsid w:val="00631240"/>
    <w:rsid w:val="00631681"/>
    <w:rsid w:val="00631B45"/>
    <w:rsid w:val="006329E8"/>
    <w:rsid w:val="00632D2F"/>
    <w:rsid w:val="00633C54"/>
    <w:rsid w:val="00633E9A"/>
    <w:rsid w:val="00634956"/>
    <w:rsid w:val="00634B99"/>
    <w:rsid w:val="00635005"/>
    <w:rsid w:val="00635184"/>
    <w:rsid w:val="0063529C"/>
    <w:rsid w:val="006354E1"/>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A04"/>
    <w:rsid w:val="00660EDB"/>
    <w:rsid w:val="00661096"/>
    <w:rsid w:val="006616B3"/>
    <w:rsid w:val="00662131"/>
    <w:rsid w:val="00662478"/>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474"/>
    <w:rsid w:val="00675947"/>
    <w:rsid w:val="00675A8E"/>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1DCE"/>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8E"/>
    <w:rsid w:val="006958D9"/>
    <w:rsid w:val="00696DF7"/>
    <w:rsid w:val="006A02FE"/>
    <w:rsid w:val="006A0566"/>
    <w:rsid w:val="006A10E7"/>
    <w:rsid w:val="006A1816"/>
    <w:rsid w:val="006A19E0"/>
    <w:rsid w:val="006A1C35"/>
    <w:rsid w:val="006A1F2B"/>
    <w:rsid w:val="006A1FCC"/>
    <w:rsid w:val="006A1FF6"/>
    <w:rsid w:val="006A21A0"/>
    <w:rsid w:val="006A242E"/>
    <w:rsid w:val="006A2661"/>
    <w:rsid w:val="006A267E"/>
    <w:rsid w:val="006A2863"/>
    <w:rsid w:val="006A2FB3"/>
    <w:rsid w:val="006A3001"/>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12B"/>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6FB"/>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0D"/>
    <w:rsid w:val="0072378A"/>
    <w:rsid w:val="007237E1"/>
    <w:rsid w:val="0072385F"/>
    <w:rsid w:val="00723CA8"/>
    <w:rsid w:val="00723E4D"/>
    <w:rsid w:val="007243CF"/>
    <w:rsid w:val="00725081"/>
    <w:rsid w:val="00725668"/>
    <w:rsid w:val="00726738"/>
    <w:rsid w:val="00727533"/>
    <w:rsid w:val="00727CD8"/>
    <w:rsid w:val="00727CFC"/>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2E3B"/>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6CF3"/>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7DE"/>
    <w:rsid w:val="007B2FF8"/>
    <w:rsid w:val="007B30ED"/>
    <w:rsid w:val="007B3E80"/>
    <w:rsid w:val="007B4714"/>
    <w:rsid w:val="007B4933"/>
    <w:rsid w:val="007B4CF9"/>
    <w:rsid w:val="007B555A"/>
    <w:rsid w:val="007B5F4C"/>
    <w:rsid w:val="007B6E68"/>
    <w:rsid w:val="007B7232"/>
    <w:rsid w:val="007C06D6"/>
    <w:rsid w:val="007C0BBC"/>
    <w:rsid w:val="007C1C24"/>
    <w:rsid w:val="007C214B"/>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7D3"/>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7A3"/>
    <w:rsid w:val="007E4A6F"/>
    <w:rsid w:val="007E4E1A"/>
    <w:rsid w:val="007E5481"/>
    <w:rsid w:val="007E5BD1"/>
    <w:rsid w:val="007E682A"/>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6FEE"/>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5859"/>
    <w:rsid w:val="00826252"/>
    <w:rsid w:val="008262E8"/>
    <w:rsid w:val="008266B1"/>
    <w:rsid w:val="0082676B"/>
    <w:rsid w:val="00826CA1"/>
    <w:rsid w:val="008270DB"/>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0B2"/>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23B0"/>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0C49"/>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52"/>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0CB"/>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1E17"/>
    <w:rsid w:val="009A2906"/>
    <w:rsid w:val="009A37E2"/>
    <w:rsid w:val="009A3E58"/>
    <w:rsid w:val="009A49D3"/>
    <w:rsid w:val="009A4C25"/>
    <w:rsid w:val="009A539C"/>
    <w:rsid w:val="009A5861"/>
    <w:rsid w:val="009A5B89"/>
    <w:rsid w:val="009A5D73"/>
    <w:rsid w:val="009A5EFD"/>
    <w:rsid w:val="009A6E5F"/>
    <w:rsid w:val="009A7060"/>
    <w:rsid w:val="009A745E"/>
    <w:rsid w:val="009A7FBF"/>
    <w:rsid w:val="009B0182"/>
    <w:rsid w:val="009B02A3"/>
    <w:rsid w:val="009B09BE"/>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59F"/>
    <w:rsid w:val="00A13ADC"/>
    <w:rsid w:val="00A13DFD"/>
    <w:rsid w:val="00A14898"/>
    <w:rsid w:val="00A148E6"/>
    <w:rsid w:val="00A15C00"/>
    <w:rsid w:val="00A15C65"/>
    <w:rsid w:val="00A161F4"/>
    <w:rsid w:val="00A17611"/>
    <w:rsid w:val="00A17B9C"/>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0AB0"/>
    <w:rsid w:val="00A3216E"/>
    <w:rsid w:val="00A32202"/>
    <w:rsid w:val="00A32AE9"/>
    <w:rsid w:val="00A32E36"/>
    <w:rsid w:val="00A3351D"/>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332"/>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3AD"/>
    <w:rsid w:val="00A646E7"/>
    <w:rsid w:val="00A64BBC"/>
    <w:rsid w:val="00A64C0F"/>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1F2"/>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A06"/>
    <w:rsid w:val="00A92F19"/>
    <w:rsid w:val="00A92F1C"/>
    <w:rsid w:val="00A92FA3"/>
    <w:rsid w:val="00A930D9"/>
    <w:rsid w:val="00A938AE"/>
    <w:rsid w:val="00A938EA"/>
    <w:rsid w:val="00A93EA3"/>
    <w:rsid w:val="00A9405D"/>
    <w:rsid w:val="00A944F3"/>
    <w:rsid w:val="00A9451F"/>
    <w:rsid w:val="00A94CBD"/>
    <w:rsid w:val="00A9552F"/>
    <w:rsid w:val="00A9577D"/>
    <w:rsid w:val="00A95B69"/>
    <w:rsid w:val="00A96702"/>
    <w:rsid w:val="00A9695F"/>
    <w:rsid w:val="00A969A5"/>
    <w:rsid w:val="00A97291"/>
    <w:rsid w:val="00A976F6"/>
    <w:rsid w:val="00A97860"/>
    <w:rsid w:val="00A97C91"/>
    <w:rsid w:val="00AA0069"/>
    <w:rsid w:val="00AA031E"/>
    <w:rsid w:val="00AA03B0"/>
    <w:rsid w:val="00AA0893"/>
    <w:rsid w:val="00AA0D76"/>
    <w:rsid w:val="00AA12C4"/>
    <w:rsid w:val="00AA1E53"/>
    <w:rsid w:val="00AA201F"/>
    <w:rsid w:val="00AA2021"/>
    <w:rsid w:val="00AA229D"/>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A7AD2"/>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0C3"/>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0F94"/>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217"/>
    <w:rsid w:val="00B40642"/>
    <w:rsid w:val="00B41DF7"/>
    <w:rsid w:val="00B4234E"/>
    <w:rsid w:val="00B43602"/>
    <w:rsid w:val="00B436A0"/>
    <w:rsid w:val="00B43C56"/>
    <w:rsid w:val="00B43F6E"/>
    <w:rsid w:val="00B440CA"/>
    <w:rsid w:val="00B4444A"/>
    <w:rsid w:val="00B44A04"/>
    <w:rsid w:val="00B450E3"/>
    <w:rsid w:val="00B45295"/>
    <w:rsid w:val="00B456EB"/>
    <w:rsid w:val="00B45746"/>
    <w:rsid w:val="00B461E2"/>
    <w:rsid w:val="00B468CE"/>
    <w:rsid w:val="00B47117"/>
    <w:rsid w:val="00B4725D"/>
    <w:rsid w:val="00B47474"/>
    <w:rsid w:val="00B47E1A"/>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6ED5"/>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9E8"/>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415"/>
    <w:rsid w:val="00B96993"/>
    <w:rsid w:val="00BA007E"/>
    <w:rsid w:val="00BA0087"/>
    <w:rsid w:val="00BA00C6"/>
    <w:rsid w:val="00BA02F8"/>
    <w:rsid w:val="00BA1A32"/>
    <w:rsid w:val="00BA1AA5"/>
    <w:rsid w:val="00BA1CE2"/>
    <w:rsid w:val="00BA20BE"/>
    <w:rsid w:val="00BA23B5"/>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68A3"/>
    <w:rsid w:val="00BA71D6"/>
    <w:rsid w:val="00BA727B"/>
    <w:rsid w:val="00BA7340"/>
    <w:rsid w:val="00BA7D8E"/>
    <w:rsid w:val="00BB052A"/>
    <w:rsid w:val="00BB0789"/>
    <w:rsid w:val="00BB0BF5"/>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093"/>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270"/>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191"/>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0EF"/>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2999"/>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163"/>
    <w:rsid w:val="00C62ADF"/>
    <w:rsid w:val="00C63088"/>
    <w:rsid w:val="00C63294"/>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21E"/>
    <w:rsid w:val="00C72732"/>
    <w:rsid w:val="00C729FF"/>
    <w:rsid w:val="00C72A83"/>
    <w:rsid w:val="00C73554"/>
    <w:rsid w:val="00C740FF"/>
    <w:rsid w:val="00C74C5A"/>
    <w:rsid w:val="00C74D92"/>
    <w:rsid w:val="00C752F7"/>
    <w:rsid w:val="00C760A0"/>
    <w:rsid w:val="00C769A6"/>
    <w:rsid w:val="00C7711A"/>
    <w:rsid w:val="00C77380"/>
    <w:rsid w:val="00C77608"/>
    <w:rsid w:val="00C77743"/>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597"/>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C752F"/>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246"/>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A18"/>
    <w:rsid w:val="00CF5F6D"/>
    <w:rsid w:val="00CF66E4"/>
    <w:rsid w:val="00CF6F84"/>
    <w:rsid w:val="00CF7A9C"/>
    <w:rsid w:val="00CF7AAB"/>
    <w:rsid w:val="00CF7AD0"/>
    <w:rsid w:val="00CF7F53"/>
    <w:rsid w:val="00D0028A"/>
    <w:rsid w:val="00D008D3"/>
    <w:rsid w:val="00D00D7E"/>
    <w:rsid w:val="00D01C09"/>
    <w:rsid w:val="00D01C88"/>
    <w:rsid w:val="00D01EB2"/>
    <w:rsid w:val="00D0236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831"/>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5F6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3F3"/>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1A7"/>
    <w:rsid w:val="00D83548"/>
    <w:rsid w:val="00D836E3"/>
    <w:rsid w:val="00D839BA"/>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5E18"/>
    <w:rsid w:val="00DB7073"/>
    <w:rsid w:val="00DB76AB"/>
    <w:rsid w:val="00DC049E"/>
    <w:rsid w:val="00DC082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0E7"/>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E65"/>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478"/>
    <w:rsid w:val="00E36BB4"/>
    <w:rsid w:val="00E36C31"/>
    <w:rsid w:val="00E40B07"/>
    <w:rsid w:val="00E424E9"/>
    <w:rsid w:val="00E428A9"/>
    <w:rsid w:val="00E428EC"/>
    <w:rsid w:val="00E42A66"/>
    <w:rsid w:val="00E42E05"/>
    <w:rsid w:val="00E42E14"/>
    <w:rsid w:val="00E43754"/>
    <w:rsid w:val="00E445F1"/>
    <w:rsid w:val="00E44C44"/>
    <w:rsid w:val="00E44D76"/>
    <w:rsid w:val="00E46368"/>
    <w:rsid w:val="00E464CF"/>
    <w:rsid w:val="00E466B2"/>
    <w:rsid w:val="00E466D8"/>
    <w:rsid w:val="00E47331"/>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B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13A"/>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4A2"/>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0E96"/>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C81"/>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4EE"/>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4F3"/>
    <w:rsid w:val="00F80729"/>
    <w:rsid w:val="00F80A7D"/>
    <w:rsid w:val="00F81227"/>
    <w:rsid w:val="00F821CB"/>
    <w:rsid w:val="00F82388"/>
    <w:rsid w:val="00F8260C"/>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3"/>
    <w:rsid w:val="00F9004E"/>
    <w:rsid w:val="00F9065A"/>
    <w:rsid w:val="00F908BD"/>
    <w:rsid w:val="00F9099F"/>
    <w:rsid w:val="00F91660"/>
    <w:rsid w:val="00F92941"/>
    <w:rsid w:val="00F92F64"/>
    <w:rsid w:val="00F935B1"/>
    <w:rsid w:val="00F93BA8"/>
    <w:rsid w:val="00F93E6D"/>
    <w:rsid w:val="00F952F7"/>
    <w:rsid w:val="00F95321"/>
    <w:rsid w:val="00F953DB"/>
    <w:rsid w:val="00F9545A"/>
    <w:rsid w:val="00F956B4"/>
    <w:rsid w:val="00F95EFF"/>
    <w:rsid w:val="00F9601A"/>
    <w:rsid w:val="00F96B9A"/>
    <w:rsid w:val="00F970FC"/>
    <w:rsid w:val="00F977D2"/>
    <w:rsid w:val="00F97A75"/>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3B5"/>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864"/>
    <w:rsid w:val="00FF1D51"/>
    <w:rsid w:val="00FF2AE0"/>
    <w:rsid w:val="00FF33E5"/>
    <w:rsid w:val="00FF5477"/>
    <w:rsid w:val="00FF557D"/>
    <w:rsid w:val="00FF5B2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12DD5"/>
  <w15:docId w15:val="{055EAFD3-078B-49BB-B6FE-DAB2D8F8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purl.org/dc/terms/"/>
    <ds:schemaRef ds:uri="http://schemas.microsoft.com/office/2006/documentManagement/types"/>
    <ds:schemaRef ds:uri="84aed6d6-a926-4909-ae89-377442fd3b8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149A3-5CF1-4058-A0F7-BA20F78A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3</cp:revision>
  <cp:lastPrinted>2021-07-05T06:18:00Z</cp:lastPrinted>
  <dcterms:created xsi:type="dcterms:W3CDTF">2021-07-05T11:30:00Z</dcterms:created>
  <dcterms:modified xsi:type="dcterms:W3CDTF">2021-07-05T12:30:00Z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