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1E3CC2B6" w:rsidR="000B1E51" w:rsidRPr="004D02F0" w:rsidRDefault="00436816" w:rsidP="00462FC6">
      <w:pPr>
        <w:widowControl w:val="0"/>
        <w:spacing w:after="40"/>
        <w:rPr>
          <w:rFonts w:ascii="Arial" w:hAnsi="Arial" w:cs="Arial"/>
          <w:b/>
          <w:color w:val="000000" w:themeColor="text1"/>
          <w:sz w:val="40"/>
          <w:szCs w:val="40"/>
        </w:rPr>
      </w:pPr>
      <w:r>
        <w:rPr>
          <w:noProof/>
          <w:color w:val="000000" w:themeColor="text1"/>
          <w:lang w:val="de-DE" w:eastAsia="de-DE"/>
        </w:rPr>
        <mc:AlternateContent>
          <mc:Choice Requires="wps">
            <w:drawing>
              <wp:anchor distT="0" distB="0" distL="114300" distR="114300" simplePos="0" relativeHeight="251658242" behindDoc="0" locked="0" layoutInCell="1" allowOverlap="1" wp14:anchorId="2CFA8A02" wp14:editId="6F9C03A4">
                <wp:simplePos x="0" y="0"/>
                <wp:positionH relativeFrom="column">
                  <wp:posOffset>3747184</wp:posOffset>
                </wp:positionH>
                <wp:positionV relativeFrom="paragraph">
                  <wp:posOffset>-898863</wp:posOffset>
                </wp:positionV>
                <wp:extent cx="2392878" cy="55814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878" cy="558140"/>
                        </a:xfrm>
                        <a:prstGeom prst="rect">
                          <a:avLst/>
                        </a:prstGeom>
                        <a:noFill/>
                        <a:ln w="9525">
                          <a:noFill/>
                          <a:miter lim="800000"/>
                          <a:headEnd/>
                          <a:tailEnd/>
                        </a:ln>
                      </wps:spPr>
                      <wps:txb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 xml:space="preserve">PRESS CONTACT </w:t>
                            </w:r>
                          </w:p>
                          <w:p w14:paraId="149868A3" w14:textId="2B6FE846"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Ms Corinna Fühner</w:t>
                            </w:r>
                          </w:p>
                          <w:p w14:paraId="35F2F7FA" w14:textId="74F53775"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Telephone: +49 (0)40 / 350 80 2-588</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rPr>
                            </w:pPr>
                            <w:r>
                              <w:rPr>
                                <w:rFonts w:ascii="Arial" w:hAnsi="Arial"/>
                                <w:color w:val="808080" w:themeColor="background1" w:themeShade="80"/>
                                <w:sz w:val="16"/>
                                <w:szCs w:val="16"/>
                              </w:rPr>
                              <w:t>E-Mail: presse@germanpropertypartners.de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8A02" id="_x0000_t202" coordsize="21600,21600" o:spt="202" path="m,l,21600r21600,l21600,xe">
                <v:stroke joinstyle="miter"/>
                <v:path gradientshapeok="t" o:connecttype="rect"/>
              </v:shapetype>
              <v:shape id="Textfeld 2" o:spid="_x0000_s1026" type="#_x0000_t202" style="position:absolute;margin-left:295.05pt;margin-top:-70.8pt;width:188.4pt;height:43.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" filled="f" stroked="f">
                <v:textbo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 xml:space="preserve">PRESS CONTACT </w:t>
                      </w:r>
                    </w:p>
                    <w:p w14:paraId="149868A3" w14:textId="2B6FE846"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Ms Corinna Fühner</w:t>
                      </w:r>
                    </w:p>
                    <w:p w14:paraId="35F2F7FA" w14:textId="74F53775"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Telephone: +49 (0)40 / 350 80 2-588</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rPr>
                      </w:pPr>
                      <w:r>
                        <w:rPr>
                          <w:rFonts w:ascii="Arial" w:hAnsi="Arial"/>
                          <w:color w:val="808080" w:themeColor="background1" w:themeShade="80"/>
                          <w:sz w:val="16"/>
                          <w:szCs w:val="16"/>
                        </w:rPr>
                        <w:t>E-Mail: presse@germanpropertypartners.de</w:t>
                      </w:r>
                    </w:p>
                  </w:txbxContent>
                </v:textbox>
              </v:shape>
            </w:pict>
          </mc:Fallback>
        </mc:AlternateContent>
      </w:r>
      <w:r>
        <w:rPr>
          <w:noProof/>
          <w:color w:val="000000" w:themeColor="text1"/>
          <w:lang w:val="de-DE"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422A01" w:rsidRPr="000B1E51" w:rsidRDefault="00422A01" w:rsidP="000B1E51">
                            <w:pPr>
                              <w:rPr>
                                <w:rFonts w:ascii="Arial" w:hAnsi="Arial" w:cs="Arial"/>
                                <w:color w:val="808080" w:themeColor="background1" w:themeShade="80"/>
                                <w:sz w:val="30"/>
                                <w:szCs w:val="30"/>
                              </w:rPr>
                            </w:pPr>
                            <w:r>
                              <w:rPr>
                                <w:rFonts w:ascii="Arial" w:hAnsi="Arial"/>
                                <w:color w:val="808080" w:themeColor="background1" w:themeShade="80"/>
                                <w:sz w:val="30"/>
                                <w:szCs w:val="30"/>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D46"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422A01" w:rsidRPr="000B1E51" w:rsidRDefault="00422A01" w:rsidP="000B1E51">
                      <w:pPr>
                        <w:rPr>
                          <w:rFonts w:ascii="Arial" w:hAnsi="Arial" w:cs="Arial"/>
                          <w:color w:val="808080" w:themeColor="background1" w:themeShade="80"/>
                          <w:sz w:val="30"/>
                          <w:szCs w:val="30"/>
                        </w:rPr>
                      </w:pPr>
                      <w:r>
                        <w:rPr>
                          <w:rFonts w:ascii="Arial" w:hAnsi="Arial"/>
                          <w:color w:val="808080" w:themeColor="background1" w:themeShade="80"/>
                          <w:sz w:val="30"/>
                          <w:szCs w:val="30"/>
                        </w:rPr>
                        <w:t>PRESS RELEASE</w:t>
                      </w:r>
                    </w:p>
                  </w:txbxContent>
                </v:textbox>
              </v:shape>
            </w:pict>
          </mc:Fallback>
        </mc:AlternateContent>
      </w:r>
      <w:bookmarkStart w:id="0" w:name="_Hlk526187594"/>
      <w:r>
        <w:rPr>
          <w:rFonts w:ascii="Arial" w:hAnsi="Arial"/>
          <w:color w:val="000000" w:themeColor="text1"/>
          <w:sz w:val="40"/>
          <w:szCs w:val="40"/>
        </w:rPr>
        <w:t xml:space="preserve">TOP-7-INVESTMENT MARKETS </w:t>
      </w:r>
      <w:bookmarkEnd w:id="0"/>
      <w:r>
        <w:rPr>
          <w:rFonts w:ascii="Arial" w:hAnsi="Arial"/>
          <w:color w:val="000000" w:themeColor="text1"/>
          <w:sz w:val="40"/>
          <w:szCs w:val="40"/>
        </w:rPr>
        <w:t>Q3/2020</w:t>
      </w:r>
    </w:p>
    <w:p w14:paraId="3B735A9E" w14:textId="3E381606" w:rsidR="00073A8E" w:rsidRPr="004D02F0" w:rsidRDefault="00625411" w:rsidP="00462FC6">
      <w:pPr>
        <w:widowControl w:val="0"/>
        <w:spacing w:after="120"/>
        <w:rPr>
          <w:rFonts w:ascii="Arial" w:hAnsi="Arial" w:cs="Arial"/>
          <w:b/>
          <w:caps/>
          <w:color w:val="000000" w:themeColor="text1"/>
          <w:sz w:val="40"/>
          <w:szCs w:val="40"/>
        </w:rPr>
      </w:pPr>
      <w:r>
        <w:rPr>
          <w:rFonts w:ascii="Arial" w:hAnsi="Arial"/>
          <w:b/>
          <w:caps/>
          <w:color w:val="000000" w:themeColor="text1"/>
          <w:sz w:val="40"/>
          <w:szCs w:val="40"/>
        </w:rPr>
        <w:t xml:space="preserve">CORONAVIRUS DEPRESSES TRADING  </w:t>
      </w:r>
    </w:p>
    <w:p w14:paraId="28BEC29F" w14:textId="0EF53832" w:rsidR="007D3839" w:rsidRDefault="00B5621B" w:rsidP="004C416A">
      <w:pPr>
        <w:widowControl w:val="0"/>
        <w:spacing w:after="120"/>
        <w:jc w:val="center"/>
        <w:rPr>
          <w:rFonts w:ascii="Arial" w:hAnsi="Arial" w:cs="Arial"/>
          <w:b/>
          <w:sz w:val="20"/>
          <w:szCs w:val="20"/>
        </w:rPr>
      </w:pPr>
      <w:r>
        <w:rPr>
          <w:noProof/>
          <w:color w:val="000000" w:themeColor="text1"/>
          <w:lang w:val="de-DE" w:eastAsia="de-DE"/>
        </w:rPr>
        <mc:AlternateContent>
          <mc:Choice Requires="wps">
            <w:drawing>
              <wp:anchor distT="0" distB="0" distL="114300" distR="114300" simplePos="0" relativeHeight="251658240" behindDoc="0" locked="0" layoutInCell="1" allowOverlap="1" wp14:anchorId="1B925072" wp14:editId="0CEC9F32">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3C364A"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1" w:name="_Hlk486831603"/>
      <w:bookmarkStart w:id="2" w:name="_Hlk526105468"/>
      <w:r>
        <w:rPr>
          <w:rFonts w:ascii="Arial" w:hAnsi="Arial"/>
          <w:b/>
          <w:sz w:val="20"/>
          <w:szCs w:val="20"/>
        </w:rPr>
        <w:br/>
      </w:r>
      <w:r w:rsidR="00656BDC">
        <w:rPr>
          <w:rFonts w:ascii="Arial" w:hAnsi="Arial" w:cs="Arial"/>
          <w:b/>
          <w:noProof/>
          <w:sz w:val="20"/>
          <w:szCs w:val="20"/>
          <w:lang w:val="de-DE" w:eastAsia="de-DE"/>
        </w:rPr>
        <w:drawing>
          <wp:inline distT="0" distB="0" distL="0" distR="0" wp14:anchorId="70799F84" wp14:editId="087F3BC0">
            <wp:extent cx="5760720" cy="33604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V_Top-7-Standorte_Q32020_en_aktualisiert.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3360420"/>
                    </a:xfrm>
                    <a:prstGeom prst="rect">
                      <a:avLst/>
                    </a:prstGeom>
                  </pic:spPr>
                </pic:pic>
              </a:graphicData>
            </a:graphic>
          </wp:inline>
        </w:drawing>
      </w:r>
    </w:p>
    <w:p w14:paraId="032005C4" w14:textId="75C638A8" w:rsidR="00735CE6" w:rsidRPr="00735CE6" w:rsidRDefault="006A0566" w:rsidP="00735CE6">
      <w:pPr>
        <w:widowControl w:val="0"/>
        <w:spacing w:after="120"/>
        <w:rPr>
          <w:rFonts w:ascii="Arial" w:hAnsi="Arial" w:cs="Arial"/>
          <w:bCs/>
          <w:sz w:val="20"/>
          <w:szCs w:val="20"/>
        </w:rPr>
      </w:pPr>
      <w:bookmarkStart w:id="3" w:name="_GoBack"/>
      <w:bookmarkEnd w:id="3"/>
      <w:r>
        <w:rPr>
          <w:rFonts w:ascii="Arial" w:hAnsi="Arial"/>
          <w:b/>
          <w:sz w:val="20"/>
          <w:szCs w:val="20"/>
        </w:rPr>
        <w:br/>
        <w:t xml:space="preserve">1st October 2020, </w:t>
      </w:r>
      <w:bookmarkStart w:id="4" w:name="_Hlk486831588"/>
      <w:r>
        <w:rPr>
          <w:rFonts w:ascii="Arial" w:hAnsi="Arial"/>
          <w:b/>
          <w:sz w:val="20"/>
          <w:szCs w:val="20"/>
        </w:rPr>
        <w:t>Hamburg.</w:t>
      </w:r>
      <w:r>
        <w:rPr>
          <w:rFonts w:ascii="Arial" w:hAnsi="Arial"/>
          <w:bCs/>
          <w:sz w:val="20"/>
          <w:szCs w:val="20"/>
        </w:rPr>
        <w:t xml:space="preserve"> Year on year the volume of transactions recorded in Germany’s top 7 cities fell by </w:t>
      </w:r>
      <w:r w:rsidR="00F84F89">
        <w:rPr>
          <w:rFonts w:ascii="Arial" w:hAnsi="Arial"/>
          <w:bCs/>
          <w:sz w:val="20"/>
          <w:szCs w:val="20"/>
        </w:rPr>
        <w:t>19</w:t>
      </w:r>
      <w:r>
        <w:rPr>
          <w:rFonts w:ascii="Arial" w:hAnsi="Arial"/>
          <w:bCs/>
          <w:sz w:val="20"/>
          <w:szCs w:val="20"/>
        </w:rPr>
        <w:t> % in the 3rd quarter of 2020. During the first nine months of 2020 commercial properties located in Hamburg, Berlin, Düsseldorf, Cologne, Frankfurt, Stuttgart and Munich changed hands for a total of €1</w:t>
      </w:r>
      <w:r w:rsidR="00F84F89">
        <w:rPr>
          <w:rFonts w:ascii="Arial" w:hAnsi="Arial"/>
          <w:bCs/>
          <w:sz w:val="20"/>
          <w:szCs w:val="20"/>
        </w:rPr>
        <w:t>9</w:t>
      </w:r>
      <w:r>
        <w:rPr>
          <w:rFonts w:ascii="Arial" w:hAnsi="Arial"/>
          <w:bCs/>
          <w:sz w:val="20"/>
          <w:szCs w:val="20"/>
        </w:rPr>
        <w:t>.</w:t>
      </w:r>
      <w:r w:rsidR="00F84F89">
        <w:rPr>
          <w:rFonts w:ascii="Arial" w:hAnsi="Arial"/>
          <w:bCs/>
          <w:sz w:val="20"/>
          <w:szCs w:val="20"/>
        </w:rPr>
        <w:t>06</w:t>
      </w:r>
      <w:r>
        <w:rPr>
          <w:rFonts w:ascii="Arial" w:hAnsi="Arial"/>
          <w:bCs/>
          <w:sz w:val="20"/>
          <w:szCs w:val="20"/>
        </w:rPr>
        <w:t>bn. Only two cities posted growth, Hamburg and Düsseldorf. This emerges from the latest calculations by the estate agents/brokers’ network German Property Partners (GPP).</w:t>
      </w:r>
    </w:p>
    <w:p w14:paraId="2ACCDC89" w14:textId="77777777" w:rsidR="00735CE6" w:rsidRDefault="00735CE6" w:rsidP="00487ECE">
      <w:pPr>
        <w:widowControl w:val="0"/>
        <w:spacing w:after="0"/>
        <w:jc w:val="center"/>
        <w:rPr>
          <w:rFonts w:ascii="Arial" w:hAnsi="Arial" w:cs="Arial"/>
          <w:b/>
          <w:bCs/>
          <w:caps/>
          <w:sz w:val="20"/>
          <w:szCs w:val="20"/>
        </w:rPr>
      </w:pPr>
    </w:p>
    <w:p w14:paraId="035D3C6D" w14:textId="4235F38A" w:rsidR="004C1EFC" w:rsidRPr="00487ECE" w:rsidRDefault="001C4E4D" w:rsidP="00487ECE">
      <w:pPr>
        <w:widowControl w:val="0"/>
        <w:spacing w:after="0"/>
        <w:jc w:val="center"/>
        <w:rPr>
          <w:rFonts w:ascii="Arial" w:hAnsi="Arial" w:cs="Arial"/>
          <w:b/>
          <w:bCs/>
          <w:caps/>
          <w:sz w:val="20"/>
          <w:szCs w:val="20"/>
        </w:rPr>
      </w:pPr>
      <w:r>
        <w:rPr>
          <w:rFonts w:ascii="Arial" w:hAnsi="Arial"/>
          <w:b/>
          <w:bCs/>
          <w:caps/>
          <w:sz w:val="20"/>
          <w:szCs w:val="20"/>
        </w:rPr>
        <w:t>Trading volume down apart from in Hamburg and Düsseldorf</w:t>
      </w:r>
    </w:p>
    <w:p w14:paraId="465237C3" w14:textId="77777777" w:rsidR="00A035D3" w:rsidRDefault="00A035D3" w:rsidP="00487ECE">
      <w:pPr>
        <w:widowControl w:val="0"/>
        <w:spacing w:after="0"/>
        <w:rPr>
          <w:rFonts w:ascii="Arial" w:hAnsi="Arial" w:cs="Arial"/>
          <w:sz w:val="20"/>
          <w:szCs w:val="20"/>
        </w:rPr>
      </w:pPr>
    </w:p>
    <w:p w14:paraId="47122925" w14:textId="77777777" w:rsidR="00610E21" w:rsidRDefault="00FF33E5" w:rsidP="00487ECE">
      <w:pPr>
        <w:widowControl w:val="0"/>
        <w:spacing w:after="0"/>
        <w:rPr>
          <w:rFonts w:ascii="Arial" w:hAnsi="Arial" w:cs="Arial"/>
          <w:sz w:val="20"/>
          <w:szCs w:val="20"/>
        </w:rPr>
      </w:pPr>
      <w:r>
        <w:rPr>
          <w:rFonts w:ascii="Arial" w:hAnsi="Arial"/>
          <w:sz w:val="20"/>
          <w:szCs w:val="20"/>
        </w:rPr>
        <w:t xml:space="preserve">By the end of the 3rd quarter the trading volume in Hamburg totalled €3.64bn, well above the prior year’s figure (+37 %). First and foremost, this increase stems from ten transactions with price tags in excess of €100m (2019: 6). Düsseldorf likewise posted growth; its trading volume rose by 36 % to €2.28bn, much of which was, however, generated in the strong 1st quarter of 2020. The other five top 7 cities saw declining volumes of transactions; Berlin’s total fell by a massive 42 % to €4.75bn, largely due to the capital city’s strong result in the previous year. </w:t>
      </w:r>
      <w:r>
        <w:rPr>
          <w:rFonts w:ascii="Arial" w:hAnsi="Arial"/>
          <w:sz w:val="20"/>
          <w:szCs w:val="20"/>
        </w:rPr>
        <w:br/>
        <w:t xml:space="preserve">35 % of the trading volume in the top 7 cities involved portfolios (2019: 21 %).  </w:t>
      </w:r>
    </w:p>
    <w:p w14:paraId="252B8945" w14:textId="1EC13FCB" w:rsidR="004B42C6" w:rsidRDefault="00610E21" w:rsidP="00487ECE">
      <w:pPr>
        <w:widowControl w:val="0"/>
        <w:spacing w:after="0"/>
        <w:rPr>
          <w:rFonts w:ascii="Arial" w:hAnsi="Arial" w:cs="Arial"/>
          <w:sz w:val="20"/>
          <w:szCs w:val="20"/>
        </w:rPr>
      </w:pPr>
      <w:r>
        <w:rPr>
          <w:rFonts w:ascii="Arial" w:hAnsi="Arial"/>
          <w:i/>
          <w:sz w:val="20"/>
          <w:szCs w:val="20"/>
        </w:rPr>
        <w:lastRenderedPageBreak/>
        <w:t xml:space="preserve"> </w:t>
      </w:r>
      <w:r w:rsidR="00287BB2">
        <w:rPr>
          <w:rFonts w:ascii="Arial" w:hAnsi="Arial"/>
          <w:i/>
          <w:sz w:val="20"/>
          <w:szCs w:val="20"/>
        </w:rPr>
        <w:t>“It is noticeable that the market is indeed reviving a little in some cities: In the third quarter alone a total of 6.5 billion euros was spent on real estate in the top 7 cities, some 1.8 billion euros more than in the second quarter. However, restrictions on personal meetings and investors’ ongoing need for increased consultancy are a poor match. Transactions thus take longer to negotiate and there are delays before agreements are finalized - if they are completed at all,”</w:t>
      </w:r>
      <w:r w:rsidR="00287BB2">
        <w:rPr>
          <w:rFonts w:ascii="Arial" w:hAnsi="Arial"/>
          <w:sz w:val="20"/>
          <w:szCs w:val="20"/>
        </w:rPr>
        <w:t xml:space="preserve"> reports </w:t>
      </w:r>
      <w:r w:rsidR="00287BB2">
        <w:rPr>
          <w:rFonts w:ascii="Arial" w:hAnsi="Arial"/>
          <w:b/>
          <w:sz w:val="20"/>
          <w:szCs w:val="20"/>
        </w:rPr>
        <w:t xml:space="preserve">GPP spokesman Oliver </w:t>
      </w:r>
      <w:proofErr w:type="spellStart"/>
      <w:r w:rsidR="00287BB2">
        <w:rPr>
          <w:rFonts w:ascii="Arial" w:hAnsi="Arial"/>
          <w:b/>
          <w:sz w:val="20"/>
          <w:szCs w:val="20"/>
        </w:rPr>
        <w:t>Schön</w:t>
      </w:r>
      <w:proofErr w:type="spellEnd"/>
      <w:r w:rsidR="00287BB2">
        <w:rPr>
          <w:rFonts w:ascii="Arial" w:hAnsi="Arial"/>
          <w:sz w:val="20"/>
          <w:szCs w:val="20"/>
        </w:rPr>
        <w:t>.</w:t>
      </w:r>
    </w:p>
    <w:p w14:paraId="1CC1D6C9" w14:textId="53599849" w:rsidR="00A043D5" w:rsidRDefault="00A043D5" w:rsidP="00487ECE">
      <w:pPr>
        <w:widowControl w:val="0"/>
        <w:spacing w:after="0"/>
        <w:rPr>
          <w:rFonts w:ascii="Arial" w:hAnsi="Arial" w:cs="Arial"/>
          <w:sz w:val="20"/>
          <w:szCs w:val="20"/>
        </w:rPr>
      </w:pPr>
    </w:p>
    <w:p w14:paraId="441E0ACC" w14:textId="11493AC7" w:rsidR="00487ECE" w:rsidRPr="00487ECE" w:rsidRDefault="00F5385D" w:rsidP="00487ECE">
      <w:pPr>
        <w:widowControl w:val="0"/>
        <w:spacing w:after="0"/>
        <w:jc w:val="center"/>
        <w:rPr>
          <w:rFonts w:ascii="Arial" w:hAnsi="Arial" w:cs="Arial"/>
          <w:b/>
          <w:bCs/>
          <w:caps/>
          <w:sz w:val="20"/>
          <w:szCs w:val="20"/>
        </w:rPr>
      </w:pPr>
      <w:r>
        <w:rPr>
          <w:rFonts w:ascii="Arial" w:hAnsi="Arial"/>
          <w:b/>
          <w:bCs/>
          <w:caps/>
          <w:sz w:val="20"/>
          <w:szCs w:val="20"/>
        </w:rPr>
        <w:t xml:space="preserve">RUN ON CORE PROPERTIES CONTINUES </w:t>
      </w:r>
    </w:p>
    <w:p w14:paraId="1FB7C3C1" w14:textId="77777777" w:rsidR="006B7430" w:rsidRDefault="006B7430" w:rsidP="00487ECE">
      <w:pPr>
        <w:widowControl w:val="0"/>
        <w:spacing w:after="0"/>
        <w:rPr>
          <w:rFonts w:ascii="Arial" w:hAnsi="Arial" w:cs="Arial"/>
          <w:sz w:val="20"/>
          <w:szCs w:val="20"/>
        </w:rPr>
      </w:pPr>
    </w:p>
    <w:p w14:paraId="54972A9C" w14:textId="054F449C" w:rsidR="000F1FCB" w:rsidRDefault="00F86BF2" w:rsidP="00487ECE">
      <w:pPr>
        <w:widowControl w:val="0"/>
        <w:spacing w:after="0"/>
        <w:rPr>
          <w:rFonts w:ascii="Arial" w:hAnsi="Arial"/>
          <w:sz w:val="20"/>
          <w:szCs w:val="20"/>
        </w:rPr>
      </w:pPr>
      <w:r>
        <w:rPr>
          <w:rFonts w:ascii="Arial" w:hAnsi="Arial"/>
          <w:sz w:val="20"/>
          <w:szCs w:val="20"/>
        </w:rPr>
        <w:t xml:space="preserve">Investors are finding it increasingly difficult, in view of the economic imponderables, to obtain funding, especially for higher-risk properties in B and C locations. </w:t>
      </w:r>
      <w:r>
        <w:rPr>
          <w:rFonts w:ascii="Arial" w:hAnsi="Arial"/>
          <w:b/>
          <w:sz w:val="20"/>
          <w:szCs w:val="20"/>
        </w:rPr>
        <w:t xml:space="preserve">Oliver </w:t>
      </w:r>
      <w:proofErr w:type="spellStart"/>
      <w:r>
        <w:rPr>
          <w:rFonts w:ascii="Arial" w:hAnsi="Arial"/>
          <w:b/>
          <w:sz w:val="20"/>
          <w:szCs w:val="20"/>
        </w:rPr>
        <w:t>Schön</w:t>
      </w:r>
      <w:proofErr w:type="spellEnd"/>
      <w:r>
        <w:rPr>
          <w:rFonts w:ascii="Arial" w:hAnsi="Arial"/>
          <w:sz w:val="20"/>
          <w:szCs w:val="20"/>
        </w:rPr>
        <w:t xml:space="preserve"> remarks, </w:t>
      </w:r>
      <w:r>
        <w:rPr>
          <w:rFonts w:ascii="Arial" w:hAnsi="Arial"/>
          <w:i/>
          <w:sz w:val="20"/>
          <w:szCs w:val="20"/>
        </w:rPr>
        <w:t>“Core properties are the front runners. Investor demand in the third quarter focussed on top real estate let long-term to credit-worthy tenants.”</w:t>
      </w:r>
      <w:r>
        <w:rPr>
          <w:rFonts w:ascii="Arial" w:hAnsi="Arial"/>
          <w:sz w:val="20"/>
          <w:szCs w:val="20"/>
        </w:rPr>
        <w:t xml:space="preserve"> He adds that this puts additional downwards pressure on the prime yields in the </w:t>
      </w:r>
      <w:proofErr w:type="spellStart"/>
      <w:r>
        <w:rPr>
          <w:rFonts w:ascii="Arial" w:hAnsi="Arial"/>
          <w:sz w:val="20"/>
          <w:szCs w:val="20"/>
        </w:rPr>
        <w:t>the</w:t>
      </w:r>
      <w:proofErr w:type="spellEnd"/>
      <w:r>
        <w:rPr>
          <w:rFonts w:ascii="Arial" w:hAnsi="Arial"/>
          <w:sz w:val="20"/>
          <w:szCs w:val="20"/>
        </w:rPr>
        <w:t xml:space="preserve"> top 7 cities, noting that the 3rd-quarter decline was most pronounced for logistics properties, on which the prime yield dropped to 3.96 % (2019: 4.25 %). Office properties located in the top 7 cities took the lion’s share of trading activity (60 %) whereas hotels, whose business was badly hit by the crisis, were avoided (4 %). Despite the fallout from the coronavirus, sales of retail properties rose from 5 to 9 % of the total. However, the sale of two huge “</w:t>
      </w:r>
      <w:proofErr w:type="spellStart"/>
      <w:r>
        <w:rPr>
          <w:rFonts w:ascii="Arial" w:hAnsi="Arial"/>
          <w:sz w:val="20"/>
          <w:szCs w:val="20"/>
        </w:rPr>
        <w:t>Karstadt</w:t>
      </w:r>
      <w:proofErr w:type="spellEnd"/>
      <w:r>
        <w:rPr>
          <w:rFonts w:ascii="Arial" w:hAnsi="Arial"/>
          <w:sz w:val="20"/>
          <w:szCs w:val="20"/>
        </w:rPr>
        <w:t>” buildings in Hamburg was instrumental in producing this result. Foreign investors continued to trade in the top 7 cities, accounting for 4</w:t>
      </w:r>
      <w:r w:rsidR="00434FA4">
        <w:rPr>
          <w:rFonts w:ascii="Arial" w:hAnsi="Arial"/>
          <w:sz w:val="20"/>
          <w:szCs w:val="20"/>
        </w:rPr>
        <w:t>3</w:t>
      </w:r>
      <w:r>
        <w:rPr>
          <w:rFonts w:ascii="Arial" w:hAnsi="Arial"/>
          <w:sz w:val="20"/>
          <w:szCs w:val="20"/>
        </w:rPr>
        <w:t xml:space="preserve"> % of the total (2019: 43 %), even though travel restrictions made cross-border transactions more difficult.  </w:t>
      </w:r>
    </w:p>
    <w:p w14:paraId="76B90FEE" w14:textId="77777777" w:rsidR="00610E21" w:rsidRDefault="00610E21" w:rsidP="00487ECE">
      <w:pPr>
        <w:widowControl w:val="0"/>
        <w:spacing w:after="0"/>
        <w:rPr>
          <w:rFonts w:ascii="Arial" w:hAnsi="Arial" w:cs="Arial"/>
          <w:sz w:val="20"/>
          <w:szCs w:val="20"/>
        </w:rPr>
      </w:pPr>
    </w:p>
    <w:p w14:paraId="5BB2BD37" w14:textId="646903DB" w:rsidR="00D6747B" w:rsidRPr="00487ECE" w:rsidRDefault="00610E21" w:rsidP="00487ECE">
      <w:pPr>
        <w:widowControl w:val="0"/>
        <w:spacing w:after="0"/>
        <w:jc w:val="center"/>
        <w:rPr>
          <w:rFonts w:ascii="Arial" w:hAnsi="Arial" w:cs="Arial"/>
          <w:b/>
          <w:bCs/>
          <w:caps/>
          <w:sz w:val="20"/>
          <w:szCs w:val="20"/>
        </w:rPr>
      </w:pPr>
      <w:r>
        <w:rPr>
          <w:rFonts w:ascii="Arial" w:hAnsi="Arial"/>
          <w:b/>
          <w:bCs/>
          <w:sz w:val="20"/>
          <w:szCs w:val="20"/>
        </w:rPr>
        <w:t>FORECAST</w:t>
      </w:r>
    </w:p>
    <w:p w14:paraId="0B4A2806" w14:textId="77777777" w:rsidR="00D6747B" w:rsidRDefault="00D6747B" w:rsidP="00487ECE">
      <w:pPr>
        <w:widowControl w:val="0"/>
        <w:spacing w:after="0"/>
        <w:rPr>
          <w:rFonts w:ascii="Arial" w:eastAsiaTheme="minorEastAsia" w:hAnsi="Arial" w:cs="Arial"/>
          <w:sz w:val="20"/>
          <w:szCs w:val="20"/>
          <w:lang w:eastAsia="de-DE"/>
        </w:rPr>
      </w:pPr>
    </w:p>
    <w:bookmarkEnd w:id="1"/>
    <w:bookmarkEnd w:id="4"/>
    <w:p w14:paraId="32FF8DF1" w14:textId="4CE60D07" w:rsidR="0071679E" w:rsidRDefault="00DF6FF7" w:rsidP="0071679E">
      <w:pPr>
        <w:widowControl w:val="0"/>
        <w:spacing w:after="0"/>
        <w:rPr>
          <w:rFonts w:ascii="Arial" w:hAnsi="Arial" w:cs="Arial"/>
          <w:sz w:val="20"/>
          <w:szCs w:val="20"/>
        </w:rPr>
      </w:pPr>
      <w:r>
        <w:rPr>
          <w:rFonts w:ascii="Arial" w:hAnsi="Arial"/>
          <w:b/>
          <w:bCs/>
          <w:sz w:val="20"/>
          <w:szCs w:val="20"/>
        </w:rPr>
        <w:t xml:space="preserve">Oliver </w:t>
      </w:r>
      <w:proofErr w:type="spellStart"/>
      <w:r>
        <w:rPr>
          <w:rFonts w:ascii="Arial" w:hAnsi="Arial"/>
          <w:b/>
          <w:bCs/>
          <w:sz w:val="20"/>
          <w:szCs w:val="20"/>
        </w:rPr>
        <w:t>Schön</w:t>
      </w:r>
      <w:proofErr w:type="spellEnd"/>
      <w:r>
        <w:rPr>
          <w:rFonts w:ascii="Arial" w:hAnsi="Arial"/>
          <w:sz w:val="20"/>
          <w:szCs w:val="20"/>
        </w:rPr>
        <w:t xml:space="preserve"> says, </w:t>
      </w:r>
      <w:r>
        <w:rPr>
          <w:rFonts w:ascii="Arial" w:hAnsi="Arial"/>
          <w:i/>
          <w:sz w:val="20"/>
          <w:szCs w:val="20"/>
        </w:rPr>
        <w:t>“Cash needs to be invested. Pent-up investor demand and the low interest rates are likely to boost market activities in the top 7 cities by the end of the year, although interest will concentrate on low-risk types of real estate. There is currently no appetite for higher risk assets. Because there is great demand for a limited supply of core properties, no price reductions are to be expected.”</w:t>
      </w:r>
      <w:r w:rsidR="00034103">
        <w:rPr>
          <w:rFonts w:ascii="Arial" w:hAnsi="Arial"/>
          <w:sz w:val="20"/>
          <w:szCs w:val="20"/>
        </w:rPr>
        <w:t xml:space="preserve"> </w:t>
      </w:r>
      <w:r>
        <w:rPr>
          <w:rFonts w:ascii="Arial" w:hAnsi="Arial"/>
          <w:sz w:val="20"/>
          <w:szCs w:val="20"/>
        </w:rPr>
        <w:t>GPP forecasts a volume of transactions totalling some €27.60bn by the end of the 4th quarter - well below the five-year average of €33.12bn.</w:t>
      </w:r>
      <w:r>
        <w:rPr>
          <w:rFonts w:ascii="Arial" w:hAnsi="Arial"/>
          <w:sz w:val="20"/>
          <w:szCs w:val="20"/>
        </w:rPr>
        <w:br/>
        <w:t xml:space="preserve">  </w:t>
      </w:r>
      <w:r>
        <w:rPr>
          <w:rFonts w:ascii="Arial" w:hAnsi="Arial"/>
          <w:sz w:val="20"/>
          <w:szCs w:val="20"/>
        </w:rPr>
        <w:br/>
      </w:r>
    </w:p>
    <w:p w14:paraId="143EE438" w14:textId="36D2CCF0" w:rsidR="006A0566" w:rsidRDefault="006A0566" w:rsidP="006A0566">
      <w:pPr>
        <w:spacing w:after="0" w:line="240" w:lineRule="auto"/>
        <w:jc w:val="both"/>
        <w:rPr>
          <w:rFonts w:ascii="Arial" w:hAnsi="Arial" w:cs="Arial"/>
          <w:b/>
          <w:sz w:val="20"/>
          <w:szCs w:val="20"/>
        </w:rPr>
      </w:pPr>
      <w:r>
        <w:rPr>
          <w:rFonts w:ascii="Arial" w:hAnsi="Arial"/>
          <w:b/>
          <w:sz w:val="20"/>
          <w:szCs w:val="20"/>
        </w:rPr>
        <w:t>Top 10 known agreements | top 7 locations | 1st-3rd quarters of 2020</w:t>
      </w:r>
    </w:p>
    <w:tbl>
      <w:tblPr>
        <w:tblStyle w:val="TableGrid1"/>
        <w:tblW w:w="9231" w:type="dxa"/>
        <w:tblLayout w:type="fixed"/>
        <w:tblLook w:val="04A0" w:firstRow="1" w:lastRow="0" w:firstColumn="1" w:lastColumn="0" w:noHBand="0" w:noVBand="1"/>
      </w:tblPr>
      <w:tblGrid>
        <w:gridCol w:w="687"/>
        <w:gridCol w:w="2682"/>
        <w:gridCol w:w="2658"/>
        <w:gridCol w:w="2309"/>
        <w:gridCol w:w="895"/>
      </w:tblGrid>
      <w:tr w:rsidR="006A0566" w:rsidRPr="006F49D0" w14:paraId="39E8140D" w14:textId="77777777" w:rsidTr="00D93985">
        <w:trPr>
          <w:trHeight w:val="552"/>
        </w:trPr>
        <w:tc>
          <w:tcPr>
            <w:tcW w:w="687" w:type="dxa"/>
            <w:shd w:val="clear" w:color="auto" w:fill="auto"/>
            <w:vAlign w:val="center"/>
          </w:tcPr>
          <w:p w14:paraId="4BC5FD6D"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City</w:t>
            </w:r>
          </w:p>
        </w:tc>
        <w:tc>
          <w:tcPr>
            <w:tcW w:w="2682" w:type="dxa"/>
            <w:shd w:val="clear" w:color="auto" w:fill="auto"/>
            <w:vAlign w:val="center"/>
          </w:tcPr>
          <w:p w14:paraId="05982A93"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Project/property</w:t>
            </w:r>
          </w:p>
        </w:tc>
        <w:tc>
          <w:tcPr>
            <w:tcW w:w="2658" w:type="dxa"/>
            <w:shd w:val="clear" w:color="auto" w:fill="auto"/>
            <w:vAlign w:val="center"/>
          </w:tcPr>
          <w:p w14:paraId="39A5F310"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Buyer/investor</w:t>
            </w:r>
          </w:p>
        </w:tc>
        <w:tc>
          <w:tcPr>
            <w:tcW w:w="2309" w:type="dxa"/>
            <w:shd w:val="clear" w:color="auto" w:fill="auto"/>
            <w:vAlign w:val="center"/>
          </w:tcPr>
          <w:p w14:paraId="2E6A865A"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Vendor</w:t>
            </w:r>
          </w:p>
        </w:tc>
        <w:tc>
          <w:tcPr>
            <w:tcW w:w="895" w:type="dxa"/>
            <w:shd w:val="clear" w:color="auto" w:fill="auto"/>
            <w:vAlign w:val="center"/>
          </w:tcPr>
          <w:p w14:paraId="47B106DB" w14:textId="77777777" w:rsidR="006A0566" w:rsidRPr="006F49D0" w:rsidRDefault="006A0566" w:rsidP="00CB4698">
            <w:pPr>
              <w:widowControl w:val="0"/>
              <w:jc w:val="center"/>
              <w:rPr>
                <w:rFonts w:ascii="Arial" w:hAnsi="Arial" w:cs="Arial"/>
                <w:b/>
                <w:sz w:val="16"/>
                <w:szCs w:val="16"/>
              </w:rPr>
            </w:pPr>
            <w:proofErr w:type="spellStart"/>
            <w:r>
              <w:rPr>
                <w:rFonts w:ascii="Arial" w:hAnsi="Arial"/>
                <w:b/>
                <w:sz w:val="16"/>
                <w:szCs w:val="16"/>
              </w:rPr>
              <w:t>Pur</w:t>
            </w:r>
            <w:proofErr w:type="spellEnd"/>
            <w:r>
              <w:rPr>
                <w:rFonts w:ascii="Arial" w:hAnsi="Arial"/>
                <w:b/>
                <w:sz w:val="16"/>
                <w:szCs w:val="16"/>
              </w:rPr>
              <w:t>. price*</w:t>
            </w:r>
          </w:p>
          <w:p w14:paraId="6D60E96E" w14:textId="77777777" w:rsidR="006A0566" w:rsidRPr="006F49D0" w:rsidRDefault="006A0566" w:rsidP="00CB4698">
            <w:pPr>
              <w:widowControl w:val="0"/>
              <w:jc w:val="center"/>
              <w:rPr>
                <w:rFonts w:ascii="Arial" w:hAnsi="Arial" w:cs="Arial"/>
                <w:b/>
                <w:sz w:val="16"/>
                <w:szCs w:val="16"/>
              </w:rPr>
            </w:pPr>
            <w:r>
              <w:rPr>
                <w:rFonts w:ascii="Arial" w:hAnsi="Arial"/>
                <w:sz w:val="16"/>
                <w:szCs w:val="16"/>
              </w:rPr>
              <w:t>(about €m)</w:t>
            </w:r>
          </w:p>
        </w:tc>
      </w:tr>
      <w:tr w:rsidR="006A0566" w:rsidRPr="00C90B69" w14:paraId="7E130A63" w14:textId="77777777" w:rsidTr="00D93985">
        <w:trPr>
          <w:trHeight w:val="552"/>
        </w:trPr>
        <w:tc>
          <w:tcPr>
            <w:tcW w:w="687" w:type="dxa"/>
            <w:shd w:val="clear" w:color="auto" w:fill="auto"/>
            <w:vAlign w:val="center"/>
          </w:tcPr>
          <w:p w14:paraId="17561091" w14:textId="7464A193" w:rsidR="006A0566" w:rsidRPr="00C90B69" w:rsidRDefault="00D65F25" w:rsidP="00CB4698">
            <w:pPr>
              <w:widowControl w:val="0"/>
              <w:jc w:val="center"/>
              <w:rPr>
                <w:rFonts w:ascii="Arial" w:hAnsi="Arial" w:cs="Arial"/>
                <w:bCs/>
                <w:sz w:val="16"/>
                <w:szCs w:val="16"/>
              </w:rPr>
            </w:pPr>
            <w:r>
              <w:rPr>
                <w:rFonts w:ascii="Arial" w:hAnsi="Arial"/>
                <w:bCs/>
                <w:sz w:val="16"/>
                <w:szCs w:val="16"/>
              </w:rPr>
              <w:t>HAM</w:t>
            </w:r>
          </w:p>
        </w:tc>
        <w:tc>
          <w:tcPr>
            <w:tcW w:w="2682" w:type="dxa"/>
            <w:shd w:val="clear" w:color="auto" w:fill="auto"/>
            <w:vAlign w:val="center"/>
          </w:tcPr>
          <w:p w14:paraId="5BC635FC" w14:textId="77777777" w:rsidR="006A0566" w:rsidRPr="00C90B69" w:rsidRDefault="006A0566" w:rsidP="00CB4698">
            <w:pPr>
              <w:widowControl w:val="0"/>
              <w:jc w:val="center"/>
              <w:rPr>
                <w:rFonts w:ascii="Arial" w:hAnsi="Arial" w:cs="Arial"/>
                <w:bCs/>
                <w:sz w:val="16"/>
                <w:szCs w:val="16"/>
              </w:rPr>
            </w:pPr>
            <w:r>
              <w:rPr>
                <w:rFonts w:ascii="Arial" w:hAnsi="Arial"/>
                <w:bCs/>
                <w:sz w:val="16"/>
                <w:szCs w:val="16"/>
              </w:rPr>
              <w:t xml:space="preserve">“Johann </w:t>
            </w:r>
            <w:proofErr w:type="spellStart"/>
            <w:r>
              <w:rPr>
                <w:rFonts w:ascii="Arial" w:hAnsi="Arial"/>
                <w:bCs/>
                <w:sz w:val="16"/>
                <w:szCs w:val="16"/>
              </w:rPr>
              <w:t>Kontor</w:t>
            </w:r>
            <w:proofErr w:type="spellEnd"/>
            <w:r>
              <w:rPr>
                <w:rFonts w:ascii="Arial" w:hAnsi="Arial"/>
                <w:bCs/>
                <w:sz w:val="16"/>
                <w:szCs w:val="16"/>
              </w:rPr>
              <w:t xml:space="preserve">”, </w:t>
            </w:r>
            <w:proofErr w:type="spellStart"/>
            <w:r>
              <w:rPr>
                <w:rFonts w:ascii="Arial" w:hAnsi="Arial"/>
                <w:bCs/>
                <w:sz w:val="16"/>
                <w:szCs w:val="16"/>
              </w:rPr>
              <w:t>Klosterwall</w:t>
            </w:r>
            <w:proofErr w:type="spellEnd"/>
            <w:r>
              <w:rPr>
                <w:rFonts w:ascii="Arial" w:hAnsi="Arial"/>
                <w:bCs/>
                <w:sz w:val="16"/>
                <w:szCs w:val="16"/>
              </w:rPr>
              <w:t xml:space="preserve"> 6-8</w:t>
            </w:r>
          </w:p>
        </w:tc>
        <w:tc>
          <w:tcPr>
            <w:tcW w:w="2658" w:type="dxa"/>
            <w:shd w:val="clear" w:color="auto" w:fill="auto"/>
            <w:vAlign w:val="center"/>
          </w:tcPr>
          <w:p w14:paraId="5E11DDEF" w14:textId="77777777" w:rsidR="006A0566" w:rsidRPr="0089570C" w:rsidRDefault="006A0566" w:rsidP="00CB4698">
            <w:pPr>
              <w:widowControl w:val="0"/>
              <w:jc w:val="center"/>
              <w:rPr>
                <w:rFonts w:ascii="Arial" w:hAnsi="Arial" w:cs="Arial"/>
                <w:bCs/>
                <w:sz w:val="16"/>
                <w:szCs w:val="16"/>
              </w:rPr>
            </w:pPr>
            <w:r>
              <w:rPr>
                <w:rFonts w:ascii="Arial" w:hAnsi="Arial"/>
                <w:bCs/>
                <w:sz w:val="16"/>
                <w:szCs w:val="16"/>
              </w:rPr>
              <w:t>Captiva/</w:t>
            </w:r>
            <w:proofErr w:type="spellStart"/>
            <w:r>
              <w:rPr>
                <w:rFonts w:ascii="Arial" w:hAnsi="Arial"/>
                <w:bCs/>
                <w:sz w:val="16"/>
                <w:szCs w:val="16"/>
              </w:rPr>
              <w:t>HanseMerkur</w:t>
            </w:r>
            <w:proofErr w:type="spellEnd"/>
            <w:r>
              <w:rPr>
                <w:rFonts w:ascii="Arial" w:hAnsi="Arial"/>
                <w:bCs/>
                <w:sz w:val="16"/>
                <w:szCs w:val="16"/>
              </w:rPr>
              <w:t xml:space="preserve">/Aug. </w:t>
            </w:r>
            <w:proofErr w:type="spellStart"/>
            <w:r>
              <w:rPr>
                <w:rFonts w:ascii="Arial" w:hAnsi="Arial"/>
                <w:bCs/>
                <w:sz w:val="16"/>
                <w:szCs w:val="16"/>
              </w:rPr>
              <w:t>Prien</w:t>
            </w:r>
            <w:proofErr w:type="spellEnd"/>
            <w:r>
              <w:rPr>
                <w:rFonts w:ascii="Arial" w:hAnsi="Arial"/>
                <w:bCs/>
                <w:sz w:val="16"/>
                <w:szCs w:val="16"/>
              </w:rPr>
              <w:t xml:space="preserve"> Family Office</w:t>
            </w:r>
          </w:p>
        </w:tc>
        <w:tc>
          <w:tcPr>
            <w:tcW w:w="2309" w:type="dxa"/>
            <w:shd w:val="clear" w:color="auto" w:fill="auto"/>
            <w:vAlign w:val="center"/>
          </w:tcPr>
          <w:p w14:paraId="6E7C0E69" w14:textId="77777777" w:rsidR="006A0566" w:rsidRPr="00C90B69" w:rsidRDefault="006A0566" w:rsidP="00CB4698">
            <w:pPr>
              <w:widowControl w:val="0"/>
              <w:jc w:val="center"/>
              <w:rPr>
                <w:rFonts w:ascii="Arial" w:hAnsi="Arial" w:cs="Arial"/>
                <w:bCs/>
                <w:sz w:val="16"/>
                <w:szCs w:val="16"/>
              </w:rPr>
            </w:pPr>
            <w:r>
              <w:rPr>
                <w:rFonts w:ascii="Arial" w:hAnsi="Arial"/>
                <w:bCs/>
                <w:sz w:val="16"/>
                <w:szCs w:val="16"/>
              </w:rPr>
              <w:t xml:space="preserve">Aug. </w:t>
            </w:r>
            <w:proofErr w:type="spellStart"/>
            <w:r>
              <w:rPr>
                <w:rFonts w:ascii="Arial" w:hAnsi="Arial"/>
                <w:bCs/>
                <w:sz w:val="16"/>
                <w:szCs w:val="16"/>
              </w:rPr>
              <w:t>Prien</w:t>
            </w:r>
            <w:proofErr w:type="spellEnd"/>
          </w:p>
        </w:tc>
        <w:tc>
          <w:tcPr>
            <w:tcW w:w="895" w:type="dxa"/>
            <w:shd w:val="clear" w:color="auto" w:fill="auto"/>
            <w:vAlign w:val="center"/>
          </w:tcPr>
          <w:p w14:paraId="2841C443" w14:textId="77777777" w:rsidR="006A0566" w:rsidRPr="00C90B69" w:rsidRDefault="006A0566" w:rsidP="00CB4698">
            <w:pPr>
              <w:widowControl w:val="0"/>
              <w:jc w:val="center"/>
              <w:rPr>
                <w:rFonts w:ascii="Arial" w:hAnsi="Arial" w:cs="Arial"/>
                <w:bCs/>
                <w:sz w:val="16"/>
                <w:szCs w:val="16"/>
              </w:rPr>
            </w:pPr>
            <w:r>
              <w:rPr>
                <w:rFonts w:ascii="Arial" w:hAnsi="Arial"/>
                <w:bCs/>
                <w:sz w:val="16"/>
                <w:szCs w:val="16"/>
              </w:rPr>
              <w:t>&gt; 300</w:t>
            </w:r>
          </w:p>
        </w:tc>
      </w:tr>
      <w:tr w:rsidR="009C1812" w:rsidRPr="00C90B69" w14:paraId="6847279F" w14:textId="77777777" w:rsidTr="00D93985">
        <w:trPr>
          <w:trHeight w:val="552"/>
        </w:trPr>
        <w:tc>
          <w:tcPr>
            <w:tcW w:w="687" w:type="dxa"/>
            <w:shd w:val="clear" w:color="auto" w:fill="D9D9D9" w:themeFill="background1" w:themeFillShade="D9"/>
            <w:vAlign w:val="center"/>
          </w:tcPr>
          <w:p w14:paraId="0E52DE7F" w14:textId="5602DE65" w:rsidR="009C1812" w:rsidRDefault="00D65F25" w:rsidP="00CB4698">
            <w:pPr>
              <w:widowControl w:val="0"/>
              <w:jc w:val="center"/>
              <w:rPr>
                <w:rFonts w:ascii="Arial" w:hAnsi="Arial" w:cs="Arial"/>
                <w:bCs/>
                <w:sz w:val="16"/>
                <w:szCs w:val="16"/>
              </w:rPr>
            </w:pPr>
            <w:r>
              <w:rPr>
                <w:rFonts w:ascii="Arial" w:hAnsi="Arial"/>
                <w:bCs/>
                <w:sz w:val="16"/>
                <w:szCs w:val="16"/>
              </w:rPr>
              <w:t>HAM</w:t>
            </w:r>
          </w:p>
        </w:tc>
        <w:tc>
          <w:tcPr>
            <w:tcW w:w="2682" w:type="dxa"/>
            <w:shd w:val="clear" w:color="auto" w:fill="D9D9D9" w:themeFill="background1" w:themeFillShade="D9"/>
            <w:vAlign w:val="center"/>
          </w:tcPr>
          <w:p w14:paraId="28DE483C" w14:textId="77777777" w:rsidR="009C1812" w:rsidRPr="009C1812" w:rsidRDefault="009C1812" w:rsidP="009C1812">
            <w:pPr>
              <w:widowControl w:val="0"/>
              <w:jc w:val="center"/>
              <w:rPr>
                <w:rFonts w:ascii="Arial" w:hAnsi="Arial" w:cs="Arial"/>
                <w:bCs/>
                <w:sz w:val="16"/>
                <w:szCs w:val="16"/>
              </w:rPr>
            </w:pPr>
            <w:proofErr w:type="spellStart"/>
            <w:r>
              <w:rPr>
                <w:rFonts w:ascii="Arial" w:hAnsi="Arial"/>
                <w:bCs/>
                <w:sz w:val="16"/>
                <w:szCs w:val="16"/>
              </w:rPr>
              <w:t>Gruner+Jahr</w:t>
            </w:r>
            <w:proofErr w:type="spellEnd"/>
            <w:r>
              <w:rPr>
                <w:rFonts w:ascii="Arial" w:hAnsi="Arial"/>
                <w:bCs/>
                <w:sz w:val="16"/>
                <w:szCs w:val="16"/>
              </w:rPr>
              <w:t xml:space="preserve"> publishing house</w:t>
            </w:r>
          </w:p>
          <w:p w14:paraId="1C2E7133" w14:textId="7285DE84" w:rsidR="009C1812" w:rsidRDefault="009C1812" w:rsidP="009C1812">
            <w:pPr>
              <w:widowControl w:val="0"/>
              <w:jc w:val="center"/>
              <w:rPr>
                <w:rFonts w:ascii="Arial" w:hAnsi="Arial" w:cs="Arial"/>
                <w:bCs/>
                <w:sz w:val="16"/>
                <w:szCs w:val="16"/>
              </w:rPr>
            </w:pPr>
            <w:r>
              <w:rPr>
                <w:rFonts w:ascii="Arial" w:hAnsi="Arial"/>
                <w:bCs/>
                <w:sz w:val="16"/>
                <w:szCs w:val="16"/>
              </w:rPr>
              <w:t xml:space="preserve">Am </w:t>
            </w:r>
            <w:proofErr w:type="spellStart"/>
            <w:r>
              <w:rPr>
                <w:rFonts w:ascii="Arial" w:hAnsi="Arial"/>
                <w:bCs/>
                <w:sz w:val="16"/>
                <w:szCs w:val="16"/>
              </w:rPr>
              <w:t>Baumwall</w:t>
            </w:r>
            <w:proofErr w:type="spellEnd"/>
            <w:r>
              <w:rPr>
                <w:rFonts w:ascii="Arial" w:hAnsi="Arial"/>
                <w:bCs/>
                <w:sz w:val="16"/>
                <w:szCs w:val="16"/>
              </w:rPr>
              <w:t xml:space="preserve"> 11</w:t>
            </w:r>
          </w:p>
        </w:tc>
        <w:tc>
          <w:tcPr>
            <w:tcW w:w="2658" w:type="dxa"/>
            <w:shd w:val="clear" w:color="auto" w:fill="D9D9D9" w:themeFill="background1" w:themeFillShade="D9"/>
            <w:vAlign w:val="center"/>
          </w:tcPr>
          <w:p w14:paraId="3CB97ACF" w14:textId="12820EEF" w:rsidR="009C1812" w:rsidRDefault="009C1812" w:rsidP="00CB4698">
            <w:pPr>
              <w:widowControl w:val="0"/>
              <w:jc w:val="center"/>
              <w:rPr>
                <w:rFonts w:ascii="Arial" w:hAnsi="Arial" w:cs="Arial"/>
                <w:bCs/>
                <w:sz w:val="16"/>
                <w:szCs w:val="16"/>
              </w:rPr>
            </w:pPr>
            <w:proofErr w:type="spellStart"/>
            <w:r>
              <w:rPr>
                <w:rFonts w:ascii="Arial" w:hAnsi="Arial"/>
                <w:bCs/>
                <w:sz w:val="16"/>
                <w:szCs w:val="16"/>
              </w:rPr>
              <w:t>Tishman</w:t>
            </w:r>
            <w:proofErr w:type="spellEnd"/>
            <w:r>
              <w:rPr>
                <w:rFonts w:ascii="Arial" w:hAnsi="Arial"/>
                <w:bCs/>
                <w:sz w:val="16"/>
                <w:szCs w:val="16"/>
              </w:rPr>
              <w:t xml:space="preserve"> Speyer</w:t>
            </w:r>
          </w:p>
        </w:tc>
        <w:tc>
          <w:tcPr>
            <w:tcW w:w="2309" w:type="dxa"/>
            <w:shd w:val="clear" w:color="auto" w:fill="D9D9D9" w:themeFill="background1" w:themeFillShade="D9"/>
            <w:vAlign w:val="center"/>
          </w:tcPr>
          <w:p w14:paraId="32A92367" w14:textId="66323443" w:rsidR="009C1812" w:rsidRDefault="009C1812" w:rsidP="00CB4698">
            <w:pPr>
              <w:widowControl w:val="0"/>
              <w:jc w:val="center"/>
              <w:rPr>
                <w:rFonts w:ascii="Arial" w:hAnsi="Arial" w:cs="Arial"/>
                <w:bCs/>
                <w:sz w:val="16"/>
                <w:szCs w:val="16"/>
              </w:rPr>
            </w:pPr>
            <w:proofErr w:type="spellStart"/>
            <w:r>
              <w:rPr>
                <w:rFonts w:ascii="Arial" w:hAnsi="Arial"/>
                <w:bCs/>
                <w:sz w:val="16"/>
                <w:szCs w:val="16"/>
              </w:rPr>
              <w:t>Gruner</w:t>
            </w:r>
            <w:proofErr w:type="spellEnd"/>
            <w:r>
              <w:rPr>
                <w:rFonts w:ascii="Arial" w:hAnsi="Arial"/>
                <w:bCs/>
                <w:sz w:val="16"/>
                <w:szCs w:val="16"/>
              </w:rPr>
              <w:t xml:space="preserve"> + </w:t>
            </w:r>
            <w:proofErr w:type="spellStart"/>
            <w:r>
              <w:rPr>
                <w:rFonts w:ascii="Arial" w:hAnsi="Arial"/>
                <w:bCs/>
                <w:sz w:val="16"/>
                <w:szCs w:val="16"/>
              </w:rPr>
              <w:t>Jahr</w:t>
            </w:r>
            <w:proofErr w:type="spellEnd"/>
          </w:p>
        </w:tc>
        <w:tc>
          <w:tcPr>
            <w:tcW w:w="895" w:type="dxa"/>
            <w:shd w:val="clear" w:color="auto" w:fill="D9D9D9" w:themeFill="background1" w:themeFillShade="D9"/>
            <w:vAlign w:val="center"/>
          </w:tcPr>
          <w:p w14:paraId="1DBFF5D8" w14:textId="0F662F58" w:rsidR="009C1812" w:rsidRDefault="009C1812" w:rsidP="00CB4698">
            <w:pPr>
              <w:widowControl w:val="0"/>
              <w:jc w:val="center"/>
              <w:rPr>
                <w:rFonts w:ascii="Arial" w:hAnsi="Arial" w:cs="Arial"/>
                <w:bCs/>
                <w:sz w:val="16"/>
                <w:szCs w:val="16"/>
              </w:rPr>
            </w:pPr>
            <w:r>
              <w:rPr>
                <w:rFonts w:ascii="Arial" w:hAnsi="Arial"/>
                <w:bCs/>
                <w:sz w:val="16"/>
                <w:szCs w:val="16"/>
              </w:rPr>
              <w:t>300</w:t>
            </w:r>
          </w:p>
        </w:tc>
      </w:tr>
      <w:tr w:rsidR="00766B7C" w:rsidRPr="00C90B69" w14:paraId="514EB9BF" w14:textId="77777777" w:rsidTr="00766B7C">
        <w:trPr>
          <w:trHeight w:val="552"/>
        </w:trPr>
        <w:tc>
          <w:tcPr>
            <w:tcW w:w="687" w:type="dxa"/>
            <w:shd w:val="clear" w:color="auto" w:fill="D9D9D9" w:themeFill="background1" w:themeFillShade="D9"/>
            <w:vAlign w:val="center"/>
          </w:tcPr>
          <w:p w14:paraId="07286BA8" w14:textId="3CB91980" w:rsidR="00766B7C" w:rsidRDefault="00766B7C" w:rsidP="00CB4698">
            <w:pPr>
              <w:widowControl w:val="0"/>
              <w:jc w:val="center"/>
              <w:rPr>
                <w:rFonts w:ascii="Arial" w:hAnsi="Arial" w:cs="Arial"/>
                <w:bCs/>
                <w:sz w:val="16"/>
                <w:szCs w:val="16"/>
              </w:rPr>
            </w:pPr>
            <w:r>
              <w:rPr>
                <w:rFonts w:ascii="Arial" w:hAnsi="Arial"/>
                <w:bCs/>
                <w:sz w:val="16"/>
                <w:szCs w:val="16"/>
              </w:rPr>
              <w:t>MUC</w:t>
            </w:r>
          </w:p>
        </w:tc>
        <w:tc>
          <w:tcPr>
            <w:tcW w:w="2682" w:type="dxa"/>
            <w:shd w:val="clear" w:color="auto" w:fill="D9D9D9" w:themeFill="background1" w:themeFillShade="D9"/>
            <w:vAlign w:val="center"/>
          </w:tcPr>
          <w:p w14:paraId="34B6D024" w14:textId="2FF9DF2B" w:rsidR="00766B7C" w:rsidRDefault="00766B7C" w:rsidP="00D93985">
            <w:pPr>
              <w:widowControl w:val="0"/>
              <w:jc w:val="center"/>
              <w:rPr>
                <w:rFonts w:ascii="Arial" w:hAnsi="Arial" w:cs="Arial"/>
                <w:bCs/>
                <w:sz w:val="16"/>
                <w:szCs w:val="16"/>
              </w:rPr>
            </w:pPr>
            <w:r>
              <w:rPr>
                <w:rFonts w:ascii="Arial" w:hAnsi="Arial"/>
                <w:bCs/>
                <w:sz w:val="16"/>
                <w:szCs w:val="16"/>
              </w:rPr>
              <w:t>"</w:t>
            </w:r>
            <w:proofErr w:type="spellStart"/>
            <w:r>
              <w:rPr>
                <w:rFonts w:ascii="Arial" w:hAnsi="Arial"/>
                <w:bCs/>
                <w:sz w:val="16"/>
                <w:szCs w:val="16"/>
              </w:rPr>
              <w:t>Weisses</w:t>
            </w:r>
            <w:proofErr w:type="spellEnd"/>
            <w:r>
              <w:rPr>
                <w:rFonts w:ascii="Arial" w:hAnsi="Arial"/>
                <w:bCs/>
                <w:sz w:val="16"/>
                <w:szCs w:val="16"/>
              </w:rPr>
              <w:t xml:space="preserve"> Quartier", St.-Martin-</w:t>
            </w:r>
            <w:proofErr w:type="spellStart"/>
            <w:r>
              <w:rPr>
                <w:rFonts w:ascii="Arial" w:hAnsi="Arial"/>
                <w:bCs/>
                <w:sz w:val="16"/>
                <w:szCs w:val="16"/>
              </w:rPr>
              <w:t>Strasse</w:t>
            </w:r>
            <w:proofErr w:type="spellEnd"/>
          </w:p>
        </w:tc>
        <w:tc>
          <w:tcPr>
            <w:tcW w:w="2658" w:type="dxa"/>
            <w:shd w:val="clear" w:color="auto" w:fill="D9D9D9" w:themeFill="background1" w:themeFillShade="D9"/>
            <w:vAlign w:val="center"/>
          </w:tcPr>
          <w:p w14:paraId="645BD330" w14:textId="43C58B85" w:rsidR="00766B7C" w:rsidRDefault="00766B7C" w:rsidP="00D93985">
            <w:pPr>
              <w:widowControl w:val="0"/>
              <w:jc w:val="center"/>
              <w:rPr>
                <w:rFonts w:ascii="Arial" w:hAnsi="Arial" w:cs="Arial"/>
                <w:bCs/>
                <w:sz w:val="16"/>
                <w:szCs w:val="16"/>
              </w:rPr>
            </w:pPr>
            <w:proofErr w:type="spellStart"/>
            <w:r>
              <w:rPr>
                <w:rFonts w:ascii="Arial" w:hAnsi="Arial"/>
                <w:bCs/>
                <w:sz w:val="16"/>
                <w:szCs w:val="16"/>
              </w:rPr>
              <w:t>Deka</w:t>
            </w:r>
            <w:proofErr w:type="spellEnd"/>
            <w:r>
              <w:rPr>
                <w:rFonts w:ascii="Arial" w:hAnsi="Arial"/>
                <w:bCs/>
                <w:sz w:val="16"/>
                <w:szCs w:val="16"/>
              </w:rPr>
              <w:t xml:space="preserve"> </w:t>
            </w:r>
            <w:proofErr w:type="spellStart"/>
            <w:r>
              <w:rPr>
                <w:rFonts w:ascii="Arial" w:hAnsi="Arial"/>
                <w:bCs/>
                <w:sz w:val="16"/>
                <w:szCs w:val="16"/>
              </w:rPr>
              <w:t>Immobilien</w:t>
            </w:r>
            <w:proofErr w:type="spellEnd"/>
          </w:p>
        </w:tc>
        <w:tc>
          <w:tcPr>
            <w:tcW w:w="2309" w:type="dxa"/>
            <w:shd w:val="clear" w:color="auto" w:fill="D9D9D9" w:themeFill="background1" w:themeFillShade="D9"/>
            <w:vAlign w:val="center"/>
          </w:tcPr>
          <w:p w14:paraId="31C1B7AC" w14:textId="6799BC40" w:rsidR="00766B7C" w:rsidRDefault="00766B7C" w:rsidP="00D93985">
            <w:pPr>
              <w:widowControl w:val="0"/>
              <w:jc w:val="center"/>
              <w:rPr>
                <w:rFonts w:ascii="Arial" w:hAnsi="Arial" w:cs="Arial"/>
                <w:bCs/>
                <w:sz w:val="16"/>
                <w:szCs w:val="16"/>
              </w:rPr>
            </w:pPr>
            <w:proofErr w:type="spellStart"/>
            <w:r>
              <w:rPr>
                <w:rFonts w:ascii="Arial" w:hAnsi="Arial"/>
                <w:bCs/>
                <w:sz w:val="16"/>
                <w:szCs w:val="16"/>
              </w:rPr>
              <w:t>InfraRed</w:t>
            </w:r>
            <w:proofErr w:type="spellEnd"/>
            <w:r>
              <w:rPr>
                <w:rFonts w:ascii="Arial" w:hAnsi="Arial"/>
                <w:bCs/>
                <w:sz w:val="16"/>
                <w:szCs w:val="16"/>
              </w:rPr>
              <w:t xml:space="preserve"> Capital Partners, </w:t>
            </w:r>
            <w:proofErr w:type="spellStart"/>
            <w:r>
              <w:rPr>
                <w:rFonts w:ascii="Arial" w:hAnsi="Arial"/>
                <w:bCs/>
                <w:sz w:val="16"/>
                <w:szCs w:val="16"/>
              </w:rPr>
              <w:t>Allgemeine</w:t>
            </w:r>
            <w:proofErr w:type="spellEnd"/>
            <w:r>
              <w:rPr>
                <w:rFonts w:ascii="Arial" w:hAnsi="Arial"/>
                <w:bCs/>
                <w:sz w:val="16"/>
                <w:szCs w:val="16"/>
              </w:rPr>
              <w:t xml:space="preserve"> </w:t>
            </w:r>
            <w:proofErr w:type="spellStart"/>
            <w:r>
              <w:rPr>
                <w:rFonts w:ascii="Arial" w:hAnsi="Arial"/>
                <w:bCs/>
                <w:sz w:val="16"/>
                <w:szCs w:val="16"/>
              </w:rPr>
              <w:t>Südboden</w:t>
            </w:r>
            <w:proofErr w:type="spellEnd"/>
          </w:p>
        </w:tc>
        <w:tc>
          <w:tcPr>
            <w:tcW w:w="895" w:type="dxa"/>
            <w:shd w:val="clear" w:color="auto" w:fill="D9D9D9" w:themeFill="background1" w:themeFillShade="D9"/>
            <w:vAlign w:val="center"/>
          </w:tcPr>
          <w:p w14:paraId="6FB01627" w14:textId="169553D9" w:rsidR="00766B7C" w:rsidRDefault="00766B7C" w:rsidP="00D93985">
            <w:pPr>
              <w:widowControl w:val="0"/>
              <w:jc w:val="center"/>
              <w:rPr>
                <w:rFonts w:ascii="Arial" w:hAnsi="Arial" w:cs="Arial"/>
                <w:bCs/>
                <w:sz w:val="16"/>
                <w:szCs w:val="16"/>
              </w:rPr>
            </w:pPr>
            <w:r>
              <w:rPr>
                <w:rFonts w:ascii="Arial" w:hAnsi="Arial"/>
                <w:bCs/>
                <w:sz w:val="16"/>
                <w:szCs w:val="16"/>
              </w:rPr>
              <w:t>280</w:t>
            </w:r>
          </w:p>
        </w:tc>
      </w:tr>
      <w:tr w:rsidR="006A0566" w:rsidRPr="00C90B69" w14:paraId="4D9636ED" w14:textId="77777777" w:rsidTr="00D93985">
        <w:trPr>
          <w:trHeight w:val="552"/>
        </w:trPr>
        <w:tc>
          <w:tcPr>
            <w:tcW w:w="687" w:type="dxa"/>
            <w:shd w:val="clear" w:color="auto" w:fill="auto"/>
            <w:vAlign w:val="center"/>
          </w:tcPr>
          <w:p w14:paraId="3B82862E" w14:textId="081BD566" w:rsidR="006A0566" w:rsidRDefault="009C1812" w:rsidP="00CB4698">
            <w:pPr>
              <w:widowControl w:val="0"/>
              <w:jc w:val="center"/>
              <w:rPr>
                <w:rFonts w:ascii="Arial" w:hAnsi="Arial" w:cs="Arial"/>
                <w:bCs/>
                <w:sz w:val="16"/>
                <w:szCs w:val="16"/>
              </w:rPr>
            </w:pPr>
            <w:r>
              <w:rPr>
                <w:rFonts w:ascii="Arial" w:hAnsi="Arial"/>
                <w:bCs/>
                <w:sz w:val="16"/>
                <w:szCs w:val="16"/>
              </w:rPr>
              <w:t>DUS</w:t>
            </w:r>
          </w:p>
        </w:tc>
        <w:tc>
          <w:tcPr>
            <w:tcW w:w="2682" w:type="dxa"/>
            <w:shd w:val="clear" w:color="auto" w:fill="auto"/>
            <w:vAlign w:val="center"/>
          </w:tcPr>
          <w:p w14:paraId="19626343" w14:textId="77777777" w:rsidR="006A0566" w:rsidRPr="00C90B69" w:rsidRDefault="006A0566" w:rsidP="00D93985">
            <w:pPr>
              <w:widowControl w:val="0"/>
              <w:jc w:val="center"/>
              <w:rPr>
                <w:rFonts w:ascii="Arial" w:hAnsi="Arial" w:cs="Arial"/>
                <w:bCs/>
                <w:sz w:val="16"/>
                <w:szCs w:val="16"/>
              </w:rPr>
            </w:pPr>
            <w:r>
              <w:rPr>
                <w:rFonts w:ascii="Arial" w:hAnsi="Arial"/>
                <w:bCs/>
                <w:sz w:val="16"/>
                <w:szCs w:val="16"/>
              </w:rPr>
              <w:t xml:space="preserve">“MIZAL”, </w:t>
            </w:r>
            <w:proofErr w:type="spellStart"/>
            <w:r>
              <w:rPr>
                <w:rFonts w:ascii="Arial" w:hAnsi="Arial"/>
                <w:bCs/>
                <w:sz w:val="16"/>
                <w:szCs w:val="16"/>
              </w:rPr>
              <w:t>Plockstrasse</w:t>
            </w:r>
            <w:proofErr w:type="spellEnd"/>
          </w:p>
        </w:tc>
        <w:tc>
          <w:tcPr>
            <w:tcW w:w="2658" w:type="dxa"/>
            <w:shd w:val="clear" w:color="auto" w:fill="auto"/>
            <w:vAlign w:val="center"/>
          </w:tcPr>
          <w:p w14:paraId="6E86BEEE" w14:textId="77777777" w:rsidR="006A0566" w:rsidRDefault="006A0566" w:rsidP="00D93985">
            <w:pPr>
              <w:widowControl w:val="0"/>
              <w:jc w:val="center"/>
              <w:rPr>
                <w:rFonts w:ascii="Arial" w:hAnsi="Arial" w:cs="Arial"/>
                <w:bCs/>
                <w:sz w:val="16"/>
                <w:szCs w:val="16"/>
              </w:rPr>
            </w:pPr>
            <w:r>
              <w:rPr>
                <w:rFonts w:ascii="Arial" w:hAnsi="Arial"/>
                <w:bCs/>
                <w:sz w:val="16"/>
                <w:szCs w:val="16"/>
              </w:rPr>
              <w:t xml:space="preserve">R+V </w:t>
            </w:r>
            <w:proofErr w:type="spellStart"/>
            <w:r>
              <w:rPr>
                <w:rFonts w:ascii="Arial" w:hAnsi="Arial"/>
                <w:bCs/>
                <w:sz w:val="16"/>
                <w:szCs w:val="16"/>
              </w:rPr>
              <w:t>Versicherung</w:t>
            </w:r>
            <w:proofErr w:type="spellEnd"/>
            <w:r>
              <w:rPr>
                <w:rFonts w:ascii="Arial" w:hAnsi="Arial"/>
                <w:bCs/>
                <w:sz w:val="16"/>
                <w:szCs w:val="16"/>
              </w:rPr>
              <w:t xml:space="preserve"> (insurance)</w:t>
            </w:r>
          </w:p>
        </w:tc>
        <w:tc>
          <w:tcPr>
            <w:tcW w:w="2309" w:type="dxa"/>
            <w:shd w:val="clear" w:color="auto" w:fill="auto"/>
            <w:vAlign w:val="center"/>
          </w:tcPr>
          <w:p w14:paraId="42579624" w14:textId="77777777" w:rsidR="006A0566" w:rsidRDefault="006A0566" w:rsidP="00D93985">
            <w:pPr>
              <w:widowControl w:val="0"/>
              <w:jc w:val="center"/>
              <w:rPr>
                <w:rFonts w:ascii="Arial" w:hAnsi="Arial" w:cs="Arial"/>
                <w:bCs/>
                <w:sz w:val="16"/>
                <w:szCs w:val="16"/>
              </w:rPr>
            </w:pPr>
            <w:proofErr w:type="spellStart"/>
            <w:r>
              <w:rPr>
                <w:rFonts w:ascii="Arial" w:hAnsi="Arial"/>
                <w:bCs/>
                <w:sz w:val="16"/>
                <w:szCs w:val="16"/>
              </w:rPr>
              <w:t>Codic</w:t>
            </w:r>
            <w:proofErr w:type="spellEnd"/>
          </w:p>
        </w:tc>
        <w:tc>
          <w:tcPr>
            <w:tcW w:w="895" w:type="dxa"/>
            <w:shd w:val="clear" w:color="auto" w:fill="auto"/>
            <w:vAlign w:val="center"/>
          </w:tcPr>
          <w:p w14:paraId="3527A949" w14:textId="2856A374" w:rsidR="006A0566" w:rsidRDefault="006A0566" w:rsidP="00D93985">
            <w:pPr>
              <w:widowControl w:val="0"/>
              <w:jc w:val="center"/>
              <w:rPr>
                <w:rFonts w:ascii="Arial" w:hAnsi="Arial" w:cs="Arial"/>
                <w:bCs/>
                <w:sz w:val="16"/>
                <w:szCs w:val="16"/>
              </w:rPr>
            </w:pPr>
            <w:r>
              <w:rPr>
                <w:rFonts w:ascii="Arial" w:hAnsi="Arial"/>
                <w:bCs/>
                <w:sz w:val="16"/>
                <w:szCs w:val="16"/>
              </w:rPr>
              <w:t>260</w:t>
            </w:r>
          </w:p>
        </w:tc>
      </w:tr>
      <w:tr w:rsidR="009C1812" w:rsidRPr="00C90B69" w14:paraId="1FD20D42" w14:textId="77777777" w:rsidTr="00D93985">
        <w:trPr>
          <w:trHeight w:val="552"/>
        </w:trPr>
        <w:tc>
          <w:tcPr>
            <w:tcW w:w="687" w:type="dxa"/>
            <w:shd w:val="clear" w:color="auto" w:fill="D9D9D9" w:themeFill="background1" w:themeFillShade="D9"/>
            <w:vAlign w:val="center"/>
          </w:tcPr>
          <w:p w14:paraId="4CA3EA8C" w14:textId="301703A9" w:rsidR="009C1812" w:rsidRDefault="00D65F25" w:rsidP="00CB4698">
            <w:pPr>
              <w:widowControl w:val="0"/>
              <w:jc w:val="center"/>
              <w:rPr>
                <w:rFonts w:ascii="Arial" w:hAnsi="Arial" w:cs="Arial"/>
                <w:bCs/>
                <w:sz w:val="16"/>
                <w:szCs w:val="16"/>
              </w:rPr>
            </w:pPr>
            <w:r>
              <w:rPr>
                <w:rFonts w:ascii="Arial" w:hAnsi="Arial"/>
                <w:bCs/>
                <w:sz w:val="16"/>
                <w:szCs w:val="16"/>
              </w:rPr>
              <w:lastRenderedPageBreak/>
              <w:t>HAM</w:t>
            </w:r>
          </w:p>
        </w:tc>
        <w:tc>
          <w:tcPr>
            <w:tcW w:w="2682" w:type="dxa"/>
            <w:shd w:val="clear" w:color="auto" w:fill="D9D9D9" w:themeFill="background1" w:themeFillShade="D9"/>
            <w:vAlign w:val="center"/>
          </w:tcPr>
          <w:p w14:paraId="4769CFE1" w14:textId="7627D396" w:rsidR="009C1812" w:rsidRPr="00D93985" w:rsidRDefault="009C1812" w:rsidP="00D93985">
            <w:pPr>
              <w:widowControl w:val="0"/>
              <w:jc w:val="center"/>
              <w:rPr>
                <w:rFonts w:ascii="Arial" w:hAnsi="Arial" w:cs="Arial"/>
                <w:bCs/>
                <w:sz w:val="16"/>
                <w:szCs w:val="16"/>
              </w:rPr>
            </w:pPr>
            <w:r>
              <w:rPr>
                <w:rFonts w:ascii="Arial" w:hAnsi="Arial"/>
                <w:bCs/>
                <w:sz w:val="16"/>
                <w:szCs w:val="16"/>
              </w:rPr>
              <w:t>“</w:t>
            </w:r>
            <w:proofErr w:type="spellStart"/>
            <w:r>
              <w:rPr>
                <w:rFonts w:ascii="Arial" w:hAnsi="Arial"/>
                <w:bCs/>
                <w:sz w:val="16"/>
                <w:szCs w:val="16"/>
              </w:rPr>
              <w:t>Karstadt</w:t>
            </w:r>
            <w:proofErr w:type="spellEnd"/>
            <w:r>
              <w:rPr>
                <w:rFonts w:ascii="Arial" w:hAnsi="Arial"/>
                <w:bCs/>
                <w:sz w:val="16"/>
                <w:szCs w:val="16"/>
              </w:rPr>
              <w:t xml:space="preserve">”, </w:t>
            </w:r>
            <w:proofErr w:type="spellStart"/>
            <w:r>
              <w:rPr>
                <w:rFonts w:ascii="Arial" w:hAnsi="Arial"/>
                <w:bCs/>
                <w:sz w:val="16"/>
                <w:szCs w:val="16"/>
              </w:rPr>
              <w:t>Mönckebergstrasse</w:t>
            </w:r>
            <w:proofErr w:type="spellEnd"/>
            <w:r>
              <w:rPr>
                <w:rFonts w:ascii="Arial" w:hAnsi="Arial"/>
                <w:bCs/>
                <w:sz w:val="16"/>
                <w:szCs w:val="16"/>
              </w:rPr>
              <w:t xml:space="preserve"> 16</w:t>
            </w:r>
          </w:p>
        </w:tc>
        <w:tc>
          <w:tcPr>
            <w:tcW w:w="2658" w:type="dxa"/>
            <w:shd w:val="clear" w:color="auto" w:fill="D9D9D9" w:themeFill="background1" w:themeFillShade="D9"/>
            <w:vAlign w:val="center"/>
          </w:tcPr>
          <w:p w14:paraId="4158CE78" w14:textId="486FC899" w:rsidR="009C1812" w:rsidRPr="00D93985" w:rsidRDefault="009C1812" w:rsidP="00D93985">
            <w:pPr>
              <w:widowControl w:val="0"/>
              <w:jc w:val="center"/>
              <w:rPr>
                <w:rFonts w:ascii="Arial" w:hAnsi="Arial" w:cs="Arial"/>
                <w:bCs/>
                <w:sz w:val="16"/>
                <w:szCs w:val="16"/>
              </w:rPr>
            </w:pPr>
            <w:proofErr w:type="spellStart"/>
            <w:r>
              <w:rPr>
                <w:rFonts w:ascii="Arial" w:hAnsi="Arial"/>
                <w:bCs/>
                <w:sz w:val="16"/>
                <w:szCs w:val="16"/>
              </w:rPr>
              <w:t>Signa</w:t>
            </w:r>
            <w:proofErr w:type="spellEnd"/>
            <w:r>
              <w:rPr>
                <w:rFonts w:ascii="Arial" w:hAnsi="Arial"/>
                <w:bCs/>
                <w:sz w:val="16"/>
                <w:szCs w:val="16"/>
              </w:rPr>
              <w:t xml:space="preserve"> Holding</w:t>
            </w:r>
          </w:p>
        </w:tc>
        <w:tc>
          <w:tcPr>
            <w:tcW w:w="2309" w:type="dxa"/>
            <w:shd w:val="clear" w:color="auto" w:fill="D9D9D9" w:themeFill="background1" w:themeFillShade="D9"/>
            <w:vAlign w:val="center"/>
          </w:tcPr>
          <w:p w14:paraId="06F5A25F" w14:textId="04686E37" w:rsidR="009C1812" w:rsidRPr="00D93985" w:rsidRDefault="009C1812" w:rsidP="00D93985">
            <w:pPr>
              <w:widowControl w:val="0"/>
              <w:jc w:val="center"/>
              <w:rPr>
                <w:rFonts w:ascii="Arial" w:hAnsi="Arial" w:cs="Arial"/>
                <w:bCs/>
                <w:sz w:val="16"/>
                <w:szCs w:val="16"/>
              </w:rPr>
            </w:pPr>
            <w:r>
              <w:rPr>
                <w:rFonts w:ascii="Arial" w:hAnsi="Arial"/>
                <w:bCs/>
                <w:sz w:val="16"/>
                <w:szCs w:val="16"/>
              </w:rPr>
              <w:t xml:space="preserve">Quantum </w:t>
            </w:r>
            <w:proofErr w:type="spellStart"/>
            <w:r>
              <w:rPr>
                <w:rFonts w:ascii="Arial" w:hAnsi="Arial"/>
                <w:bCs/>
                <w:sz w:val="16"/>
                <w:szCs w:val="16"/>
              </w:rPr>
              <w:t>Immobilien</w:t>
            </w:r>
            <w:proofErr w:type="spellEnd"/>
          </w:p>
        </w:tc>
        <w:tc>
          <w:tcPr>
            <w:tcW w:w="895" w:type="dxa"/>
            <w:shd w:val="clear" w:color="auto" w:fill="D9D9D9" w:themeFill="background1" w:themeFillShade="D9"/>
            <w:vAlign w:val="center"/>
          </w:tcPr>
          <w:p w14:paraId="1862C2A6" w14:textId="5FFF493D" w:rsidR="009C1812" w:rsidRPr="00D93985" w:rsidRDefault="009C1812" w:rsidP="00D93985">
            <w:pPr>
              <w:widowControl w:val="0"/>
              <w:jc w:val="center"/>
              <w:rPr>
                <w:rFonts w:ascii="Arial" w:hAnsi="Arial" w:cs="Arial"/>
                <w:bCs/>
                <w:sz w:val="16"/>
                <w:szCs w:val="16"/>
              </w:rPr>
            </w:pPr>
            <w:r>
              <w:rPr>
                <w:rFonts w:ascii="Arial" w:hAnsi="Arial"/>
                <w:bCs/>
                <w:sz w:val="16"/>
                <w:szCs w:val="16"/>
              </w:rPr>
              <w:t>260</w:t>
            </w:r>
          </w:p>
        </w:tc>
      </w:tr>
      <w:tr w:rsidR="00766B7C" w:rsidRPr="00C90B69" w14:paraId="16647839" w14:textId="77777777" w:rsidTr="00766B7C">
        <w:trPr>
          <w:trHeight w:val="552"/>
        </w:trPr>
        <w:tc>
          <w:tcPr>
            <w:tcW w:w="687" w:type="dxa"/>
            <w:shd w:val="clear" w:color="auto" w:fill="D9D9D9" w:themeFill="background1" w:themeFillShade="D9"/>
            <w:vAlign w:val="center"/>
          </w:tcPr>
          <w:p w14:paraId="1E3E15B0" w14:textId="21BFD17F" w:rsidR="00766B7C" w:rsidRPr="00D65F25" w:rsidRDefault="00766B7C" w:rsidP="00CB4698">
            <w:pPr>
              <w:widowControl w:val="0"/>
              <w:jc w:val="center"/>
              <w:rPr>
                <w:rFonts w:ascii="Arial" w:hAnsi="Arial" w:cs="Arial"/>
                <w:bCs/>
                <w:sz w:val="16"/>
                <w:szCs w:val="16"/>
              </w:rPr>
            </w:pPr>
            <w:r>
              <w:rPr>
                <w:rFonts w:ascii="Arial" w:hAnsi="Arial"/>
                <w:bCs/>
                <w:sz w:val="16"/>
                <w:szCs w:val="16"/>
              </w:rPr>
              <w:t>MUC</w:t>
            </w:r>
          </w:p>
        </w:tc>
        <w:tc>
          <w:tcPr>
            <w:tcW w:w="2682" w:type="dxa"/>
            <w:shd w:val="clear" w:color="auto" w:fill="D9D9D9" w:themeFill="background1" w:themeFillShade="D9"/>
            <w:vAlign w:val="center"/>
          </w:tcPr>
          <w:p w14:paraId="4ED2B35D" w14:textId="1DACAC7C" w:rsidR="00766B7C" w:rsidRPr="00D65F25" w:rsidRDefault="00766B7C" w:rsidP="00D93985">
            <w:pPr>
              <w:widowControl w:val="0"/>
              <w:jc w:val="center"/>
              <w:rPr>
                <w:rFonts w:ascii="Arial" w:hAnsi="Arial" w:cs="Arial"/>
                <w:bCs/>
                <w:sz w:val="16"/>
                <w:szCs w:val="16"/>
              </w:rPr>
            </w:pPr>
            <w:r>
              <w:rPr>
                <w:rFonts w:ascii="Arial" w:hAnsi="Arial"/>
                <w:bCs/>
                <w:sz w:val="16"/>
                <w:szCs w:val="16"/>
              </w:rPr>
              <w:t>"</w:t>
            </w:r>
            <w:proofErr w:type="spellStart"/>
            <w:r>
              <w:rPr>
                <w:rFonts w:ascii="Arial" w:hAnsi="Arial"/>
                <w:bCs/>
                <w:sz w:val="16"/>
                <w:szCs w:val="16"/>
              </w:rPr>
              <w:t>Perlach</w:t>
            </w:r>
            <w:proofErr w:type="spellEnd"/>
            <w:r>
              <w:rPr>
                <w:rFonts w:ascii="Arial" w:hAnsi="Arial"/>
                <w:bCs/>
                <w:sz w:val="16"/>
                <w:szCs w:val="16"/>
              </w:rPr>
              <w:t xml:space="preserve"> Plaza" </w:t>
            </w:r>
            <w:proofErr w:type="spellStart"/>
            <w:r>
              <w:rPr>
                <w:rFonts w:ascii="Arial" w:hAnsi="Arial"/>
                <w:bCs/>
                <w:sz w:val="16"/>
                <w:szCs w:val="16"/>
              </w:rPr>
              <w:t>Hanns</w:t>
            </w:r>
            <w:proofErr w:type="spellEnd"/>
            <w:r>
              <w:rPr>
                <w:rFonts w:ascii="Arial" w:hAnsi="Arial"/>
                <w:bCs/>
                <w:sz w:val="16"/>
                <w:szCs w:val="16"/>
              </w:rPr>
              <w:t>-Seidel-</w:t>
            </w:r>
            <w:proofErr w:type="spellStart"/>
            <w:r>
              <w:rPr>
                <w:rFonts w:ascii="Arial" w:hAnsi="Arial"/>
                <w:bCs/>
                <w:sz w:val="16"/>
                <w:szCs w:val="16"/>
              </w:rPr>
              <w:t>Platz</w:t>
            </w:r>
            <w:proofErr w:type="spellEnd"/>
          </w:p>
        </w:tc>
        <w:tc>
          <w:tcPr>
            <w:tcW w:w="2658" w:type="dxa"/>
            <w:shd w:val="clear" w:color="auto" w:fill="D9D9D9" w:themeFill="background1" w:themeFillShade="D9"/>
            <w:vAlign w:val="center"/>
          </w:tcPr>
          <w:p w14:paraId="0437D9FF" w14:textId="6DE0F25C" w:rsidR="00766B7C" w:rsidRPr="00D65F25" w:rsidRDefault="00766B7C" w:rsidP="00D93985">
            <w:pPr>
              <w:widowControl w:val="0"/>
              <w:jc w:val="center"/>
              <w:rPr>
                <w:rFonts w:ascii="Arial" w:hAnsi="Arial" w:cs="Arial"/>
                <w:bCs/>
                <w:sz w:val="16"/>
                <w:szCs w:val="16"/>
              </w:rPr>
            </w:pPr>
            <w:r>
              <w:rPr>
                <w:rFonts w:ascii="Arial" w:hAnsi="Arial"/>
                <w:bCs/>
                <w:sz w:val="16"/>
                <w:szCs w:val="16"/>
              </w:rPr>
              <w:t>KGAL</w:t>
            </w:r>
          </w:p>
        </w:tc>
        <w:tc>
          <w:tcPr>
            <w:tcW w:w="2309" w:type="dxa"/>
            <w:shd w:val="clear" w:color="auto" w:fill="D9D9D9" w:themeFill="background1" w:themeFillShade="D9"/>
            <w:vAlign w:val="center"/>
          </w:tcPr>
          <w:p w14:paraId="6DB2ABA1" w14:textId="74AA719C" w:rsidR="00766B7C" w:rsidRPr="00D65F25" w:rsidRDefault="00766B7C" w:rsidP="00D93985">
            <w:pPr>
              <w:widowControl w:val="0"/>
              <w:jc w:val="center"/>
              <w:rPr>
                <w:rFonts w:ascii="Arial" w:hAnsi="Arial" w:cs="Arial"/>
                <w:bCs/>
                <w:sz w:val="16"/>
                <w:szCs w:val="16"/>
              </w:rPr>
            </w:pPr>
            <w:r>
              <w:rPr>
                <w:rFonts w:ascii="Arial" w:hAnsi="Arial"/>
                <w:bCs/>
                <w:sz w:val="16"/>
                <w:szCs w:val="16"/>
              </w:rPr>
              <w:t xml:space="preserve">Concrete Capital, BHB </w:t>
            </w:r>
            <w:proofErr w:type="spellStart"/>
            <w:r>
              <w:rPr>
                <w:rFonts w:ascii="Arial" w:hAnsi="Arial"/>
                <w:bCs/>
                <w:sz w:val="16"/>
                <w:szCs w:val="16"/>
              </w:rPr>
              <w:t>Bauträger</w:t>
            </w:r>
            <w:proofErr w:type="spellEnd"/>
          </w:p>
        </w:tc>
        <w:tc>
          <w:tcPr>
            <w:tcW w:w="895" w:type="dxa"/>
            <w:shd w:val="clear" w:color="auto" w:fill="D9D9D9" w:themeFill="background1" w:themeFillShade="D9"/>
            <w:vAlign w:val="center"/>
          </w:tcPr>
          <w:p w14:paraId="7A6F2ED4" w14:textId="126DE687" w:rsidR="00766B7C" w:rsidRPr="00D65F25" w:rsidRDefault="00766B7C" w:rsidP="00D93985">
            <w:pPr>
              <w:widowControl w:val="0"/>
              <w:jc w:val="center"/>
              <w:rPr>
                <w:rFonts w:ascii="Arial" w:hAnsi="Arial" w:cs="Arial"/>
                <w:bCs/>
                <w:sz w:val="16"/>
                <w:szCs w:val="16"/>
              </w:rPr>
            </w:pPr>
            <w:r>
              <w:rPr>
                <w:rFonts w:ascii="Arial" w:hAnsi="Arial"/>
                <w:bCs/>
                <w:sz w:val="16"/>
                <w:szCs w:val="16"/>
              </w:rPr>
              <w:t>250</w:t>
            </w:r>
          </w:p>
        </w:tc>
      </w:tr>
      <w:tr w:rsidR="006A0566" w:rsidRPr="00C90B69" w14:paraId="3FF437D5" w14:textId="77777777" w:rsidTr="00D93985">
        <w:trPr>
          <w:trHeight w:val="552"/>
        </w:trPr>
        <w:tc>
          <w:tcPr>
            <w:tcW w:w="687" w:type="dxa"/>
            <w:shd w:val="clear" w:color="auto" w:fill="auto"/>
            <w:vAlign w:val="center"/>
          </w:tcPr>
          <w:p w14:paraId="16C60109" w14:textId="214AEA2C" w:rsidR="006A0566" w:rsidRPr="00D65F25" w:rsidRDefault="009C1812" w:rsidP="00CB4698">
            <w:pPr>
              <w:widowControl w:val="0"/>
              <w:jc w:val="center"/>
              <w:rPr>
                <w:rFonts w:ascii="Arial" w:hAnsi="Arial" w:cs="Arial"/>
                <w:bCs/>
                <w:sz w:val="16"/>
                <w:szCs w:val="16"/>
              </w:rPr>
            </w:pPr>
            <w:r>
              <w:rPr>
                <w:rFonts w:ascii="Arial" w:hAnsi="Arial"/>
                <w:bCs/>
                <w:sz w:val="16"/>
                <w:szCs w:val="16"/>
              </w:rPr>
              <w:t>BER</w:t>
            </w:r>
          </w:p>
        </w:tc>
        <w:tc>
          <w:tcPr>
            <w:tcW w:w="2682" w:type="dxa"/>
            <w:shd w:val="clear" w:color="auto" w:fill="auto"/>
            <w:vAlign w:val="center"/>
          </w:tcPr>
          <w:p w14:paraId="45226F11" w14:textId="77777777" w:rsidR="006A0566" w:rsidRPr="00D65F25" w:rsidRDefault="006A0566" w:rsidP="00D93985">
            <w:pPr>
              <w:widowControl w:val="0"/>
              <w:jc w:val="center"/>
              <w:rPr>
                <w:rFonts w:ascii="Arial" w:hAnsi="Arial" w:cs="Arial"/>
                <w:bCs/>
                <w:sz w:val="16"/>
                <w:szCs w:val="16"/>
              </w:rPr>
            </w:pPr>
            <w:r>
              <w:rPr>
                <w:rFonts w:ascii="Arial" w:hAnsi="Arial"/>
                <w:bCs/>
                <w:sz w:val="16"/>
                <w:szCs w:val="16"/>
              </w:rPr>
              <w:t xml:space="preserve">“Chaussee23”, </w:t>
            </w:r>
            <w:proofErr w:type="spellStart"/>
            <w:r>
              <w:rPr>
                <w:rFonts w:ascii="Arial" w:hAnsi="Arial"/>
                <w:bCs/>
                <w:sz w:val="16"/>
                <w:szCs w:val="16"/>
              </w:rPr>
              <w:t>Chausseestrasse</w:t>
            </w:r>
            <w:proofErr w:type="spellEnd"/>
            <w:r>
              <w:rPr>
                <w:rFonts w:ascii="Arial" w:hAnsi="Arial"/>
                <w:bCs/>
                <w:sz w:val="16"/>
                <w:szCs w:val="16"/>
              </w:rPr>
              <w:t xml:space="preserve"> 23</w:t>
            </w:r>
          </w:p>
        </w:tc>
        <w:tc>
          <w:tcPr>
            <w:tcW w:w="2658" w:type="dxa"/>
            <w:shd w:val="clear" w:color="auto" w:fill="auto"/>
            <w:vAlign w:val="center"/>
          </w:tcPr>
          <w:p w14:paraId="550BACE0" w14:textId="77777777" w:rsidR="006A0566" w:rsidRPr="00D65F25" w:rsidRDefault="006A0566" w:rsidP="00D93985">
            <w:pPr>
              <w:widowControl w:val="0"/>
              <w:jc w:val="center"/>
              <w:rPr>
                <w:rFonts w:ascii="Arial" w:hAnsi="Arial" w:cs="Arial"/>
                <w:bCs/>
                <w:sz w:val="16"/>
                <w:szCs w:val="16"/>
              </w:rPr>
            </w:pPr>
            <w:r>
              <w:rPr>
                <w:rFonts w:ascii="Arial" w:hAnsi="Arial"/>
                <w:bCs/>
                <w:sz w:val="16"/>
                <w:szCs w:val="16"/>
              </w:rPr>
              <w:t>Credit Suisse</w:t>
            </w:r>
          </w:p>
        </w:tc>
        <w:tc>
          <w:tcPr>
            <w:tcW w:w="2309" w:type="dxa"/>
            <w:shd w:val="clear" w:color="auto" w:fill="auto"/>
            <w:vAlign w:val="center"/>
          </w:tcPr>
          <w:p w14:paraId="3BF3F514" w14:textId="77777777" w:rsidR="006A0566" w:rsidRPr="00D65F25" w:rsidRDefault="006A0566" w:rsidP="00D93985">
            <w:pPr>
              <w:widowControl w:val="0"/>
              <w:jc w:val="center"/>
              <w:rPr>
                <w:rFonts w:ascii="Arial" w:hAnsi="Arial" w:cs="Arial"/>
                <w:bCs/>
                <w:sz w:val="16"/>
                <w:szCs w:val="16"/>
              </w:rPr>
            </w:pPr>
            <w:r>
              <w:rPr>
                <w:rFonts w:ascii="Arial" w:hAnsi="Arial"/>
                <w:bCs/>
                <w:sz w:val="16"/>
                <w:szCs w:val="16"/>
              </w:rPr>
              <w:t>Barings Real Estate Advisers</w:t>
            </w:r>
          </w:p>
        </w:tc>
        <w:tc>
          <w:tcPr>
            <w:tcW w:w="895" w:type="dxa"/>
            <w:shd w:val="clear" w:color="auto" w:fill="auto"/>
            <w:vAlign w:val="center"/>
          </w:tcPr>
          <w:p w14:paraId="190DC2BB" w14:textId="77777777" w:rsidR="006A0566" w:rsidRPr="00D65F25" w:rsidRDefault="006A0566" w:rsidP="00D93985">
            <w:pPr>
              <w:widowControl w:val="0"/>
              <w:jc w:val="center"/>
              <w:rPr>
                <w:rFonts w:ascii="Arial" w:hAnsi="Arial" w:cs="Arial"/>
                <w:bCs/>
                <w:sz w:val="16"/>
                <w:szCs w:val="16"/>
              </w:rPr>
            </w:pPr>
            <w:r>
              <w:rPr>
                <w:rFonts w:ascii="Arial" w:hAnsi="Arial"/>
                <w:bCs/>
                <w:sz w:val="16"/>
                <w:szCs w:val="16"/>
              </w:rPr>
              <w:t>220</w:t>
            </w:r>
          </w:p>
        </w:tc>
      </w:tr>
      <w:tr w:rsidR="006A0566" w:rsidRPr="00C90B69" w14:paraId="13CC665B" w14:textId="77777777" w:rsidTr="00D93985">
        <w:trPr>
          <w:trHeight w:val="552"/>
        </w:trPr>
        <w:tc>
          <w:tcPr>
            <w:tcW w:w="687" w:type="dxa"/>
            <w:shd w:val="clear" w:color="auto" w:fill="auto"/>
            <w:vAlign w:val="center"/>
          </w:tcPr>
          <w:p w14:paraId="170EAD30" w14:textId="482DC8DE" w:rsidR="006A0566" w:rsidRPr="00D93985" w:rsidRDefault="009C1812" w:rsidP="00CB4698">
            <w:pPr>
              <w:widowControl w:val="0"/>
              <w:jc w:val="center"/>
              <w:rPr>
                <w:rFonts w:ascii="Arial" w:hAnsi="Arial" w:cs="Arial"/>
                <w:bCs/>
                <w:sz w:val="16"/>
                <w:szCs w:val="16"/>
              </w:rPr>
            </w:pPr>
            <w:r>
              <w:rPr>
                <w:rFonts w:ascii="Arial" w:hAnsi="Arial"/>
                <w:bCs/>
                <w:sz w:val="16"/>
                <w:szCs w:val="16"/>
              </w:rPr>
              <w:t>MUC</w:t>
            </w:r>
          </w:p>
        </w:tc>
        <w:tc>
          <w:tcPr>
            <w:tcW w:w="2682" w:type="dxa"/>
            <w:shd w:val="clear" w:color="auto" w:fill="auto"/>
            <w:vAlign w:val="center"/>
          </w:tcPr>
          <w:p w14:paraId="2916D6DE" w14:textId="77777777" w:rsidR="006A0566" w:rsidRPr="00D93985" w:rsidRDefault="006A0566" w:rsidP="00D93985">
            <w:pPr>
              <w:widowControl w:val="0"/>
              <w:jc w:val="center"/>
              <w:rPr>
                <w:rFonts w:ascii="Arial" w:hAnsi="Arial" w:cs="Arial"/>
                <w:bCs/>
                <w:sz w:val="16"/>
                <w:szCs w:val="16"/>
              </w:rPr>
            </w:pPr>
            <w:proofErr w:type="spellStart"/>
            <w:r>
              <w:rPr>
                <w:rFonts w:ascii="Arial" w:hAnsi="Arial"/>
                <w:bCs/>
                <w:sz w:val="16"/>
                <w:szCs w:val="16"/>
              </w:rPr>
              <w:t>Neumarkter</w:t>
            </w:r>
            <w:proofErr w:type="spellEnd"/>
            <w:r>
              <w:rPr>
                <w:rFonts w:ascii="Arial" w:hAnsi="Arial"/>
                <w:bCs/>
                <w:sz w:val="16"/>
                <w:szCs w:val="16"/>
              </w:rPr>
              <w:t xml:space="preserve"> </w:t>
            </w:r>
            <w:proofErr w:type="spellStart"/>
            <w:r>
              <w:rPr>
                <w:rFonts w:ascii="Arial" w:hAnsi="Arial"/>
                <w:bCs/>
                <w:sz w:val="16"/>
                <w:szCs w:val="16"/>
              </w:rPr>
              <w:t>Strasse</w:t>
            </w:r>
            <w:proofErr w:type="spellEnd"/>
            <w:r>
              <w:rPr>
                <w:rFonts w:ascii="Arial" w:hAnsi="Arial"/>
                <w:bCs/>
                <w:sz w:val="16"/>
                <w:szCs w:val="16"/>
              </w:rPr>
              <w:t xml:space="preserve"> 28</w:t>
            </w:r>
          </w:p>
        </w:tc>
        <w:tc>
          <w:tcPr>
            <w:tcW w:w="2658" w:type="dxa"/>
            <w:shd w:val="clear" w:color="auto" w:fill="auto"/>
            <w:vAlign w:val="center"/>
          </w:tcPr>
          <w:p w14:paraId="6C3DC09D" w14:textId="77777777" w:rsidR="006A0566" w:rsidRPr="00D93985" w:rsidRDefault="006A0566" w:rsidP="00D93985">
            <w:pPr>
              <w:widowControl w:val="0"/>
              <w:jc w:val="center"/>
              <w:rPr>
                <w:rFonts w:ascii="Arial" w:hAnsi="Arial" w:cs="Arial"/>
                <w:bCs/>
                <w:sz w:val="16"/>
                <w:szCs w:val="16"/>
              </w:rPr>
            </w:pPr>
            <w:r>
              <w:rPr>
                <w:rFonts w:ascii="Arial" w:hAnsi="Arial"/>
                <w:bCs/>
                <w:sz w:val="16"/>
                <w:szCs w:val="16"/>
              </w:rPr>
              <w:t>Allianz</w:t>
            </w:r>
          </w:p>
        </w:tc>
        <w:tc>
          <w:tcPr>
            <w:tcW w:w="2309" w:type="dxa"/>
            <w:shd w:val="clear" w:color="auto" w:fill="auto"/>
            <w:vAlign w:val="center"/>
          </w:tcPr>
          <w:p w14:paraId="18132932" w14:textId="77777777" w:rsidR="006A0566" w:rsidRPr="00D93985" w:rsidRDefault="006A0566" w:rsidP="00D93985">
            <w:pPr>
              <w:widowControl w:val="0"/>
              <w:jc w:val="center"/>
              <w:rPr>
                <w:rFonts w:ascii="Arial" w:hAnsi="Arial" w:cs="Arial"/>
                <w:bCs/>
                <w:sz w:val="16"/>
                <w:szCs w:val="16"/>
              </w:rPr>
            </w:pPr>
            <w:r>
              <w:rPr>
                <w:rFonts w:ascii="Arial" w:hAnsi="Arial"/>
                <w:bCs/>
                <w:sz w:val="16"/>
                <w:szCs w:val="16"/>
              </w:rPr>
              <w:t>Random House</w:t>
            </w:r>
          </w:p>
        </w:tc>
        <w:tc>
          <w:tcPr>
            <w:tcW w:w="895" w:type="dxa"/>
            <w:shd w:val="clear" w:color="auto" w:fill="auto"/>
            <w:vAlign w:val="center"/>
          </w:tcPr>
          <w:p w14:paraId="322014D8" w14:textId="77777777" w:rsidR="006A0566" w:rsidRPr="00D93985" w:rsidRDefault="006A0566" w:rsidP="00D93985">
            <w:pPr>
              <w:widowControl w:val="0"/>
              <w:jc w:val="center"/>
              <w:rPr>
                <w:rFonts w:ascii="Arial" w:hAnsi="Arial" w:cs="Arial"/>
                <w:bCs/>
                <w:sz w:val="16"/>
                <w:szCs w:val="16"/>
              </w:rPr>
            </w:pPr>
            <w:r>
              <w:rPr>
                <w:rFonts w:ascii="Arial" w:hAnsi="Arial"/>
                <w:bCs/>
                <w:sz w:val="16"/>
                <w:szCs w:val="16"/>
              </w:rPr>
              <w:t>214</w:t>
            </w:r>
          </w:p>
        </w:tc>
      </w:tr>
      <w:tr w:rsidR="006A0566" w:rsidRPr="00C90B69" w14:paraId="585CD898" w14:textId="77777777" w:rsidTr="00D93985">
        <w:trPr>
          <w:trHeight w:val="552"/>
        </w:trPr>
        <w:tc>
          <w:tcPr>
            <w:tcW w:w="687" w:type="dxa"/>
            <w:shd w:val="clear" w:color="auto" w:fill="auto"/>
            <w:vAlign w:val="center"/>
          </w:tcPr>
          <w:p w14:paraId="237F7A44" w14:textId="18DB0598" w:rsidR="006A0566" w:rsidRPr="00D93985" w:rsidRDefault="009C1812" w:rsidP="00CB4698">
            <w:pPr>
              <w:widowControl w:val="0"/>
              <w:jc w:val="center"/>
              <w:rPr>
                <w:rFonts w:ascii="Arial" w:hAnsi="Arial" w:cs="Arial"/>
                <w:bCs/>
                <w:sz w:val="16"/>
                <w:szCs w:val="16"/>
              </w:rPr>
            </w:pPr>
            <w:r>
              <w:rPr>
                <w:rFonts w:ascii="Arial" w:hAnsi="Arial"/>
                <w:bCs/>
                <w:sz w:val="16"/>
                <w:szCs w:val="16"/>
              </w:rPr>
              <w:t>FFM</w:t>
            </w:r>
          </w:p>
        </w:tc>
        <w:tc>
          <w:tcPr>
            <w:tcW w:w="2682" w:type="dxa"/>
            <w:shd w:val="clear" w:color="auto" w:fill="auto"/>
            <w:vAlign w:val="center"/>
          </w:tcPr>
          <w:p w14:paraId="6C8247EF" w14:textId="77777777" w:rsidR="006A0566" w:rsidRPr="00D93985" w:rsidRDefault="006A0566" w:rsidP="00D93985">
            <w:pPr>
              <w:widowControl w:val="0"/>
              <w:jc w:val="center"/>
              <w:rPr>
                <w:rFonts w:ascii="Arial" w:hAnsi="Arial" w:cs="Arial"/>
                <w:bCs/>
                <w:sz w:val="16"/>
                <w:szCs w:val="16"/>
              </w:rPr>
            </w:pPr>
            <w:r>
              <w:rPr>
                <w:rFonts w:ascii="Arial" w:hAnsi="Arial"/>
                <w:bCs/>
                <w:sz w:val="16"/>
                <w:szCs w:val="16"/>
              </w:rPr>
              <w:t>“</w:t>
            </w:r>
            <w:proofErr w:type="spellStart"/>
            <w:r>
              <w:rPr>
                <w:rFonts w:ascii="Arial" w:hAnsi="Arial"/>
                <w:bCs/>
                <w:sz w:val="16"/>
                <w:szCs w:val="16"/>
              </w:rPr>
              <w:t>Ma’ro</w:t>
            </w:r>
            <w:proofErr w:type="spellEnd"/>
            <w:r>
              <w:rPr>
                <w:rFonts w:ascii="Arial" w:hAnsi="Arial"/>
                <w:bCs/>
                <w:sz w:val="16"/>
                <w:szCs w:val="16"/>
              </w:rPr>
              <w:t xml:space="preserve">”, </w:t>
            </w:r>
            <w:proofErr w:type="spellStart"/>
            <w:r>
              <w:rPr>
                <w:rFonts w:ascii="Arial" w:hAnsi="Arial"/>
                <w:bCs/>
                <w:sz w:val="16"/>
                <w:szCs w:val="16"/>
              </w:rPr>
              <w:t>Neue</w:t>
            </w:r>
            <w:proofErr w:type="spellEnd"/>
            <w:r>
              <w:rPr>
                <w:rFonts w:ascii="Arial" w:hAnsi="Arial"/>
                <w:bCs/>
                <w:sz w:val="16"/>
                <w:szCs w:val="16"/>
              </w:rPr>
              <w:t xml:space="preserve"> </w:t>
            </w:r>
            <w:proofErr w:type="spellStart"/>
            <w:r>
              <w:rPr>
                <w:rFonts w:ascii="Arial" w:hAnsi="Arial"/>
                <w:bCs/>
                <w:sz w:val="16"/>
                <w:szCs w:val="16"/>
              </w:rPr>
              <w:t>Mainzer</w:t>
            </w:r>
            <w:proofErr w:type="spellEnd"/>
            <w:r>
              <w:rPr>
                <w:rFonts w:ascii="Arial" w:hAnsi="Arial"/>
                <w:bCs/>
                <w:sz w:val="16"/>
                <w:szCs w:val="16"/>
              </w:rPr>
              <w:t xml:space="preserve"> </w:t>
            </w:r>
            <w:proofErr w:type="spellStart"/>
            <w:r>
              <w:rPr>
                <w:rFonts w:ascii="Arial" w:hAnsi="Arial"/>
                <w:bCs/>
                <w:sz w:val="16"/>
                <w:szCs w:val="16"/>
              </w:rPr>
              <w:t>Strasse</w:t>
            </w:r>
            <w:proofErr w:type="spellEnd"/>
            <w:r>
              <w:rPr>
                <w:rFonts w:ascii="Arial" w:hAnsi="Arial"/>
                <w:bCs/>
                <w:sz w:val="16"/>
                <w:szCs w:val="16"/>
              </w:rPr>
              <w:t xml:space="preserve"> 74-80</w:t>
            </w:r>
          </w:p>
        </w:tc>
        <w:tc>
          <w:tcPr>
            <w:tcW w:w="2658" w:type="dxa"/>
            <w:shd w:val="clear" w:color="auto" w:fill="auto"/>
            <w:vAlign w:val="center"/>
          </w:tcPr>
          <w:p w14:paraId="5D0E95BB" w14:textId="77777777" w:rsidR="006A0566" w:rsidRPr="00D93985" w:rsidRDefault="006A0566" w:rsidP="00D93985">
            <w:pPr>
              <w:widowControl w:val="0"/>
              <w:jc w:val="center"/>
              <w:rPr>
                <w:rFonts w:ascii="Arial" w:hAnsi="Arial" w:cs="Arial"/>
                <w:bCs/>
                <w:sz w:val="16"/>
                <w:szCs w:val="16"/>
              </w:rPr>
            </w:pPr>
            <w:proofErr w:type="spellStart"/>
            <w:r>
              <w:rPr>
                <w:rFonts w:ascii="Arial" w:hAnsi="Arial"/>
                <w:bCs/>
                <w:sz w:val="16"/>
                <w:szCs w:val="16"/>
              </w:rPr>
              <w:t>Luwin</w:t>
            </w:r>
            <w:proofErr w:type="spellEnd"/>
            <w:r>
              <w:rPr>
                <w:rFonts w:ascii="Arial" w:hAnsi="Arial"/>
                <w:bCs/>
                <w:sz w:val="16"/>
                <w:szCs w:val="16"/>
              </w:rPr>
              <w:t xml:space="preserve"> for </w:t>
            </w:r>
            <w:proofErr w:type="spellStart"/>
            <w:r>
              <w:rPr>
                <w:rFonts w:ascii="Arial" w:hAnsi="Arial"/>
                <w:bCs/>
                <w:sz w:val="16"/>
                <w:szCs w:val="16"/>
              </w:rPr>
              <w:t>Versorgungswerk</w:t>
            </w:r>
            <w:proofErr w:type="spellEnd"/>
            <w:r>
              <w:rPr>
                <w:rFonts w:ascii="Arial" w:hAnsi="Arial"/>
                <w:bCs/>
                <w:sz w:val="16"/>
                <w:szCs w:val="16"/>
              </w:rPr>
              <w:t xml:space="preserve"> der </w:t>
            </w:r>
            <w:proofErr w:type="spellStart"/>
            <w:r>
              <w:rPr>
                <w:rFonts w:ascii="Arial" w:hAnsi="Arial"/>
                <w:bCs/>
                <w:sz w:val="16"/>
                <w:szCs w:val="16"/>
              </w:rPr>
              <w:t>Architektenkammer</w:t>
            </w:r>
            <w:proofErr w:type="spellEnd"/>
            <w:r>
              <w:rPr>
                <w:rFonts w:ascii="Arial" w:hAnsi="Arial"/>
                <w:bCs/>
                <w:sz w:val="16"/>
                <w:szCs w:val="16"/>
              </w:rPr>
              <w:t xml:space="preserve"> Ba.-</w:t>
            </w:r>
            <w:proofErr w:type="spellStart"/>
            <w:r>
              <w:rPr>
                <w:rFonts w:ascii="Arial" w:hAnsi="Arial"/>
                <w:bCs/>
                <w:sz w:val="16"/>
                <w:szCs w:val="16"/>
              </w:rPr>
              <w:t>Wü</w:t>
            </w:r>
            <w:proofErr w:type="spellEnd"/>
            <w:r>
              <w:rPr>
                <w:rFonts w:ascii="Arial" w:hAnsi="Arial"/>
                <w:bCs/>
                <w:sz w:val="16"/>
                <w:szCs w:val="16"/>
              </w:rPr>
              <w:t>. (pension fund)</w:t>
            </w:r>
          </w:p>
        </w:tc>
        <w:tc>
          <w:tcPr>
            <w:tcW w:w="2309" w:type="dxa"/>
            <w:shd w:val="clear" w:color="auto" w:fill="auto"/>
            <w:vAlign w:val="center"/>
          </w:tcPr>
          <w:p w14:paraId="13931528" w14:textId="77777777" w:rsidR="006A0566" w:rsidRPr="00D93985" w:rsidRDefault="006A0566" w:rsidP="00D93985">
            <w:pPr>
              <w:widowControl w:val="0"/>
              <w:jc w:val="center"/>
              <w:rPr>
                <w:rFonts w:ascii="Arial" w:hAnsi="Arial" w:cs="Arial"/>
                <w:bCs/>
                <w:sz w:val="16"/>
                <w:szCs w:val="16"/>
              </w:rPr>
            </w:pPr>
            <w:r>
              <w:rPr>
                <w:rFonts w:ascii="Arial" w:hAnsi="Arial"/>
                <w:bCs/>
                <w:sz w:val="16"/>
                <w:szCs w:val="16"/>
              </w:rPr>
              <w:t>Invesco Real Estate</w:t>
            </w:r>
          </w:p>
        </w:tc>
        <w:tc>
          <w:tcPr>
            <w:tcW w:w="895" w:type="dxa"/>
            <w:shd w:val="clear" w:color="auto" w:fill="auto"/>
            <w:vAlign w:val="center"/>
          </w:tcPr>
          <w:p w14:paraId="0C9F5A6E" w14:textId="77777777" w:rsidR="006A0566" w:rsidRPr="00D93985" w:rsidRDefault="006A0566" w:rsidP="00D93985">
            <w:pPr>
              <w:widowControl w:val="0"/>
              <w:jc w:val="center"/>
              <w:rPr>
                <w:rFonts w:ascii="Arial" w:hAnsi="Arial" w:cs="Arial"/>
                <w:bCs/>
                <w:sz w:val="16"/>
                <w:szCs w:val="16"/>
              </w:rPr>
            </w:pPr>
            <w:r>
              <w:rPr>
                <w:rFonts w:ascii="Arial" w:hAnsi="Arial"/>
                <w:bCs/>
                <w:sz w:val="16"/>
                <w:szCs w:val="16"/>
              </w:rPr>
              <w:t>200</w:t>
            </w:r>
          </w:p>
        </w:tc>
      </w:tr>
      <w:tr w:rsidR="006A0566" w:rsidRPr="00C90B69" w14:paraId="6AFBCA3C" w14:textId="77777777" w:rsidTr="00D93985">
        <w:trPr>
          <w:trHeight w:val="552"/>
        </w:trPr>
        <w:tc>
          <w:tcPr>
            <w:tcW w:w="687" w:type="dxa"/>
            <w:shd w:val="clear" w:color="auto" w:fill="auto"/>
            <w:vAlign w:val="center"/>
          </w:tcPr>
          <w:p w14:paraId="7CEE269E" w14:textId="08261FEA" w:rsidR="006A0566" w:rsidRPr="00D93985" w:rsidRDefault="009C1812" w:rsidP="00CB4698">
            <w:pPr>
              <w:widowControl w:val="0"/>
              <w:jc w:val="center"/>
              <w:rPr>
                <w:rFonts w:ascii="Arial" w:hAnsi="Arial" w:cs="Arial"/>
                <w:bCs/>
                <w:sz w:val="16"/>
                <w:szCs w:val="16"/>
              </w:rPr>
            </w:pPr>
            <w:r>
              <w:rPr>
                <w:rFonts w:ascii="Arial" w:hAnsi="Arial"/>
                <w:bCs/>
                <w:sz w:val="16"/>
                <w:szCs w:val="16"/>
              </w:rPr>
              <w:t>FFM</w:t>
            </w:r>
          </w:p>
        </w:tc>
        <w:tc>
          <w:tcPr>
            <w:tcW w:w="2682" w:type="dxa"/>
            <w:shd w:val="clear" w:color="auto" w:fill="auto"/>
            <w:vAlign w:val="center"/>
          </w:tcPr>
          <w:p w14:paraId="574C6EB6" w14:textId="77777777" w:rsidR="006A0566" w:rsidRPr="00D93985" w:rsidRDefault="006A0566" w:rsidP="00D93985">
            <w:pPr>
              <w:widowControl w:val="0"/>
              <w:jc w:val="center"/>
              <w:rPr>
                <w:rFonts w:ascii="Arial" w:hAnsi="Arial" w:cs="Arial"/>
                <w:bCs/>
                <w:sz w:val="16"/>
                <w:szCs w:val="16"/>
              </w:rPr>
            </w:pPr>
            <w:r>
              <w:rPr>
                <w:rFonts w:ascii="Arial" w:hAnsi="Arial"/>
                <w:bCs/>
                <w:sz w:val="16"/>
                <w:szCs w:val="16"/>
              </w:rPr>
              <w:t>“</w:t>
            </w:r>
            <w:proofErr w:type="spellStart"/>
            <w:r>
              <w:rPr>
                <w:rFonts w:ascii="Arial" w:hAnsi="Arial"/>
                <w:bCs/>
                <w:sz w:val="16"/>
                <w:szCs w:val="16"/>
              </w:rPr>
              <w:t>Westend</w:t>
            </w:r>
            <w:proofErr w:type="spellEnd"/>
            <w:r>
              <w:rPr>
                <w:rFonts w:ascii="Arial" w:hAnsi="Arial"/>
                <w:bCs/>
                <w:sz w:val="16"/>
                <w:szCs w:val="16"/>
              </w:rPr>
              <w:t xml:space="preserve"> </w:t>
            </w:r>
            <w:proofErr w:type="spellStart"/>
            <w:r>
              <w:rPr>
                <w:rFonts w:ascii="Arial" w:hAnsi="Arial"/>
                <w:bCs/>
                <w:sz w:val="16"/>
                <w:szCs w:val="16"/>
              </w:rPr>
              <w:t>Carée</w:t>
            </w:r>
            <w:proofErr w:type="spellEnd"/>
            <w:r>
              <w:rPr>
                <w:rFonts w:ascii="Arial" w:hAnsi="Arial"/>
                <w:bCs/>
                <w:sz w:val="16"/>
                <w:szCs w:val="16"/>
              </w:rPr>
              <w:t xml:space="preserve">”, </w:t>
            </w:r>
            <w:proofErr w:type="spellStart"/>
            <w:r>
              <w:rPr>
                <w:rFonts w:ascii="Arial" w:hAnsi="Arial"/>
                <w:bCs/>
                <w:sz w:val="16"/>
                <w:szCs w:val="16"/>
              </w:rPr>
              <w:t>Grüneburgweg</w:t>
            </w:r>
            <w:proofErr w:type="spellEnd"/>
            <w:r>
              <w:rPr>
                <w:rFonts w:ascii="Arial" w:hAnsi="Arial"/>
                <w:bCs/>
                <w:sz w:val="16"/>
                <w:szCs w:val="16"/>
              </w:rPr>
              <w:t xml:space="preserve"> 14-18</w:t>
            </w:r>
          </w:p>
        </w:tc>
        <w:tc>
          <w:tcPr>
            <w:tcW w:w="2658" w:type="dxa"/>
            <w:shd w:val="clear" w:color="auto" w:fill="auto"/>
            <w:vAlign w:val="center"/>
          </w:tcPr>
          <w:p w14:paraId="2A402AF0" w14:textId="77777777" w:rsidR="006A0566" w:rsidRPr="00D93985" w:rsidRDefault="006A0566" w:rsidP="00D93985">
            <w:pPr>
              <w:widowControl w:val="0"/>
              <w:jc w:val="center"/>
              <w:rPr>
                <w:rFonts w:ascii="Arial" w:hAnsi="Arial" w:cs="Arial"/>
                <w:bCs/>
                <w:sz w:val="16"/>
                <w:szCs w:val="16"/>
              </w:rPr>
            </w:pPr>
            <w:proofErr w:type="spellStart"/>
            <w:r>
              <w:rPr>
                <w:rFonts w:ascii="Arial" w:hAnsi="Arial"/>
                <w:bCs/>
                <w:sz w:val="16"/>
                <w:szCs w:val="16"/>
              </w:rPr>
              <w:t>publity</w:t>
            </w:r>
            <w:proofErr w:type="spellEnd"/>
            <w:r>
              <w:rPr>
                <w:rFonts w:ascii="Arial" w:hAnsi="Arial"/>
                <w:bCs/>
                <w:sz w:val="16"/>
                <w:szCs w:val="16"/>
              </w:rPr>
              <w:t xml:space="preserve"> AG</w:t>
            </w:r>
          </w:p>
        </w:tc>
        <w:tc>
          <w:tcPr>
            <w:tcW w:w="2309" w:type="dxa"/>
            <w:shd w:val="clear" w:color="auto" w:fill="auto"/>
            <w:vAlign w:val="center"/>
          </w:tcPr>
          <w:p w14:paraId="7ABC0576" w14:textId="77777777" w:rsidR="006A0566" w:rsidRPr="00D93985" w:rsidRDefault="006A0566" w:rsidP="00D93985">
            <w:pPr>
              <w:widowControl w:val="0"/>
              <w:jc w:val="center"/>
              <w:rPr>
                <w:rFonts w:ascii="Arial" w:hAnsi="Arial" w:cs="Arial"/>
                <w:bCs/>
                <w:sz w:val="16"/>
                <w:szCs w:val="16"/>
              </w:rPr>
            </w:pPr>
            <w:proofErr w:type="spellStart"/>
            <w:r>
              <w:rPr>
                <w:rFonts w:ascii="Arial" w:hAnsi="Arial"/>
                <w:bCs/>
                <w:sz w:val="16"/>
                <w:szCs w:val="16"/>
              </w:rPr>
              <w:t>InfraRed</w:t>
            </w:r>
            <w:proofErr w:type="spellEnd"/>
            <w:r>
              <w:rPr>
                <w:rFonts w:ascii="Arial" w:hAnsi="Arial"/>
                <w:bCs/>
                <w:sz w:val="16"/>
                <w:szCs w:val="16"/>
              </w:rPr>
              <w:t xml:space="preserve"> Capital Partners</w:t>
            </w:r>
          </w:p>
        </w:tc>
        <w:tc>
          <w:tcPr>
            <w:tcW w:w="895" w:type="dxa"/>
            <w:shd w:val="clear" w:color="auto" w:fill="auto"/>
            <w:vAlign w:val="center"/>
          </w:tcPr>
          <w:p w14:paraId="1A2A7CA0" w14:textId="77777777" w:rsidR="006A0566" w:rsidRPr="00D93985" w:rsidRDefault="006A0566" w:rsidP="00D93985">
            <w:pPr>
              <w:widowControl w:val="0"/>
              <w:jc w:val="center"/>
              <w:rPr>
                <w:rFonts w:ascii="Arial" w:hAnsi="Arial" w:cs="Arial"/>
                <w:bCs/>
                <w:sz w:val="16"/>
                <w:szCs w:val="16"/>
              </w:rPr>
            </w:pPr>
            <w:r>
              <w:rPr>
                <w:rFonts w:ascii="Arial" w:hAnsi="Arial"/>
                <w:bCs/>
                <w:sz w:val="16"/>
                <w:szCs w:val="16"/>
              </w:rPr>
              <w:t>&lt; 200</w:t>
            </w:r>
          </w:p>
        </w:tc>
      </w:tr>
    </w:tbl>
    <w:p w14:paraId="522DDABE" w14:textId="77777777" w:rsidR="006A0566" w:rsidRPr="00124162" w:rsidRDefault="006A0566" w:rsidP="006A0566">
      <w:pPr>
        <w:widowControl w:val="0"/>
        <w:spacing w:after="0"/>
        <w:rPr>
          <w:rFonts w:ascii="Arial" w:hAnsi="Arial" w:cs="Arial"/>
          <w:sz w:val="16"/>
          <w:szCs w:val="16"/>
        </w:rPr>
      </w:pPr>
      <w:r>
        <w:rPr>
          <w:rFonts w:ascii="Arial" w:hAnsi="Arial"/>
          <w:sz w:val="16"/>
          <w:szCs w:val="16"/>
        </w:rPr>
        <w:t>Transactions occurring in the quarter covered by this report are highlighted. Source: German Property Partners (GPP)</w:t>
      </w:r>
    </w:p>
    <w:p w14:paraId="66A10177" w14:textId="77777777" w:rsidR="00A4078F" w:rsidRPr="00124162" w:rsidRDefault="00A4078F" w:rsidP="00DD4941">
      <w:pPr>
        <w:widowControl w:val="0"/>
        <w:spacing w:after="0"/>
        <w:rPr>
          <w:rFonts w:ascii="Arial" w:hAnsi="Arial" w:cs="Arial"/>
          <w:sz w:val="16"/>
          <w:szCs w:val="16"/>
        </w:rPr>
      </w:pPr>
    </w:p>
    <w:p w14:paraId="26EA443F" w14:textId="5122348E" w:rsidR="006A0566" w:rsidRDefault="006A0566" w:rsidP="006A0566">
      <w:pPr>
        <w:widowControl w:val="0"/>
        <w:spacing w:after="0"/>
        <w:jc w:val="both"/>
        <w:rPr>
          <w:rFonts w:ascii="Arial" w:hAnsi="Arial" w:cs="Arial"/>
          <w:b/>
          <w:sz w:val="20"/>
          <w:szCs w:val="20"/>
        </w:rPr>
      </w:pPr>
      <w:r>
        <w:rPr>
          <w:rFonts w:ascii="Arial" w:hAnsi="Arial"/>
          <w:b/>
          <w:sz w:val="20"/>
          <w:szCs w:val="20"/>
        </w:rPr>
        <w:t>Top 7 cities | 1st-3rd quarters of 2020</w:t>
      </w:r>
    </w:p>
    <w:tbl>
      <w:tblPr>
        <w:tblStyle w:val="TableGrid2"/>
        <w:tblW w:w="0" w:type="auto"/>
        <w:tblLook w:val="04A0" w:firstRow="1" w:lastRow="0" w:firstColumn="1" w:lastColumn="0" w:noHBand="0" w:noVBand="1"/>
      </w:tblPr>
      <w:tblGrid>
        <w:gridCol w:w="1939"/>
        <w:gridCol w:w="817"/>
        <w:gridCol w:w="816"/>
        <w:gridCol w:w="933"/>
        <w:gridCol w:w="937"/>
        <w:gridCol w:w="937"/>
        <w:gridCol w:w="932"/>
        <w:gridCol w:w="936"/>
        <w:gridCol w:w="800"/>
      </w:tblGrid>
      <w:tr w:rsidR="006A0566" w:rsidRPr="006F49D0" w14:paraId="200FACDE" w14:textId="77777777" w:rsidTr="00CB4698">
        <w:tc>
          <w:tcPr>
            <w:tcW w:w="1939" w:type="dxa"/>
          </w:tcPr>
          <w:p w14:paraId="0448DC90" w14:textId="77777777" w:rsidR="006A0566" w:rsidRPr="006F49D0" w:rsidRDefault="006A0566" w:rsidP="00CB4698">
            <w:pPr>
              <w:widowControl w:val="0"/>
              <w:jc w:val="both"/>
              <w:rPr>
                <w:rFonts w:ascii="Arial" w:hAnsi="Arial" w:cs="Arial"/>
                <w:b/>
                <w:sz w:val="16"/>
                <w:szCs w:val="16"/>
              </w:rPr>
            </w:pPr>
          </w:p>
        </w:tc>
        <w:tc>
          <w:tcPr>
            <w:tcW w:w="817" w:type="dxa"/>
          </w:tcPr>
          <w:p w14:paraId="7A423236"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HAM</w:t>
            </w:r>
          </w:p>
        </w:tc>
        <w:tc>
          <w:tcPr>
            <w:tcW w:w="816" w:type="dxa"/>
          </w:tcPr>
          <w:p w14:paraId="588D40C5"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BER</w:t>
            </w:r>
          </w:p>
        </w:tc>
        <w:tc>
          <w:tcPr>
            <w:tcW w:w="933" w:type="dxa"/>
          </w:tcPr>
          <w:p w14:paraId="3DFAA8D9"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DUS</w:t>
            </w:r>
          </w:p>
        </w:tc>
        <w:tc>
          <w:tcPr>
            <w:tcW w:w="937" w:type="dxa"/>
          </w:tcPr>
          <w:p w14:paraId="542C5A28" w14:textId="77777777" w:rsidR="006A0566" w:rsidRPr="00496E95" w:rsidRDefault="006A0566" w:rsidP="00CB4698">
            <w:pPr>
              <w:widowControl w:val="0"/>
              <w:jc w:val="center"/>
              <w:rPr>
                <w:rFonts w:ascii="Arial" w:hAnsi="Arial" w:cs="Arial"/>
                <w:b/>
                <w:sz w:val="16"/>
                <w:szCs w:val="16"/>
              </w:rPr>
            </w:pPr>
            <w:r>
              <w:rPr>
                <w:rFonts w:ascii="Arial" w:hAnsi="Arial"/>
                <w:b/>
                <w:sz w:val="16"/>
                <w:szCs w:val="16"/>
              </w:rPr>
              <w:t>CGN</w:t>
            </w:r>
          </w:p>
        </w:tc>
        <w:tc>
          <w:tcPr>
            <w:tcW w:w="937" w:type="dxa"/>
          </w:tcPr>
          <w:p w14:paraId="448B9BC1" w14:textId="77777777" w:rsidR="006A0566" w:rsidRPr="00496E95" w:rsidRDefault="006A0566" w:rsidP="00CB4698">
            <w:pPr>
              <w:widowControl w:val="0"/>
              <w:jc w:val="center"/>
              <w:rPr>
                <w:rFonts w:ascii="Arial" w:hAnsi="Arial" w:cs="Arial"/>
                <w:b/>
                <w:sz w:val="16"/>
                <w:szCs w:val="16"/>
              </w:rPr>
            </w:pPr>
            <w:r>
              <w:rPr>
                <w:rFonts w:ascii="Arial" w:hAnsi="Arial"/>
                <w:b/>
                <w:sz w:val="16"/>
                <w:szCs w:val="16"/>
              </w:rPr>
              <w:t>FFM</w:t>
            </w:r>
          </w:p>
        </w:tc>
        <w:tc>
          <w:tcPr>
            <w:tcW w:w="932" w:type="dxa"/>
          </w:tcPr>
          <w:p w14:paraId="3AE3122E"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STU</w:t>
            </w:r>
          </w:p>
        </w:tc>
        <w:tc>
          <w:tcPr>
            <w:tcW w:w="936" w:type="dxa"/>
          </w:tcPr>
          <w:p w14:paraId="343D4B19"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MUC</w:t>
            </w:r>
          </w:p>
        </w:tc>
        <w:tc>
          <w:tcPr>
            <w:tcW w:w="800" w:type="dxa"/>
          </w:tcPr>
          <w:p w14:paraId="2E76D680"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Top 7</w:t>
            </w:r>
          </w:p>
        </w:tc>
      </w:tr>
      <w:tr w:rsidR="006A0566" w:rsidRPr="006F49D0" w14:paraId="50C9861D" w14:textId="77777777" w:rsidTr="006C17CE">
        <w:tc>
          <w:tcPr>
            <w:tcW w:w="1939" w:type="dxa"/>
          </w:tcPr>
          <w:p w14:paraId="14677540"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Transaction volume</w:t>
            </w:r>
          </w:p>
          <w:p w14:paraId="6009DF5B" w14:textId="77777777" w:rsidR="006A0566" w:rsidRPr="006F49D0" w:rsidRDefault="006A0566" w:rsidP="00CB4698">
            <w:pPr>
              <w:widowControl w:val="0"/>
              <w:jc w:val="both"/>
              <w:rPr>
                <w:rFonts w:ascii="Arial" w:hAnsi="Arial" w:cs="Arial"/>
                <w:b/>
                <w:sz w:val="16"/>
                <w:szCs w:val="16"/>
              </w:rPr>
            </w:pPr>
            <w:r>
              <w:rPr>
                <w:rFonts w:ascii="Arial" w:hAnsi="Arial"/>
                <w:sz w:val="16"/>
                <w:szCs w:val="16"/>
              </w:rPr>
              <w:t>In €m</w:t>
            </w:r>
          </w:p>
        </w:tc>
        <w:tc>
          <w:tcPr>
            <w:tcW w:w="817" w:type="dxa"/>
            <w:vAlign w:val="center"/>
          </w:tcPr>
          <w:p w14:paraId="75CA8E5B" w14:textId="79DAA0E0" w:rsidR="006A0566" w:rsidRPr="000256CF" w:rsidRDefault="00AA7124" w:rsidP="00AA7124">
            <w:pPr>
              <w:widowControl w:val="0"/>
              <w:jc w:val="center"/>
              <w:rPr>
                <w:rFonts w:ascii="Arial" w:hAnsi="Arial" w:cs="Arial"/>
                <w:sz w:val="16"/>
                <w:szCs w:val="16"/>
              </w:rPr>
            </w:pPr>
            <w:r>
              <w:rPr>
                <w:rFonts w:ascii="Arial" w:hAnsi="Arial"/>
                <w:sz w:val="16"/>
                <w:szCs w:val="16"/>
              </w:rPr>
              <w:t>3,640</w:t>
            </w:r>
          </w:p>
        </w:tc>
        <w:tc>
          <w:tcPr>
            <w:tcW w:w="816" w:type="dxa"/>
            <w:vAlign w:val="center"/>
          </w:tcPr>
          <w:p w14:paraId="76C43343" w14:textId="2728D4B3" w:rsidR="006A0566" w:rsidRPr="00AA7124" w:rsidRDefault="00DB0732" w:rsidP="00CB4698">
            <w:pPr>
              <w:widowControl w:val="0"/>
              <w:jc w:val="center"/>
              <w:rPr>
                <w:rFonts w:ascii="Arial" w:hAnsi="Arial" w:cs="Arial"/>
                <w:sz w:val="16"/>
                <w:szCs w:val="16"/>
                <w:highlight w:val="yellow"/>
              </w:rPr>
            </w:pPr>
            <w:r>
              <w:rPr>
                <w:rFonts w:ascii="Arial" w:hAnsi="Arial"/>
                <w:sz w:val="16"/>
                <w:szCs w:val="16"/>
              </w:rPr>
              <w:t>4,750</w:t>
            </w:r>
          </w:p>
        </w:tc>
        <w:tc>
          <w:tcPr>
            <w:tcW w:w="933" w:type="dxa"/>
            <w:vAlign w:val="center"/>
          </w:tcPr>
          <w:p w14:paraId="5FEF9B6E" w14:textId="4D66C066" w:rsidR="006A0566" w:rsidRPr="00AA7124" w:rsidRDefault="006C17CE" w:rsidP="00CB4698">
            <w:pPr>
              <w:widowControl w:val="0"/>
              <w:jc w:val="center"/>
              <w:rPr>
                <w:rFonts w:ascii="Arial" w:hAnsi="Arial" w:cs="Arial"/>
                <w:sz w:val="16"/>
                <w:szCs w:val="16"/>
                <w:highlight w:val="yellow"/>
              </w:rPr>
            </w:pPr>
            <w:r>
              <w:rPr>
                <w:rFonts w:ascii="Arial" w:hAnsi="Arial"/>
                <w:sz w:val="16"/>
                <w:szCs w:val="16"/>
              </w:rPr>
              <w:t>2,280</w:t>
            </w:r>
          </w:p>
        </w:tc>
        <w:tc>
          <w:tcPr>
            <w:tcW w:w="937" w:type="dxa"/>
            <w:vAlign w:val="center"/>
          </w:tcPr>
          <w:p w14:paraId="062AC22D" w14:textId="3FDBC961" w:rsidR="006A0566" w:rsidRPr="006C17CE" w:rsidRDefault="006C17CE" w:rsidP="00CB4698">
            <w:pPr>
              <w:widowControl w:val="0"/>
              <w:jc w:val="center"/>
              <w:rPr>
                <w:rFonts w:ascii="Arial" w:hAnsi="Arial" w:cs="Arial"/>
                <w:sz w:val="16"/>
                <w:szCs w:val="16"/>
              </w:rPr>
            </w:pPr>
            <w:r>
              <w:rPr>
                <w:rFonts w:ascii="Arial" w:hAnsi="Arial"/>
                <w:sz w:val="16"/>
                <w:szCs w:val="16"/>
              </w:rPr>
              <w:t>1,200</w:t>
            </w:r>
          </w:p>
        </w:tc>
        <w:tc>
          <w:tcPr>
            <w:tcW w:w="937" w:type="dxa"/>
            <w:vAlign w:val="center"/>
          </w:tcPr>
          <w:p w14:paraId="3167EB73" w14:textId="5107BE42" w:rsidR="006A0566" w:rsidRPr="006C17CE" w:rsidRDefault="006C17CE" w:rsidP="00CB4698">
            <w:pPr>
              <w:widowControl w:val="0"/>
              <w:jc w:val="center"/>
              <w:rPr>
                <w:rFonts w:ascii="Arial" w:hAnsi="Arial" w:cs="Arial"/>
                <w:sz w:val="16"/>
                <w:szCs w:val="16"/>
              </w:rPr>
            </w:pPr>
            <w:r>
              <w:rPr>
                <w:rFonts w:ascii="Arial" w:hAnsi="Arial"/>
                <w:sz w:val="16"/>
                <w:szCs w:val="16"/>
              </w:rPr>
              <w:t>3,307</w:t>
            </w:r>
          </w:p>
        </w:tc>
        <w:tc>
          <w:tcPr>
            <w:tcW w:w="932" w:type="dxa"/>
            <w:vAlign w:val="center"/>
          </w:tcPr>
          <w:p w14:paraId="7AC06FF8" w14:textId="53E4B460" w:rsidR="006A0566" w:rsidRPr="006C17CE" w:rsidRDefault="00F84F89" w:rsidP="00CB4698">
            <w:pPr>
              <w:widowControl w:val="0"/>
              <w:jc w:val="center"/>
              <w:rPr>
                <w:rFonts w:ascii="Arial" w:hAnsi="Arial" w:cs="Arial"/>
                <w:sz w:val="16"/>
                <w:szCs w:val="16"/>
              </w:rPr>
            </w:pPr>
            <w:r>
              <w:rPr>
                <w:rFonts w:ascii="Arial" w:hAnsi="Arial" w:cs="Arial"/>
                <w:sz w:val="16"/>
                <w:szCs w:val="16"/>
              </w:rPr>
              <w:t>892</w:t>
            </w:r>
          </w:p>
        </w:tc>
        <w:tc>
          <w:tcPr>
            <w:tcW w:w="936" w:type="dxa"/>
            <w:shd w:val="clear" w:color="auto" w:fill="auto"/>
            <w:vAlign w:val="center"/>
          </w:tcPr>
          <w:p w14:paraId="43946B17" w14:textId="5540D431" w:rsidR="006A0566" w:rsidRPr="006C17CE" w:rsidRDefault="006C17CE" w:rsidP="00CB4698">
            <w:pPr>
              <w:widowControl w:val="0"/>
              <w:jc w:val="center"/>
              <w:rPr>
                <w:rFonts w:ascii="Arial" w:hAnsi="Arial" w:cs="Arial"/>
                <w:sz w:val="16"/>
                <w:szCs w:val="16"/>
              </w:rPr>
            </w:pPr>
            <w:r>
              <w:rPr>
                <w:rFonts w:ascii="Arial" w:hAnsi="Arial"/>
                <w:sz w:val="16"/>
                <w:szCs w:val="16"/>
              </w:rPr>
              <w:t>2,989</w:t>
            </w:r>
          </w:p>
        </w:tc>
        <w:tc>
          <w:tcPr>
            <w:tcW w:w="800" w:type="dxa"/>
            <w:vAlign w:val="center"/>
          </w:tcPr>
          <w:p w14:paraId="2FDD1DB5" w14:textId="155B4EED" w:rsidR="006A0566" w:rsidRPr="006C17CE" w:rsidRDefault="006C17CE" w:rsidP="00F84F89">
            <w:pPr>
              <w:widowControl w:val="0"/>
              <w:jc w:val="center"/>
              <w:rPr>
                <w:rFonts w:ascii="Arial" w:hAnsi="Arial" w:cs="Arial"/>
                <w:b/>
                <w:sz w:val="16"/>
                <w:szCs w:val="16"/>
              </w:rPr>
            </w:pPr>
            <w:r>
              <w:rPr>
                <w:rFonts w:ascii="Arial" w:hAnsi="Arial"/>
                <w:b/>
                <w:sz w:val="16"/>
                <w:szCs w:val="16"/>
              </w:rPr>
              <w:t>1</w:t>
            </w:r>
            <w:r w:rsidR="00F84F89">
              <w:rPr>
                <w:rFonts w:ascii="Arial" w:hAnsi="Arial"/>
                <w:b/>
                <w:sz w:val="16"/>
                <w:szCs w:val="16"/>
              </w:rPr>
              <w:t>9</w:t>
            </w:r>
            <w:r>
              <w:rPr>
                <w:rFonts w:ascii="Arial" w:hAnsi="Arial"/>
                <w:b/>
                <w:sz w:val="16"/>
                <w:szCs w:val="16"/>
              </w:rPr>
              <w:t>,</w:t>
            </w:r>
            <w:r w:rsidR="00F84F89">
              <w:rPr>
                <w:rFonts w:ascii="Arial" w:hAnsi="Arial"/>
                <w:b/>
                <w:sz w:val="16"/>
                <w:szCs w:val="16"/>
              </w:rPr>
              <w:t>058</w:t>
            </w:r>
          </w:p>
        </w:tc>
      </w:tr>
      <w:tr w:rsidR="006A0566" w:rsidRPr="006F49D0" w14:paraId="7380293A" w14:textId="77777777" w:rsidTr="006C17CE">
        <w:tc>
          <w:tcPr>
            <w:tcW w:w="1939" w:type="dxa"/>
          </w:tcPr>
          <w:p w14:paraId="5E2AECD0"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Change</w:t>
            </w:r>
          </w:p>
          <w:p w14:paraId="2FCBBF14"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 xml:space="preserve">against prior </w:t>
            </w:r>
            <w:proofErr w:type="spellStart"/>
            <w:r>
              <w:rPr>
                <w:rFonts w:ascii="Arial" w:hAnsi="Arial"/>
                <w:b/>
                <w:sz w:val="16"/>
                <w:szCs w:val="16"/>
              </w:rPr>
              <w:t>yr</w:t>
            </w:r>
            <w:proofErr w:type="spellEnd"/>
            <w:r>
              <w:rPr>
                <w:rFonts w:ascii="Arial" w:hAnsi="Arial"/>
                <w:sz w:val="16"/>
                <w:szCs w:val="16"/>
              </w:rPr>
              <w:t xml:space="preserve"> in %</w:t>
            </w:r>
          </w:p>
        </w:tc>
        <w:tc>
          <w:tcPr>
            <w:tcW w:w="817" w:type="dxa"/>
            <w:vAlign w:val="center"/>
          </w:tcPr>
          <w:p w14:paraId="366E421A" w14:textId="76D78373" w:rsidR="006A0566" w:rsidRPr="00B45C1F" w:rsidRDefault="00AA7124" w:rsidP="00CB4698">
            <w:pPr>
              <w:widowControl w:val="0"/>
              <w:jc w:val="center"/>
              <w:rPr>
                <w:rFonts w:ascii="Arial" w:hAnsi="Arial" w:cs="Arial"/>
                <w:sz w:val="16"/>
                <w:szCs w:val="16"/>
              </w:rPr>
            </w:pPr>
            <w:r>
              <w:rPr>
                <w:rFonts w:ascii="Arial" w:hAnsi="Arial"/>
                <w:sz w:val="16"/>
                <w:szCs w:val="16"/>
              </w:rPr>
              <w:t>+37</w:t>
            </w:r>
          </w:p>
        </w:tc>
        <w:tc>
          <w:tcPr>
            <w:tcW w:w="816" w:type="dxa"/>
            <w:vAlign w:val="center"/>
          </w:tcPr>
          <w:p w14:paraId="3EEA9F22" w14:textId="59C10B22" w:rsidR="006A0566" w:rsidRPr="00AA7124" w:rsidRDefault="00854409" w:rsidP="00CB4698">
            <w:pPr>
              <w:widowControl w:val="0"/>
              <w:jc w:val="center"/>
              <w:rPr>
                <w:rFonts w:ascii="Arial" w:hAnsi="Arial" w:cs="Arial"/>
                <w:sz w:val="16"/>
                <w:szCs w:val="16"/>
                <w:highlight w:val="yellow"/>
              </w:rPr>
            </w:pPr>
            <w:r>
              <w:rPr>
                <w:rFonts w:ascii="Arial" w:hAnsi="Arial"/>
                <w:sz w:val="16"/>
                <w:szCs w:val="16"/>
              </w:rPr>
              <w:t>-42</w:t>
            </w:r>
          </w:p>
        </w:tc>
        <w:tc>
          <w:tcPr>
            <w:tcW w:w="933" w:type="dxa"/>
            <w:vAlign w:val="center"/>
          </w:tcPr>
          <w:p w14:paraId="49E7C453" w14:textId="7AFF8AC3" w:rsidR="006A0566" w:rsidRPr="00AA7124" w:rsidRDefault="006C17CE" w:rsidP="00CB4698">
            <w:pPr>
              <w:widowControl w:val="0"/>
              <w:jc w:val="center"/>
              <w:rPr>
                <w:rFonts w:ascii="Arial" w:hAnsi="Arial" w:cs="Arial"/>
                <w:sz w:val="16"/>
                <w:szCs w:val="16"/>
                <w:highlight w:val="yellow"/>
              </w:rPr>
            </w:pPr>
            <w:r>
              <w:rPr>
                <w:rFonts w:ascii="Arial" w:hAnsi="Arial"/>
                <w:sz w:val="16"/>
                <w:szCs w:val="16"/>
              </w:rPr>
              <w:t>+36</w:t>
            </w:r>
          </w:p>
        </w:tc>
        <w:tc>
          <w:tcPr>
            <w:tcW w:w="937" w:type="dxa"/>
            <w:vAlign w:val="center"/>
          </w:tcPr>
          <w:p w14:paraId="5B639059" w14:textId="5D0AFFE2" w:rsidR="006A0566" w:rsidRPr="006C17CE" w:rsidRDefault="006C17CE" w:rsidP="00CB4698">
            <w:pPr>
              <w:widowControl w:val="0"/>
              <w:jc w:val="center"/>
              <w:rPr>
                <w:rFonts w:ascii="Arial" w:hAnsi="Arial" w:cs="Arial"/>
                <w:sz w:val="16"/>
                <w:szCs w:val="16"/>
              </w:rPr>
            </w:pPr>
            <w:r>
              <w:rPr>
                <w:rFonts w:ascii="Arial" w:hAnsi="Arial"/>
                <w:sz w:val="16"/>
                <w:szCs w:val="16"/>
              </w:rPr>
              <w:t>-20</w:t>
            </w:r>
          </w:p>
        </w:tc>
        <w:tc>
          <w:tcPr>
            <w:tcW w:w="937" w:type="dxa"/>
            <w:vAlign w:val="center"/>
          </w:tcPr>
          <w:p w14:paraId="15A58B43" w14:textId="04A9BEDC" w:rsidR="006A0566" w:rsidRPr="006C17CE" w:rsidRDefault="006C17CE" w:rsidP="00CB4698">
            <w:pPr>
              <w:widowControl w:val="0"/>
              <w:jc w:val="center"/>
              <w:rPr>
                <w:rFonts w:ascii="Arial" w:hAnsi="Arial" w:cs="Arial"/>
                <w:sz w:val="16"/>
                <w:szCs w:val="16"/>
              </w:rPr>
            </w:pPr>
            <w:r>
              <w:rPr>
                <w:rFonts w:ascii="Arial" w:hAnsi="Arial"/>
                <w:sz w:val="16"/>
                <w:szCs w:val="16"/>
              </w:rPr>
              <w:t>-18</w:t>
            </w:r>
          </w:p>
        </w:tc>
        <w:tc>
          <w:tcPr>
            <w:tcW w:w="932" w:type="dxa"/>
            <w:vAlign w:val="center"/>
          </w:tcPr>
          <w:p w14:paraId="0ADC5685" w14:textId="6A7E42A0" w:rsidR="006A0566" w:rsidRPr="006C17CE" w:rsidRDefault="00F84F89" w:rsidP="00CB4698">
            <w:pPr>
              <w:widowControl w:val="0"/>
              <w:jc w:val="center"/>
              <w:rPr>
                <w:rFonts w:ascii="Arial" w:hAnsi="Arial" w:cs="Arial"/>
                <w:sz w:val="16"/>
                <w:szCs w:val="16"/>
              </w:rPr>
            </w:pPr>
            <w:r>
              <w:rPr>
                <w:rFonts w:ascii="Arial" w:hAnsi="Arial"/>
                <w:sz w:val="16"/>
                <w:szCs w:val="16"/>
              </w:rPr>
              <w:t>-2</w:t>
            </w:r>
            <w:r w:rsidR="006C17CE">
              <w:rPr>
                <w:rFonts w:ascii="Arial" w:hAnsi="Arial"/>
                <w:sz w:val="16"/>
                <w:szCs w:val="16"/>
              </w:rPr>
              <w:t>8</w:t>
            </w:r>
          </w:p>
        </w:tc>
        <w:tc>
          <w:tcPr>
            <w:tcW w:w="936" w:type="dxa"/>
            <w:shd w:val="clear" w:color="auto" w:fill="auto"/>
            <w:vAlign w:val="center"/>
          </w:tcPr>
          <w:p w14:paraId="41EFE33D" w14:textId="0924877B" w:rsidR="006A0566" w:rsidRPr="006C17CE" w:rsidRDefault="006C17CE" w:rsidP="00CB4698">
            <w:pPr>
              <w:widowControl w:val="0"/>
              <w:jc w:val="center"/>
              <w:rPr>
                <w:rFonts w:ascii="Arial" w:hAnsi="Arial" w:cs="Arial"/>
                <w:sz w:val="16"/>
                <w:szCs w:val="16"/>
              </w:rPr>
            </w:pPr>
            <w:r>
              <w:rPr>
                <w:rFonts w:ascii="Arial" w:hAnsi="Arial"/>
                <w:sz w:val="16"/>
                <w:szCs w:val="16"/>
              </w:rPr>
              <w:t>-32</w:t>
            </w:r>
          </w:p>
        </w:tc>
        <w:tc>
          <w:tcPr>
            <w:tcW w:w="800" w:type="dxa"/>
            <w:vAlign w:val="center"/>
          </w:tcPr>
          <w:p w14:paraId="2AED7A78" w14:textId="7FF39A71" w:rsidR="006A0566" w:rsidRPr="006C17CE" w:rsidRDefault="00F84F89" w:rsidP="000A0966">
            <w:pPr>
              <w:widowControl w:val="0"/>
              <w:jc w:val="center"/>
              <w:rPr>
                <w:rFonts w:ascii="Arial" w:hAnsi="Arial" w:cs="Arial"/>
                <w:b/>
                <w:sz w:val="16"/>
                <w:szCs w:val="16"/>
              </w:rPr>
            </w:pPr>
            <w:r>
              <w:rPr>
                <w:rFonts w:ascii="Arial" w:hAnsi="Arial"/>
                <w:b/>
                <w:sz w:val="16"/>
                <w:szCs w:val="16"/>
              </w:rPr>
              <w:t>-19</w:t>
            </w:r>
          </w:p>
        </w:tc>
      </w:tr>
      <w:tr w:rsidR="006A0566" w:rsidRPr="006F49D0" w14:paraId="416875DA" w14:textId="77777777" w:rsidTr="006C17CE">
        <w:tc>
          <w:tcPr>
            <w:tcW w:w="1939" w:type="dxa"/>
          </w:tcPr>
          <w:p w14:paraId="16BA9BE5" w14:textId="77777777" w:rsidR="006A0566" w:rsidRDefault="006A0566" w:rsidP="00CB4698">
            <w:pPr>
              <w:widowControl w:val="0"/>
              <w:jc w:val="both"/>
              <w:rPr>
                <w:rFonts w:ascii="Arial" w:hAnsi="Arial" w:cs="Arial"/>
                <w:b/>
                <w:sz w:val="16"/>
                <w:szCs w:val="16"/>
              </w:rPr>
            </w:pPr>
            <w:r>
              <w:rPr>
                <w:rFonts w:ascii="Arial" w:hAnsi="Arial"/>
                <w:b/>
                <w:sz w:val="16"/>
                <w:szCs w:val="16"/>
              </w:rPr>
              <w:t>Prime yield*, offices</w:t>
            </w:r>
          </w:p>
          <w:p w14:paraId="0FFB638E" w14:textId="77777777" w:rsidR="006A0566" w:rsidRPr="006F49D0" w:rsidRDefault="006A0566" w:rsidP="00CB4698">
            <w:pPr>
              <w:widowControl w:val="0"/>
              <w:jc w:val="both"/>
              <w:rPr>
                <w:rFonts w:ascii="Arial" w:hAnsi="Arial" w:cs="Arial"/>
                <w:b/>
                <w:sz w:val="16"/>
                <w:szCs w:val="16"/>
              </w:rPr>
            </w:pPr>
            <w:r>
              <w:rPr>
                <w:rFonts w:ascii="Arial" w:hAnsi="Arial"/>
                <w:sz w:val="16"/>
                <w:szCs w:val="16"/>
              </w:rPr>
              <w:t>in %</w:t>
            </w:r>
          </w:p>
        </w:tc>
        <w:tc>
          <w:tcPr>
            <w:tcW w:w="817" w:type="dxa"/>
            <w:vAlign w:val="center"/>
          </w:tcPr>
          <w:p w14:paraId="3A26FD60" w14:textId="77777777" w:rsidR="006A0566" w:rsidRPr="00B372B7" w:rsidRDefault="006A0566" w:rsidP="00CB4698">
            <w:pPr>
              <w:widowControl w:val="0"/>
              <w:jc w:val="center"/>
              <w:rPr>
                <w:rFonts w:ascii="Arial" w:hAnsi="Arial" w:cs="Arial"/>
                <w:sz w:val="16"/>
                <w:szCs w:val="16"/>
              </w:rPr>
            </w:pPr>
            <w:r>
              <w:rPr>
                <w:rFonts w:ascii="Arial" w:hAnsi="Arial"/>
                <w:sz w:val="16"/>
                <w:szCs w:val="16"/>
              </w:rPr>
              <w:t>2.80</w:t>
            </w:r>
          </w:p>
        </w:tc>
        <w:tc>
          <w:tcPr>
            <w:tcW w:w="816" w:type="dxa"/>
            <w:vAlign w:val="center"/>
          </w:tcPr>
          <w:p w14:paraId="04D32DF6" w14:textId="77777777" w:rsidR="006A0566" w:rsidRPr="006C17CE" w:rsidRDefault="006A0566" w:rsidP="00CB4698">
            <w:pPr>
              <w:widowControl w:val="0"/>
              <w:jc w:val="center"/>
              <w:rPr>
                <w:rFonts w:ascii="Arial" w:hAnsi="Arial" w:cs="Arial"/>
                <w:sz w:val="16"/>
                <w:szCs w:val="16"/>
              </w:rPr>
            </w:pPr>
            <w:r>
              <w:rPr>
                <w:rFonts w:ascii="Arial" w:hAnsi="Arial"/>
                <w:sz w:val="16"/>
                <w:szCs w:val="16"/>
              </w:rPr>
              <w:t>2.70</w:t>
            </w:r>
          </w:p>
        </w:tc>
        <w:tc>
          <w:tcPr>
            <w:tcW w:w="933" w:type="dxa"/>
            <w:vAlign w:val="center"/>
          </w:tcPr>
          <w:p w14:paraId="3496E0ED" w14:textId="77777777" w:rsidR="006A0566" w:rsidRPr="006C17CE" w:rsidRDefault="006A0566" w:rsidP="00CB4698">
            <w:pPr>
              <w:widowControl w:val="0"/>
              <w:jc w:val="center"/>
              <w:rPr>
                <w:rFonts w:ascii="Arial" w:hAnsi="Arial" w:cs="Arial"/>
                <w:sz w:val="16"/>
                <w:szCs w:val="16"/>
              </w:rPr>
            </w:pPr>
            <w:r>
              <w:rPr>
                <w:rFonts w:ascii="Arial" w:hAnsi="Arial"/>
                <w:sz w:val="16"/>
                <w:szCs w:val="16"/>
              </w:rPr>
              <w:t>2.95</w:t>
            </w:r>
          </w:p>
        </w:tc>
        <w:tc>
          <w:tcPr>
            <w:tcW w:w="937" w:type="dxa"/>
            <w:vAlign w:val="center"/>
          </w:tcPr>
          <w:p w14:paraId="1B3FC488" w14:textId="77777777" w:rsidR="006A0566" w:rsidRPr="006C17CE" w:rsidRDefault="006A0566" w:rsidP="00CB4698">
            <w:pPr>
              <w:widowControl w:val="0"/>
              <w:jc w:val="center"/>
              <w:rPr>
                <w:rFonts w:ascii="Arial" w:hAnsi="Arial" w:cs="Arial"/>
                <w:sz w:val="16"/>
                <w:szCs w:val="16"/>
              </w:rPr>
            </w:pPr>
            <w:r>
              <w:rPr>
                <w:rFonts w:ascii="Arial" w:hAnsi="Arial"/>
                <w:sz w:val="16"/>
                <w:szCs w:val="16"/>
              </w:rPr>
              <w:t>3.00</w:t>
            </w:r>
          </w:p>
        </w:tc>
        <w:tc>
          <w:tcPr>
            <w:tcW w:w="937" w:type="dxa"/>
            <w:vAlign w:val="center"/>
          </w:tcPr>
          <w:p w14:paraId="7863667A" w14:textId="77777777" w:rsidR="006A0566" w:rsidRPr="006C17CE" w:rsidRDefault="006A0566" w:rsidP="00CB4698">
            <w:pPr>
              <w:widowControl w:val="0"/>
              <w:jc w:val="center"/>
              <w:rPr>
                <w:rFonts w:ascii="Arial" w:hAnsi="Arial" w:cs="Arial"/>
                <w:sz w:val="16"/>
                <w:szCs w:val="16"/>
              </w:rPr>
            </w:pPr>
            <w:r>
              <w:rPr>
                <w:rFonts w:ascii="Arial" w:hAnsi="Arial"/>
                <w:sz w:val="16"/>
                <w:szCs w:val="16"/>
              </w:rPr>
              <w:t>2.95</w:t>
            </w:r>
          </w:p>
        </w:tc>
        <w:tc>
          <w:tcPr>
            <w:tcW w:w="932" w:type="dxa"/>
            <w:vAlign w:val="center"/>
          </w:tcPr>
          <w:p w14:paraId="185F44B1" w14:textId="5537FCC9" w:rsidR="006A0566" w:rsidRPr="006C17CE" w:rsidRDefault="00F84F89" w:rsidP="00CB4698">
            <w:pPr>
              <w:widowControl w:val="0"/>
              <w:jc w:val="center"/>
              <w:rPr>
                <w:rFonts w:ascii="Arial" w:hAnsi="Arial" w:cs="Arial"/>
                <w:sz w:val="16"/>
                <w:szCs w:val="16"/>
              </w:rPr>
            </w:pPr>
            <w:r>
              <w:rPr>
                <w:rFonts w:ascii="Arial" w:hAnsi="Arial"/>
                <w:sz w:val="16"/>
                <w:szCs w:val="16"/>
              </w:rPr>
              <w:t>2,80</w:t>
            </w:r>
          </w:p>
        </w:tc>
        <w:tc>
          <w:tcPr>
            <w:tcW w:w="936" w:type="dxa"/>
            <w:shd w:val="clear" w:color="auto" w:fill="auto"/>
            <w:vAlign w:val="center"/>
          </w:tcPr>
          <w:p w14:paraId="19DB0335" w14:textId="77777777" w:rsidR="006A0566" w:rsidRPr="006C17CE" w:rsidRDefault="006A0566" w:rsidP="00CB4698">
            <w:pPr>
              <w:widowControl w:val="0"/>
              <w:jc w:val="center"/>
              <w:rPr>
                <w:rFonts w:ascii="Arial" w:hAnsi="Arial" w:cs="Arial"/>
                <w:sz w:val="16"/>
                <w:szCs w:val="16"/>
              </w:rPr>
            </w:pPr>
            <w:r>
              <w:rPr>
                <w:rFonts w:ascii="Arial" w:hAnsi="Arial"/>
                <w:sz w:val="16"/>
                <w:szCs w:val="16"/>
              </w:rPr>
              <w:t>3.00</w:t>
            </w:r>
          </w:p>
        </w:tc>
        <w:tc>
          <w:tcPr>
            <w:tcW w:w="800" w:type="dxa"/>
            <w:vAlign w:val="center"/>
          </w:tcPr>
          <w:p w14:paraId="0216D7FB" w14:textId="1040BA36" w:rsidR="006A0566" w:rsidRPr="006C17CE" w:rsidRDefault="006A0566" w:rsidP="00F84F89">
            <w:pPr>
              <w:widowControl w:val="0"/>
              <w:jc w:val="center"/>
              <w:rPr>
                <w:rFonts w:ascii="Arial" w:hAnsi="Arial" w:cs="Arial"/>
                <w:b/>
                <w:sz w:val="16"/>
                <w:szCs w:val="16"/>
              </w:rPr>
            </w:pPr>
            <w:r>
              <w:rPr>
                <w:rFonts w:ascii="Arial" w:hAnsi="Arial"/>
                <w:b/>
                <w:sz w:val="16"/>
                <w:szCs w:val="16"/>
              </w:rPr>
              <w:t>2.</w:t>
            </w:r>
            <w:r w:rsidR="00F84F89">
              <w:rPr>
                <w:rFonts w:ascii="Arial" w:hAnsi="Arial"/>
                <w:b/>
                <w:sz w:val="16"/>
                <w:szCs w:val="16"/>
              </w:rPr>
              <w:t>89</w:t>
            </w:r>
          </w:p>
        </w:tc>
      </w:tr>
      <w:tr w:rsidR="006A0566" w:rsidRPr="006F49D0" w14:paraId="1D0629D1" w14:textId="77777777" w:rsidTr="006C17CE">
        <w:tc>
          <w:tcPr>
            <w:tcW w:w="1939" w:type="dxa"/>
          </w:tcPr>
          <w:p w14:paraId="5F7DF27B"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 xml:space="preserve">against prior </w:t>
            </w:r>
            <w:proofErr w:type="spellStart"/>
            <w:r>
              <w:rPr>
                <w:rFonts w:ascii="Arial" w:hAnsi="Arial"/>
                <w:b/>
                <w:sz w:val="16"/>
                <w:szCs w:val="16"/>
              </w:rPr>
              <w:t>yr</w:t>
            </w:r>
            <w:proofErr w:type="spellEnd"/>
            <w:r>
              <w:rPr>
                <w:rFonts w:ascii="Arial" w:hAnsi="Arial"/>
                <w:sz w:val="16"/>
                <w:szCs w:val="16"/>
              </w:rPr>
              <w:t xml:space="preserve"> in percentage points</w:t>
            </w:r>
          </w:p>
        </w:tc>
        <w:tc>
          <w:tcPr>
            <w:tcW w:w="817" w:type="dxa"/>
            <w:vAlign w:val="center"/>
          </w:tcPr>
          <w:p w14:paraId="7DCC31B2" w14:textId="77777777" w:rsidR="006A0566" w:rsidRPr="00806F64" w:rsidRDefault="006A0566" w:rsidP="00CB4698">
            <w:pPr>
              <w:widowControl w:val="0"/>
              <w:jc w:val="center"/>
              <w:rPr>
                <w:rFonts w:ascii="Arial" w:hAnsi="Arial" w:cs="Arial"/>
                <w:sz w:val="16"/>
                <w:szCs w:val="16"/>
              </w:rPr>
            </w:pPr>
            <w:r>
              <w:rPr>
                <w:rFonts w:ascii="Arial" w:hAnsi="Arial"/>
                <w:sz w:val="16"/>
                <w:szCs w:val="16"/>
              </w:rPr>
              <w:t>0.00</w:t>
            </w:r>
          </w:p>
        </w:tc>
        <w:tc>
          <w:tcPr>
            <w:tcW w:w="816" w:type="dxa"/>
            <w:vAlign w:val="center"/>
          </w:tcPr>
          <w:p w14:paraId="1D9B71C7" w14:textId="77777777" w:rsidR="006A0566" w:rsidRPr="006C17CE" w:rsidRDefault="006A0566" w:rsidP="00CB4698">
            <w:pPr>
              <w:widowControl w:val="0"/>
              <w:jc w:val="center"/>
              <w:rPr>
                <w:rFonts w:ascii="Arial" w:hAnsi="Arial" w:cs="Arial"/>
                <w:sz w:val="16"/>
                <w:szCs w:val="16"/>
              </w:rPr>
            </w:pPr>
            <w:r>
              <w:rPr>
                <w:rFonts w:ascii="Arial" w:hAnsi="Arial"/>
                <w:sz w:val="16"/>
                <w:szCs w:val="16"/>
              </w:rPr>
              <w:t>-0.20</w:t>
            </w:r>
          </w:p>
        </w:tc>
        <w:tc>
          <w:tcPr>
            <w:tcW w:w="933" w:type="dxa"/>
            <w:vAlign w:val="center"/>
          </w:tcPr>
          <w:p w14:paraId="6F68995C" w14:textId="77777777" w:rsidR="006A0566" w:rsidRPr="006C17CE" w:rsidRDefault="006A0566" w:rsidP="00CB4698">
            <w:pPr>
              <w:widowControl w:val="0"/>
              <w:jc w:val="center"/>
              <w:rPr>
                <w:rFonts w:ascii="Arial" w:hAnsi="Arial" w:cs="Arial"/>
                <w:sz w:val="16"/>
                <w:szCs w:val="16"/>
              </w:rPr>
            </w:pPr>
            <w:r>
              <w:rPr>
                <w:rFonts w:ascii="Arial" w:hAnsi="Arial"/>
                <w:sz w:val="16"/>
                <w:szCs w:val="16"/>
              </w:rPr>
              <w:t>-0.05</w:t>
            </w:r>
          </w:p>
        </w:tc>
        <w:tc>
          <w:tcPr>
            <w:tcW w:w="937" w:type="dxa"/>
            <w:vAlign w:val="center"/>
          </w:tcPr>
          <w:p w14:paraId="1AD055DC" w14:textId="77777777" w:rsidR="006A0566" w:rsidRPr="006C17CE" w:rsidRDefault="006A0566" w:rsidP="00CB4698">
            <w:pPr>
              <w:widowControl w:val="0"/>
              <w:jc w:val="center"/>
              <w:rPr>
                <w:rFonts w:ascii="Arial" w:hAnsi="Arial" w:cs="Arial"/>
                <w:sz w:val="16"/>
                <w:szCs w:val="16"/>
              </w:rPr>
            </w:pPr>
            <w:r>
              <w:rPr>
                <w:rFonts w:ascii="Arial" w:hAnsi="Arial"/>
                <w:sz w:val="16"/>
                <w:szCs w:val="16"/>
              </w:rPr>
              <w:t>-0.20</w:t>
            </w:r>
          </w:p>
        </w:tc>
        <w:tc>
          <w:tcPr>
            <w:tcW w:w="937" w:type="dxa"/>
            <w:vAlign w:val="center"/>
          </w:tcPr>
          <w:p w14:paraId="457AA114" w14:textId="77777777" w:rsidR="006A0566" w:rsidRPr="006C17CE" w:rsidRDefault="006A0566" w:rsidP="00CB4698">
            <w:pPr>
              <w:widowControl w:val="0"/>
              <w:jc w:val="center"/>
              <w:rPr>
                <w:rFonts w:ascii="Arial" w:hAnsi="Arial" w:cs="Arial"/>
                <w:sz w:val="16"/>
                <w:szCs w:val="16"/>
              </w:rPr>
            </w:pPr>
            <w:r>
              <w:rPr>
                <w:rFonts w:ascii="Arial" w:hAnsi="Arial"/>
                <w:sz w:val="16"/>
                <w:szCs w:val="16"/>
              </w:rPr>
              <w:t>0.00</w:t>
            </w:r>
          </w:p>
        </w:tc>
        <w:tc>
          <w:tcPr>
            <w:tcW w:w="932" w:type="dxa"/>
            <w:vAlign w:val="center"/>
          </w:tcPr>
          <w:p w14:paraId="0C825309" w14:textId="519FEBF8" w:rsidR="006A0566" w:rsidRPr="006C17CE" w:rsidRDefault="00F84F89" w:rsidP="00F84F89">
            <w:pPr>
              <w:widowControl w:val="0"/>
              <w:jc w:val="center"/>
              <w:rPr>
                <w:rFonts w:ascii="Arial" w:hAnsi="Arial" w:cs="Arial"/>
                <w:sz w:val="16"/>
                <w:szCs w:val="16"/>
              </w:rPr>
            </w:pPr>
            <w:r>
              <w:rPr>
                <w:rFonts w:ascii="Arial" w:hAnsi="Arial"/>
                <w:sz w:val="16"/>
                <w:szCs w:val="16"/>
              </w:rPr>
              <w:t>-</w:t>
            </w:r>
            <w:r w:rsidR="006A0566">
              <w:rPr>
                <w:rFonts w:ascii="Arial" w:hAnsi="Arial"/>
                <w:sz w:val="16"/>
                <w:szCs w:val="16"/>
              </w:rPr>
              <w:t>0</w:t>
            </w:r>
            <w:r>
              <w:rPr>
                <w:rFonts w:ascii="Arial" w:hAnsi="Arial"/>
                <w:sz w:val="16"/>
                <w:szCs w:val="16"/>
              </w:rPr>
              <w:t>.2</w:t>
            </w:r>
            <w:r w:rsidR="006A0566">
              <w:rPr>
                <w:rFonts w:ascii="Arial" w:hAnsi="Arial"/>
                <w:sz w:val="16"/>
                <w:szCs w:val="16"/>
              </w:rPr>
              <w:t>0</w:t>
            </w:r>
          </w:p>
        </w:tc>
        <w:tc>
          <w:tcPr>
            <w:tcW w:w="936" w:type="dxa"/>
            <w:shd w:val="clear" w:color="auto" w:fill="auto"/>
            <w:vAlign w:val="center"/>
          </w:tcPr>
          <w:p w14:paraId="7EB840C7" w14:textId="1E8D9A69" w:rsidR="006A0566" w:rsidRPr="006C17CE" w:rsidRDefault="006C17CE" w:rsidP="00CB4698">
            <w:pPr>
              <w:widowControl w:val="0"/>
              <w:jc w:val="center"/>
              <w:rPr>
                <w:rFonts w:ascii="Arial" w:hAnsi="Arial" w:cs="Arial"/>
                <w:sz w:val="16"/>
                <w:szCs w:val="16"/>
              </w:rPr>
            </w:pPr>
            <w:r>
              <w:rPr>
                <w:rFonts w:ascii="Arial" w:hAnsi="Arial"/>
                <w:sz w:val="16"/>
                <w:szCs w:val="16"/>
              </w:rPr>
              <w:t>0.30</w:t>
            </w:r>
          </w:p>
        </w:tc>
        <w:tc>
          <w:tcPr>
            <w:tcW w:w="800" w:type="dxa"/>
            <w:vAlign w:val="center"/>
          </w:tcPr>
          <w:p w14:paraId="7D9A218D" w14:textId="36E38237" w:rsidR="006A0566" w:rsidRPr="006C17CE" w:rsidRDefault="00F84F89" w:rsidP="00CB4698">
            <w:pPr>
              <w:widowControl w:val="0"/>
              <w:jc w:val="center"/>
              <w:rPr>
                <w:rFonts w:ascii="Arial" w:hAnsi="Arial" w:cs="Arial"/>
                <w:b/>
                <w:sz w:val="16"/>
                <w:szCs w:val="16"/>
              </w:rPr>
            </w:pPr>
            <w:r>
              <w:rPr>
                <w:rFonts w:ascii="Arial" w:hAnsi="Arial"/>
                <w:b/>
                <w:sz w:val="16"/>
                <w:szCs w:val="16"/>
              </w:rPr>
              <w:t>-0.05</w:t>
            </w:r>
          </w:p>
        </w:tc>
      </w:tr>
      <w:tr w:rsidR="006A0566" w:rsidRPr="006F49D0" w14:paraId="50B975E3" w14:textId="77777777" w:rsidTr="006C17CE">
        <w:tc>
          <w:tcPr>
            <w:tcW w:w="1939" w:type="dxa"/>
          </w:tcPr>
          <w:p w14:paraId="107EF9B1"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Prime yield*, logistics</w:t>
            </w:r>
            <w:r>
              <w:rPr>
                <w:rFonts w:ascii="Arial" w:hAnsi="Arial"/>
                <w:sz w:val="16"/>
                <w:szCs w:val="16"/>
              </w:rPr>
              <w:t xml:space="preserve"> in %</w:t>
            </w:r>
          </w:p>
        </w:tc>
        <w:tc>
          <w:tcPr>
            <w:tcW w:w="817" w:type="dxa"/>
            <w:vAlign w:val="center"/>
          </w:tcPr>
          <w:p w14:paraId="723DA8B4" w14:textId="77777777" w:rsidR="006A0566" w:rsidRPr="00132236" w:rsidRDefault="006A0566" w:rsidP="00CB4698">
            <w:pPr>
              <w:widowControl w:val="0"/>
              <w:jc w:val="center"/>
              <w:rPr>
                <w:rFonts w:ascii="Arial" w:hAnsi="Arial" w:cs="Arial"/>
                <w:sz w:val="16"/>
                <w:szCs w:val="16"/>
              </w:rPr>
            </w:pPr>
            <w:r>
              <w:rPr>
                <w:rFonts w:ascii="Arial" w:hAnsi="Arial"/>
                <w:sz w:val="16"/>
                <w:szCs w:val="16"/>
              </w:rPr>
              <w:t>4.20</w:t>
            </w:r>
          </w:p>
        </w:tc>
        <w:tc>
          <w:tcPr>
            <w:tcW w:w="816" w:type="dxa"/>
            <w:vAlign w:val="center"/>
          </w:tcPr>
          <w:p w14:paraId="427E0471" w14:textId="77777777" w:rsidR="006A0566" w:rsidRPr="006C17CE" w:rsidRDefault="006A0566" w:rsidP="00CB4698">
            <w:pPr>
              <w:widowControl w:val="0"/>
              <w:jc w:val="center"/>
              <w:rPr>
                <w:rFonts w:ascii="Arial" w:hAnsi="Arial" w:cs="Arial"/>
                <w:sz w:val="16"/>
                <w:szCs w:val="16"/>
              </w:rPr>
            </w:pPr>
            <w:r>
              <w:rPr>
                <w:rFonts w:ascii="Arial" w:hAnsi="Arial"/>
                <w:sz w:val="16"/>
                <w:szCs w:val="16"/>
              </w:rPr>
              <w:t>3.80</w:t>
            </w:r>
          </w:p>
        </w:tc>
        <w:tc>
          <w:tcPr>
            <w:tcW w:w="933" w:type="dxa"/>
            <w:vAlign w:val="center"/>
          </w:tcPr>
          <w:p w14:paraId="777D310C" w14:textId="77777777" w:rsidR="006A0566" w:rsidRPr="006C17CE" w:rsidRDefault="006A0566" w:rsidP="00CB4698">
            <w:pPr>
              <w:widowControl w:val="0"/>
              <w:jc w:val="center"/>
              <w:rPr>
                <w:rFonts w:ascii="Arial" w:hAnsi="Arial" w:cs="Arial"/>
                <w:sz w:val="16"/>
                <w:szCs w:val="16"/>
              </w:rPr>
            </w:pPr>
            <w:r>
              <w:rPr>
                <w:rFonts w:ascii="Arial" w:hAnsi="Arial"/>
                <w:sz w:val="16"/>
                <w:szCs w:val="16"/>
              </w:rPr>
              <w:t>4.00</w:t>
            </w:r>
          </w:p>
        </w:tc>
        <w:tc>
          <w:tcPr>
            <w:tcW w:w="937" w:type="dxa"/>
            <w:vAlign w:val="center"/>
          </w:tcPr>
          <w:p w14:paraId="18CF9CF0" w14:textId="239A7A61" w:rsidR="006A0566" w:rsidRPr="006C17CE" w:rsidRDefault="00AD0891" w:rsidP="00AD0891">
            <w:pPr>
              <w:widowControl w:val="0"/>
              <w:jc w:val="center"/>
              <w:rPr>
                <w:rFonts w:ascii="Arial" w:hAnsi="Arial" w:cs="Arial"/>
                <w:sz w:val="16"/>
                <w:szCs w:val="16"/>
              </w:rPr>
            </w:pPr>
            <w:r>
              <w:rPr>
                <w:rFonts w:ascii="Arial" w:hAnsi="Arial"/>
                <w:sz w:val="16"/>
                <w:szCs w:val="16"/>
              </w:rPr>
              <w:t>3.80</w:t>
            </w:r>
          </w:p>
        </w:tc>
        <w:tc>
          <w:tcPr>
            <w:tcW w:w="937" w:type="dxa"/>
            <w:vAlign w:val="center"/>
          </w:tcPr>
          <w:p w14:paraId="6FC45529" w14:textId="7B97118C" w:rsidR="006A0566" w:rsidRPr="006C17CE" w:rsidRDefault="006A0566" w:rsidP="006C17CE">
            <w:pPr>
              <w:widowControl w:val="0"/>
              <w:jc w:val="center"/>
              <w:rPr>
                <w:rFonts w:ascii="Arial" w:hAnsi="Arial" w:cs="Arial"/>
                <w:sz w:val="16"/>
                <w:szCs w:val="16"/>
              </w:rPr>
            </w:pPr>
            <w:r>
              <w:rPr>
                <w:rFonts w:ascii="Arial" w:hAnsi="Arial"/>
                <w:sz w:val="16"/>
                <w:szCs w:val="16"/>
              </w:rPr>
              <w:t>3.70</w:t>
            </w:r>
          </w:p>
        </w:tc>
        <w:tc>
          <w:tcPr>
            <w:tcW w:w="932" w:type="dxa"/>
            <w:vAlign w:val="center"/>
          </w:tcPr>
          <w:p w14:paraId="5A040C04" w14:textId="49E30CD8" w:rsidR="006A0566" w:rsidRPr="006C17CE" w:rsidRDefault="006A0566" w:rsidP="00DE33B5">
            <w:pPr>
              <w:widowControl w:val="0"/>
              <w:jc w:val="center"/>
              <w:rPr>
                <w:rFonts w:ascii="Arial" w:hAnsi="Arial" w:cs="Arial"/>
                <w:sz w:val="16"/>
                <w:szCs w:val="16"/>
              </w:rPr>
            </w:pPr>
            <w:r>
              <w:rPr>
                <w:rFonts w:ascii="Arial" w:hAnsi="Arial"/>
                <w:sz w:val="16"/>
                <w:szCs w:val="16"/>
              </w:rPr>
              <w:t>4.20</w:t>
            </w:r>
          </w:p>
        </w:tc>
        <w:tc>
          <w:tcPr>
            <w:tcW w:w="936" w:type="dxa"/>
            <w:shd w:val="clear" w:color="auto" w:fill="auto"/>
            <w:vAlign w:val="center"/>
          </w:tcPr>
          <w:p w14:paraId="684DD4AF" w14:textId="77777777" w:rsidR="006A0566" w:rsidRPr="006C17CE" w:rsidRDefault="006A0566" w:rsidP="00CB4698">
            <w:pPr>
              <w:widowControl w:val="0"/>
              <w:jc w:val="center"/>
              <w:rPr>
                <w:rFonts w:ascii="Arial" w:hAnsi="Arial" w:cs="Arial"/>
                <w:sz w:val="16"/>
                <w:szCs w:val="16"/>
              </w:rPr>
            </w:pPr>
            <w:r>
              <w:rPr>
                <w:rFonts w:ascii="Arial" w:hAnsi="Arial"/>
                <w:sz w:val="16"/>
                <w:szCs w:val="16"/>
              </w:rPr>
              <w:t>4.00</w:t>
            </w:r>
          </w:p>
        </w:tc>
        <w:tc>
          <w:tcPr>
            <w:tcW w:w="800" w:type="dxa"/>
            <w:vAlign w:val="center"/>
          </w:tcPr>
          <w:p w14:paraId="0CE5389C" w14:textId="16F9EB9C" w:rsidR="006A0566" w:rsidRPr="006C17CE" w:rsidRDefault="00DE33B5" w:rsidP="00CB4698">
            <w:pPr>
              <w:widowControl w:val="0"/>
              <w:jc w:val="center"/>
              <w:rPr>
                <w:rFonts w:ascii="Arial" w:hAnsi="Arial" w:cs="Arial"/>
                <w:b/>
                <w:sz w:val="16"/>
                <w:szCs w:val="16"/>
              </w:rPr>
            </w:pPr>
            <w:r>
              <w:rPr>
                <w:rFonts w:ascii="Arial" w:hAnsi="Arial"/>
                <w:b/>
                <w:sz w:val="16"/>
                <w:szCs w:val="16"/>
              </w:rPr>
              <w:t>3.96</w:t>
            </w:r>
          </w:p>
        </w:tc>
      </w:tr>
      <w:tr w:rsidR="006A0566" w:rsidRPr="006F49D0" w14:paraId="0E1157E4" w14:textId="77777777" w:rsidTr="006C17CE">
        <w:tc>
          <w:tcPr>
            <w:tcW w:w="1939" w:type="dxa"/>
          </w:tcPr>
          <w:p w14:paraId="75EC6EA9"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 xml:space="preserve">against prior </w:t>
            </w:r>
            <w:proofErr w:type="spellStart"/>
            <w:r>
              <w:rPr>
                <w:rFonts w:ascii="Arial" w:hAnsi="Arial"/>
                <w:b/>
                <w:sz w:val="16"/>
                <w:szCs w:val="16"/>
              </w:rPr>
              <w:t>yr</w:t>
            </w:r>
            <w:proofErr w:type="spellEnd"/>
            <w:r>
              <w:rPr>
                <w:rFonts w:ascii="Arial" w:hAnsi="Arial"/>
                <w:sz w:val="16"/>
                <w:szCs w:val="16"/>
              </w:rPr>
              <w:t xml:space="preserve"> in percentage points</w:t>
            </w:r>
          </w:p>
        </w:tc>
        <w:tc>
          <w:tcPr>
            <w:tcW w:w="817" w:type="dxa"/>
            <w:vAlign w:val="center"/>
          </w:tcPr>
          <w:p w14:paraId="0A5E4A80" w14:textId="77777777" w:rsidR="006A0566" w:rsidRPr="006F37CD" w:rsidRDefault="006A0566" w:rsidP="00CB4698">
            <w:pPr>
              <w:widowControl w:val="0"/>
              <w:jc w:val="center"/>
              <w:rPr>
                <w:rFonts w:ascii="Arial" w:hAnsi="Arial" w:cs="Arial"/>
                <w:sz w:val="16"/>
                <w:szCs w:val="16"/>
              </w:rPr>
            </w:pPr>
            <w:r>
              <w:rPr>
                <w:rFonts w:ascii="Arial" w:hAnsi="Arial"/>
                <w:sz w:val="16"/>
                <w:szCs w:val="16"/>
              </w:rPr>
              <w:t>-0.30</w:t>
            </w:r>
          </w:p>
        </w:tc>
        <w:tc>
          <w:tcPr>
            <w:tcW w:w="816" w:type="dxa"/>
            <w:vAlign w:val="center"/>
          </w:tcPr>
          <w:p w14:paraId="5E5CC2C6" w14:textId="77777777" w:rsidR="006A0566" w:rsidRPr="006C17CE" w:rsidRDefault="006A0566" w:rsidP="00CB4698">
            <w:pPr>
              <w:widowControl w:val="0"/>
              <w:jc w:val="center"/>
              <w:rPr>
                <w:rFonts w:ascii="Arial" w:hAnsi="Arial" w:cs="Arial"/>
                <w:sz w:val="16"/>
                <w:szCs w:val="16"/>
              </w:rPr>
            </w:pPr>
            <w:r>
              <w:rPr>
                <w:rFonts w:ascii="Arial" w:hAnsi="Arial"/>
                <w:sz w:val="16"/>
                <w:szCs w:val="16"/>
              </w:rPr>
              <w:t>-0.40</w:t>
            </w:r>
          </w:p>
        </w:tc>
        <w:tc>
          <w:tcPr>
            <w:tcW w:w="933" w:type="dxa"/>
            <w:vAlign w:val="center"/>
          </w:tcPr>
          <w:p w14:paraId="27A92190" w14:textId="77777777" w:rsidR="006A0566" w:rsidRPr="006C17CE" w:rsidRDefault="006A0566" w:rsidP="00CB4698">
            <w:pPr>
              <w:widowControl w:val="0"/>
              <w:jc w:val="center"/>
              <w:rPr>
                <w:rFonts w:ascii="Arial" w:hAnsi="Arial" w:cs="Arial"/>
                <w:sz w:val="16"/>
                <w:szCs w:val="16"/>
              </w:rPr>
            </w:pPr>
            <w:r>
              <w:rPr>
                <w:rFonts w:ascii="Arial" w:hAnsi="Arial"/>
                <w:sz w:val="16"/>
                <w:szCs w:val="16"/>
              </w:rPr>
              <w:t>-0.35</w:t>
            </w:r>
          </w:p>
        </w:tc>
        <w:tc>
          <w:tcPr>
            <w:tcW w:w="937" w:type="dxa"/>
            <w:vAlign w:val="center"/>
          </w:tcPr>
          <w:p w14:paraId="1E795FEA" w14:textId="5A6B522C" w:rsidR="006A0566" w:rsidRPr="006C17CE" w:rsidRDefault="006A0566" w:rsidP="00AD0891">
            <w:pPr>
              <w:widowControl w:val="0"/>
              <w:jc w:val="center"/>
              <w:rPr>
                <w:rFonts w:ascii="Arial" w:hAnsi="Arial" w:cs="Arial"/>
                <w:sz w:val="16"/>
                <w:szCs w:val="16"/>
              </w:rPr>
            </w:pPr>
            <w:r>
              <w:rPr>
                <w:rFonts w:ascii="Arial" w:hAnsi="Arial"/>
                <w:sz w:val="16"/>
                <w:szCs w:val="16"/>
              </w:rPr>
              <w:t>-0.40</w:t>
            </w:r>
          </w:p>
        </w:tc>
        <w:tc>
          <w:tcPr>
            <w:tcW w:w="937" w:type="dxa"/>
            <w:vAlign w:val="center"/>
          </w:tcPr>
          <w:p w14:paraId="31615C3D" w14:textId="261CC786" w:rsidR="006A0566" w:rsidRPr="006C17CE" w:rsidRDefault="006A0566" w:rsidP="006C17CE">
            <w:pPr>
              <w:widowControl w:val="0"/>
              <w:jc w:val="center"/>
              <w:rPr>
                <w:rFonts w:ascii="Arial" w:hAnsi="Arial" w:cs="Arial"/>
                <w:sz w:val="16"/>
                <w:szCs w:val="16"/>
              </w:rPr>
            </w:pPr>
            <w:r>
              <w:rPr>
                <w:rFonts w:ascii="Arial" w:hAnsi="Arial"/>
                <w:sz w:val="16"/>
                <w:szCs w:val="16"/>
              </w:rPr>
              <w:t>-0.30</w:t>
            </w:r>
          </w:p>
        </w:tc>
        <w:tc>
          <w:tcPr>
            <w:tcW w:w="932" w:type="dxa"/>
            <w:vAlign w:val="center"/>
          </w:tcPr>
          <w:p w14:paraId="7F1C6DE4" w14:textId="4BD5BEF1" w:rsidR="006A0566" w:rsidRPr="006C17CE" w:rsidRDefault="00DE33B5" w:rsidP="00DE33B5">
            <w:pPr>
              <w:widowControl w:val="0"/>
              <w:jc w:val="center"/>
              <w:rPr>
                <w:rFonts w:ascii="Arial" w:hAnsi="Arial" w:cs="Arial"/>
                <w:sz w:val="16"/>
                <w:szCs w:val="16"/>
              </w:rPr>
            </w:pPr>
            <w:r>
              <w:rPr>
                <w:rFonts w:ascii="Arial" w:hAnsi="Arial"/>
                <w:sz w:val="16"/>
                <w:szCs w:val="16"/>
              </w:rPr>
              <w:t>-0.30</w:t>
            </w:r>
          </w:p>
        </w:tc>
        <w:tc>
          <w:tcPr>
            <w:tcW w:w="936" w:type="dxa"/>
            <w:shd w:val="clear" w:color="auto" w:fill="auto"/>
            <w:vAlign w:val="center"/>
          </w:tcPr>
          <w:p w14:paraId="00B0CCF3" w14:textId="77777777" w:rsidR="006A0566" w:rsidRPr="006C17CE" w:rsidRDefault="006A0566" w:rsidP="00CB4698">
            <w:pPr>
              <w:widowControl w:val="0"/>
              <w:jc w:val="center"/>
              <w:rPr>
                <w:rFonts w:ascii="Arial" w:hAnsi="Arial" w:cs="Arial"/>
                <w:sz w:val="16"/>
                <w:szCs w:val="16"/>
              </w:rPr>
            </w:pPr>
            <w:r>
              <w:rPr>
                <w:rFonts w:ascii="Arial" w:hAnsi="Arial"/>
                <w:sz w:val="16"/>
                <w:szCs w:val="16"/>
              </w:rPr>
              <w:t>0.00</w:t>
            </w:r>
          </w:p>
        </w:tc>
        <w:tc>
          <w:tcPr>
            <w:tcW w:w="800" w:type="dxa"/>
            <w:vAlign w:val="center"/>
          </w:tcPr>
          <w:p w14:paraId="19B34957" w14:textId="6CCF23F1" w:rsidR="006A0566" w:rsidRPr="006C17CE" w:rsidRDefault="00DE33B5" w:rsidP="00CB4698">
            <w:pPr>
              <w:widowControl w:val="0"/>
              <w:jc w:val="center"/>
              <w:rPr>
                <w:rFonts w:ascii="Arial" w:hAnsi="Arial" w:cs="Arial"/>
                <w:b/>
                <w:sz w:val="16"/>
                <w:szCs w:val="16"/>
              </w:rPr>
            </w:pPr>
            <w:r>
              <w:rPr>
                <w:rFonts w:ascii="Arial" w:hAnsi="Arial"/>
                <w:b/>
                <w:sz w:val="16"/>
                <w:szCs w:val="16"/>
              </w:rPr>
              <w:t>-0.29</w:t>
            </w:r>
          </w:p>
        </w:tc>
      </w:tr>
      <w:tr w:rsidR="006A0566" w:rsidRPr="006F49D0" w14:paraId="11513A42" w14:textId="77777777" w:rsidTr="006C17CE">
        <w:tc>
          <w:tcPr>
            <w:tcW w:w="1939" w:type="dxa"/>
          </w:tcPr>
          <w:p w14:paraId="4A65772B"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Strongest</w:t>
            </w:r>
          </w:p>
          <w:p w14:paraId="31998AB2"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Asset class</w:t>
            </w:r>
          </w:p>
        </w:tc>
        <w:tc>
          <w:tcPr>
            <w:tcW w:w="817" w:type="dxa"/>
            <w:vAlign w:val="center"/>
          </w:tcPr>
          <w:p w14:paraId="6A6A9731" w14:textId="77777777" w:rsidR="006A0566" w:rsidRPr="009A2044" w:rsidRDefault="006A0566" w:rsidP="00CB4698">
            <w:pPr>
              <w:widowControl w:val="0"/>
              <w:jc w:val="center"/>
              <w:rPr>
                <w:rFonts w:ascii="Arial" w:hAnsi="Arial" w:cs="Arial"/>
                <w:sz w:val="16"/>
                <w:szCs w:val="16"/>
              </w:rPr>
            </w:pPr>
            <w:r>
              <w:rPr>
                <w:rFonts w:ascii="Arial" w:hAnsi="Arial"/>
                <w:sz w:val="16"/>
                <w:szCs w:val="16"/>
              </w:rPr>
              <w:t>Offices</w:t>
            </w:r>
          </w:p>
        </w:tc>
        <w:tc>
          <w:tcPr>
            <w:tcW w:w="816" w:type="dxa"/>
            <w:vAlign w:val="center"/>
          </w:tcPr>
          <w:p w14:paraId="16372C6A" w14:textId="77777777" w:rsidR="006A0566" w:rsidRPr="006C17CE" w:rsidRDefault="006A0566" w:rsidP="00CB4698">
            <w:pPr>
              <w:widowControl w:val="0"/>
              <w:jc w:val="center"/>
              <w:rPr>
                <w:rFonts w:ascii="Arial" w:hAnsi="Arial" w:cs="Arial"/>
                <w:sz w:val="16"/>
                <w:szCs w:val="16"/>
              </w:rPr>
            </w:pPr>
            <w:r>
              <w:rPr>
                <w:rFonts w:ascii="Arial" w:hAnsi="Arial"/>
                <w:sz w:val="16"/>
                <w:szCs w:val="16"/>
              </w:rPr>
              <w:t>Offices</w:t>
            </w:r>
          </w:p>
        </w:tc>
        <w:tc>
          <w:tcPr>
            <w:tcW w:w="933" w:type="dxa"/>
            <w:vAlign w:val="center"/>
          </w:tcPr>
          <w:p w14:paraId="5DAF8A6A" w14:textId="77777777" w:rsidR="006A0566" w:rsidRPr="006C17CE" w:rsidRDefault="006A0566" w:rsidP="00CB4698">
            <w:pPr>
              <w:widowControl w:val="0"/>
              <w:jc w:val="center"/>
              <w:rPr>
                <w:rFonts w:ascii="Arial" w:hAnsi="Arial" w:cs="Arial"/>
                <w:sz w:val="16"/>
                <w:szCs w:val="16"/>
              </w:rPr>
            </w:pPr>
            <w:r>
              <w:rPr>
                <w:rFonts w:ascii="Arial" w:hAnsi="Arial"/>
                <w:sz w:val="16"/>
                <w:szCs w:val="16"/>
              </w:rPr>
              <w:t>Offices</w:t>
            </w:r>
          </w:p>
        </w:tc>
        <w:tc>
          <w:tcPr>
            <w:tcW w:w="937" w:type="dxa"/>
            <w:vAlign w:val="center"/>
          </w:tcPr>
          <w:p w14:paraId="325DEF48" w14:textId="77777777" w:rsidR="006A0566" w:rsidRPr="006C17CE" w:rsidRDefault="006A0566" w:rsidP="00CB4698">
            <w:pPr>
              <w:widowControl w:val="0"/>
              <w:jc w:val="center"/>
              <w:rPr>
                <w:rFonts w:ascii="Arial" w:hAnsi="Arial" w:cs="Arial"/>
                <w:sz w:val="16"/>
                <w:szCs w:val="16"/>
              </w:rPr>
            </w:pPr>
            <w:r>
              <w:rPr>
                <w:rFonts w:ascii="Arial" w:hAnsi="Arial"/>
                <w:sz w:val="16"/>
                <w:szCs w:val="16"/>
              </w:rPr>
              <w:t>Offices</w:t>
            </w:r>
          </w:p>
        </w:tc>
        <w:tc>
          <w:tcPr>
            <w:tcW w:w="937" w:type="dxa"/>
            <w:vAlign w:val="center"/>
          </w:tcPr>
          <w:p w14:paraId="58B170C6" w14:textId="77777777" w:rsidR="006A0566" w:rsidRPr="006C17CE" w:rsidRDefault="006A0566" w:rsidP="00CB4698">
            <w:pPr>
              <w:widowControl w:val="0"/>
              <w:jc w:val="center"/>
              <w:rPr>
                <w:rFonts w:ascii="Arial" w:hAnsi="Arial" w:cs="Arial"/>
                <w:sz w:val="16"/>
                <w:szCs w:val="16"/>
              </w:rPr>
            </w:pPr>
            <w:r>
              <w:rPr>
                <w:rFonts w:ascii="Arial" w:hAnsi="Arial"/>
                <w:sz w:val="16"/>
                <w:szCs w:val="16"/>
              </w:rPr>
              <w:t>Offices</w:t>
            </w:r>
          </w:p>
        </w:tc>
        <w:tc>
          <w:tcPr>
            <w:tcW w:w="932" w:type="dxa"/>
            <w:vAlign w:val="center"/>
          </w:tcPr>
          <w:p w14:paraId="2A40510B" w14:textId="77777777" w:rsidR="006A0566" w:rsidRPr="006C17CE" w:rsidRDefault="006A0566" w:rsidP="00CB4698">
            <w:pPr>
              <w:widowControl w:val="0"/>
              <w:jc w:val="center"/>
              <w:rPr>
                <w:rFonts w:ascii="Arial" w:hAnsi="Arial" w:cs="Arial"/>
                <w:sz w:val="16"/>
                <w:szCs w:val="16"/>
              </w:rPr>
            </w:pPr>
            <w:r>
              <w:rPr>
                <w:rFonts w:ascii="Arial" w:hAnsi="Arial"/>
                <w:sz w:val="16"/>
                <w:szCs w:val="16"/>
              </w:rPr>
              <w:t>Offices</w:t>
            </w:r>
          </w:p>
        </w:tc>
        <w:tc>
          <w:tcPr>
            <w:tcW w:w="936" w:type="dxa"/>
            <w:shd w:val="clear" w:color="auto" w:fill="auto"/>
            <w:vAlign w:val="center"/>
          </w:tcPr>
          <w:p w14:paraId="0071E92B" w14:textId="77777777" w:rsidR="006A0566" w:rsidRPr="006C17CE" w:rsidRDefault="006A0566" w:rsidP="00CB4698">
            <w:pPr>
              <w:widowControl w:val="0"/>
              <w:jc w:val="center"/>
              <w:rPr>
                <w:rFonts w:ascii="Arial" w:hAnsi="Arial" w:cs="Arial"/>
                <w:sz w:val="16"/>
                <w:szCs w:val="16"/>
              </w:rPr>
            </w:pPr>
            <w:r>
              <w:rPr>
                <w:rFonts w:ascii="Arial" w:hAnsi="Arial"/>
                <w:sz w:val="16"/>
                <w:szCs w:val="16"/>
              </w:rPr>
              <w:t>Offices</w:t>
            </w:r>
          </w:p>
        </w:tc>
        <w:tc>
          <w:tcPr>
            <w:tcW w:w="800" w:type="dxa"/>
            <w:vAlign w:val="center"/>
          </w:tcPr>
          <w:p w14:paraId="2D0AC5C1" w14:textId="77777777" w:rsidR="006A0566" w:rsidRPr="006C17CE" w:rsidRDefault="006A0566" w:rsidP="00CB4698">
            <w:pPr>
              <w:widowControl w:val="0"/>
              <w:jc w:val="center"/>
              <w:rPr>
                <w:rFonts w:ascii="Arial" w:hAnsi="Arial" w:cs="Arial"/>
                <w:b/>
                <w:sz w:val="16"/>
                <w:szCs w:val="16"/>
              </w:rPr>
            </w:pPr>
            <w:r>
              <w:rPr>
                <w:rFonts w:ascii="Arial" w:hAnsi="Arial"/>
                <w:b/>
                <w:sz w:val="16"/>
                <w:szCs w:val="16"/>
              </w:rPr>
              <w:t>-</w:t>
            </w:r>
          </w:p>
        </w:tc>
      </w:tr>
      <w:tr w:rsidR="006A0566" w:rsidRPr="006F49D0" w14:paraId="1C71FD3A" w14:textId="77777777" w:rsidTr="006C17CE">
        <w:tc>
          <w:tcPr>
            <w:tcW w:w="1939" w:type="dxa"/>
          </w:tcPr>
          <w:p w14:paraId="7434BD58"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Strongest</w:t>
            </w:r>
          </w:p>
          <w:p w14:paraId="2650C67A"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 xml:space="preserve">asset class </w:t>
            </w:r>
            <w:r>
              <w:rPr>
                <w:rFonts w:ascii="Arial" w:hAnsi="Arial"/>
                <w:sz w:val="16"/>
                <w:szCs w:val="16"/>
              </w:rPr>
              <w:t>in %</w:t>
            </w:r>
          </w:p>
        </w:tc>
        <w:tc>
          <w:tcPr>
            <w:tcW w:w="817" w:type="dxa"/>
            <w:vAlign w:val="center"/>
          </w:tcPr>
          <w:p w14:paraId="03DB0EF7" w14:textId="3EE903AD" w:rsidR="006A0566" w:rsidRPr="00EF0237" w:rsidRDefault="00AA7124" w:rsidP="00CB4698">
            <w:pPr>
              <w:widowControl w:val="0"/>
              <w:jc w:val="center"/>
              <w:rPr>
                <w:rFonts w:ascii="Arial" w:hAnsi="Arial" w:cs="Arial"/>
                <w:color w:val="000000" w:themeColor="text1"/>
                <w:sz w:val="16"/>
                <w:szCs w:val="16"/>
              </w:rPr>
            </w:pPr>
            <w:r>
              <w:rPr>
                <w:rFonts w:ascii="Arial" w:hAnsi="Arial"/>
                <w:color w:val="000000" w:themeColor="text1"/>
                <w:sz w:val="16"/>
                <w:szCs w:val="16"/>
              </w:rPr>
              <w:t>53</w:t>
            </w:r>
          </w:p>
        </w:tc>
        <w:tc>
          <w:tcPr>
            <w:tcW w:w="816" w:type="dxa"/>
            <w:vAlign w:val="center"/>
          </w:tcPr>
          <w:p w14:paraId="05D9C8A4" w14:textId="23629183" w:rsidR="006A0566" w:rsidRPr="006C17CE" w:rsidRDefault="00854409" w:rsidP="00CB4698">
            <w:pPr>
              <w:widowControl w:val="0"/>
              <w:jc w:val="center"/>
              <w:rPr>
                <w:rFonts w:ascii="Arial" w:hAnsi="Arial" w:cs="Arial"/>
                <w:color w:val="000000" w:themeColor="text1"/>
                <w:sz w:val="16"/>
                <w:szCs w:val="16"/>
              </w:rPr>
            </w:pPr>
            <w:r>
              <w:rPr>
                <w:rFonts w:ascii="Arial" w:hAnsi="Arial"/>
                <w:color w:val="000000" w:themeColor="text1"/>
                <w:sz w:val="16"/>
                <w:szCs w:val="16"/>
              </w:rPr>
              <w:t>57</w:t>
            </w:r>
          </w:p>
        </w:tc>
        <w:tc>
          <w:tcPr>
            <w:tcW w:w="933" w:type="dxa"/>
            <w:vAlign w:val="center"/>
          </w:tcPr>
          <w:p w14:paraId="0EF2E3D1" w14:textId="326AF27D" w:rsidR="006A0566" w:rsidRPr="006C17CE" w:rsidRDefault="006C17CE" w:rsidP="00CB4698">
            <w:pPr>
              <w:widowControl w:val="0"/>
              <w:jc w:val="center"/>
              <w:rPr>
                <w:rFonts w:ascii="Arial" w:hAnsi="Arial" w:cs="Arial"/>
                <w:color w:val="000000" w:themeColor="text1"/>
                <w:sz w:val="16"/>
                <w:szCs w:val="16"/>
              </w:rPr>
            </w:pPr>
            <w:r>
              <w:rPr>
                <w:rFonts w:ascii="Arial" w:hAnsi="Arial"/>
                <w:color w:val="000000" w:themeColor="text1"/>
                <w:sz w:val="16"/>
                <w:szCs w:val="16"/>
              </w:rPr>
              <w:t>81</w:t>
            </w:r>
          </w:p>
        </w:tc>
        <w:tc>
          <w:tcPr>
            <w:tcW w:w="937" w:type="dxa"/>
            <w:vAlign w:val="center"/>
          </w:tcPr>
          <w:p w14:paraId="171A9129" w14:textId="7C5B490B" w:rsidR="006A0566" w:rsidRPr="006C17CE" w:rsidRDefault="006C17CE" w:rsidP="00CB4698">
            <w:pPr>
              <w:widowControl w:val="0"/>
              <w:jc w:val="center"/>
              <w:rPr>
                <w:rFonts w:ascii="Arial" w:hAnsi="Arial" w:cs="Arial"/>
                <w:color w:val="000000" w:themeColor="text1"/>
                <w:sz w:val="16"/>
                <w:szCs w:val="16"/>
              </w:rPr>
            </w:pPr>
            <w:r>
              <w:rPr>
                <w:rFonts w:ascii="Arial" w:hAnsi="Arial"/>
                <w:color w:val="000000" w:themeColor="text1"/>
                <w:sz w:val="16"/>
                <w:szCs w:val="16"/>
              </w:rPr>
              <w:t>56</w:t>
            </w:r>
          </w:p>
        </w:tc>
        <w:tc>
          <w:tcPr>
            <w:tcW w:w="937" w:type="dxa"/>
            <w:vAlign w:val="center"/>
          </w:tcPr>
          <w:p w14:paraId="713F8944" w14:textId="2717D74B" w:rsidR="006A0566" w:rsidRPr="006C17CE" w:rsidRDefault="006C17CE" w:rsidP="00CB4698">
            <w:pPr>
              <w:widowControl w:val="0"/>
              <w:jc w:val="center"/>
              <w:rPr>
                <w:rFonts w:ascii="Arial" w:hAnsi="Arial" w:cs="Arial"/>
                <w:color w:val="000000" w:themeColor="text1"/>
                <w:sz w:val="16"/>
                <w:szCs w:val="16"/>
              </w:rPr>
            </w:pPr>
            <w:r>
              <w:rPr>
                <w:rFonts w:ascii="Arial" w:hAnsi="Arial"/>
                <w:color w:val="000000" w:themeColor="text1"/>
                <w:sz w:val="16"/>
                <w:szCs w:val="16"/>
              </w:rPr>
              <w:t>62</w:t>
            </w:r>
          </w:p>
        </w:tc>
        <w:tc>
          <w:tcPr>
            <w:tcW w:w="932" w:type="dxa"/>
            <w:vAlign w:val="center"/>
          </w:tcPr>
          <w:p w14:paraId="2D81D876" w14:textId="5CDE28D6" w:rsidR="006A0566" w:rsidRPr="006C17CE" w:rsidRDefault="00F84F89" w:rsidP="00CB4698">
            <w:pPr>
              <w:widowControl w:val="0"/>
              <w:jc w:val="center"/>
              <w:rPr>
                <w:rFonts w:ascii="Arial" w:hAnsi="Arial" w:cs="Arial"/>
                <w:color w:val="000000" w:themeColor="text1"/>
                <w:sz w:val="16"/>
                <w:szCs w:val="16"/>
              </w:rPr>
            </w:pPr>
            <w:r>
              <w:rPr>
                <w:rFonts w:ascii="Arial" w:hAnsi="Arial"/>
                <w:color w:val="000000" w:themeColor="text1"/>
                <w:sz w:val="16"/>
                <w:szCs w:val="16"/>
              </w:rPr>
              <w:t>70</w:t>
            </w:r>
          </w:p>
        </w:tc>
        <w:tc>
          <w:tcPr>
            <w:tcW w:w="936" w:type="dxa"/>
            <w:shd w:val="clear" w:color="auto" w:fill="auto"/>
            <w:vAlign w:val="center"/>
          </w:tcPr>
          <w:p w14:paraId="6959E9ED" w14:textId="7889E88F" w:rsidR="006A0566" w:rsidRPr="006C17CE" w:rsidRDefault="006C17CE" w:rsidP="00CB4698">
            <w:pPr>
              <w:widowControl w:val="0"/>
              <w:jc w:val="center"/>
              <w:rPr>
                <w:rFonts w:ascii="Arial" w:hAnsi="Arial" w:cs="Arial"/>
                <w:color w:val="000000" w:themeColor="text1"/>
                <w:sz w:val="16"/>
                <w:szCs w:val="16"/>
              </w:rPr>
            </w:pPr>
            <w:r>
              <w:rPr>
                <w:rFonts w:ascii="Arial" w:hAnsi="Arial"/>
                <w:color w:val="000000" w:themeColor="text1"/>
                <w:sz w:val="16"/>
                <w:szCs w:val="16"/>
              </w:rPr>
              <w:t>55</w:t>
            </w:r>
          </w:p>
        </w:tc>
        <w:tc>
          <w:tcPr>
            <w:tcW w:w="800" w:type="dxa"/>
            <w:vAlign w:val="center"/>
          </w:tcPr>
          <w:p w14:paraId="397018BE" w14:textId="77777777" w:rsidR="006A0566" w:rsidRPr="006C17CE" w:rsidRDefault="006A0566" w:rsidP="00CB4698">
            <w:pPr>
              <w:widowControl w:val="0"/>
              <w:jc w:val="center"/>
              <w:rPr>
                <w:rFonts w:ascii="Arial" w:hAnsi="Arial" w:cs="Arial"/>
                <w:b/>
                <w:color w:val="FF0000"/>
                <w:sz w:val="16"/>
                <w:szCs w:val="16"/>
              </w:rPr>
            </w:pPr>
            <w:r>
              <w:rPr>
                <w:rFonts w:ascii="Arial" w:hAnsi="Arial"/>
                <w:b/>
                <w:sz w:val="16"/>
                <w:szCs w:val="16"/>
              </w:rPr>
              <w:t>-</w:t>
            </w:r>
          </w:p>
        </w:tc>
      </w:tr>
    </w:tbl>
    <w:p w14:paraId="5C0C697E" w14:textId="77777777" w:rsidR="006A0566" w:rsidRDefault="006A0566" w:rsidP="006A0566">
      <w:pPr>
        <w:widowControl w:val="0"/>
        <w:spacing w:after="0"/>
        <w:rPr>
          <w:rFonts w:ascii="Arial" w:hAnsi="Arial" w:cs="Arial"/>
          <w:sz w:val="16"/>
          <w:szCs w:val="16"/>
        </w:rPr>
      </w:pPr>
      <w:r>
        <w:rPr>
          <w:rFonts w:ascii="Arial" w:hAnsi="Arial"/>
          <w:sz w:val="16"/>
          <w:szCs w:val="16"/>
        </w:rPr>
        <w:t>* Net initial yield; Source: German Property Partners (GPP)</w:t>
      </w:r>
    </w:p>
    <w:p w14:paraId="6E71A7B1" w14:textId="77777777" w:rsidR="008B57EF" w:rsidRPr="00487ECE" w:rsidRDefault="008B57EF" w:rsidP="00487ECE">
      <w:pPr>
        <w:spacing w:after="0" w:line="360" w:lineRule="auto"/>
        <w:jc w:val="center"/>
        <w:rPr>
          <w:rFonts w:ascii="Arial" w:hAnsi="Arial" w:cs="Arial"/>
          <w:caps/>
          <w:sz w:val="20"/>
          <w:szCs w:val="20"/>
        </w:rPr>
      </w:pPr>
    </w:p>
    <w:bookmarkEnd w:id="2"/>
    <w:p w14:paraId="4AAB2CD2" w14:textId="7320BF91" w:rsidR="32E3C701" w:rsidRPr="00487ECE" w:rsidRDefault="32E3C701" w:rsidP="0071679E">
      <w:pPr>
        <w:spacing w:after="0"/>
        <w:rPr>
          <w:b/>
          <w:iCs/>
          <w:sz w:val="16"/>
          <w:szCs w:val="16"/>
        </w:rPr>
      </w:pPr>
      <w:r>
        <w:rPr>
          <w:rFonts w:ascii="Arial" w:hAnsi="Arial"/>
          <w:b/>
          <w:iCs/>
          <w:caps/>
          <w:sz w:val="16"/>
          <w:szCs w:val="16"/>
        </w:rPr>
        <w:t>ABOUT GERMAN PROPERTY PARTNERS</w:t>
      </w:r>
    </w:p>
    <w:p w14:paraId="24D83185" w14:textId="0BE79AD4" w:rsidR="32E3C701" w:rsidRPr="00934090" w:rsidRDefault="00F2076A" w:rsidP="0071679E">
      <w:pPr>
        <w:rPr>
          <w:rFonts w:ascii="Arial" w:hAnsi="Arial" w:cs="Arial"/>
          <w:i/>
          <w:iCs/>
          <w:sz w:val="20"/>
          <w:szCs w:val="20"/>
        </w:rPr>
      </w:pPr>
      <w:r w:rsidRPr="00180162">
        <w:rPr>
          <w:rFonts w:ascii="Arial" w:hAnsi="Arial" w:cs="Arial"/>
          <w:sz w:val="16"/>
          <w:szCs w:val="16"/>
        </w:rPr>
        <w:t>German Property Partners is a national network of property service providers; they are all leaders in their local markets.</w:t>
      </w:r>
      <w:r w:rsidRPr="00180162">
        <w:rPr>
          <w:rFonts w:ascii="Arial" w:hAnsi="Arial" w:cs="Arial"/>
          <w:iCs/>
          <w:sz w:val="16"/>
          <w:szCs w:val="16"/>
        </w:rPr>
        <w:t xml:space="preserve"> Membership now consists of Grossmann &amp; Berger, Anteon </w:t>
      </w:r>
      <w:proofErr w:type="spellStart"/>
      <w:r w:rsidRPr="00180162">
        <w:rPr>
          <w:rFonts w:ascii="Arial" w:hAnsi="Arial" w:cs="Arial"/>
          <w:iCs/>
          <w:sz w:val="16"/>
          <w:szCs w:val="16"/>
        </w:rPr>
        <w:t>Immobilien</w:t>
      </w:r>
      <w:proofErr w:type="spellEnd"/>
      <w:r w:rsidRPr="00180162">
        <w:rPr>
          <w:rFonts w:ascii="Arial" w:hAnsi="Arial" w:cs="Arial"/>
          <w:iCs/>
          <w:sz w:val="16"/>
          <w:szCs w:val="16"/>
        </w:rPr>
        <w:t>, GREIF &amp; CONTZEN</w:t>
      </w:r>
      <w:r>
        <w:rPr>
          <w:rFonts w:ascii="Arial" w:hAnsi="Arial"/>
          <w:iCs/>
          <w:sz w:val="16"/>
          <w:szCs w:val="16"/>
        </w:rPr>
        <w:t xml:space="preserve"> </w:t>
      </w:r>
      <w:proofErr w:type="spellStart"/>
      <w:r>
        <w:rPr>
          <w:rFonts w:ascii="Arial" w:hAnsi="Arial"/>
          <w:iCs/>
          <w:sz w:val="16"/>
          <w:szCs w:val="16"/>
        </w:rPr>
        <w:t>Immobilien</w:t>
      </w:r>
      <w:proofErr w:type="spellEnd"/>
      <w:r>
        <w:rPr>
          <w:rFonts w:ascii="Arial" w:hAnsi="Arial"/>
          <w:iCs/>
          <w:sz w:val="16"/>
          <w:szCs w:val="16"/>
        </w:rPr>
        <w:t xml:space="preserve">, </w:t>
      </w:r>
      <w:proofErr w:type="spellStart"/>
      <w:r>
        <w:rPr>
          <w:rFonts w:ascii="Arial" w:hAnsi="Arial"/>
          <w:iCs/>
          <w:sz w:val="16"/>
          <w:szCs w:val="16"/>
        </w:rPr>
        <w:t>blackolive</w:t>
      </w:r>
      <w:proofErr w:type="spellEnd"/>
      <w:r>
        <w:rPr>
          <w:rFonts w:ascii="Arial" w:hAnsi="Arial"/>
          <w:iCs/>
          <w:sz w:val="16"/>
          <w:szCs w:val="16"/>
        </w:rPr>
        <w:t xml:space="preserve"> and E &amp; G Real Estate . The network is remarkable for the members’ intimate knowledge of local markets, the experience of the partner firms’ long-standing property consultants and the personal dedication of the owners and directors. In Germany’s top 7 cities - Hamburg, Berlin, Düsseldorf, Cologne | Bonn, Frankfurt, Stuttgart and Munich - network partners have their own offices offering services in the field of property investment, commercial letting, corporate real estate management (CREM), property valuation and research. Rounding off the range of skills are banking, finance and administration services. Currently, more than 430 property specialists work for the network. Nationwide, German Property Partners brokered lets in </w:t>
      </w:r>
      <w:r>
        <w:rPr>
          <w:rFonts w:ascii="Arial" w:hAnsi="Arial"/>
          <w:b/>
          <w:iCs/>
          <w:sz w:val="16"/>
          <w:szCs w:val="16"/>
        </w:rPr>
        <w:t>2019</w:t>
      </w:r>
      <w:r>
        <w:rPr>
          <w:rFonts w:ascii="Arial" w:hAnsi="Arial"/>
          <w:iCs/>
          <w:sz w:val="16"/>
          <w:szCs w:val="16"/>
        </w:rPr>
        <w:t xml:space="preserve"> involving 452,800 m² of commercial property, and managed investment transactions totalling €2.14bn. </w:t>
      </w:r>
    </w:p>
    <w:sectPr w:rsidR="32E3C701" w:rsidRPr="00934090" w:rsidSect="00DC19BC">
      <w:headerReference w:type="default" r:id="rId12"/>
      <w:footerReference w:type="default" r:id="rId13"/>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42C5D" w14:textId="77777777" w:rsidR="008A1B1F" w:rsidRDefault="008A1B1F" w:rsidP="0055466B">
      <w:pPr>
        <w:spacing w:after="0" w:line="240" w:lineRule="auto"/>
      </w:pPr>
      <w:r>
        <w:separator/>
      </w:r>
    </w:p>
  </w:endnote>
  <w:endnote w:type="continuationSeparator" w:id="0">
    <w:p w14:paraId="29A2B803" w14:textId="77777777" w:rsidR="008A1B1F" w:rsidRDefault="008A1B1F" w:rsidP="0055466B">
      <w:pPr>
        <w:spacing w:after="0" w:line="240" w:lineRule="auto"/>
      </w:pPr>
      <w:r>
        <w:continuationSeparator/>
      </w:r>
    </w:p>
  </w:endnote>
  <w:endnote w:type="continuationNotice" w:id="1">
    <w:p w14:paraId="02FBAF3B" w14:textId="77777777" w:rsidR="008A1B1F" w:rsidRDefault="008A1B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2B9D9A9E" w:rsidR="00422A01" w:rsidRPr="00DC19BC" w:rsidRDefault="00422A01">
    <w:pPr>
      <w:pStyle w:val="Fuzeile"/>
      <w:rPr>
        <w:rFonts w:ascii="Arial" w:hAnsi="Arial" w:cs="Arial"/>
        <w:sz w:val="18"/>
        <w:szCs w:val="18"/>
      </w:rPr>
    </w:pPr>
    <w:r>
      <w:rPr>
        <w:rFonts w:ascii="Arial" w:hAnsi="Arial"/>
        <w:noProof/>
        <w:sz w:val="18"/>
        <w:szCs w:val="18"/>
        <w:lang w:val="de-DE"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422A01" w:rsidRDefault="00422A01" w:rsidP="009D7E5C">
                          <w:pPr>
                            <w:pStyle w:val="StandardWeb"/>
                            <w:spacing w:before="0" w:beforeAutospacing="0" w:after="0" w:afterAutospacing="0" w:line="280" w:lineRule="exact"/>
                          </w:pPr>
                          <w:r>
                            <w:rPr>
                              <w:rFonts w:ascii="Arial" w:hAnsi="Arial"/>
                              <w:b/>
                              <w:bCs/>
                              <w:color w:val="FFFFFF" w:themeColor="background1"/>
                              <w:sz w:val="15"/>
                              <w:szCs w:val="15"/>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rFonts w:ascii="Arial" w:hAnsi="Arial"/>
                        <w:b/>
                        <w:bCs/>
                        <w:color w:val="FFFFFF" w:themeColor="background1"/>
                        <w:sz w:val="15"/>
                        <w:szCs w:val="15"/>
                      </w:rPr>
                      <w:t>WWW.GERMANPROPERTYPARTNERS.DE</w:t>
                    </w:r>
                  </w:p>
                </w:txbxContent>
              </v:textbox>
            </v:shape>
          </w:pict>
        </mc:Fallback>
      </mc:AlternateContent>
    </w:r>
    <w:r>
      <w:rPr>
        <w:rFonts w:ascii="Arial" w:hAnsi="Arial"/>
        <w:noProof/>
        <w:sz w:val="18"/>
        <w:szCs w:val="18"/>
        <w:lang w:val="de-DE"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BECEB15"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rFonts w:ascii="Arial" w:hAnsi="Arial"/>
        <w:sz w:val="18"/>
        <w:szCs w:val="18"/>
      </w:rPr>
      <w:t xml:space="preserve">Page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656BDC">
      <w:rPr>
        <w:rFonts w:ascii="Arial" w:hAnsi="Arial" w:cs="Arial"/>
        <w:b/>
        <w:noProof/>
        <w:sz w:val="18"/>
        <w:szCs w:val="18"/>
      </w:rPr>
      <w:t>3</w:t>
    </w:r>
    <w:r w:rsidRPr="00DC19BC">
      <w:rPr>
        <w:rFonts w:ascii="Arial" w:hAnsi="Arial" w:cs="Arial"/>
        <w:b/>
        <w:sz w:val="18"/>
        <w:szCs w:val="18"/>
      </w:rPr>
      <w:fldChar w:fldCharType="end"/>
    </w:r>
    <w:r>
      <w:rPr>
        <w:rFonts w:ascii="Arial" w:hAnsi="Arial"/>
        <w:sz w:val="18"/>
        <w:szCs w:val="18"/>
      </w:rPr>
      <w:t xml:space="preserve"> of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656BDC">
      <w:rPr>
        <w:rFonts w:ascii="Arial" w:hAnsi="Arial" w:cs="Arial"/>
        <w:b/>
        <w:noProof/>
        <w:sz w:val="18"/>
        <w:szCs w:val="18"/>
      </w:rPr>
      <w:t>3</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6665F" w14:textId="77777777" w:rsidR="008A1B1F" w:rsidRDefault="008A1B1F" w:rsidP="0055466B">
      <w:pPr>
        <w:spacing w:after="0" w:line="240" w:lineRule="auto"/>
      </w:pPr>
      <w:r>
        <w:separator/>
      </w:r>
    </w:p>
  </w:footnote>
  <w:footnote w:type="continuationSeparator" w:id="0">
    <w:p w14:paraId="15FAA7BF" w14:textId="77777777" w:rsidR="008A1B1F" w:rsidRDefault="008A1B1F" w:rsidP="0055466B">
      <w:pPr>
        <w:spacing w:after="0" w:line="240" w:lineRule="auto"/>
      </w:pPr>
      <w:r>
        <w:continuationSeparator/>
      </w:r>
    </w:p>
  </w:footnote>
  <w:footnote w:type="continuationNotice" w:id="1">
    <w:p w14:paraId="03A5B6C3" w14:textId="77777777" w:rsidR="008A1B1F" w:rsidRDefault="008A1B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422A01" w:rsidRDefault="00422A01">
    <w:pPr>
      <w:pStyle w:val="Kopfzeile"/>
    </w:pPr>
    <w:r>
      <w:rPr>
        <w:noProof/>
        <w:lang w:val="de-DE"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rPr>
                          </w:pPr>
                          <w:r>
                            <w:rPr>
                              <w:rFonts w:ascii="Arial" w:hAnsi="Arial"/>
                              <w:b/>
                              <w:bCs/>
                              <w:color w:val="FFFFFF" w:themeColor="background1"/>
                              <w:sz w:val="14"/>
                              <w:szCs w:val="14"/>
                            </w:rPr>
                            <w:t>Local expertise across Germany</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rPr>
                    </w:pPr>
                    <w:r>
                      <w:rPr>
                        <w:rFonts w:ascii="Arial" w:hAnsi="Arial"/>
                        <w:b/>
                        <w:bCs/>
                        <w:color w:val="FFFFFF" w:themeColor="background1"/>
                        <w:sz w:val="14"/>
                        <w:szCs w:val="14"/>
                      </w:rPr>
                      <w:t>Local expertise across Germany</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647150FD"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val="de-DE"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89B1D"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422A01" w:rsidRDefault="00422A01">
    <w:pPr>
      <w:pStyle w:val="Kopfzeile"/>
    </w:pPr>
    <w:r>
      <w:rPr>
        <w:noProof/>
        <w:lang w:val="de-DE"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DBD"/>
    <w:rsid w:val="00003E64"/>
    <w:rsid w:val="0000477A"/>
    <w:rsid w:val="00004E9C"/>
    <w:rsid w:val="00005030"/>
    <w:rsid w:val="00005646"/>
    <w:rsid w:val="00005F55"/>
    <w:rsid w:val="00007162"/>
    <w:rsid w:val="000072AE"/>
    <w:rsid w:val="0001020A"/>
    <w:rsid w:val="00011F5E"/>
    <w:rsid w:val="000121F0"/>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69A"/>
    <w:rsid w:val="00017997"/>
    <w:rsid w:val="00017AD7"/>
    <w:rsid w:val="00017BD8"/>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2AD4"/>
    <w:rsid w:val="0003376A"/>
    <w:rsid w:val="00034103"/>
    <w:rsid w:val="00034155"/>
    <w:rsid w:val="000347A8"/>
    <w:rsid w:val="0003485D"/>
    <w:rsid w:val="00035689"/>
    <w:rsid w:val="000358A1"/>
    <w:rsid w:val="00035B61"/>
    <w:rsid w:val="00035FE2"/>
    <w:rsid w:val="000365D2"/>
    <w:rsid w:val="00037641"/>
    <w:rsid w:val="00037CA6"/>
    <w:rsid w:val="00037D13"/>
    <w:rsid w:val="00040E24"/>
    <w:rsid w:val="000415C4"/>
    <w:rsid w:val="00042738"/>
    <w:rsid w:val="00042BAC"/>
    <w:rsid w:val="000430B1"/>
    <w:rsid w:val="00043F58"/>
    <w:rsid w:val="000440E1"/>
    <w:rsid w:val="00044734"/>
    <w:rsid w:val="00045DDB"/>
    <w:rsid w:val="00045DDD"/>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A87"/>
    <w:rsid w:val="00056158"/>
    <w:rsid w:val="000562C5"/>
    <w:rsid w:val="00056395"/>
    <w:rsid w:val="00056443"/>
    <w:rsid w:val="00056ABC"/>
    <w:rsid w:val="00056B0B"/>
    <w:rsid w:val="00056EC7"/>
    <w:rsid w:val="00057551"/>
    <w:rsid w:val="000602BE"/>
    <w:rsid w:val="00060931"/>
    <w:rsid w:val="00060D5B"/>
    <w:rsid w:val="00061B3E"/>
    <w:rsid w:val="00061F18"/>
    <w:rsid w:val="000621FA"/>
    <w:rsid w:val="00062407"/>
    <w:rsid w:val="00062C83"/>
    <w:rsid w:val="00062E5F"/>
    <w:rsid w:val="00063652"/>
    <w:rsid w:val="00063905"/>
    <w:rsid w:val="00063D38"/>
    <w:rsid w:val="000644F1"/>
    <w:rsid w:val="00064A7C"/>
    <w:rsid w:val="00064A83"/>
    <w:rsid w:val="00064B74"/>
    <w:rsid w:val="000668D2"/>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3F5"/>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CD9"/>
    <w:rsid w:val="00085FE6"/>
    <w:rsid w:val="00086D71"/>
    <w:rsid w:val="000870BD"/>
    <w:rsid w:val="00087E44"/>
    <w:rsid w:val="000910A2"/>
    <w:rsid w:val="00091232"/>
    <w:rsid w:val="0009135A"/>
    <w:rsid w:val="0009164C"/>
    <w:rsid w:val="00091F05"/>
    <w:rsid w:val="00092783"/>
    <w:rsid w:val="0009310C"/>
    <w:rsid w:val="000932B4"/>
    <w:rsid w:val="00093748"/>
    <w:rsid w:val="00093765"/>
    <w:rsid w:val="00093D24"/>
    <w:rsid w:val="00093FF4"/>
    <w:rsid w:val="00094160"/>
    <w:rsid w:val="0009416D"/>
    <w:rsid w:val="000949B5"/>
    <w:rsid w:val="00094CFA"/>
    <w:rsid w:val="00094E05"/>
    <w:rsid w:val="00095515"/>
    <w:rsid w:val="00095E3C"/>
    <w:rsid w:val="0009638B"/>
    <w:rsid w:val="000965BE"/>
    <w:rsid w:val="00096A83"/>
    <w:rsid w:val="00097288"/>
    <w:rsid w:val="0009788B"/>
    <w:rsid w:val="000A0433"/>
    <w:rsid w:val="000A08B8"/>
    <w:rsid w:val="000A0966"/>
    <w:rsid w:val="000A0E9A"/>
    <w:rsid w:val="000A1038"/>
    <w:rsid w:val="000A18FC"/>
    <w:rsid w:val="000A1BCC"/>
    <w:rsid w:val="000A21AB"/>
    <w:rsid w:val="000A244F"/>
    <w:rsid w:val="000A26CD"/>
    <w:rsid w:val="000A27CB"/>
    <w:rsid w:val="000A2ABB"/>
    <w:rsid w:val="000A32A1"/>
    <w:rsid w:val="000A4519"/>
    <w:rsid w:val="000A5DA8"/>
    <w:rsid w:val="000A6869"/>
    <w:rsid w:val="000A7042"/>
    <w:rsid w:val="000A7E1F"/>
    <w:rsid w:val="000B0168"/>
    <w:rsid w:val="000B1AD6"/>
    <w:rsid w:val="000B1DE5"/>
    <w:rsid w:val="000B1E51"/>
    <w:rsid w:val="000B242E"/>
    <w:rsid w:val="000B366E"/>
    <w:rsid w:val="000B3863"/>
    <w:rsid w:val="000B3999"/>
    <w:rsid w:val="000B39A9"/>
    <w:rsid w:val="000B39E0"/>
    <w:rsid w:val="000B529F"/>
    <w:rsid w:val="000B56EB"/>
    <w:rsid w:val="000B58F9"/>
    <w:rsid w:val="000B5F76"/>
    <w:rsid w:val="000B6213"/>
    <w:rsid w:val="000B677C"/>
    <w:rsid w:val="000B6AB1"/>
    <w:rsid w:val="000B6BA5"/>
    <w:rsid w:val="000B6DDC"/>
    <w:rsid w:val="000B6FBA"/>
    <w:rsid w:val="000B7361"/>
    <w:rsid w:val="000B762F"/>
    <w:rsid w:val="000B78B6"/>
    <w:rsid w:val="000C0547"/>
    <w:rsid w:val="000C0A3E"/>
    <w:rsid w:val="000C2186"/>
    <w:rsid w:val="000C3120"/>
    <w:rsid w:val="000C385C"/>
    <w:rsid w:val="000C3A62"/>
    <w:rsid w:val="000C3C24"/>
    <w:rsid w:val="000C3CAB"/>
    <w:rsid w:val="000C41DE"/>
    <w:rsid w:val="000C444F"/>
    <w:rsid w:val="000C48E3"/>
    <w:rsid w:val="000C4B39"/>
    <w:rsid w:val="000C4BA4"/>
    <w:rsid w:val="000C58BE"/>
    <w:rsid w:val="000C5F5E"/>
    <w:rsid w:val="000C70EB"/>
    <w:rsid w:val="000C7764"/>
    <w:rsid w:val="000D118E"/>
    <w:rsid w:val="000D221C"/>
    <w:rsid w:val="000D2E28"/>
    <w:rsid w:val="000D2E3A"/>
    <w:rsid w:val="000D39F4"/>
    <w:rsid w:val="000D3D70"/>
    <w:rsid w:val="000D3D8D"/>
    <w:rsid w:val="000D3D97"/>
    <w:rsid w:val="000D3E42"/>
    <w:rsid w:val="000D430B"/>
    <w:rsid w:val="000D4CB5"/>
    <w:rsid w:val="000D4DDB"/>
    <w:rsid w:val="000D4F25"/>
    <w:rsid w:val="000D52E5"/>
    <w:rsid w:val="000D6E0A"/>
    <w:rsid w:val="000D779D"/>
    <w:rsid w:val="000E078E"/>
    <w:rsid w:val="000E0D4C"/>
    <w:rsid w:val="000E1162"/>
    <w:rsid w:val="000E1522"/>
    <w:rsid w:val="000E2520"/>
    <w:rsid w:val="000E2D96"/>
    <w:rsid w:val="000E314E"/>
    <w:rsid w:val="000E3A95"/>
    <w:rsid w:val="000E45F7"/>
    <w:rsid w:val="000E5970"/>
    <w:rsid w:val="000E5CB8"/>
    <w:rsid w:val="000E616B"/>
    <w:rsid w:val="000E648D"/>
    <w:rsid w:val="000E6D8A"/>
    <w:rsid w:val="000E77B9"/>
    <w:rsid w:val="000E780E"/>
    <w:rsid w:val="000F036B"/>
    <w:rsid w:val="000F05ED"/>
    <w:rsid w:val="000F101E"/>
    <w:rsid w:val="000F18D0"/>
    <w:rsid w:val="000F1FCB"/>
    <w:rsid w:val="000F25EC"/>
    <w:rsid w:val="000F2955"/>
    <w:rsid w:val="000F2AA6"/>
    <w:rsid w:val="000F3197"/>
    <w:rsid w:val="000F4805"/>
    <w:rsid w:val="000F4CE1"/>
    <w:rsid w:val="000F4DD0"/>
    <w:rsid w:val="000F4EED"/>
    <w:rsid w:val="000F541F"/>
    <w:rsid w:val="000F6159"/>
    <w:rsid w:val="000F6342"/>
    <w:rsid w:val="000F6642"/>
    <w:rsid w:val="000F69ED"/>
    <w:rsid w:val="000F7060"/>
    <w:rsid w:val="000F7D7D"/>
    <w:rsid w:val="000F7EF9"/>
    <w:rsid w:val="001007AB"/>
    <w:rsid w:val="00100D69"/>
    <w:rsid w:val="001017B6"/>
    <w:rsid w:val="00101AD4"/>
    <w:rsid w:val="00102C03"/>
    <w:rsid w:val="00102C27"/>
    <w:rsid w:val="00102D24"/>
    <w:rsid w:val="00102FD3"/>
    <w:rsid w:val="00103F2B"/>
    <w:rsid w:val="0010606E"/>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4530"/>
    <w:rsid w:val="0011455A"/>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4162"/>
    <w:rsid w:val="00126356"/>
    <w:rsid w:val="00126503"/>
    <w:rsid w:val="00126EBF"/>
    <w:rsid w:val="0012773C"/>
    <w:rsid w:val="00127C59"/>
    <w:rsid w:val="00127D4D"/>
    <w:rsid w:val="00127E3E"/>
    <w:rsid w:val="001308DB"/>
    <w:rsid w:val="00130D53"/>
    <w:rsid w:val="001311CE"/>
    <w:rsid w:val="0013170E"/>
    <w:rsid w:val="001319F6"/>
    <w:rsid w:val="00131E56"/>
    <w:rsid w:val="0013214E"/>
    <w:rsid w:val="001321D9"/>
    <w:rsid w:val="00132930"/>
    <w:rsid w:val="001336DC"/>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640"/>
    <w:rsid w:val="0014092E"/>
    <w:rsid w:val="00141DCE"/>
    <w:rsid w:val="00142692"/>
    <w:rsid w:val="00142745"/>
    <w:rsid w:val="001428A0"/>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C62"/>
    <w:rsid w:val="0015038C"/>
    <w:rsid w:val="0015194F"/>
    <w:rsid w:val="00151A3F"/>
    <w:rsid w:val="00152648"/>
    <w:rsid w:val="0015279D"/>
    <w:rsid w:val="0015298D"/>
    <w:rsid w:val="00152D35"/>
    <w:rsid w:val="00154379"/>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2DCA"/>
    <w:rsid w:val="00163785"/>
    <w:rsid w:val="001640D9"/>
    <w:rsid w:val="00164526"/>
    <w:rsid w:val="00165126"/>
    <w:rsid w:val="001654FA"/>
    <w:rsid w:val="001669B0"/>
    <w:rsid w:val="00166AFD"/>
    <w:rsid w:val="00166CE4"/>
    <w:rsid w:val="00166FD7"/>
    <w:rsid w:val="00167E41"/>
    <w:rsid w:val="00167FC6"/>
    <w:rsid w:val="0017151E"/>
    <w:rsid w:val="001718B0"/>
    <w:rsid w:val="00171EBC"/>
    <w:rsid w:val="00171F4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162"/>
    <w:rsid w:val="001804EC"/>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A778E"/>
    <w:rsid w:val="001B0412"/>
    <w:rsid w:val="001B07F0"/>
    <w:rsid w:val="001B0941"/>
    <w:rsid w:val="001B0B17"/>
    <w:rsid w:val="001B0D8D"/>
    <w:rsid w:val="001B0E2B"/>
    <w:rsid w:val="001B1007"/>
    <w:rsid w:val="001B1D1B"/>
    <w:rsid w:val="001B25DE"/>
    <w:rsid w:val="001B274E"/>
    <w:rsid w:val="001B279E"/>
    <w:rsid w:val="001B3BCF"/>
    <w:rsid w:val="001B4454"/>
    <w:rsid w:val="001B4BA1"/>
    <w:rsid w:val="001B566A"/>
    <w:rsid w:val="001B579D"/>
    <w:rsid w:val="001B64AF"/>
    <w:rsid w:val="001B6D03"/>
    <w:rsid w:val="001C02AC"/>
    <w:rsid w:val="001C1462"/>
    <w:rsid w:val="001C166D"/>
    <w:rsid w:val="001C1C5F"/>
    <w:rsid w:val="001C32C6"/>
    <w:rsid w:val="001C3D99"/>
    <w:rsid w:val="001C40B3"/>
    <w:rsid w:val="001C4259"/>
    <w:rsid w:val="001C4283"/>
    <w:rsid w:val="001C4E4D"/>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69A"/>
    <w:rsid w:val="001D379F"/>
    <w:rsid w:val="001D3CC9"/>
    <w:rsid w:val="001D4659"/>
    <w:rsid w:val="001D4ECC"/>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D59"/>
    <w:rsid w:val="002054C4"/>
    <w:rsid w:val="0020589A"/>
    <w:rsid w:val="00205A5E"/>
    <w:rsid w:val="00205F77"/>
    <w:rsid w:val="00205FCB"/>
    <w:rsid w:val="00206976"/>
    <w:rsid w:val="00206C90"/>
    <w:rsid w:val="002076D2"/>
    <w:rsid w:val="0021013D"/>
    <w:rsid w:val="00210AE8"/>
    <w:rsid w:val="00210CBF"/>
    <w:rsid w:val="00210D01"/>
    <w:rsid w:val="00210E6A"/>
    <w:rsid w:val="00211497"/>
    <w:rsid w:val="00211C88"/>
    <w:rsid w:val="0021278F"/>
    <w:rsid w:val="00212D07"/>
    <w:rsid w:val="00212E58"/>
    <w:rsid w:val="00213674"/>
    <w:rsid w:val="002137C9"/>
    <w:rsid w:val="00213DC3"/>
    <w:rsid w:val="00215268"/>
    <w:rsid w:val="00215F50"/>
    <w:rsid w:val="00215F99"/>
    <w:rsid w:val="002160D9"/>
    <w:rsid w:val="00216286"/>
    <w:rsid w:val="00217089"/>
    <w:rsid w:val="00217939"/>
    <w:rsid w:val="002179F6"/>
    <w:rsid w:val="00217B23"/>
    <w:rsid w:val="00217F4F"/>
    <w:rsid w:val="00220D31"/>
    <w:rsid w:val="002224EE"/>
    <w:rsid w:val="00222A2F"/>
    <w:rsid w:val="00223044"/>
    <w:rsid w:val="002238A7"/>
    <w:rsid w:val="002247AC"/>
    <w:rsid w:val="002248F1"/>
    <w:rsid w:val="00224A66"/>
    <w:rsid w:val="00224F59"/>
    <w:rsid w:val="00226643"/>
    <w:rsid w:val="00227A97"/>
    <w:rsid w:val="00227BB8"/>
    <w:rsid w:val="00227FFC"/>
    <w:rsid w:val="00230681"/>
    <w:rsid w:val="002308D9"/>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77"/>
    <w:rsid w:val="00240339"/>
    <w:rsid w:val="0024087E"/>
    <w:rsid w:val="00240904"/>
    <w:rsid w:val="00240F66"/>
    <w:rsid w:val="00241149"/>
    <w:rsid w:val="00241365"/>
    <w:rsid w:val="00241C72"/>
    <w:rsid w:val="00242FB7"/>
    <w:rsid w:val="00243082"/>
    <w:rsid w:val="002430C0"/>
    <w:rsid w:val="0024382C"/>
    <w:rsid w:val="00243AD1"/>
    <w:rsid w:val="00243CC1"/>
    <w:rsid w:val="00244294"/>
    <w:rsid w:val="002442FD"/>
    <w:rsid w:val="00244A93"/>
    <w:rsid w:val="00244EF5"/>
    <w:rsid w:val="002458E8"/>
    <w:rsid w:val="002479DF"/>
    <w:rsid w:val="00247F36"/>
    <w:rsid w:val="002514BF"/>
    <w:rsid w:val="00251AA3"/>
    <w:rsid w:val="00251BBE"/>
    <w:rsid w:val="00251D62"/>
    <w:rsid w:val="002526D6"/>
    <w:rsid w:val="00253196"/>
    <w:rsid w:val="00253242"/>
    <w:rsid w:val="002532DD"/>
    <w:rsid w:val="00253367"/>
    <w:rsid w:val="00253B7D"/>
    <w:rsid w:val="00254568"/>
    <w:rsid w:val="0025470D"/>
    <w:rsid w:val="00254F44"/>
    <w:rsid w:val="00254F70"/>
    <w:rsid w:val="002559B4"/>
    <w:rsid w:val="00255E4F"/>
    <w:rsid w:val="00255F2F"/>
    <w:rsid w:val="00255FB3"/>
    <w:rsid w:val="002564E1"/>
    <w:rsid w:val="0025698F"/>
    <w:rsid w:val="00256E35"/>
    <w:rsid w:val="00256E6F"/>
    <w:rsid w:val="00256FD1"/>
    <w:rsid w:val="00257C9C"/>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50FA"/>
    <w:rsid w:val="00265273"/>
    <w:rsid w:val="00265F7A"/>
    <w:rsid w:val="002660DC"/>
    <w:rsid w:val="002665A7"/>
    <w:rsid w:val="0026698D"/>
    <w:rsid w:val="00266BCC"/>
    <w:rsid w:val="00267026"/>
    <w:rsid w:val="002670F8"/>
    <w:rsid w:val="002706A7"/>
    <w:rsid w:val="00270A39"/>
    <w:rsid w:val="00270BED"/>
    <w:rsid w:val="002710E4"/>
    <w:rsid w:val="00271254"/>
    <w:rsid w:val="00271FE2"/>
    <w:rsid w:val="00272F85"/>
    <w:rsid w:val="00273547"/>
    <w:rsid w:val="00274970"/>
    <w:rsid w:val="0027541D"/>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15AC"/>
    <w:rsid w:val="00281967"/>
    <w:rsid w:val="00281C75"/>
    <w:rsid w:val="00282082"/>
    <w:rsid w:val="00282BE8"/>
    <w:rsid w:val="00282E9A"/>
    <w:rsid w:val="00283484"/>
    <w:rsid w:val="00283514"/>
    <w:rsid w:val="002841F4"/>
    <w:rsid w:val="002842A9"/>
    <w:rsid w:val="00284C03"/>
    <w:rsid w:val="00285ADC"/>
    <w:rsid w:val="00286792"/>
    <w:rsid w:val="00286E82"/>
    <w:rsid w:val="002870CE"/>
    <w:rsid w:val="00287129"/>
    <w:rsid w:val="00287A94"/>
    <w:rsid w:val="00287BB2"/>
    <w:rsid w:val="00287F2F"/>
    <w:rsid w:val="00290774"/>
    <w:rsid w:val="00291240"/>
    <w:rsid w:val="00291307"/>
    <w:rsid w:val="002915A0"/>
    <w:rsid w:val="0029260B"/>
    <w:rsid w:val="002935BF"/>
    <w:rsid w:val="00293AF2"/>
    <w:rsid w:val="00293C63"/>
    <w:rsid w:val="00294082"/>
    <w:rsid w:val="00294342"/>
    <w:rsid w:val="002947F3"/>
    <w:rsid w:val="00294B0D"/>
    <w:rsid w:val="00294BD8"/>
    <w:rsid w:val="00294DCE"/>
    <w:rsid w:val="00296022"/>
    <w:rsid w:val="002962D8"/>
    <w:rsid w:val="002966C2"/>
    <w:rsid w:val="00296C50"/>
    <w:rsid w:val="00297375"/>
    <w:rsid w:val="002A015B"/>
    <w:rsid w:val="002A0481"/>
    <w:rsid w:val="002A0E3A"/>
    <w:rsid w:val="002A1795"/>
    <w:rsid w:val="002A1A55"/>
    <w:rsid w:val="002A1A7B"/>
    <w:rsid w:val="002A2737"/>
    <w:rsid w:val="002A29AB"/>
    <w:rsid w:val="002A394C"/>
    <w:rsid w:val="002A3F58"/>
    <w:rsid w:val="002A3F7C"/>
    <w:rsid w:val="002A3FE5"/>
    <w:rsid w:val="002A474F"/>
    <w:rsid w:val="002A5301"/>
    <w:rsid w:val="002A5CEE"/>
    <w:rsid w:val="002A62EC"/>
    <w:rsid w:val="002A6BE0"/>
    <w:rsid w:val="002A6E74"/>
    <w:rsid w:val="002A7048"/>
    <w:rsid w:val="002A7751"/>
    <w:rsid w:val="002A78C4"/>
    <w:rsid w:val="002A7CF8"/>
    <w:rsid w:val="002B03E2"/>
    <w:rsid w:val="002B0432"/>
    <w:rsid w:val="002B178B"/>
    <w:rsid w:val="002B17FE"/>
    <w:rsid w:val="002B1B21"/>
    <w:rsid w:val="002B2E10"/>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019"/>
    <w:rsid w:val="002C0721"/>
    <w:rsid w:val="002C1869"/>
    <w:rsid w:val="002C1AE3"/>
    <w:rsid w:val="002C2D58"/>
    <w:rsid w:val="002C3766"/>
    <w:rsid w:val="002C3A83"/>
    <w:rsid w:val="002C3EBC"/>
    <w:rsid w:val="002C3F32"/>
    <w:rsid w:val="002C424D"/>
    <w:rsid w:val="002C43B2"/>
    <w:rsid w:val="002C4EED"/>
    <w:rsid w:val="002C5A4B"/>
    <w:rsid w:val="002C66BA"/>
    <w:rsid w:val="002C66C5"/>
    <w:rsid w:val="002C727C"/>
    <w:rsid w:val="002C7C08"/>
    <w:rsid w:val="002D00A8"/>
    <w:rsid w:val="002D097C"/>
    <w:rsid w:val="002D11DC"/>
    <w:rsid w:val="002D1212"/>
    <w:rsid w:val="002D1355"/>
    <w:rsid w:val="002D155A"/>
    <w:rsid w:val="002D2169"/>
    <w:rsid w:val="002D2330"/>
    <w:rsid w:val="002D26A0"/>
    <w:rsid w:val="002D2985"/>
    <w:rsid w:val="002D2AD0"/>
    <w:rsid w:val="002D2AEA"/>
    <w:rsid w:val="002D315C"/>
    <w:rsid w:val="002D3BC3"/>
    <w:rsid w:val="002D43F3"/>
    <w:rsid w:val="002D5146"/>
    <w:rsid w:val="002D54F3"/>
    <w:rsid w:val="002D59D1"/>
    <w:rsid w:val="002D6989"/>
    <w:rsid w:val="002D71C3"/>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AA4"/>
    <w:rsid w:val="00301032"/>
    <w:rsid w:val="0030155C"/>
    <w:rsid w:val="003038E1"/>
    <w:rsid w:val="00303ADF"/>
    <w:rsid w:val="00303B65"/>
    <w:rsid w:val="00303C1E"/>
    <w:rsid w:val="00303F0F"/>
    <w:rsid w:val="00304550"/>
    <w:rsid w:val="0030474A"/>
    <w:rsid w:val="00305548"/>
    <w:rsid w:val="00305580"/>
    <w:rsid w:val="00305D1F"/>
    <w:rsid w:val="0030610F"/>
    <w:rsid w:val="00306A5A"/>
    <w:rsid w:val="00306BDC"/>
    <w:rsid w:val="003071D0"/>
    <w:rsid w:val="003079CD"/>
    <w:rsid w:val="003107A8"/>
    <w:rsid w:val="00310AFF"/>
    <w:rsid w:val="00310C48"/>
    <w:rsid w:val="00310F19"/>
    <w:rsid w:val="003133B1"/>
    <w:rsid w:val="003140B8"/>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FBD"/>
    <w:rsid w:val="00317338"/>
    <w:rsid w:val="00317675"/>
    <w:rsid w:val="00320ED3"/>
    <w:rsid w:val="003210B5"/>
    <w:rsid w:val="003210E3"/>
    <w:rsid w:val="00321B34"/>
    <w:rsid w:val="003221A6"/>
    <w:rsid w:val="00322278"/>
    <w:rsid w:val="0032247C"/>
    <w:rsid w:val="00322CF2"/>
    <w:rsid w:val="0032301C"/>
    <w:rsid w:val="00323571"/>
    <w:rsid w:val="003236B6"/>
    <w:rsid w:val="00323AE4"/>
    <w:rsid w:val="00323E6F"/>
    <w:rsid w:val="0032430A"/>
    <w:rsid w:val="0032454F"/>
    <w:rsid w:val="00324612"/>
    <w:rsid w:val="00325820"/>
    <w:rsid w:val="00325BAD"/>
    <w:rsid w:val="00326309"/>
    <w:rsid w:val="00327400"/>
    <w:rsid w:val="00327CB6"/>
    <w:rsid w:val="00327F6B"/>
    <w:rsid w:val="003303FF"/>
    <w:rsid w:val="00330772"/>
    <w:rsid w:val="00330ABD"/>
    <w:rsid w:val="00330B7C"/>
    <w:rsid w:val="00330BFA"/>
    <w:rsid w:val="00330C70"/>
    <w:rsid w:val="00330E4C"/>
    <w:rsid w:val="00332503"/>
    <w:rsid w:val="0033255E"/>
    <w:rsid w:val="003325E2"/>
    <w:rsid w:val="00333191"/>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53AB"/>
    <w:rsid w:val="0034561D"/>
    <w:rsid w:val="003456DB"/>
    <w:rsid w:val="003465C4"/>
    <w:rsid w:val="00346A52"/>
    <w:rsid w:val="00347655"/>
    <w:rsid w:val="0034795C"/>
    <w:rsid w:val="00347C36"/>
    <w:rsid w:val="00350196"/>
    <w:rsid w:val="00350F63"/>
    <w:rsid w:val="0035130E"/>
    <w:rsid w:val="00351CB2"/>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7002F"/>
    <w:rsid w:val="0037096E"/>
    <w:rsid w:val="00370C70"/>
    <w:rsid w:val="00370D38"/>
    <w:rsid w:val="0037149C"/>
    <w:rsid w:val="00371885"/>
    <w:rsid w:val="0037201B"/>
    <w:rsid w:val="003721BF"/>
    <w:rsid w:val="00372C33"/>
    <w:rsid w:val="00372D74"/>
    <w:rsid w:val="00372DE4"/>
    <w:rsid w:val="0037314C"/>
    <w:rsid w:val="003731FE"/>
    <w:rsid w:val="00373A56"/>
    <w:rsid w:val="00373EC5"/>
    <w:rsid w:val="003740B2"/>
    <w:rsid w:val="003740D6"/>
    <w:rsid w:val="00374E83"/>
    <w:rsid w:val="003759C9"/>
    <w:rsid w:val="00376A04"/>
    <w:rsid w:val="00376AB7"/>
    <w:rsid w:val="003773D6"/>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FE0"/>
    <w:rsid w:val="003933CC"/>
    <w:rsid w:val="0039350A"/>
    <w:rsid w:val="00393809"/>
    <w:rsid w:val="00393883"/>
    <w:rsid w:val="00393CB0"/>
    <w:rsid w:val="00393E83"/>
    <w:rsid w:val="0039412C"/>
    <w:rsid w:val="00394968"/>
    <w:rsid w:val="00394FB6"/>
    <w:rsid w:val="0039593A"/>
    <w:rsid w:val="00395A6E"/>
    <w:rsid w:val="003972D7"/>
    <w:rsid w:val="003974EA"/>
    <w:rsid w:val="00397D5C"/>
    <w:rsid w:val="00397D7D"/>
    <w:rsid w:val="003A0BD4"/>
    <w:rsid w:val="003A15A2"/>
    <w:rsid w:val="003A15A4"/>
    <w:rsid w:val="003A3A40"/>
    <w:rsid w:val="003A3D3B"/>
    <w:rsid w:val="003A403F"/>
    <w:rsid w:val="003A4390"/>
    <w:rsid w:val="003A4FED"/>
    <w:rsid w:val="003A5060"/>
    <w:rsid w:val="003A5384"/>
    <w:rsid w:val="003A58C4"/>
    <w:rsid w:val="003A5EFF"/>
    <w:rsid w:val="003A6AAD"/>
    <w:rsid w:val="003A7080"/>
    <w:rsid w:val="003A7652"/>
    <w:rsid w:val="003A7852"/>
    <w:rsid w:val="003A7B67"/>
    <w:rsid w:val="003A7B8C"/>
    <w:rsid w:val="003A7C68"/>
    <w:rsid w:val="003A7CD2"/>
    <w:rsid w:val="003A7EC8"/>
    <w:rsid w:val="003B053E"/>
    <w:rsid w:val="003B11D6"/>
    <w:rsid w:val="003B2A1C"/>
    <w:rsid w:val="003B4084"/>
    <w:rsid w:val="003B466C"/>
    <w:rsid w:val="003B54F6"/>
    <w:rsid w:val="003B6093"/>
    <w:rsid w:val="003B6C44"/>
    <w:rsid w:val="003B7638"/>
    <w:rsid w:val="003B7773"/>
    <w:rsid w:val="003C0AD2"/>
    <w:rsid w:val="003C1648"/>
    <w:rsid w:val="003C1D7D"/>
    <w:rsid w:val="003C23CE"/>
    <w:rsid w:val="003C2860"/>
    <w:rsid w:val="003C293D"/>
    <w:rsid w:val="003C2F19"/>
    <w:rsid w:val="003C30BD"/>
    <w:rsid w:val="003C4DF4"/>
    <w:rsid w:val="003C501C"/>
    <w:rsid w:val="003C5153"/>
    <w:rsid w:val="003C5E8D"/>
    <w:rsid w:val="003C6214"/>
    <w:rsid w:val="003C649D"/>
    <w:rsid w:val="003C65A5"/>
    <w:rsid w:val="003C66B5"/>
    <w:rsid w:val="003C7917"/>
    <w:rsid w:val="003D0019"/>
    <w:rsid w:val="003D0028"/>
    <w:rsid w:val="003D019E"/>
    <w:rsid w:val="003D01D5"/>
    <w:rsid w:val="003D19BF"/>
    <w:rsid w:val="003D1A31"/>
    <w:rsid w:val="003D1F38"/>
    <w:rsid w:val="003D231C"/>
    <w:rsid w:val="003D2C2F"/>
    <w:rsid w:val="003D3197"/>
    <w:rsid w:val="003D3439"/>
    <w:rsid w:val="003D4577"/>
    <w:rsid w:val="003D4593"/>
    <w:rsid w:val="003D49B7"/>
    <w:rsid w:val="003D4FD3"/>
    <w:rsid w:val="003D5AD6"/>
    <w:rsid w:val="003D6E98"/>
    <w:rsid w:val="003D707A"/>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A9C"/>
    <w:rsid w:val="003F01D5"/>
    <w:rsid w:val="003F0EE3"/>
    <w:rsid w:val="003F147F"/>
    <w:rsid w:val="003F18BD"/>
    <w:rsid w:val="003F1B33"/>
    <w:rsid w:val="003F1B3E"/>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C04"/>
    <w:rsid w:val="004130E8"/>
    <w:rsid w:val="004133C0"/>
    <w:rsid w:val="00413510"/>
    <w:rsid w:val="0041380B"/>
    <w:rsid w:val="00413A42"/>
    <w:rsid w:val="00413B61"/>
    <w:rsid w:val="00414058"/>
    <w:rsid w:val="00414813"/>
    <w:rsid w:val="00415232"/>
    <w:rsid w:val="00416135"/>
    <w:rsid w:val="00416927"/>
    <w:rsid w:val="00416E70"/>
    <w:rsid w:val="00417BDE"/>
    <w:rsid w:val="0042045E"/>
    <w:rsid w:val="00420AD1"/>
    <w:rsid w:val="004215C4"/>
    <w:rsid w:val="00421A0C"/>
    <w:rsid w:val="00421C37"/>
    <w:rsid w:val="0042213D"/>
    <w:rsid w:val="004221D2"/>
    <w:rsid w:val="004222DB"/>
    <w:rsid w:val="00422858"/>
    <w:rsid w:val="00422896"/>
    <w:rsid w:val="00422A01"/>
    <w:rsid w:val="0042331C"/>
    <w:rsid w:val="00423832"/>
    <w:rsid w:val="00423DEF"/>
    <w:rsid w:val="004243B1"/>
    <w:rsid w:val="004244CB"/>
    <w:rsid w:val="0042602D"/>
    <w:rsid w:val="0042611E"/>
    <w:rsid w:val="00426634"/>
    <w:rsid w:val="00426B18"/>
    <w:rsid w:val="00430738"/>
    <w:rsid w:val="00430A50"/>
    <w:rsid w:val="00430DEC"/>
    <w:rsid w:val="0043151D"/>
    <w:rsid w:val="00431B12"/>
    <w:rsid w:val="00432CE9"/>
    <w:rsid w:val="0043304C"/>
    <w:rsid w:val="00433238"/>
    <w:rsid w:val="00433CBB"/>
    <w:rsid w:val="0043450C"/>
    <w:rsid w:val="00434835"/>
    <w:rsid w:val="00434EB4"/>
    <w:rsid w:val="00434FA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0EC2"/>
    <w:rsid w:val="00451385"/>
    <w:rsid w:val="004525FA"/>
    <w:rsid w:val="0045387B"/>
    <w:rsid w:val="00453A7F"/>
    <w:rsid w:val="00455AD2"/>
    <w:rsid w:val="00455B90"/>
    <w:rsid w:val="0045630E"/>
    <w:rsid w:val="00456A44"/>
    <w:rsid w:val="004575C8"/>
    <w:rsid w:val="0045796E"/>
    <w:rsid w:val="00457DEF"/>
    <w:rsid w:val="0046045E"/>
    <w:rsid w:val="00460A7B"/>
    <w:rsid w:val="00460C86"/>
    <w:rsid w:val="00460E0E"/>
    <w:rsid w:val="00461DE2"/>
    <w:rsid w:val="0046206C"/>
    <w:rsid w:val="004626BA"/>
    <w:rsid w:val="00462D1F"/>
    <w:rsid w:val="00462F1C"/>
    <w:rsid w:val="00462FC6"/>
    <w:rsid w:val="00463157"/>
    <w:rsid w:val="004633CB"/>
    <w:rsid w:val="004635B9"/>
    <w:rsid w:val="004637E8"/>
    <w:rsid w:val="00463ADD"/>
    <w:rsid w:val="00463FC2"/>
    <w:rsid w:val="00464DEB"/>
    <w:rsid w:val="004650A5"/>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307"/>
    <w:rsid w:val="0048098F"/>
    <w:rsid w:val="00480DE6"/>
    <w:rsid w:val="0048189E"/>
    <w:rsid w:val="00481A88"/>
    <w:rsid w:val="00482627"/>
    <w:rsid w:val="004826F2"/>
    <w:rsid w:val="00482D88"/>
    <w:rsid w:val="00482F5E"/>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87ECE"/>
    <w:rsid w:val="00490460"/>
    <w:rsid w:val="00490E73"/>
    <w:rsid w:val="00490E92"/>
    <w:rsid w:val="004910E2"/>
    <w:rsid w:val="00491411"/>
    <w:rsid w:val="004914CA"/>
    <w:rsid w:val="00491811"/>
    <w:rsid w:val="00491A9D"/>
    <w:rsid w:val="00491EEB"/>
    <w:rsid w:val="0049226A"/>
    <w:rsid w:val="0049264D"/>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654"/>
    <w:rsid w:val="004976C3"/>
    <w:rsid w:val="00497A36"/>
    <w:rsid w:val="00497BBB"/>
    <w:rsid w:val="004A00DE"/>
    <w:rsid w:val="004A148A"/>
    <w:rsid w:val="004A14C8"/>
    <w:rsid w:val="004A239E"/>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3B55"/>
    <w:rsid w:val="004B3D97"/>
    <w:rsid w:val="004B411D"/>
    <w:rsid w:val="004B42C6"/>
    <w:rsid w:val="004B48AB"/>
    <w:rsid w:val="004B54EC"/>
    <w:rsid w:val="004B5AC1"/>
    <w:rsid w:val="004B5C01"/>
    <w:rsid w:val="004B5E4D"/>
    <w:rsid w:val="004B629B"/>
    <w:rsid w:val="004B7305"/>
    <w:rsid w:val="004B7319"/>
    <w:rsid w:val="004B7408"/>
    <w:rsid w:val="004B7BD3"/>
    <w:rsid w:val="004C050D"/>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427"/>
    <w:rsid w:val="004D27D2"/>
    <w:rsid w:val="004D2C98"/>
    <w:rsid w:val="004D32B7"/>
    <w:rsid w:val="004D33C3"/>
    <w:rsid w:val="004D37FD"/>
    <w:rsid w:val="004D4691"/>
    <w:rsid w:val="004D5B59"/>
    <w:rsid w:val="004D6106"/>
    <w:rsid w:val="004D61C1"/>
    <w:rsid w:val="004D6280"/>
    <w:rsid w:val="004D6404"/>
    <w:rsid w:val="004D645A"/>
    <w:rsid w:val="004D6465"/>
    <w:rsid w:val="004D77DD"/>
    <w:rsid w:val="004E0808"/>
    <w:rsid w:val="004E0B2C"/>
    <w:rsid w:val="004E0EE6"/>
    <w:rsid w:val="004E151A"/>
    <w:rsid w:val="004E1670"/>
    <w:rsid w:val="004E172C"/>
    <w:rsid w:val="004E280D"/>
    <w:rsid w:val="004E2C4A"/>
    <w:rsid w:val="004E2DCB"/>
    <w:rsid w:val="004E2EFF"/>
    <w:rsid w:val="004E304A"/>
    <w:rsid w:val="004E3231"/>
    <w:rsid w:val="004E3457"/>
    <w:rsid w:val="004E3498"/>
    <w:rsid w:val="004E393B"/>
    <w:rsid w:val="004E412D"/>
    <w:rsid w:val="004E459E"/>
    <w:rsid w:val="004E4677"/>
    <w:rsid w:val="004E4AD2"/>
    <w:rsid w:val="004E4BB3"/>
    <w:rsid w:val="004E523A"/>
    <w:rsid w:val="004E60C8"/>
    <w:rsid w:val="004E7447"/>
    <w:rsid w:val="004E7737"/>
    <w:rsid w:val="004E7EAD"/>
    <w:rsid w:val="004F11AF"/>
    <w:rsid w:val="004F13C8"/>
    <w:rsid w:val="004F1E36"/>
    <w:rsid w:val="004F2ED1"/>
    <w:rsid w:val="004F3262"/>
    <w:rsid w:val="004F3D7B"/>
    <w:rsid w:val="004F3DE0"/>
    <w:rsid w:val="004F3E01"/>
    <w:rsid w:val="004F3F86"/>
    <w:rsid w:val="004F3FC2"/>
    <w:rsid w:val="004F4035"/>
    <w:rsid w:val="004F424B"/>
    <w:rsid w:val="004F491A"/>
    <w:rsid w:val="004F4925"/>
    <w:rsid w:val="004F4AB7"/>
    <w:rsid w:val="004F4DBA"/>
    <w:rsid w:val="004F529F"/>
    <w:rsid w:val="004F5504"/>
    <w:rsid w:val="004F5ADF"/>
    <w:rsid w:val="004F6226"/>
    <w:rsid w:val="004F6B4E"/>
    <w:rsid w:val="004F6C04"/>
    <w:rsid w:val="004F6D8E"/>
    <w:rsid w:val="004F735E"/>
    <w:rsid w:val="004F7D08"/>
    <w:rsid w:val="004F7EF9"/>
    <w:rsid w:val="004F7F5E"/>
    <w:rsid w:val="004F7FDF"/>
    <w:rsid w:val="005002D4"/>
    <w:rsid w:val="0050091B"/>
    <w:rsid w:val="00502807"/>
    <w:rsid w:val="00502D63"/>
    <w:rsid w:val="00503A31"/>
    <w:rsid w:val="00504357"/>
    <w:rsid w:val="0050461D"/>
    <w:rsid w:val="00504A8B"/>
    <w:rsid w:val="0050541B"/>
    <w:rsid w:val="005058E5"/>
    <w:rsid w:val="00506693"/>
    <w:rsid w:val="00506C9D"/>
    <w:rsid w:val="00507D2F"/>
    <w:rsid w:val="0051013F"/>
    <w:rsid w:val="00510346"/>
    <w:rsid w:val="005106FC"/>
    <w:rsid w:val="00510DCB"/>
    <w:rsid w:val="00511F38"/>
    <w:rsid w:val="005120AE"/>
    <w:rsid w:val="005121A9"/>
    <w:rsid w:val="00512686"/>
    <w:rsid w:val="005130B1"/>
    <w:rsid w:val="0051310A"/>
    <w:rsid w:val="0051342E"/>
    <w:rsid w:val="005134B6"/>
    <w:rsid w:val="00513A70"/>
    <w:rsid w:val="00513BEA"/>
    <w:rsid w:val="00513BF4"/>
    <w:rsid w:val="005140CE"/>
    <w:rsid w:val="00514554"/>
    <w:rsid w:val="00514EE0"/>
    <w:rsid w:val="00515A57"/>
    <w:rsid w:val="00515D5B"/>
    <w:rsid w:val="0051694F"/>
    <w:rsid w:val="005175C2"/>
    <w:rsid w:val="00517C06"/>
    <w:rsid w:val="00517D77"/>
    <w:rsid w:val="00520184"/>
    <w:rsid w:val="00520539"/>
    <w:rsid w:val="00520E2E"/>
    <w:rsid w:val="00521B38"/>
    <w:rsid w:val="00522404"/>
    <w:rsid w:val="00523519"/>
    <w:rsid w:val="005237B0"/>
    <w:rsid w:val="00523F81"/>
    <w:rsid w:val="005244E7"/>
    <w:rsid w:val="00524548"/>
    <w:rsid w:val="005246A4"/>
    <w:rsid w:val="00524731"/>
    <w:rsid w:val="00524BC5"/>
    <w:rsid w:val="00525287"/>
    <w:rsid w:val="0052540D"/>
    <w:rsid w:val="00525E29"/>
    <w:rsid w:val="0052704B"/>
    <w:rsid w:val="005272DE"/>
    <w:rsid w:val="005273DA"/>
    <w:rsid w:val="005277EB"/>
    <w:rsid w:val="005278AB"/>
    <w:rsid w:val="00527C63"/>
    <w:rsid w:val="00527DF1"/>
    <w:rsid w:val="00530143"/>
    <w:rsid w:val="00530208"/>
    <w:rsid w:val="00530B4B"/>
    <w:rsid w:val="00530EA6"/>
    <w:rsid w:val="00530FE9"/>
    <w:rsid w:val="005311A6"/>
    <w:rsid w:val="005313F5"/>
    <w:rsid w:val="005317EA"/>
    <w:rsid w:val="0053189E"/>
    <w:rsid w:val="00531969"/>
    <w:rsid w:val="00532657"/>
    <w:rsid w:val="0053270B"/>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9F"/>
    <w:rsid w:val="00556F45"/>
    <w:rsid w:val="00557112"/>
    <w:rsid w:val="005571C8"/>
    <w:rsid w:val="00557EFA"/>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772D"/>
    <w:rsid w:val="00567A7A"/>
    <w:rsid w:val="00567DD9"/>
    <w:rsid w:val="00567EE0"/>
    <w:rsid w:val="00570646"/>
    <w:rsid w:val="005709EC"/>
    <w:rsid w:val="00571313"/>
    <w:rsid w:val="00571E4A"/>
    <w:rsid w:val="0057214C"/>
    <w:rsid w:val="0057536F"/>
    <w:rsid w:val="0057570B"/>
    <w:rsid w:val="00575760"/>
    <w:rsid w:val="00575987"/>
    <w:rsid w:val="00575AF8"/>
    <w:rsid w:val="005760C2"/>
    <w:rsid w:val="00577C1B"/>
    <w:rsid w:val="00577EAF"/>
    <w:rsid w:val="00577EEB"/>
    <w:rsid w:val="005804EA"/>
    <w:rsid w:val="00580AFE"/>
    <w:rsid w:val="00580B9F"/>
    <w:rsid w:val="0058103C"/>
    <w:rsid w:val="00581CB3"/>
    <w:rsid w:val="00581E4C"/>
    <w:rsid w:val="00581F2E"/>
    <w:rsid w:val="00581F92"/>
    <w:rsid w:val="005826ED"/>
    <w:rsid w:val="00582E1E"/>
    <w:rsid w:val="00583268"/>
    <w:rsid w:val="005833D3"/>
    <w:rsid w:val="00583550"/>
    <w:rsid w:val="00583843"/>
    <w:rsid w:val="00583FFD"/>
    <w:rsid w:val="005840A0"/>
    <w:rsid w:val="005849AD"/>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DA1"/>
    <w:rsid w:val="005A0782"/>
    <w:rsid w:val="005A0AD6"/>
    <w:rsid w:val="005A1563"/>
    <w:rsid w:val="005A164F"/>
    <w:rsid w:val="005A16D3"/>
    <w:rsid w:val="005A1D93"/>
    <w:rsid w:val="005A2166"/>
    <w:rsid w:val="005A2C52"/>
    <w:rsid w:val="005A4BE9"/>
    <w:rsid w:val="005A4E55"/>
    <w:rsid w:val="005A5720"/>
    <w:rsid w:val="005A75D1"/>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66ED"/>
    <w:rsid w:val="005B7101"/>
    <w:rsid w:val="005B7CB1"/>
    <w:rsid w:val="005C06CB"/>
    <w:rsid w:val="005C0810"/>
    <w:rsid w:val="005C0E5F"/>
    <w:rsid w:val="005C1068"/>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DF"/>
    <w:rsid w:val="005C79AF"/>
    <w:rsid w:val="005C7DD1"/>
    <w:rsid w:val="005C7FFD"/>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6DA6"/>
    <w:rsid w:val="005D7982"/>
    <w:rsid w:val="005E0BFF"/>
    <w:rsid w:val="005E0E5C"/>
    <w:rsid w:val="005E1285"/>
    <w:rsid w:val="005E12E3"/>
    <w:rsid w:val="005E26A5"/>
    <w:rsid w:val="005E2749"/>
    <w:rsid w:val="005E2BD5"/>
    <w:rsid w:val="005E3521"/>
    <w:rsid w:val="005E358D"/>
    <w:rsid w:val="005E45B8"/>
    <w:rsid w:val="005E534E"/>
    <w:rsid w:val="005E5936"/>
    <w:rsid w:val="005E6335"/>
    <w:rsid w:val="005E64F0"/>
    <w:rsid w:val="005E6BF1"/>
    <w:rsid w:val="005E70E1"/>
    <w:rsid w:val="005E753C"/>
    <w:rsid w:val="005E7FBE"/>
    <w:rsid w:val="005F002C"/>
    <w:rsid w:val="005F0331"/>
    <w:rsid w:val="005F0FFE"/>
    <w:rsid w:val="005F1C24"/>
    <w:rsid w:val="005F2AB1"/>
    <w:rsid w:val="005F31F8"/>
    <w:rsid w:val="005F33D5"/>
    <w:rsid w:val="005F3CA6"/>
    <w:rsid w:val="005F3D95"/>
    <w:rsid w:val="005F441F"/>
    <w:rsid w:val="005F4F3D"/>
    <w:rsid w:val="005F616B"/>
    <w:rsid w:val="005F6685"/>
    <w:rsid w:val="005F676A"/>
    <w:rsid w:val="005F68B1"/>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F03"/>
    <w:rsid w:val="006063C8"/>
    <w:rsid w:val="00606456"/>
    <w:rsid w:val="006064A6"/>
    <w:rsid w:val="00606DAA"/>
    <w:rsid w:val="006104BC"/>
    <w:rsid w:val="00610C35"/>
    <w:rsid w:val="00610E21"/>
    <w:rsid w:val="006117E3"/>
    <w:rsid w:val="00611C25"/>
    <w:rsid w:val="006120FA"/>
    <w:rsid w:val="00612936"/>
    <w:rsid w:val="006132E7"/>
    <w:rsid w:val="00613E05"/>
    <w:rsid w:val="00614AF4"/>
    <w:rsid w:val="00614C1B"/>
    <w:rsid w:val="00615264"/>
    <w:rsid w:val="00615D10"/>
    <w:rsid w:val="006163B6"/>
    <w:rsid w:val="006177B3"/>
    <w:rsid w:val="00617B39"/>
    <w:rsid w:val="00620531"/>
    <w:rsid w:val="00620AA6"/>
    <w:rsid w:val="0062114C"/>
    <w:rsid w:val="006217CD"/>
    <w:rsid w:val="00621821"/>
    <w:rsid w:val="00622AFF"/>
    <w:rsid w:val="006231CA"/>
    <w:rsid w:val="00623851"/>
    <w:rsid w:val="00624745"/>
    <w:rsid w:val="00624C81"/>
    <w:rsid w:val="00624F42"/>
    <w:rsid w:val="00624FA7"/>
    <w:rsid w:val="006253DB"/>
    <w:rsid w:val="00625411"/>
    <w:rsid w:val="0062582B"/>
    <w:rsid w:val="006260EA"/>
    <w:rsid w:val="00626169"/>
    <w:rsid w:val="0062687F"/>
    <w:rsid w:val="00626FD4"/>
    <w:rsid w:val="006276B2"/>
    <w:rsid w:val="0062779A"/>
    <w:rsid w:val="006300DF"/>
    <w:rsid w:val="00630AFC"/>
    <w:rsid w:val="00631240"/>
    <w:rsid w:val="00631681"/>
    <w:rsid w:val="00631B45"/>
    <w:rsid w:val="006329E8"/>
    <w:rsid w:val="00632D2F"/>
    <w:rsid w:val="00633E9A"/>
    <w:rsid w:val="00634956"/>
    <w:rsid w:val="00634B99"/>
    <w:rsid w:val="00635005"/>
    <w:rsid w:val="00635184"/>
    <w:rsid w:val="0063529C"/>
    <w:rsid w:val="0063554E"/>
    <w:rsid w:val="006356FE"/>
    <w:rsid w:val="00636209"/>
    <w:rsid w:val="006363E1"/>
    <w:rsid w:val="006369FD"/>
    <w:rsid w:val="00636A52"/>
    <w:rsid w:val="0064036E"/>
    <w:rsid w:val="00640A39"/>
    <w:rsid w:val="00640AC3"/>
    <w:rsid w:val="0064195A"/>
    <w:rsid w:val="00641CA5"/>
    <w:rsid w:val="00641EE9"/>
    <w:rsid w:val="0064226D"/>
    <w:rsid w:val="00642687"/>
    <w:rsid w:val="006427DF"/>
    <w:rsid w:val="00642829"/>
    <w:rsid w:val="00643999"/>
    <w:rsid w:val="006448D2"/>
    <w:rsid w:val="00645407"/>
    <w:rsid w:val="006455BC"/>
    <w:rsid w:val="00645C89"/>
    <w:rsid w:val="0064668A"/>
    <w:rsid w:val="00646D9A"/>
    <w:rsid w:val="006475FA"/>
    <w:rsid w:val="00647996"/>
    <w:rsid w:val="00647A3D"/>
    <w:rsid w:val="00647DB2"/>
    <w:rsid w:val="00647DCD"/>
    <w:rsid w:val="00650905"/>
    <w:rsid w:val="00650D03"/>
    <w:rsid w:val="00650E3D"/>
    <w:rsid w:val="006514CD"/>
    <w:rsid w:val="00651E8F"/>
    <w:rsid w:val="00651EE7"/>
    <w:rsid w:val="006523AE"/>
    <w:rsid w:val="0065249E"/>
    <w:rsid w:val="00652A35"/>
    <w:rsid w:val="006539E7"/>
    <w:rsid w:val="0065411A"/>
    <w:rsid w:val="006541A9"/>
    <w:rsid w:val="006546F6"/>
    <w:rsid w:val="00654ED7"/>
    <w:rsid w:val="006550FA"/>
    <w:rsid w:val="006559E3"/>
    <w:rsid w:val="00655AEE"/>
    <w:rsid w:val="00655D4D"/>
    <w:rsid w:val="00656BDC"/>
    <w:rsid w:val="00656C01"/>
    <w:rsid w:val="00656FC3"/>
    <w:rsid w:val="0065726B"/>
    <w:rsid w:val="00657750"/>
    <w:rsid w:val="00660EDB"/>
    <w:rsid w:val="00661096"/>
    <w:rsid w:val="006616B3"/>
    <w:rsid w:val="00662131"/>
    <w:rsid w:val="006627E0"/>
    <w:rsid w:val="00662D74"/>
    <w:rsid w:val="006634E1"/>
    <w:rsid w:val="0066399E"/>
    <w:rsid w:val="0066402A"/>
    <w:rsid w:val="0066545F"/>
    <w:rsid w:val="006655F6"/>
    <w:rsid w:val="00665E86"/>
    <w:rsid w:val="00665FBF"/>
    <w:rsid w:val="006661A8"/>
    <w:rsid w:val="00667C87"/>
    <w:rsid w:val="00670716"/>
    <w:rsid w:val="0067154D"/>
    <w:rsid w:val="00671DBA"/>
    <w:rsid w:val="0067309C"/>
    <w:rsid w:val="00673293"/>
    <w:rsid w:val="00673857"/>
    <w:rsid w:val="0067436B"/>
    <w:rsid w:val="006747F8"/>
    <w:rsid w:val="00675947"/>
    <w:rsid w:val="00675F0E"/>
    <w:rsid w:val="00676DD4"/>
    <w:rsid w:val="00676F18"/>
    <w:rsid w:val="00677660"/>
    <w:rsid w:val="00677A4A"/>
    <w:rsid w:val="00677BEB"/>
    <w:rsid w:val="00677D88"/>
    <w:rsid w:val="00680465"/>
    <w:rsid w:val="006806AA"/>
    <w:rsid w:val="00680984"/>
    <w:rsid w:val="00680C40"/>
    <w:rsid w:val="00680DC9"/>
    <w:rsid w:val="00680E9D"/>
    <w:rsid w:val="00680FAE"/>
    <w:rsid w:val="00681086"/>
    <w:rsid w:val="00681190"/>
    <w:rsid w:val="006815B9"/>
    <w:rsid w:val="00681B6C"/>
    <w:rsid w:val="00681D9B"/>
    <w:rsid w:val="006828A3"/>
    <w:rsid w:val="006828AB"/>
    <w:rsid w:val="00682CDD"/>
    <w:rsid w:val="00682E81"/>
    <w:rsid w:val="00683023"/>
    <w:rsid w:val="00683178"/>
    <w:rsid w:val="00683DB4"/>
    <w:rsid w:val="0068418E"/>
    <w:rsid w:val="00684336"/>
    <w:rsid w:val="00684C77"/>
    <w:rsid w:val="00684E01"/>
    <w:rsid w:val="00685457"/>
    <w:rsid w:val="00685841"/>
    <w:rsid w:val="0068588C"/>
    <w:rsid w:val="00686BFB"/>
    <w:rsid w:val="00687E33"/>
    <w:rsid w:val="0069074B"/>
    <w:rsid w:val="00691481"/>
    <w:rsid w:val="00691A06"/>
    <w:rsid w:val="00691B38"/>
    <w:rsid w:val="0069233E"/>
    <w:rsid w:val="00692A04"/>
    <w:rsid w:val="006940A0"/>
    <w:rsid w:val="00694342"/>
    <w:rsid w:val="00694390"/>
    <w:rsid w:val="0069458D"/>
    <w:rsid w:val="00694A40"/>
    <w:rsid w:val="006953B5"/>
    <w:rsid w:val="00695639"/>
    <w:rsid w:val="006958D9"/>
    <w:rsid w:val="00696DF7"/>
    <w:rsid w:val="006A02FE"/>
    <w:rsid w:val="006A0566"/>
    <w:rsid w:val="006A10E7"/>
    <w:rsid w:val="006A1816"/>
    <w:rsid w:val="006A19E0"/>
    <w:rsid w:val="006A1C35"/>
    <w:rsid w:val="006A1F2B"/>
    <w:rsid w:val="006A1FCC"/>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ABB"/>
    <w:rsid w:val="006B0E70"/>
    <w:rsid w:val="006B1158"/>
    <w:rsid w:val="006B1381"/>
    <w:rsid w:val="006B1595"/>
    <w:rsid w:val="006B1893"/>
    <w:rsid w:val="006B1A43"/>
    <w:rsid w:val="006B204A"/>
    <w:rsid w:val="006B2900"/>
    <w:rsid w:val="006B2A5E"/>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17CE"/>
    <w:rsid w:val="006C23F2"/>
    <w:rsid w:val="006C2536"/>
    <w:rsid w:val="006C257A"/>
    <w:rsid w:val="006C4A3F"/>
    <w:rsid w:val="006C4B9B"/>
    <w:rsid w:val="006C4BCB"/>
    <w:rsid w:val="006C58FD"/>
    <w:rsid w:val="006C5E0E"/>
    <w:rsid w:val="006C65F3"/>
    <w:rsid w:val="006C6645"/>
    <w:rsid w:val="006C7BB5"/>
    <w:rsid w:val="006C7D9B"/>
    <w:rsid w:val="006C7EFD"/>
    <w:rsid w:val="006D037E"/>
    <w:rsid w:val="006D0574"/>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6A7"/>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C20"/>
    <w:rsid w:val="006F0FCF"/>
    <w:rsid w:val="006F1E4C"/>
    <w:rsid w:val="006F21AD"/>
    <w:rsid w:val="006F2302"/>
    <w:rsid w:val="006F3064"/>
    <w:rsid w:val="006F338E"/>
    <w:rsid w:val="006F35C0"/>
    <w:rsid w:val="006F3796"/>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F52"/>
    <w:rsid w:val="007061ED"/>
    <w:rsid w:val="007067A6"/>
    <w:rsid w:val="00706B53"/>
    <w:rsid w:val="00706BED"/>
    <w:rsid w:val="00706DD1"/>
    <w:rsid w:val="00707074"/>
    <w:rsid w:val="007072E7"/>
    <w:rsid w:val="0070732A"/>
    <w:rsid w:val="00707BCE"/>
    <w:rsid w:val="00710EA8"/>
    <w:rsid w:val="00711177"/>
    <w:rsid w:val="0071177B"/>
    <w:rsid w:val="00712133"/>
    <w:rsid w:val="0071300F"/>
    <w:rsid w:val="00713D5A"/>
    <w:rsid w:val="007154C0"/>
    <w:rsid w:val="0071573F"/>
    <w:rsid w:val="007157D7"/>
    <w:rsid w:val="007158D9"/>
    <w:rsid w:val="00716552"/>
    <w:rsid w:val="0071679E"/>
    <w:rsid w:val="007172E7"/>
    <w:rsid w:val="00717864"/>
    <w:rsid w:val="00717E96"/>
    <w:rsid w:val="0072026F"/>
    <w:rsid w:val="00720907"/>
    <w:rsid w:val="0072133E"/>
    <w:rsid w:val="0072168A"/>
    <w:rsid w:val="007219B2"/>
    <w:rsid w:val="00721E17"/>
    <w:rsid w:val="007224C9"/>
    <w:rsid w:val="007225AE"/>
    <w:rsid w:val="00722727"/>
    <w:rsid w:val="0072289C"/>
    <w:rsid w:val="007230FF"/>
    <w:rsid w:val="0072378A"/>
    <w:rsid w:val="007237E1"/>
    <w:rsid w:val="0072385F"/>
    <w:rsid w:val="00723CA8"/>
    <w:rsid w:val="00723E4D"/>
    <w:rsid w:val="007243CF"/>
    <w:rsid w:val="00725081"/>
    <w:rsid w:val="00725668"/>
    <w:rsid w:val="00726738"/>
    <w:rsid w:val="00727533"/>
    <w:rsid w:val="00727CD8"/>
    <w:rsid w:val="00727FB8"/>
    <w:rsid w:val="007303E7"/>
    <w:rsid w:val="00730D5E"/>
    <w:rsid w:val="00732DFE"/>
    <w:rsid w:val="00732FA7"/>
    <w:rsid w:val="00733191"/>
    <w:rsid w:val="00733549"/>
    <w:rsid w:val="007337F8"/>
    <w:rsid w:val="00733D71"/>
    <w:rsid w:val="00733E79"/>
    <w:rsid w:val="00734ABE"/>
    <w:rsid w:val="00734E0B"/>
    <w:rsid w:val="00735AB6"/>
    <w:rsid w:val="00735CE5"/>
    <w:rsid w:val="00735CE6"/>
    <w:rsid w:val="007365F6"/>
    <w:rsid w:val="007366DD"/>
    <w:rsid w:val="00736F38"/>
    <w:rsid w:val="007372AB"/>
    <w:rsid w:val="0073751E"/>
    <w:rsid w:val="007375D8"/>
    <w:rsid w:val="00740251"/>
    <w:rsid w:val="007406FF"/>
    <w:rsid w:val="007408C0"/>
    <w:rsid w:val="00740C56"/>
    <w:rsid w:val="00741580"/>
    <w:rsid w:val="00741719"/>
    <w:rsid w:val="00742BB1"/>
    <w:rsid w:val="00743049"/>
    <w:rsid w:val="00743503"/>
    <w:rsid w:val="0074366F"/>
    <w:rsid w:val="00743913"/>
    <w:rsid w:val="00743D33"/>
    <w:rsid w:val="00744671"/>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701B"/>
    <w:rsid w:val="00757246"/>
    <w:rsid w:val="00757933"/>
    <w:rsid w:val="0076016D"/>
    <w:rsid w:val="007611AB"/>
    <w:rsid w:val="0076181B"/>
    <w:rsid w:val="00761D6B"/>
    <w:rsid w:val="007622FE"/>
    <w:rsid w:val="00763381"/>
    <w:rsid w:val="00764E68"/>
    <w:rsid w:val="007652E8"/>
    <w:rsid w:val="0076553F"/>
    <w:rsid w:val="00766B7C"/>
    <w:rsid w:val="00766EB9"/>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8024B"/>
    <w:rsid w:val="007807B4"/>
    <w:rsid w:val="00780A8D"/>
    <w:rsid w:val="00781008"/>
    <w:rsid w:val="0078118F"/>
    <w:rsid w:val="007811B3"/>
    <w:rsid w:val="00781434"/>
    <w:rsid w:val="0078187C"/>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87FC7"/>
    <w:rsid w:val="00790B3B"/>
    <w:rsid w:val="00790E60"/>
    <w:rsid w:val="007912DC"/>
    <w:rsid w:val="007914D6"/>
    <w:rsid w:val="00791BE6"/>
    <w:rsid w:val="00791DC0"/>
    <w:rsid w:val="007928DF"/>
    <w:rsid w:val="00792ED7"/>
    <w:rsid w:val="00793B3F"/>
    <w:rsid w:val="00793E38"/>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B05"/>
    <w:rsid w:val="007B0DFF"/>
    <w:rsid w:val="007B1663"/>
    <w:rsid w:val="007B1D02"/>
    <w:rsid w:val="007B1EFC"/>
    <w:rsid w:val="007B2523"/>
    <w:rsid w:val="007B2FF8"/>
    <w:rsid w:val="007B30ED"/>
    <w:rsid w:val="007B3E80"/>
    <w:rsid w:val="007B4714"/>
    <w:rsid w:val="007B4933"/>
    <w:rsid w:val="007B4CF9"/>
    <w:rsid w:val="007B555A"/>
    <w:rsid w:val="007B5F4C"/>
    <w:rsid w:val="007B6E68"/>
    <w:rsid w:val="007B7232"/>
    <w:rsid w:val="007C06D6"/>
    <w:rsid w:val="007C0BBC"/>
    <w:rsid w:val="007C1C24"/>
    <w:rsid w:val="007C2243"/>
    <w:rsid w:val="007C33F4"/>
    <w:rsid w:val="007C4B7B"/>
    <w:rsid w:val="007C4BCB"/>
    <w:rsid w:val="007C4EE0"/>
    <w:rsid w:val="007C53EB"/>
    <w:rsid w:val="007C565F"/>
    <w:rsid w:val="007C56D3"/>
    <w:rsid w:val="007C5708"/>
    <w:rsid w:val="007C57AB"/>
    <w:rsid w:val="007C6098"/>
    <w:rsid w:val="007C60FA"/>
    <w:rsid w:val="007C6B0B"/>
    <w:rsid w:val="007C6C62"/>
    <w:rsid w:val="007C6FD9"/>
    <w:rsid w:val="007C71BF"/>
    <w:rsid w:val="007C7233"/>
    <w:rsid w:val="007C77F8"/>
    <w:rsid w:val="007C7AE3"/>
    <w:rsid w:val="007D0A70"/>
    <w:rsid w:val="007D0EF9"/>
    <w:rsid w:val="007D17D5"/>
    <w:rsid w:val="007D1849"/>
    <w:rsid w:val="007D2311"/>
    <w:rsid w:val="007D28B4"/>
    <w:rsid w:val="007D2BFE"/>
    <w:rsid w:val="007D32AA"/>
    <w:rsid w:val="007D3839"/>
    <w:rsid w:val="007D40CA"/>
    <w:rsid w:val="007D431D"/>
    <w:rsid w:val="007D48CB"/>
    <w:rsid w:val="007D586F"/>
    <w:rsid w:val="007D5DB1"/>
    <w:rsid w:val="007D6857"/>
    <w:rsid w:val="007D6F09"/>
    <w:rsid w:val="007D6F74"/>
    <w:rsid w:val="007D7068"/>
    <w:rsid w:val="007D75D7"/>
    <w:rsid w:val="007D7AA0"/>
    <w:rsid w:val="007D7E67"/>
    <w:rsid w:val="007E004B"/>
    <w:rsid w:val="007E085B"/>
    <w:rsid w:val="007E0A7A"/>
    <w:rsid w:val="007E1068"/>
    <w:rsid w:val="007E1F0F"/>
    <w:rsid w:val="007E2B98"/>
    <w:rsid w:val="007E2CE0"/>
    <w:rsid w:val="007E347E"/>
    <w:rsid w:val="007E3AB6"/>
    <w:rsid w:val="007E3C49"/>
    <w:rsid w:val="007E3D3C"/>
    <w:rsid w:val="007E4026"/>
    <w:rsid w:val="007E424C"/>
    <w:rsid w:val="007E4A6F"/>
    <w:rsid w:val="007E4E1A"/>
    <w:rsid w:val="007E5BD1"/>
    <w:rsid w:val="007E68C4"/>
    <w:rsid w:val="007E704C"/>
    <w:rsid w:val="007E7F16"/>
    <w:rsid w:val="007F0DCC"/>
    <w:rsid w:val="007F0FCF"/>
    <w:rsid w:val="007F1914"/>
    <w:rsid w:val="007F1B2F"/>
    <w:rsid w:val="007F1CED"/>
    <w:rsid w:val="007F25AB"/>
    <w:rsid w:val="007F2C99"/>
    <w:rsid w:val="007F2CB8"/>
    <w:rsid w:val="007F377A"/>
    <w:rsid w:val="007F3844"/>
    <w:rsid w:val="007F3BF5"/>
    <w:rsid w:val="007F45DB"/>
    <w:rsid w:val="007F4709"/>
    <w:rsid w:val="007F48D9"/>
    <w:rsid w:val="007F4CE2"/>
    <w:rsid w:val="007F549B"/>
    <w:rsid w:val="007F596C"/>
    <w:rsid w:val="007F5EC4"/>
    <w:rsid w:val="007F646C"/>
    <w:rsid w:val="007F67F9"/>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C8E"/>
    <w:rsid w:val="00804FE9"/>
    <w:rsid w:val="0080544F"/>
    <w:rsid w:val="0080564F"/>
    <w:rsid w:val="00805D93"/>
    <w:rsid w:val="00806204"/>
    <w:rsid w:val="008068DF"/>
    <w:rsid w:val="00806CBB"/>
    <w:rsid w:val="00807CCD"/>
    <w:rsid w:val="008101B1"/>
    <w:rsid w:val="008101FA"/>
    <w:rsid w:val="00810325"/>
    <w:rsid w:val="00811996"/>
    <w:rsid w:val="00811B33"/>
    <w:rsid w:val="0081214E"/>
    <w:rsid w:val="00812546"/>
    <w:rsid w:val="00812A92"/>
    <w:rsid w:val="00812D8E"/>
    <w:rsid w:val="008131BA"/>
    <w:rsid w:val="0081337E"/>
    <w:rsid w:val="00813458"/>
    <w:rsid w:val="00813895"/>
    <w:rsid w:val="008143C8"/>
    <w:rsid w:val="00814A0B"/>
    <w:rsid w:val="00814B9E"/>
    <w:rsid w:val="00814CD6"/>
    <w:rsid w:val="008155CF"/>
    <w:rsid w:val="00815DFB"/>
    <w:rsid w:val="00815E01"/>
    <w:rsid w:val="00816405"/>
    <w:rsid w:val="00816B75"/>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B01"/>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361"/>
    <w:rsid w:val="00847709"/>
    <w:rsid w:val="008506D2"/>
    <w:rsid w:val="008506D7"/>
    <w:rsid w:val="0085117B"/>
    <w:rsid w:val="00851F4A"/>
    <w:rsid w:val="00851F7E"/>
    <w:rsid w:val="00851FAE"/>
    <w:rsid w:val="008522F8"/>
    <w:rsid w:val="0085247F"/>
    <w:rsid w:val="008528F1"/>
    <w:rsid w:val="008537B0"/>
    <w:rsid w:val="00853A4E"/>
    <w:rsid w:val="00854409"/>
    <w:rsid w:val="00855019"/>
    <w:rsid w:val="00855A23"/>
    <w:rsid w:val="0085614A"/>
    <w:rsid w:val="0085660E"/>
    <w:rsid w:val="00856894"/>
    <w:rsid w:val="0085783E"/>
    <w:rsid w:val="00860E61"/>
    <w:rsid w:val="00861250"/>
    <w:rsid w:val="00861A0B"/>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7057B"/>
    <w:rsid w:val="00870FCE"/>
    <w:rsid w:val="00871798"/>
    <w:rsid w:val="00871C96"/>
    <w:rsid w:val="00871F02"/>
    <w:rsid w:val="008722C8"/>
    <w:rsid w:val="00872F8E"/>
    <w:rsid w:val="00873115"/>
    <w:rsid w:val="00873285"/>
    <w:rsid w:val="00873E55"/>
    <w:rsid w:val="00874542"/>
    <w:rsid w:val="00874BC1"/>
    <w:rsid w:val="0087506E"/>
    <w:rsid w:val="00875356"/>
    <w:rsid w:val="00875429"/>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AC3"/>
    <w:rsid w:val="00887E2C"/>
    <w:rsid w:val="008904B1"/>
    <w:rsid w:val="0089095E"/>
    <w:rsid w:val="00890EDA"/>
    <w:rsid w:val="008910CD"/>
    <w:rsid w:val="00891FC3"/>
    <w:rsid w:val="00892B47"/>
    <w:rsid w:val="008933E7"/>
    <w:rsid w:val="00894050"/>
    <w:rsid w:val="00894409"/>
    <w:rsid w:val="008947C8"/>
    <w:rsid w:val="00894AB8"/>
    <w:rsid w:val="00894D94"/>
    <w:rsid w:val="008952CA"/>
    <w:rsid w:val="008965DF"/>
    <w:rsid w:val="0089712D"/>
    <w:rsid w:val="00897348"/>
    <w:rsid w:val="008A0C1E"/>
    <w:rsid w:val="008A0DBD"/>
    <w:rsid w:val="008A114A"/>
    <w:rsid w:val="008A1825"/>
    <w:rsid w:val="008A1B1F"/>
    <w:rsid w:val="008A30F8"/>
    <w:rsid w:val="008A3A69"/>
    <w:rsid w:val="008A46DE"/>
    <w:rsid w:val="008A5C3D"/>
    <w:rsid w:val="008A5D1D"/>
    <w:rsid w:val="008A6870"/>
    <w:rsid w:val="008A6990"/>
    <w:rsid w:val="008A69FC"/>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8A2"/>
    <w:rsid w:val="008C0E7F"/>
    <w:rsid w:val="008C112E"/>
    <w:rsid w:val="008C1870"/>
    <w:rsid w:val="008C1A88"/>
    <w:rsid w:val="008C2995"/>
    <w:rsid w:val="008C3546"/>
    <w:rsid w:val="008C3DCC"/>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9C5"/>
    <w:rsid w:val="008D4E0C"/>
    <w:rsid w:val="008D5A42"/>
    <w:rsid w:val="008D5F38"/>
    <w:rsid w:val="008D6433"/>
    <w:rsid w:val="008D7043"/>
    <w:rsid w:val="008D77C4"/>
    <w:rsid w:val="008D7CA4"/>
    <w:rsid w:val="008D7E81"/>
    <w:rsid w:val="008E1141"/>
    <w:rsid w:val="008E12D2"/>
    <w:rsid w:val="008E144B"/>
    <w:rsid w:val="008E1B63"/>
    <w:rsid w:val="008E224F"/>
    <w:rsid w:val="008E2670"/>
    <w:rsid w:val="008E27AE"/>
    <w:rsid w:val="008E2939"/>
    <w:rsid w:val="008E3327"/>
    <w:rsid w:val="008E378F"/>
    <w:rsid w:val="008E399E"/>
    <w:rsid w:val="008E46DC"/>
    <w:rsid w:val="008E5248"/>
    <w:rsid w:val="008E6101"/>
    <w:rsid w:val="008E67AD"/>
    <w:rsid w:val="008E6B68"/>
    <w:rsid w:val="008E6DB6"/>
    <w:rsid w:val="008E6DE9"/>
    <w:rsid w:val="008E7457"/>
    <w:rsid w:val="008E7BE9"/>
    <w:rsid w:val="008F0AB8"/>
    <w:rsid w:val="008F11B2"/>
    <w:rsid w:val="008F122F"/>
    <w:rsid w:val="008F1F0C"/>
    <w:rsid w:val="008F20B1"/>
    <w:rsid w:val="008F20E5"/>
    <w:rsid w:val="008F25CD"/>
    <w:rsid w:val="008F2BB6"/>
    <w:rsid w:val="008F30F3"/>
    <w:rsid w:val="008F3922"/>
    <w:rsid w:val="008F3F62"/>
    <w:rsid w:val="008F413A"/>
    <w:rsid w:val="008F41DC"/>
    <w:rsid w:val="008F4CC5"/>
    <w:rsid w:val="008F4F35"/>
    <w:rsid w:val="008F55A2"/>
    <w:rsid w:val="008F5BE8"/>
    <w:rsid w:val="008F5FFD"/>
    <w:rsid w:val="008F6C96"/>
    <w:rsid w:val="008F6E05"/>
    <w:rsid w:val="008F7616"/>
    <w:rsid w:val="008F7854"/>
    <w:rsid w:val="008F7A31"/>
    <w:rsid w:val="009009B4"/>
    <w:rsid w:val="009011CA"/>
    <w:rsid w:val="00901226"/>
    <w:rsid w:val="009024F1"/>
    <w:rsid w:val="009027F7"/>
    <w:rsid w:val="00902D22"/>
    <w:rsid w:val="00903BE3"/>
    <w:rsid w:val="0090407A"/>
    <w:rsid w:val="00904184"/>
    <w:rsid w:val="0090450C"/>
    <w:rsid w:val="00904EA3"/>
    <w:rsid w:val="00905C9B"/>
    <w:rsid w:val="00905D12"/>
    <w:rsid w:val="009066E5"/>
    <w:rsid w:val="00906A46"/>
    <w:rsid w:val="00907020"/>
    <w:rsid w:val="0090755E"/>
    <w:rsid w:val="00911095"/>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E15"/>
    <w:rsid w:val="00930F4A"/>
    <w:rsid w:val="009314D1"/>
    <w:rsid w:val="00931A3C"/>
    <w:rsid w:val="00931D97"/>
    <w:rsid w:val="00931F5B"/>
    <w:rsid w:val="00932488"/>
    <w:rsid w:val="0093384A"/>
    <w:rsid w:val="00934090"/>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5814"/>
    <w:rsid w:val="00945BDC"/>
    <w:rsid w:val="00945EDB"/>
    <w:rsid w:val="0094664E"/>
    <w:rsid w:val="00946B04"/>
    <w:rsid w:val="00946F89"/>
    <w:rsid w:val="0094700F"/>
    <w:rsid w:val="009479A2"/>
    <w:rsid w:val="00947A77"/>
    <w:rsid w:val="00950B7B"/>
    <w:rsid w:val="00951AC4"/>
    <w:rsid w:val="00951FDC"/>
    <w:rsid w:val="00952D37"/>
    <w:rsid w:val="00952F7A"/>
    <w:rsid w:val="00953146"/>
    <w:rsid w:val="00953365"/>
    <w:rsid w:val="009538F0"/>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802"/>
    <w:rsid w:val="00965A70"/>
    <w:rsid w:val="00965D2B"/>
    <w:rsid w:val="009668E2"/>
    <w:rsid w:val="00966FDA"/>
    <w:rsid w:val="00967132"/>
    <w:rsid w:val="009673A4"/>
    <w:rsid w:val="009673B3"/>
    <w:rsid w:val="00967922"/>
    <w:rsid w:val="00967AF3"/>
    <w:rsid w:val="00967FF4"/>
    <w:rsid w:val="009706EF"/>
    <w:rsid w:val="00971E91"/>
    <w:rsid w:val="00971F96"/>
    <w:rsid w:val="00972081"/>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5D9D"/>
    <w:rsid w:val="00996628"/>
    <w:rsid w:val="00996936"/>
    <w:rsid w:val="00996C34"/>
    <w:rsid w:val="00996C87"/>
    <w:rsid w:val="00997A8C"/>
    <w:rsid w:val="009A007D"/>
    <w:rsid w:val="009A0101"/>
    <w:rsid w:val="009A0841"/>
    <w:rsid w:val="009A185F"/>
    <w:rsid w:val="009A2906"/>
    <w:rsid w:val="009A37E2"/>
    <w:rsid w:val="009A3E58"/>
    <w:rsid w:val="009A49D3"/>
    <w:rsid w:val="009A4C25"/>
    <w:rsid w:val="009A539C"/>
    <w:rsid w:val="009A5861"/>
    <w:rsid w:val="009A5B89"/>
    <w:rsid w:val="009A5D73"/>
    <w:rsid w:val="009A5EFD"/>
    <w:rsid w:val="009A6E5F"/>
    <w:rsid w:val="009A745E"/>
    <w:rsid w:val="009A7FBF"/>
    <w:rsid w:val="009B0182"/>
    <w:rsid w:val="009B02A3"/>
    <w:rsid w:val="009B10DE"/>
    <w:rsid w:val="009B10E5"/>
    <w:rsid w:val="009B1244"/>
    <w:rsid w:val="009B2304"/>
    <w:rsid w:val="009B26C7"/>
    <w:rsid w:val="009B27C2"/>
    <w:rsid w:val="009B2B2A"/>
    <w:rsid w:val="009B2C93"/>
    <w:rsid w:val="009B31F9"/>
    <w:rsid w:val="009B347A"/>
    <w:rsid w:val="009B4957"/>
    <w:rsid w:val="009B4E8A"/>
    <w:rsid w:val="009B4EA5"/>
    <w:rsid w:val="009B513B"/>
    <w:rsid w:val="009B53B5"/>
    <w:rsid w:val="009B7232"/>
    <w:rsid w:val="009B74E4"/>
    <w:rsid w:val="009C0C4C"/>
    <w:rsid w:val="009C147E"/>
    <w:rsid w:val="009C1812"/>
    <w:rsid w:val="009C19F0"/>
    <w:rsid w:val="009C20F4"/>
    <w:rsid w:val="009C2338"/>
    <w:rsid w:val="009C2C14"/>
    <w:rsid w:val="009C2F90"/>
    <w:rsid w:val="009C31AA"/>
    <w:rsid w:val="009C398B"/>
    <w:rsid w:val="009C5998"/>
    <w:rsid w:val="009C5FCC"/>
    <w:rsid w:val="009C64F0"/>
    <w:rsid w:val="009C651C"/>
    <w:rsid w:val="009C6877"/>
    <w:rsid w:val="009C6ED3"/>
    <w:rsid w:val="009D12AF"/>
    <w:rsid w:val="009D14EA"/>
    <w:rsid w:val="009D1A3F"/>
    <w:rsid w:val="009D1BFC"/>
    <w:rsid w:val="009D1C82"/>
    <w:rsid w:val="009D1D38"/>
    <w:rsid w:val="009D1D64"/>
    <w:rsid w:val="009D2276"/>
    <w:rsid w:val="009D2800"/>
    <w:rsid w:val="009D32A9"/>
    <w:rsid w:val="009D3430"/>
    <w:rsid w:val="009D34E9"/>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0AA"/>
    <w:rsid w:val="009F65AA"/>
    <w:rsid w:val="009F6CE8"/>
    <w:rsid w:val="009F7063"/>
    <w:rsid w:val="009F74EB"/>
    <w:rsid w:val="009F77B3"/>
    <w:rsid w:val="00A0096F"/>
    <w:rsid w:val="00A00F22"/>
    <w:rsid w:val="00A011D0"/>
    <w:rsid w:val="00A01590"/>
    <w:rsid w:val="00A01611"/>
    <w:rsid w:val="00A01BF8"/>
    <w:rsid w:val="00A03218"/>
    <w:rsid w:val="00A03519"/>
    <w:rsid w:val="00A035D3"/>
    <w:rsid w:val="00A03B6E"/>
    <w:rsid w:val="00A043D5"/>
    <w:rsid w:val="00A0480A"/>
    <w:rsid w:val="00A04AAC"/>
    <w:rsid w:val="00A04ABC"/>
    <w:rsid w:val="00A05307"/>
    <w:rsid w:val="00A0573D"/>
    <w:rsid w:val="00A05C83"/>
    <w:rsid w:val="00A06028"/>
    <w:rsid w:val="00A06ADB"/>
    <w:rsid w:val="00A073CB"/>
    <w:rsid w:val="00A0742C"/>
    <w:rsid w:val="00A1003B"/>
    <w:rsid w:val="00A10422"/>
    <w:rsid w:val="00A10750"/>
    <w:rsid w:val="00A10ECA"/>
    <w:rsid w:val="00A11459"/>
    <w:rsid w:val="00A1215E"/>
    <w:rsid w:val="00A12187"/>
    <w:rsid w:val="00A12909"/>
    <w:rsid w:val="00A1353F"/>
    <w:rsid w:val="00A13ADC"/>
    <w:rsid w:val="00A13DFD"/>
    <w:rsid w:val="00A148E6"/>
    <w:rsid w:val="00A15C00"/>
    <w:rsid w:val="00A15C65"/>
    <w:rsid w:val="00A161F4"/>
    <w:rsid w:val="00A17611"/>
    <w:rsid w:val="00A201C8"/>
    <w:rsid w:val="00A203B9"/>
    <w:rsid w:val="00A20614"/>
    <w:rsid w:val="00A20A17"/>
    <w:rsid w:val="00A20C34"/>
    <w:rsid w:val="00A212BD"/>
    <w:rsid w:val="00A21D4D"/>
    <w:rsid w:val="00A22207"/>
    <w:rsid w:val="00A222ED"/>
    <w:rsid w:val="00A23148"/>
    <w:rsid w:val="00A2346F"/>
    <w:rsid w:val="00A23769"/>
    <w:rsid w:val="00A2390F"/>
    <w:rsid w:val="00A23C55"/>
    <w:rsid w:val="00A24546"/>
    <w:rsid w:val="00A252DA"/>
    <w:rsid w:val="00A256EE"/>
    <w:rsid w:val="00A258C1"/>
    <w:rsid w:val="00A26932"/>
    <w:rsid w:val="00A27674"/>
    <w:rsid w:val="00A2798D"/>
    <w:rsid w:val="00A279C4"/>
    <w:rsid w:val="00A27A20"/>
    <w:rsid w:val="00A27FB8"/>
    <w:rsid w:val="00A30874"/>
    <w:rsid w:val="00A3216E"/>
    <w:rsid w:val="00A32202"/>
    <w:rsid w:val="00A32AE9"/>
    <w:rsid w:val="00A32E36"/>
    <w:rsid w:val="00A3381D"/>
    <w:rsid w:val="00A340F3"/>
    <w:rsid w:val="00A34E19"/>
    <w:rsid w:val="00A34EEA"/>
    <w:rsid w:val="00A354F5"/>
    <w:rsid w:val="00A35580"/>
    <w:rsid w:val="00A363BC"/>
    <w:rsid w:val="00A36C7D"/>
    <w:rsid w:val="00A36D7D"/>
    <w:rsid w:val="00A36E80"/>
    <w:rsid w:val="00A36FB8"/>
    <w:rsid w:val="00A3789F"/>
    <w:rsid w:val="00A40216"/>
    <w:rsid w:val="00A403A9"/>
    <w:rsid w:val="00A4075D"/>
    <w:rsid w:val="00A4078F"/>
    <w:rsid w:val="00A408F6"/>
    <w:rsid w:val="00A40A21"/>
    <w:rsid w:val="00A41248"/>
    <w:rsid w:val="00A41AA3"/>
    <w:rsid w:val="00A41B83"/>
    <w:rsid w:val="00A428F2"/>
    <w:rsid w:val="00A42F5A"/>
    <w:rsid w:val="00A4311F"/>
    <w:rsid w:val="00A43D28"/>
    <w:rsid w:val="00A4434F"/>
    <w:rsid w:val="00A44D7E"/>
    <w:rsid w:val="00A465A2"/>
    <w:rsid w:val="00A46F0E"/>
    <w:rsid w:val="00A47A60"/>
    <w:rsid w:val="00A47A79"/>
    <w:rsid w:val="00A50311"/>
    <w:rsid w:val="00A50B6B"/>
    <w:rsid w:val="00A50F1C"/>
    <w:rsid w:val="00A5106D"/>
    <w:rsid w:val="00A51605"/>
    <w:rsid w:val="00A51C14"/>
    <w:rsid w:val="00A522FD"/>
    <w:rsid w:val="00A52638"/>
    <w:rsid w:val="00A5265D"/>
    <w:rsid w:val="00A527A5"/>
    <w:rsid w:val="00A52BFD"/>
    <w:rsid w:val="00A52C58"/>
    <w:rsid w:val="00A53023"/>
    <w:rsid w:val="00A533C8"/>
    <w:rsid w:val="00A53401"/>
    <w:rsid w:val="00A5397D"/>
    <w:rsid w:val="00A540A9"/>
    <w:rsid w:val="00A54791"/>
    <w:rsid w:val="00A54D46"/>
    <w:rsid w:val="00A553EF"/>
    <w:rsid w:val="00A55883"/>
    <w:rsid w:val="00A558DC"/>
    <w:rsid w:val="00A55D55"/>
    <w:rsid w:val="00A56510"/>
    <w:rsid w:val="00A56D7B"/>
    <w:rsid w:val="00A56F34"/>
    <w:rsid w:val="00A57939"/>
    <w:rsid w:val="00A57A0D"/>
    <w:rsid w:val="00A57A2B"/>
    <w:rsid w:val="00A57DC5"/>
    <w:rsid w:val="00A60E5B"/>
    <w:rsid w:val="00A61EC2"/>
    <w:rsid w:val="00A622CD"/>
    <w:rsid w:val="00A62C92"/>
    <w:rsid w:val="00A62DBF"/>
    <w:rsid w:val="00A62EDB"/>
    <w:rsid w:val="00A6379E"/>
    <w:rsid w:val="00A64233"/>
    <w:rsid w:val="00A646E7"/>
    <w:rsid w:val="00A64BBC"/>
    <w:rsid w:val="00A64CF4"/>
    <w:rsid w:val="00A651A7"/>
    <w:rsid w:val="00A65B43"/>
    <w:rsid w:val="00A660A1"/>
    <w:rsid w:val="00A662BF"/>
    <w:rsid w:val="00A66D95"/>
    <w:rsid w:val="00A676B7"/>
    <w:rsid w:val="00A70288"/>
    <w:rsid w:val="00A70EEC"/>
    <w:rsid w:val="00A71478"/>
    <w:rsid w:val="00A7157F"/>
    <w:rsid w:val="00A71B4C"/>
    <w:rsid w:val="00A7222D"/>
    <w:rsid w:val="00A7248A"/>
    <w:rsid w:val="00A724DE"/>
    <w:rsid w:val="00A727D1"/>
    <w:rsid w:val="00A7388A"/>
    <w:rsid w:val="00A747F3"/>
    <w:rsid w:val="00A76D56"/>
    <w:rsid w:val="00A7706C"/>
    <w:rsid w:val="00A77166"/>
    <w:rsid w:val="00A77449"/>
    <w:rsid w:val="00A775F2"/>
    <w:rsid w:val="00A776AE"/>
    <w:rsid w:val="00A777D3"/>
    <w:rsid w:val="00A809C1"/>
    <w:rsid w:val="00A80F9A"/>
    <w:rsid w:val="00A81572"/>
    <w:rsid w:val="00A82305"/>
    <w:rsid w:val="00A82674"/>
    <w:rsid w:val="00A83100"/>
    <w:rsid w:val="00A833C0"/>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F19"/>
    <w:rsid w:val="00A92F1C"/>
    <w:rsid w:val="00A92FA3"/>
    <w:rsid w:val="00A930D9"/>
    <w:rsid w:val="00A938EA"/>
    <w:rsid w:val="00A9405D"/>
    <w:rsid w:val="00A944F3"/>
    <w:rsid w:val="00A9451F"/>
    <w:rsid w:val="00A94CBD"/>
    <w:rsid w:val="00A9577D"/>
    <w:rsid w:val="00A95B69"/>
    <w:rsid w:val="00A96702"/>
    <w:rsid w:val="00A9695F"/>
    <w:rsid w:val="00A969A5"/>
    <w:rsid w:val="00A97291"/>
    <w:rsid w:val="00A976F6"/>
    <w:rsid w:val="00A97860"/>
    <w:rsid w:val="00A97C91"/>
    <w:rsid w:val="00AA0069"/>
    <w:rsid w:val="00AA031E"/>
    <w:rsid w:val="00AA03B0"/>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6E0"/>
    <w:rsid w:val="00AA4F87"/>
    <w:rsid w:val="00AA6018"/>
    <w:rsid w:val="00AA614B"/>
    <w:rsid w:val="00AA67E4"/>
    <w:rsid w:val="00AA7124"/>
    <w:rsid w:val="00AA7932"/>
    <w:rsid w:val="00AA7977"/>
    <w:rsid w:val="00AB018B"/>
    <w:rsid w:val="00AB14C6"/>
    <w:rsid w:val="00AB1CCD"/>
    <w:rsid w:val="00AB2005"/>
    <w:rsid w:val="00AB231E"/>
    <w:rsid w:val="00AB2364"/>
    <w:rsid w:val="00AB2ACD"/>
    <w:rsid w:val="00AB2DBC"/>
    <w:rsid w:val="00AB332F"/>
    <w:rsid w:val="00AB356C"/>
    <w:rsid w:val="00AB3C4D"/>
    <w:rsid w:val="00AB3EF0"/>
    <w:rsid w:val="00AB430B"/>
    <w:rsid w:val="00AB54AD"/>
    <w:rsid w:val="00AB5880"/>
    <w:rsid w:val="00AB5AA3"/>
    <w:rsid w:val="00AB5AE1"/>
    <w:rsid w:val="00AB63F3"/>
    <w:rsid w:val="00AB6517"/>
    <w:rsid w:val="00AB7288"/>
    <w:rsid w:val="00AC0375"/>
    <w:rsid w:val="00AC047B"/>
    <w:rsid w:val="00AC0774"/>
    <w:rsid w:val="00AC0846"/>
    <w:rsid w:val="00AC1B3E"/>
    <w:rsid w:val="00AC1F17"/>
    <w:rsid w:val="00AC2328"/>
    <w:rsid w:val="00AC2A87"/>
    <w:rsid w:val="00AC2E2F"/>
    <w:rsid w:val="00AC35A7"/>
    <w:rsid w:val="00AC3A7D"/>
    <w:rsid w:val="00AC3B3B"/>
    <w:rsid w:val="00AC3D05"/>
    <w:rsid w:val="00AC3DAD"/>
    <w:rsid w:val="00AC40C0"/>
    <w:rsid w:val="00AC4F2C"/>
    <w:rsid w:val="00AC4FF3"/>
    <w:rsid w:val="00AC5A56"/>
    <w:rsid w:val="00AC6055"/>
    <w:rsid w:val="00AC60EA"/>
    <w:rsid w:val="00AC7854"/>
    <w:rsid w:val="00AD04DF"/>
    <w:rsid w:val="00AD0555"/>
    <w:rsid w:val="00AD0833"/>
    <w:rsid w:val="00AD0891"/>
    <w:rsid w:val="00AD213C"/>
    <w:rsid w:val="00AD2D65"/>
    <w:rsid w:val="00AD304F"/>
    <w:rsid w:val="00AD31DE"/>
    <w:rsid w:val="00AD3312"/>
    <w:rsid w:val="00AD3379"/>
    <w:rsid w:val="00AD3836"/>
    <w:rsid w:val="00AD39B8"/>
    <w:rsid w:val="00AD3F95"/>
    <w:rsid w:val="00AD412C"/>
    <w:rsid w:val="00AD4AC2"/>
    <w:rsid w:val="00AD5A18"/>
    <w:rsid w:val="00AD5E6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2623"/>
    <w:rsid w:val="00AE4819"/>
    <w:rsid w:val="00AE4B55"/>
    <w:rsid w:val="00AE4DBE"/>
    <w:rsid w:val="00AE513D"/>
    <w:rsid w:val="00AE5AC1"/>
    <w:rsid w:val="00AE5B31"/>
    <w:rsid w:val="00AE5FA7"/>
    <w:rsid w:val="00AE616C"/>
    <w:rsid w:val="00AE6C31"/>
    <w:rsid w:val="00AE70EB"/>
    <w:rsid w:val="00AF05AF"/>
    <w:rsid w:val="00AF12D7"/>
    <w:rsid w:val="00AF13C0"/>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182B"/>
    <w:rsid w:val="00B11D7B"/>
    <w:rsid w:val="00B1311E"/>
    <w:rsid w:val="00B1348C"/>
    <w:rsid w:val="00B137E0"/>
    <w:rsid w:val="00B1386B"/>
    <w:rsid w:val="00B13A7E"/>
    <w:rsid w:val="00B14161"/>
    <w:rsid w:val="00B1550D"/>
    <w:rsid w:val="00B15718"/>
    <w:rsid w:val="00B16874"/>
    <w:rsid w:val="00B170C3"/>
    <w:rsid w:val="00B17230"/>
    <w:rsid w:val="00B1737F"/>
    <w:rsid w:val="00B20D67"/>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5435"/>
    <w:rsid w:val="00B354BC"/>
    <w:rsid w:val="00B355D7"/>
    <w:rsid w:val="00B35649"/>
    <w:rsid w:val="00B3641E"/>
    <w:rsid w:val="00B37019"/>
    <w:rsid w:val="00B37EDC"/>
    <w:rsid w:val="00B40195"/>
    <w:rsid w:val="00B40642"/>
    <w:rsid w:val="00B41DF7"/>
    <w:rsid w:val="00B4234E"/>
    <w:rsid w:val="00B43602"/>
    <w:rsid w:val="00B436A0"/>
    <w:rsid w:val="00B43C56"/>
    <w:rsid w:val="00B43F6E"/>
    <w:rsid w:val="00B440CA"/>
    <w:rsid w:val="00B4444A"/>
    <w:rsid w:val="00B44A04"/>
    <w:rsid w:val="00B450E3"/>
    <w:rsid w:val="00B45295"/>
    <w:rsid w:val="00B456EB"/>
    <w:rsid w:val="00B461E2"/>
    <w:rsid w:val="00B468CE"/>
    <w:rsid w:val="00B47117"/>
    <w:rsid w:val="00B4725D"/>
    <w:rsid w:val="00B47474"/>
    <w:rsid w:val="00B503D0"/>
    <w:rsid w:val="00B50A4A"/>
    <w:rsid w:val="00B50FD4"/>
    <w:rsid w:val="00B514DA"/>
    <w:rsid w:val="00B52286"/>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73F6"/>
    <w:rsid w:val="00B575AB"/>
    <w:rsid w:val="00B5797E"/>
    <w:rsid w:val="00B57AF5"/>
    <w:rsid w:val="00B601EF"/>
    <w:rsid w:val="00B603E8"/>
    <w:rsid w:val="00B61561"/>
    <w:rsid w:val="00B62568"/>
    <w:rsid w:val="00B626D1"/>
    <w:rsid w:val="00B632D9"/>
    <w:rsid w:val="00B639F8"/>
    <w:rsid w:val="00B639FE"/>
    <w:rsid w:val="00B644CC"/>
    <w:rsid w:val="00B649FE"/>
    <w:rsid w:val="00B65C75"/>
    <w:rsid w:val="00B666AC"/>
    <w:rsid w:val="00B66867"/>
    <w:rsid w:val="00B67857"/>
    <w:rsid w:val="00B67AB9"/>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AE2"/>
    <w:rsid w:val="00B86F5F"/>
    <w:rsid w:val="00B872B6"/>
    <w:rsid w:val="00B87515"/>
    <w:rsid w:val="00B903DA"/>
    <w:rsid w:val="00B9045B"/>
    <w:rsid w:val="00B912BB"/>
    <w:rsid w:val="00B915E7"/>
    <w:rsid w:val="00B91679"/>
    <w:rsid w:val="00B918EF"/>
    <w:rsid w:val="00B92982"/>
    <w:rsid w:val="00B92E84"/>
    <w:rsid w:val="00B934ED"/>
    <w:rsid w:val="00B93EA3"/>
    <w:rsid w:val="00B9409F"/>
    <w:rsid w:val="00B9442B"/>
    <w:rsid w:val="00B95165"/>
    <w:rsid w:val="00B9590C"/>
    <w:rsid w:val="00B95C2E"/>
    <w:rsid w:val="00B96272"/>
    <w:rsid w:val="00B96993"/>
    <w:rsid w:val="00BA007E"/>
    <w:rsid w:val="00BA0087"/>
    <w:rsid w:val="00BA00C6"/>
    <w:rsid w:val="00BA02F8"/>
    <w:rsid w:val="00BA1A32"/>
    <w:rsid w:val="00BA1AA5"/>
    <w:rsid w:val="00BA1CE2"/>
    <w:rsid w:val="00BA20BE"/>
    <w:rsid w:val="00BA260E"/>
    <w:rsid w:val="00BA29E1"/>
    <w:rsid w:val="00BA31B5"/>
    <w:rsid w:val="00BA337C"/>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55A4"/>
    <w:rsid w:val="00BD7F23"/>
    <w:rsid w:val="00BE0582"/>
    <w:rsid w:val="00BE06AA"/>
    <w:rsid w:val="00BE0992"/>
    <w:rsid w:val="00BE0B1E"/>
    <w:rsid w:val="00BE1406"/>
    <w:rsid w:val="00BE14A6"/>
    <w:rsid w:val="00BE162B"/>
    <w:rsid w:val="00BE21DF"/>
    <w:rsid w:val="00BE258F"/>
    <w:rsid w:val="00BE2841"/>
    <w:rsid w:val="00BE29F8"/>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F0236"/>
    <w:rsid w:val="00BF02C9"/>
    <w:rsid w:val="00BF0A17"/>
    <w:rsid w:val="00BF1552"/>
    <w:rsid w:val="00BF1585"/>
    <w:rsid w:val="00BF1B3A"/>
    <w:rsid w:val="00BF1CB4"/>
    <w:rsid w:val="00BF1D41"/>
    <w:rsid w:val="00BF30AA"/>
    <w:rsid w:val="00BF3544"/>
    <w:rsid w:val="00BF41D1"/>
    <w:rsid w:val="00BF4219"/>
    <w:rsid w:val="00BF45FF"/>
    <w:rsid w:val="00BF48FF"/>
    <w:rsid w:val="00BF49B5"/>
    <w:rsid w:val="00BF500E"/>
    <w:rsid w:val="00BF61E8"/>
    <w:rsid w:val="00BF6932"/>
    <w:rsid w:val="00BF6A1A"/>
    <w:rsid w:val="00BF7317"/>
    <w:rsid w:val="00BF7580"/>
    <w:rsid w:val="00BF79E1"/>
    <w:rsid w:val="00C00319"/>
    <w:rsid w:val="00C003B7"/>
    <w:rsid w:val="00C005FB"/>
    <w:rsid w:val="00C00DA8"/>
    <w:rsid w:val="00C00EA7"/>
    <w:rsid w:val="00C02A24"/>
    <w:rsid w:val="00C02FC1"/>
    <w:rsid w:val="00C046C2"/>
    <w:rsid w:val="00C05B91"/>
    <w:rsid w:val="00C06BCB"/>
    <w:rsid w:val="00C0732C"/>
    <w:rsid w:val="00C078DB"/>
    <w:rsid w:val="00C108DC"/>
    <w:rsid w:val="00C10BFA"/>
    <w:rsid w:val="00C114A4"/>
    <w:rsid w:val="00C114F5"/>
    <w:rsid w:val="00C11CAD"/>
    <w:rsid w:val="00C123BA"/>
    <w:rsid w:val="00C123EC"/>
    <w:rsid w:val="00C1266E"/>
    <w:rsid w:val="00C12E2D"/>
    <w:rsid w:val="00C1365C"/>
    <w:rsid w:val="00C13CE6"/>
    <w:rsid w:val="00C13E4C"/>
    <w:rsid w:val="00C144DC"/>
    <w:rsid w:val="00C14FC0"/>
    <w:rsid w:val="00C154CD"/>
    <w:rsid w:val="00C15B37"/>
    <w:rsid w:val="00C15C60"/>
    <w:rsid w:val="00C164B4"/>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C23"/>
    <w:rsid w:val="00C24307"/>
    <w:rsid w:val="00C24A2F"/>
    <w:rsid w:val="00C24C1D"/>
    <w:rsid w:val="00C24CD1"/>
    <w:rsid w:val="00C24E33"/>
    <w:rsid w:val="00C25559"/>
    <w:rsid w:val="00C25D8A"/>
    <w:rsid w:val="00C25E1E"/>
    <w:rsid w:val="00C25EE9"/>
    <w:rsid w:val="00C26978"/>
    <w:rsid w:val="00C26A4C"/>
    <w:rsid w:val="00C26B96"/>
    <w:rsid w:val="00C31217"/>
    <w:rsid w:val="00C31BCC"/>
    <w:rsid w:val="00C31FAB"/>
    <w:rsid w:val="00C3216A"/>
    <w:rsid w:val="00C32F8C"/>
    <w:rsid w:val="00C331F1"/>
    <w:rsid w:val="00C333C8"/>
    <w:rsid w:val="00C33948"/>
    <w:rsid w:val="00C33E58"/>
    <w:rsid w:val="00C33FE1"/>
    <w:rsid w:val="00C34009"/>
    <w:rsid w:val="00C34783"/>
    <w:rsid w:val="00C34982"/>
    <w:rsid w:val="00C36568"/>
    <w:rsid w:val="00C369CD"/>
    <w:rsid w:val="00C36D42"/>
    <w:rsid w:val="00C36E18"/>
    <w:rsid w:val="00C37ADB"/>
    <w:rsid w:val="00C37DD4"/>
    <w:rsid w:val="00C40D56"/>
    <w:rsid w:val="00C40F47"/>
    <w:rsid w:val="00C418A6"/>
    <w:rsid w:val="00C418EC"/>
    <w:rsid w:val="00C421C6"/>
    <w:rsid w:val="00C42511"/>
    <w:rsid w:val="00C43017"/>
    <w:rsid w:val="00C432C6"/>
    <w:rsid w:val="00C43A8F"/>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9D4"/>
    <w:rsid w:val="00C54DE0"/>
    <w:rsid w:val="00C552CA"/>
    <w:rsid w:val="00C553F6"/>
    <w:rsid w:val="00C56176"/>
    <w:rsid w:val="00C57CF2"/>
    <w:rsid w:val="00C60584"/>
    <w:rsid w:val="00C615A4"/>
    <w:rsid w:val="00C61C61"/>
    <w:rsid w:val="00C62ADF"/>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54"/>
    <w:rsid w:val="00C740FF"/>
    <w:rsid w:val="00C74C5A"/>
    <w:rsid w:val="00C74D92"/>
    <w:rsid w:val="00C752F7"/>
    <w:rsid w:val="00C760A0"/>
    <w:rsid w:val="00C769A6"/>
    <w:rsid w:val="00C7711A"/>
    <w:rsid w:val="00C77380"/>
    <w:rsid w:val="00C77608"/>
    <w:rsid w:val="00C8060E"/>
    <w:rsid w:val="00C806BB"/>
    <w:rsid w:val="00C80B24"/>
    <w:rsid w:val="00C81328"/>
    <w:rsid w:val="00C813C1"/>
    <w:rsid w:val="00C81683"/>
    <w:rsid w:val="00C82217"/>
    <w:rsid w:val="00C8331E"/>
    <w:rsid w:val="00C83DAC"/>
    <w:rsid w:val="00C840DF"/>
    <w:rsid w:val="00C84432"/>
    <w:rsid w:val="00C853DB"/>
    <w:rsid w:val="00C856FF"/>
    <w:rsid w:val="00C85837"/>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C52"/>
    <w:rsid w:val="00C97C8D"/>
    <w:rsid w:val="00CA1BAD"/>
    <w:rsid w:val="00CA2AE4"/>
    <w:rsid w:val="00CA3147"/>
    <w:rsid w:val="00CA358B"/>
    <w:rsid w:val="00CA4510"/>
    <w:rsid w:val="00CA47CC"/>
    <w:rsid w:val="00CA4877"/>
    <w:rsid w:val="00CA4D35"/>
    <w:rsid w:val="00CA55BE"/>
    <w:rsid w:val="00CA5BD0"/>
    <w:rsid w:val="00CA605C"/>
    <w:rsid w:val="00CA6164"/>
    <w:rsid w:val="00CA66CB"/>
    <w:rsid w:val="00CA6C81"/>
    <w:rsid w:val="00CA6F10"/>
    <w:rsid w:val="00CA76DB"/>
    <w:rsid w:val="00CA77CB"/>
    <w:rsid w:val="00CA7F4A"/>
    <w:rsid w:val="00CB028D"/>
    <w:rsid w:val="00CB1B93"/>
    <w:rsid w:val="00CB2721"/>
    <w:rsid w:val="00CB3461"/>
    <w:rsid w:val="00CB3C0F"/>
    <w:rsid w:val="00CB3E29"/>
    <w:rsid w:val="00CB3EEC"/>
    <w:rsid w:val="00CB3F67"/>
    <w:rsid w:val="00CB415F"/>
    <w:rsid w:val="00CB4882"/>
    <w:rsid w:val="00CB5282"/>
    <w:rsid w:val="00CB719F"/>
    <w:rsid w:val="00CB73D0"/>
    <w:rsid w:val="00CB7442"/>
    <w:rsid w:val="00CB7477"/>
    <w:rsid w:val="00CB753D"/>
    <w:rsid w:val="00CB7FFB"/>
    <w:rsid w:val="00CC093A"/>
    <w:rsid w:val="00CC284A"/>
    <w:rsid w:val="00CC2CBB"/>
    <w:rsid w:val="00CC2F84"/>
    <w:rsid w:val="00CC34B4"/>
    <w:rsid w:val="00CC3D43"/>
    <w:rsid w:val="00CC4162"/>
    <w:rsid w:val="00CC508E"/>
    <w:rsid w:val="00CC5B33"/>
    <w:rsid w:val="00CC5F53"/>
    <w:rsid w:val="00CC652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DB2"/>
    <w:rsid w:val="00CD7FDF"/>
    <w:rsid w:val="00CE0116"/>
    <w:rsid w:val="00CE0229"/>
    <w:rsid w:val="00CE032F"/>
    <w:rsid w:val="00CE1719"/>
    <w:rsid w:val="00CE1906"/>
    <w:rsid w:val="00CE1E75"/>
    <w:rsid w:val="00CE263F"/>
    <w:rsid w:val="00CE279C"/>
    <w:rsid w:val="00CE301B"/>
    <w:rsid w:val="00CE30C9"/>
    <w:rsid w:val="00CE379E"/>
    <w:rsid w:val="00CE37A0"/>
    <w:rsid w:val="00CE4703"/>
    <w:rsid w:val="00CE485E"/>
    <w:rsid w:val="00CE5236"/>
    <w:rsid w:val="00CE54AE"/>
    <w:rsid w:val="00CE585C"/>
    <w:rsid w:val="00CE5B1E"/>
    <w:rsid w:val="00CE5DFC"/>
    <w:rsid w:val="00CE6482"/>
    <w:rsid w:val="00CE64A8"/>
    <w:rsid w:val="00CE74BC"/>
    <w:rsid w:val="00CE7DA8"/>
    <w:rsid w:val="00CF0300"/>
    <w:rsid w:val="00CF0470"/>
    <w:rsid w:val="00CF1E93"/>
    <w:rsid w:val="00CF36A4"/>
    <w:rsid w:val="00CF4B13"/>
    <w:rsid w:val="00CF50D1"/>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3202"/>
    <w:rsid w:val="00D0326F"/>
    <w:rsid w:val="00D035EE"/>
    <w:rsid w:val="00D037DE"/>
    <w:rsid w:val="00D03B87"/>
    <w:rsid w:val="00D04628"/>
    <w:rsid w:val="00D04A81"/>
    <w:rsid w:val="00D04E9D"/>
    <w:rsid w:val="00D05077"/>
    <w:rsid w:val="00D0545E"/>
    <w:rsid w:val="00D05662"/>
    <w:rsid w:val="00D05732"/>
    <w:rsid w:val="00D05EA2"/>
    <w:rsid w:val="00D06B06"/>
    <w:rsid w:val="00D07010"/>
    <w:rsid w:val="00D07098"/>
    <w:rsid w:val="00D070B2"/>
    <w:rsid w:val="00D071C8"/>
    <w:rsid w:val="00D07DE7"/>
    <w:rsid w:val="00D101F0"/>
    <w:rsid w:val="00D10A25"/>
    <w:rsid w:val="00D10F75"/>
    <w:rsid w:val="00D11143"/>
    <w:rsid w:val="00D11279"/>
    <w:rsid w:val="00D11310"/>
    <w:rsid w:val="00D14694"/>
    <w:rsid w:val="00D147E2"/>
    <w:rsid w:val="00D14CC0"/>
    <w:rsid w:val="00D15425"/>
    <w:rsid w:val="00D15E4C"/>
    <w:rsid w:val="00D166E3"/>
    <w:rsid w:val="00D169D2"/>
    <w:rsid w:val="00D16AE5"/>
    <w:rsid w:val="00D17074"/>
    <w:rsid w:val="00D17184"/>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C6"/>
    <w:rsid w:val="00D260DE"/>
    <w:rsid w:val="00D2694A"/>
    <w:rsid w:val="00D273A8"/>
    <w:rsid w:val="00D277F9"/>
    <w:rsid w:val="00D3031C"/>
    <w:rsid w:val="00D3186D"/>
    <w:rsid w:val="00D3227F"/>
    <w:rsid w:val="00D32655"/>
    <w:rsid w:val="00D32CC0"/>
    <w:rsid w:val="00D32D05"/>
    <w:rsid w:val="00D3438A"/>
    <w:rsid w:val="00D34402"/>
    <w:rsid w:val="00D34608"/>
    <w:rsid w:val="00D34AE0"/>
    <w:rsid w:val="00D34C43"/>
    <w:rsid w:val="00D3526F"/>
    <w:rsid w:val="00D35438"/>
    <w:rsid w:val="00D35C0C"/>
    <w:rsid w:val="00D35E4A"/>
    <w:rsid w:val="00D364D3"/>
    <w:rsid w:val="00D36CB9"/>
    <w:rsid w:val="00D371F2"/>
    <w:rsid w:val="00D37690"/>
    <w:rsid w:val="00D3772C"/>
    <w:rsid w:val="00D37E29"/>
    <w:rsid w:val="00D4012C"/>
    <w:rsid w:val="00D4049E"/>
    <w:rsid w:val="00D40822"/>
    <w:rsid w:val="00D40A12"/>
    <w:rsid w:val="00D41462"/>
    <w:rsid w:val="00D41829"/>
    <w:rsid w:val="00D41AA5"/>
    <w:rsid w:val="00D42856"/>
    <w:rsid w:val="00D42ECC"/>
    <w:rsid w:val="00D43226"/>
    <w:rsid w:val="00D44211"/>
    <w:rsid w:val="00D4485B"/>
    <w:rsid w:val="00D44A8C"/>
    <w:rsid w:val="00D44BDD"/>
    <w:rsid w:val="00D44CB0"/>
    <w:rsid w:val="00D450B0"/>
    <w:rsid w:val="00D45409"/>
    <w:rsid w:val="00D45A72"/>
    <w:rsid w:val="00D45D58"/>
    <w:rsid w:val="00D45E25"/>
    <w:rsid w:val="00D4610C"/>
    <w:rsid w:val="00D461B1"/>
    <w:rsid w:val="00D4662E"/>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C4F"/>
    <w:rsid w:val="00D56D7D"/>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5F25"/>
    <w:rsid w:val="00D665E0"/>
    <w:rsid w:val="00D670E5"/>
    <w:rsid w:val="00D6747B"/>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548"/>
    <w:rsid w:val="00D836E3"/>
    <w:rsid w:val="00D83E6E"/>
    <w:rsid w:val="00D85426"/>
    <w:rsid w:val="00D85617"/>
    <w:rsid w:val="00D85DAC"/>
    <w:rsid w:val="00D85E11"/>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85"/>
    <w:rsid w:val="00D939B5"/>
    <w:rsid w:val="00D93C21"/>
    <w:rsid w:val="00D94AF3"/>
    <w:rsid w:val="00D95413"/>
    <w:rsid w:val="00D96012"/>
    <w:rsid w:val="00D96DC8"/>
    <w:rsid w:val="00DA0B92"/>
    <w:rsid w:val="00DA0D7F"/>
    <w:rsid w:val="00DA10FF"/>
    <w:rsid w:val="00DA1EE8"/>
    <w:rsid w:val="00DA1FF3"/>
    <w:rsid w:val="00DA25EA"/>
    <w:rsid w:val="00DA2E84"/>
    <w:rsid w:val="00DA4119"/>
    <w:rsid w:val="00DA427F"/>
    <w:rsid w:val="00DA4DAD"/>
    <w:rsid w:val="00DA5D8E"/>
    <w:rsid w:val="00DA6055"/>
    <w:rsid w:val="00DA66F5"/>
    <w:rsid w:val="00DA6E7A"/>
    <w:rsid w:val="00DA6F4D"/>
    <w:rsid w:val="00DA7B0F"/>
    <w:rsid w:val="00DA7CBB"/>
    <w:rsid w:val="00DA7DA1"/>
    <w:rsid w:val="00DA7FFA"/>
    <w:rsid w:val="00DB0732"/>
    <w:rsid w:val="00DB0C37"/>
    <w:rsid w:val="00DB0CF2"/>
    <w:rsid w:val="00DB1FE4"/>
    <w:rsid w:val="00DB2418"/>
    <w:rsid w:val="00DB2D17"/>
    <w:rsid w:val="00DB3489"/>
    <w:rsid w:val="00DB44EE"/>
    <w:rsid w:val="00DB4525"/>
    <w:rsid w:val="00DB45B1"/>
    <w:rsid w:val="00DB7073"/>
    <w:rsid w:val="00DB76AB"/>
    <w:rsid w:val="00DC049E"/>
    <w:rsid w:val="00DC1242"/>
    <w:rsid w:val="00DC1620"/>
    <w:rsid w:val="00DC19BC"/>
    <w:rsid w:val="00DC1B27"/>
    <w:rsid w:val="00DC1F8E"/>
    <w:rsid w:val="00DC2312"/>
    <w:rsid w:val="00DC279C"/>
    <w:rsid w:val="00DC280A"/>
    <w:rsid w:val="00DC2B29"/>
    <w:rsid w:val="00DC3248"/>
    <w:rsid w:val="00DC3462"/>
    <w:rsid w:val="00DC34E9"/>
    <w:rsid w:val="00DC3561"/>
    <w:rsid w:val="00DC35F4"/>
    <w:rsid w:val="00DC3779"/>
    <w:rsid w:val="00DC43AD"/>
    <w:rsid w:val="00DC48BE"/>
    <w:rsid w:val="00DC4B73"/>
    <w:rsid w:val="00DC50E9"/>
    <w:rsid w:val="00DC596C"/>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6357"/>
    <w:rsid w:val="00DD6438"/>
    <w:rsid w:val="00DD64BE"/>
    <w:rsid w:val="00DD668C"/>
    <w:rsid w:val="00DD6770"/>
    <w:rsid w:val="00DD6AC9"/>
    <w:rsid w:val="00DD6C8D"/>
    <w:rsid w:val="00DD7668"/>
    <w:rsid w:val="00DD7A82"/>
    <w:rsid w:val="00DD7CBA"/>
    <w:rsid w:val="00DE0DD7"/>
    <w:rsid w:val="00DE15EF"/>
    <w:rsid w:val="00DE18EF"/>
    <w:rsid w:val="00DE239A"/>
    <w:rsid w:val="00DE2737"/>
    <w:rsid w:val="00DE3066"/>
    <w:rsid w:val="00DE33B5"/>
    <w:rsid w:val="00DE37CB"/>
    <w:rsid w:val="00DE44BD"/>
    <w:rsid w:val="00DE4541"/>
    <w:rsid w:val="00DE4DC3"/>
    <w:rsid w:val="00DE54A8"/>
    <w:rsid w:val="00DE5558"/>
    <w:rsid w:val="00DE6E52"/>
    <w:rsid w:val="00DE6F8D"/>
    <w:rsid w:val="00DE7074"/>
    <w:rsid w:val="00DE735B"/>
    <w:rsid w:val="00DE74DD"/>
    <w:rsid w:val="00DE77C9"/>
    <w:rsid w:val="00DE78FA"/>
    <w:rsid w:val="00DF1030"/>
    <w:rsid w:val="00DF2BB0"/>
    <w:rsid w:val="00DF2D46"/>
    <w:rsid w:val="00DF3A43"/>
    <w:rsid w:val="00DF3D0C"/>
    <w:rsid w:val="00DF40CF"/>
    <w:rsid w:val="00DF45D2"/>
    <w:rsid w:val="00DF485D"/>
    <w:rsid w:val="00DF4B02"/>
    <w:rsid w:val="00DF54F2"/>
    <w:rsid w:val="00DF5D58"/>
    <w:rsid w:val="00DF5E9C"/>
    <w:rsid w:val="00DF623C"/>
    <w:rsid w:val="00DF6678"/>
    <w:rsid w:val="00DF6FD8"/>
    <w:rsid w:val="00DF6FF7"/>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11367"/>
    <w:rsid w:val="00E113C8"/>
    <w:rsid w:val="00E11C8C"/>
    <w:rsid w:val="00E125BF"/>
    <w:rsid w:val="00E12ED7"/>
    <w:rsid w:val="00E1325A"/>
    <w:rsid w:val="00E133F2"/>
    <w:rsid w:val="00E1373F"/>
    <w:rsid w:val="00E13785"/>
    <w:rsid w:val="00E13960"/>
    <w:rsid w:val="00E14010"/>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66FC"/>
    <w:rsid w:val="00E26C80"/>
    <w:rsid w:val="00E272DB"/>
    <w:rsid w:val="00E30190"/>
    <w:rsid w:val="00E30B64"/>
    <w:rsid w:val="00E30BEA"/>
    <w:rsid w:val="00E30EC7"/>
    <w:rsid w:val="00E311D1"/>
    <w:rsid w:val="00E31411"/>
    <w:rsid w:val="00E31F84"/>
    <w:rsid w:val="00E32227"/>
    <w:rsid w:val="00E32245"/>
    <w:rsid w:val="00E32B45"/>
    <w:rsid w:val="00E32E90"/>
    <w:rsid w:val="00E32F6C"/>
    <w:rsid w:val="00E33126"/>
    <w:rsid w:val="00E33C9B"/>
    <w:rsid w:val="00E347AA"/>
    <w:rsid w:val="00E34ECE"/>
    <w:rsid w:val="00E3512B"/>
    <w:rsid w:val="00E3622C"/>
    <w:rsid w:val="00E36460"/>
    <w:rsid w:val="00E36BB4"/>
    <w:rsid w:val="00E36C31"/>
    <w:rsid w:val="00E40B07"/>
    <w:rsid w:val="00E424E9"/>
    <w:rsid w:val="00E428A9"/>
    <w:rsid w:val="00E428EC"/>
    <w:rsid w:val="00E42A66"/>
    <w:rsid w:val="00E42E05"/>
    <w:rsid w:val="00E42E14"/>
    <w:rsid w:val="00E43754"/>
    <w:rsid w:val="00E445F1"/>
    <w:rsid w:val="00E44C44"/>
    <w:rsid w:val="00E46368"/>
    <w:rsid w:val="00E464CF"/>
    <w:rsid w:val="00E466B2"/>
    <w:rsid w:val="00E466D8"/>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5030"/>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E3D"/>
    <w:rsid w:val="00E76E7D"/>
    <w:rsid w:val="00E76F4C"/>
    <w:rsid w:val="00E77745"/>
    <w:rsid w:val="00E7785F"/>
    <w:rsid w:val="00E7786C"/>
    <w:rsid w:val="00E77F34"/>
    <w:rsid w:val="00E8007A"/>
    <w:rsid w:val="00E80114"/>
    <w:rsid w:val="00E803D8"/>
    <w:rsid w:val="00E8058C"/>
    <w:rsid w:val="00E80C87"/>
    <w:rsid w:val="00E80F73"/>
    <w:rsid w:val="00E81AFF"/>
    <w:rsid w:val="00E81DDB"/>
    <w:rsid w:val="00E81DDE"/>
    <w:rsid w:val="00E81FA0"/>
    <w:rsid w:val="00E82AB2"/>
    <w:rsid w:val="00E83999"/>
    <w:rsid w:val="00E83E3F"/>
    <w:rsid w:val="00E857A6"/>
    <w:rsid w:val="00E858F3"/>
    <w:rsid w:val="00E8634C"/>
    <w:rsid w:val="00E8673C"/>
    <w:rsid w:val="00E86956"/>
    <w:rsid w:val="00E869C9"/>
    <w:rsid w:val="00E86C0C"/>
    <w:rsid w:val="00E86EC9"/>
    <w:rsid w:val="00E86FDC"/>
    <w:rsid w:val="00E874E7"/>
    <w:rsid w:val="00E87649"/>
    <w:rsid w:val="00E87A32"/>
    <w:rsid w:val="00E9018B"/>
    <w:rsid w:val="00E90391"/>
    <w:rsid w:val="00E90575"/>
    <w:rsid w:val="00E9069D"/>
    <w:rsid w:val="00E9096F"/>
    <w:rsid w:val="00E91318"/>
    <w:rsid w:val="00E91C78"/>
    <w:rsid w:val="00E92DC4"/>
    <w:rsid w:val="00E93247"/>
    <w:rsid w:val="00E9385C"/>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892"/>
    <w:rsid w:val="00EA2E27"/>
    <w:rsid w:val="00EA2EAC"/>
    <w:rsid w:val="00EA3472"/>
    <w:rsid w:val="00EA3749"/>
    <w:rsid w:val="00EA3CBD"/>
    <w:rsid w:val="00EA4F43"/>
    <w:rsid w:val="00EA4FC1"/>
    <w:rsid w:val="00EA4FF1"/>
    <w:rsid w:val="00EA5135"/>
    <w:rsid w:val="00EA5166"/>
    <w:rsid w:val="00EA5694"/>
    <w:rsid w:val="00EA6CE5"/>
    <w:rsid w:val="00EA708F"/>
    <w:rsid w:val="00EA76C5"/>
    <w:rsid w:val="00EB03EC"/>
    <w:rsid w:val="00EB06F3"/>
    <w:rsid w:val="00EB092C"/>
    <w:rsid w:val="00EB1931"/>
    <w:rsid w:val="00EB2126"/>
    <w:rsid w:val="00EB30B7"/>
    <w:rsid w:val="00EB3BED"/>
    <w:rsid w:val="00EB3DE5"/>
    <w:rsid w:val="00EB42F9"/>
    <w:rsid w:val="00EB50B1"/>
    <w:rsid w:val="00EB584E"/>
    <w:rsid w:val="00EB5BF3"/>
    <w:rsid w:val="00EB641F"/>
    <w:rsid w:val="00EB65B8"/>
    <w:rsid w:val="00EB6B29"/>
    <w:rsid w:val="00EB6D5E"/>
    <w:rsid w:val="00EB7103"/>
    <w:rsid w:val="00EB7A3D"/>
    <w:rsid w:val="00EC0625"/>
    <w:rsid w:val="00EC0C1E"/>
    <w:rsid w:val="00EC10A0"/>
    <w:rsid w:val="00EC1AA9"/>
    <w:rsid w:val="00EC1BCA"/>
    <w:rsid w:val="00EC21FA"/>
    <w:rsid w:val="00EC220E"/>
    <w:rsid w:val="00EC23BB"/>
    <w:rsid w:val="00EC2BD1"/>
    <w:rsid w:val="00EC3F16"/>
    <w:rsid w:val="00EC4334"/>
    <w:rsid w:val="00EC4C59"/>
    <w:rsid w:val="00EC5297"/>
    <w:rsid w:val="00EC56F2"/>
    <w:rsid w:val="00EC58CB"/>
    <w:rsid w:val="00EC5A41"/>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ADF"/>
    <w:rsid w:val="00ED3B47"/>
    <w:rsid w:val="00ED4057"/>
    <w:rsid w:val="00ED48E5"/>
    <w:rsid w:val="00ED4A47"/>
    <w:rsid w:val="00ED4CDC"/>
    <w:rsid w:val="00ED4F89"/>
    <w:rsid w:val="00ED54B6"/>
    <w:rsid w:val="00ED5A7D"/>
    <w:rsid w:val="00ED5B0C"/>
    <w:rsid w:val="00ED5BDA"/>
    <w:rsid w:val="00ED5E20"/>
    <w:rsid w:val="00ED5FFC"/>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AD"/>
    <w:rsid w:val="00F1566C"/>
    <w:rsid w:val="00F16321"/>
    <w:rsid w:val="00F16C5D"/>
    <w:rsid w:val="00F17703"/>
    <w:rsid w:val="00F17713"/>
    <w:rsid w:val="00F177F6"/>
    <w:rsid w:val="00F2076A"/>
    <w:rsid w:val="00F20D9E"/>
    <w:rsid w:val="00F21218"/>
    <w:rsid w:val="00F2138D"/>
    <w:rsid w:val="00F21623"/>
    <w:rsid w:val="00F2188C"/>
    <w:rsid w:val="00F21D0C"/>
    <w:rsid w:val="00F22205"/>
    <w:rsid w:val="00F230EB"/>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56A5"/>
    <w:rsid w:val="00F359D6"/>
    <w:rsid w:val="00F364AA"/>
    <w:rsid w:val="00F3692C"/>
    <w:rsid w:val="00F36B24"/>
    <w:rsid w:val="00F3704C"/>
    <w:rsid w:val="00F37622"/>
    <w:rsid w:val="00F37946"/>
    <w:rsid w:val="00F37A68"/>
    <w:rsid w:val="00F37AF6"/>
    <w:rsid w:val="00F37B90"/>
    <w:rsid w:val="00F37FD3"/>
    <w:rsid w:val="00F40306"/>
    <w:rsid w:val="00F408E6"/>
    <w:rsid w:val="00F40E43"/>
    <w:rsid w:val="00F41990"/>
    <w:rsid w:val="00F41C88"/>
    <w:rsid w:val="00F41ED9"/>
    <w:rsid w:val="00F42010"/>
    <w:rsid w:val="00F42393"/>
    <w:rsid w:val="00F426DD"/>
    <w:rsid w:val="00F42B11"/>
    <w:rsid w:val="00F433D7"/>
    <w:rsid w:val="00F4353B"/>
    <w:rsid w:val="00F457DF"/>
    <w:rsid w:val="00F45AC7"/>
    <w:rsid w:val="00F46926"/>
    <w:rsid w:val="00F46FD7"/>
    <w:rsid w:val="00F47328"/>
    <w:rsid w:val="00F47917"/>
    <w:rsid w:val="00F47E9B"/>
    <w:rsid w:val="00F5014A"/>
    <w:rsid w:val="00F50363"/>
    <w:rsid w:val="00F51381"/>
    <w:rsid w:val="00F5167B"/>
    <w:rsid w:val="00F520C1"/>
    <w:rsid w:val="00F52DFC"/>
    <w:rsid w:val="00F531FC"/>
    <w:rsid w:val="00F5385D"/>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BAE"/>
    <w:rsid w:val="00F67C61"/>
    <w:rsid w:val="00F67D28"/>
    <w:rsid w:val="00F67FF3"/>
    <w:rsid w:val="00F7148A"/>
    <w:rsid w:val="00F72D54"/>
    <w:rsid w:val="00F7314E"/>
    <w:rsid w:val="00F736E2"/>
    <w:rsid w:val="00F7418C"/>
    <w:rsid w:val="00F74CA9"/>
    <w:rsid w:val="00F7515E"/>
    <w:rsid w:val="00F7594A"/>
    <w:rsid w:val="00F75DC7"/>
    <w:rsid w:val="00F76358"/>
    <w:rsid w:val="00F773F4"/>
    <w:rsid w:val="00F7743B"/>
    <w:rsid w:val="00F77492"/>
    <w:rsid w:val="00F77B93"/>
    <w:rsid w:val="00F77C44"/>
    <w:rsid w:val="00F80354"/>
    <w:rsid w:val="00F80729"/>
    <w:rsid w:val="00F80A7D"/>
    <w:rsid w:val="00F81227"/>
    <w:rsid w:val="00F821CB"/>
    <w:rsid w:val="00F82388"/>
    <w:rsid w:val="00F826BE"/>
    <w:rsid w:val="00F82A01"/>
    <w:rsid w:val="00F837C9"/>
    <w:rsid w:val="00F83FAD"/>
    <w:rsid w:val="00F84F89"/>
    <w:rsid w:val="00F851FD"/>
    <w:rsid w:val="00F85442"/>
    <w:rsid w:val="00F85C86"/>
    <w:rsid w:val="00F85D15"/>
    <w:rsid w:val="00F85FF3"/>
    <w:rsid w:val="00F86440"/>
    <w:rsid w:val="00F86710"/>
    <w:rsid w:val="00F86BF2"/>
    <w:rsid w:val="00F87BE6"/>
    <w:rsid w:val="00F87F42"/>
    <w:rsid w:val="00F9004E"/>
    <w:rsid w:val="00F9065A"/>
    <w:rsid w:val="00F908BD"/>
    <w:rsid w:val="00F9099F"/>
    <w:rsid w:val="00F91660"/>
    <w:rsid w:val="00F92941"/>
    <w:rsid w:val="00F92F64"/>
    <w:rsid w:val="00F935B1"/>
    <w:rsid w:val="00F93BA8"/>
    <w:rsid w:val="00F952F7"/>
    <w:rsid w:val="00F95321"/>
    <w:rsid w:val="00F953DB"/>
    <w:rsid w:val="00F9545A"/>
    <w:rsid w:val="00F956B4"/>
    <w:rsid w:val="00F95EFF"/>
    <w:rsid w:val="00F9601A"/>
    <w:rsid w:val="00F96B9A"/>
    <w:rsid w:val="00F970FC"/>
    <w:rsid w:val="00FA05AB"/>
    <w:rsid w:val="00FA0627"/>
    <w:rsid w:val="00FA0934"/>
    <w:rsid w:val="00FA0DD2"/>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504"/>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D07"/>
    <w:rsid w:val="00FD067F"/>
    <w:rsid w:val="00FD084E"/>
    <w:rsid w:val="00FD0C5E"/>
    <w:rsid w:val="00FD1357"/>
    <w:rsid w:val="00FD17F2"/>
    <w:rsid w:val="00FD199B"/>
    <w:rsid w:val="00FD2319"/>
    <w:rsid w:val="00FD25EC"/>
    <w:rsid w:val="00FD2851"/>
    <w:rsid w:val="00FD2D1E"/>
    <w:rsid w:val="00FD3F02"/>
    <w:rsid w:val="00FD45FE"/>
    <w:rsid w:val="00FD4ABF"/>
    <w:rsid w:val="00FD4D31"/>
    <w:rsid w:val="00FD506B"/>
    <w:rsid w:val="00FD60F3"/>
    <w:rsid w:val="00FD684A"/>
    <w:rsid w:val="00FD690B"/>
    <w:rsid w:val="00FD712C"/>
    <w:rsid w:val="00FD7250"/>
    <w:rsid w:val="00FD76A5"/>
    <w:rsid w:val="00FD779F"/>
    <w:rsid w:val="00FD7E31"/>
    <w:rsid w:val="00FE0657"/>
    <w:rsid w:val="00FE084E"/>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1167"/>
    <w:rsid w:val="00FF1232"/>
    <w:rsid w:val="00FF1398"/>
    <w:rsid w:val="00FF1D51"/>
    <w:rsid w:val="00FF2AE0"/>
    <w:rsid w:val="00FF33E5"/>
    <w:rsid w:val="00FF5477"/>
    <w:rsid w:val="00FF557D"/>
    <w:rsid w:val="00FF6321"/>
    <w:rsid w:val="00FF6939"/>
    <w:rsid w:val="00FF6F5B"/>
    <w:rsid w:val="00FF74C9"/>
    <w:rsid w:val="00FF7903"/>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712DD5"/>
  <w15:docId w15:val="{24EA8423-2C29-44D3-A265-1379441E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 w:type="table" w:customStyle="1" w:styleId="TableGrid1">
    <w:name w:val="Table Grid1"/>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088387923">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49734038">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51532008">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F8E6C-18B5-4F44-8B1B-3F6669F1BA9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4aed6d6-a926-4909-ae89-377442fd3b88"/>
    <ds:schemaRef ds:uri="http://www.w3.org/XML/1998/namespace"/>
    <ds:schemaRef ds:uri="http://purl.org/dc/dcmitype/"/>
  </ds:schemaRefs>
</ds:datastoreItem>
</file>

<file path=customXml/itemProps3.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4.xml><?xml version="1.0" encoding="utf-8"?>
<ds:datastoreItem xmlns:ds="http://schemas.openxmlformats.org/officeDocument/2006/customXml" ds:itemID="{ECA639A4-0084-44E6-804B-659C966D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5591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Corinna Fühner</cp:lastModifiedBy>
  <cp:revision>5</cp:revision>
  <cp:lastPrinted>2020-10-01T09:14:00Z</cp:lastPrinted>
  <dcterms:created xsi:type="dcterms:W3CDTF">2020-10-05T10:26:00Z</dcterms:created>
  <dcterms:modified xsi:type="dcterms:W3CDTF">2020-10-05T10:30:00Z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