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1E3CC2B6" w:rsidR="000B1E51" w:rsidRPr="004D02F0" w:rsidRDefault="00436816" w:rsidP="00462FC6">
      <w:pPr>
        <w:widowControl w:val="0"/>
        <w:spacing w:after="40"/>
        <w:rPr>
          <w:rFonts w:ascii="Arial" w:hAnsi="Arial" w:cs="Arial"/>
          <w:b/>
          <w:color w:val="000000" w:themeColor="text1"/>
          <w:sz w:val="40"/>
          <w:szCs w:val="40"/>
        </w:rPr>
      </w:pPr>
      <w:r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6F9C03A4">
                <wp:simplePos x="0" y="0"/>
                <wp:positionH relativeFrom="column">
                  <wp:posOffset>3747184</wp:posOffset>
                </wp:positionH>
                <wp:positionV relativeFrom="paragraph">
                  <wp:posOffset>-898863</wp:posOffset>
                </wp:positionV>
                <wp:extent cx="2392878" cy="55814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55814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2B6FE846"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487ECE">
                              <w:rPr>
                                <w:rFonts w:ascii="Arial" w:hAnsi="Arial" w:cs="Arial"/>
                                <w:color w:val="808080" w:themeColor="background1" w:themeShade="80"/>
                                <w:sz w:val="16"/>
                                <w:szCs w:val="16"/>
                              </w:rPr>
                              <w:t>Corinna Fühner</w:t>
                            </w:r>
                          </w:p>
                          <w:p w14:paraId="35F2F7FA" w14:textId="74F53775"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Pr>
                                <w:rFonts w:ascii="Arial" w:hAnsi="Arial" w:cs="Arial"/>
                                <w:color w:val="808080" w:themeColor="background1" w:themeShade="80"/>
                                <w:sz w:val="16"/>
                                <w:szCs w:val="16"/>
                              </w:rPr>
                              <w:t>350 80 2-588</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5.05pt;margin-top:-70.8pt;width:188.4pt;height:4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2B6FE846"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487ECE">
                        <w:rPr>
                          <w:rFonts w:ascii="Arial" w:hAnsi="Arial" w:cs="Arial"/>
                          <w:color w:val="808080" w:themeColor="background1" w:themeShade="80"/>
                          <w:sz w:val="16"/>
                          <w:szCs w:val="16"/>
                        </w:rPr>
                        <w:t>Corinna Fühner</w:t>
                      </w:r>
                    </w:p>
                    <w:p w14:paraId="35F2F7FA" w14:textId="74F53775"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Pr>
                          <w:rFonts w:ascii="Arial" w:hAnsi="Arial" w:cs="Arial"/>
                          <w:color w:val="808080" w:themeColor="background1" w:themeShade="80"/>
                          <w:sz w:val="16"/>
                          <w:szCs w:val="16"/>
                        </w:rPr>
                        <w:t>350 80 2-588</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bookmarkStart w:id="0" w:name="_Hlk526187594"/>
      <w:r w:rsidR="00995D9D">
        <w:rPr>
          <w:rFonts w:ascii="Arial" w:hAnsi="Arial" w:cs="Arial"/>
          <w:noProof/>
          <w:color w:val="000000" w:themeColor="text1"/>
          <w:sz w:val="40"/>
          <w:szCs w:val="40"/>
          <w:lang w:eastAsia="de-DE"/>
        </w:rPr>
        <w:t>TOP-7-INVESTMENTMÄRKTE</w:t>
      </w:r>
      <w:r w:rsidR="00995D9D" w:rsidRPr="00A93F42">
        <w:rPr>
          <w:rFonts w:ascii="Arial" w:hAnsi="Arial" w:cs="Arial"/>
          <w:color w:val="000000" w:themeColor="text1"/>
          <w:sz w:val="40"/>
          <w:szCs w:val="40"/>
        </w:rPr>
        <w:t xml:space="preserve"> </w:t>
      </w:r>
      <w:bookmarkEnd w:id="0"/>
      <w:r w:rsidR="00647DCD">
        <w:rPr>
          <w:rFonts w:ascii="Arial" w:hAnsi="Arial" w:cs="Arial"/>
          <w:color w:val="000000" w:themeColor="text1"/>
          <w:sz w:val="40"/>
          <w:szCs w:val="40"/>
        </w:rPr>
        <w:t>Q3</w:t>
      </w:r>
      <w:r w:rsidR="00995D9D" w:rsidRPr="004D02F0">
        <w:rPr>
          <w:rFonts w:ascii="Arial" w:hAnsi="Arial" w:cs="Arial"/>
          <w:color w:val="000000" w:themeColor="text1"/>
          <w:sz w:val="40"/>
          <w:szCs w:val="40"/>
        </w:rPr>
        <w:t>/20</w:t>
      </w:r>
      <w:r w:rsidR="00995D9D">
        <w:rPr>
          <w:rFonts w:ascii="Arial" w:hAnsi="Arial" w:cs="Arial"/>
          <w:color w:val="000000" w:themeColor="text1"/>
          <w:sz w:val="40"/>
          <w:szCs w:val="40"/>
        </w:rPr>
        <w:t>20</w:t>
      </w:r>
    </w:p>
    <w:p w14:paraId="3B735A9E" w14:textId="3E381606" w:rsidR="00073A8E" w:rsidRPr="004D02F0" w:rsidRDefault="00625411" w:rsidP="00462FC6">
      <w:pPr>
        <w:widowControl w:val="0"/>
        <w:spacing w:after="120"/>
        <w:rPr>
          <w:rFonts w:ascii="Arial" w:hAnsi="Arial" w:cs="Arial"/>
          <w:b/>
          <w:caps/>
          <w:color w:val="000000" w:themeColor="text1"/>
          <w:sz w:val="40"/>
          <w:szCs w:val="40"/>
        </w:rPr>
      </w:pPr>
      <w:r>
        <w:rPr>
          <w:rFonts w:ascii="Arial" w:hAnsi="Arial" w:cs="Arial"/>
          <w:b/>
          <w:caps/>
          <w:color w:val="000000" w:themeColor="text1"/>
          <w:sz w:val="40"/>
          <w:szCs w:val="40"/>
        </w:rPr>
        <w:t xml:space="preserve">Coronavirus </w:t>
      </w:r>
      <w:r w:rsidR="00870FCE">
        <w:rPr>
          <w:rFonts w:ascii="Arial" w:hAnsi="Arial" w:cs="Arial"/>
          <w:b/>
          <w:caps/>
          <w:color w:val="000000" w:themeColor="text1"/>
          <w:sz w:val="40"/>
          <w:szCs w:val="40"/>
        </w:rPr>
        <w:t>dämpft</w:t>
      </w:r>
      <w:r>
        <w:rPr>
          <w:rFonts w:ascii="Arial" w:hAnsi="Arial" w:cs="Arial"/>
          <w:b/>
          <w:caps/>
          <w:color w:val="000000" w:themeColor="text1"/>
          <w:sz w:val="40"/>
          <w:szCs w:val="40"/>
        </w:rPr>
        <w:t xml:space="preserve"> transaktionsgeschehen</w:t>
      </w:r>
      <w:r w:rsidR="00032AD4">
        <w:rPr>
          <w:rFonts w:ascii="Arial" w:hAnsi="Arial" w:cs="Arial"/>
          <w:b/>
          <w:caps/>
          <w:color w:val="000000" w:themeColor="text1"/>
          <w:sz w:val="40"/>
          <w:szCs w:val="40"/>
        </w:rPr>
        <w:t xml:space="preserve">  </w:t>
      </w:r>
    </w:p>
    <w:p w14:paraId="28BEC29F" w14:textId="57F39788" w:rsidR="007D3839" w:rsidRDefault="00B5621B" w:rsidP="004C416A">
      <w:pPr>
        <w:widowControl w:val="0"/>
        <w:spacing w:after="120"/>
        <w:jc w:val="center"/>
        <w:rPr>
          <w:rFonts w:ascii="Arial" w:hAnsi="Arial" w:cs="Arial"/>
          <w:b/>
          <w:sz w:val="20"/>
          <w:szCs w:val="20"/>
        </w:rPr>
      </w:pPr>
      <w:r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0CEC9F32">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0CE64"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sidR="00D6747B" w:rsidRPr="007D3839">
        <w:rPr>
          <w:rFonts w:ascii="Arial" w:hAnsi="Arial" w:cs="Arial"/>
          <w:b/>
          <w:sz w:val="20"/>
          <w:szCs w:val="20"/>
        </w:rPr>
        <w:br/>
      </w:r>
      <w:r w:rsidR="00430078">
        <w:rPr>
          <w:rFonts w:ascii="Arial" w:hAnsi="Arial" w:cs="Arial"/>
          <w:b/>
          <w:noProof/>
          <w:sz w:val="20"/>
          <w:szCs w:val="20"/>
          <w:lang w:eastAsia="de-DE"/>
        </w:rPr>
        <w:drawing>
          <wp:inline distT="0" distB="0" distL="0" distR="0" wp14:anchorId="370931E5" wp14:editId="7513E637">
            <wp:extent cx="5760720" cy="334772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V_Top-7-Standorte_Q32020_aktualisiert.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347720"/>
                    </a:xfrm>
                    <a:prstGeom prst="rect">
                      <a:avLst/>
                    </a:prstGeom>
                  </pic:spPr>
                </pic:pic>
              </a:graphicData>
            </a:graphic>
          </wp:inline>
        </w:drawing>
      </w:r>
    </w:p>
    <w:p w14:paraId="032005C4" w14:textId="6BD52A0D" w:rsidR="00735CE6" w:rsidRPr="00735CE6" w:rsidRDefault="006A0566" w:rsidP="00735CE6">
      <w:pPr>
        <w:widowControl w:val="0"/>
        <w:spacing w:after="120"/>
        <w:rPr>
          <w:rFonts w:ascii="Arial" w:hAnsi="Arial" w:cs="Arial"/>
          <w:bCs/>
          <w:sz w:val="20"/>
          <w:szCs w:val="20"/>
        </w:rPr>
      </w:pPr>
      <w:r>
        <w:rPr>
          <w:rFonts w:ascii="Arial" w:hAnsi="Arial" w:cs="Arial"/>
          <w:b/>
          <w:sz w:val="20"/>
          <w:szCs w:val="20"/>
        </w:rPr>
        <w:br/>
      </w:r>
      <w:r w:rsidR="00647DCD">
        <w:rPr>
          <w:rFonts w:ascii="Arial" w:hAnsi="Arial" w:cs="Arial"/>
          <w:b/>
          <w:sz w:val="20"/>
          <w:szCs w:val="20"/>
        </w:rPr>
        <w:t>1</w:t>
      </w:r>
      <w:r w:rsidR="00205F77" w:rsidRPr="004D02F0">
        <w:rPr>
          <w:rFonts w:ascii="Arial" w:hAnsi="Arial" w:cs="Arial"/>
          <w:b/>
          <w:sz w:val="20"/>
          <w:szCs w:val="20"/>
        </w:rPr>
        <w:t xml:space="preserve">. </w:t>
      </w:r>
      <w:r w:rsidR="00647DCD">
        <w:rPr>
          <w:rFonts w:ascii="Arial" w:hAnsi="Arial" w:cs="Arial"/>
          <w:b/>
          <w:sz w:val="20"/>
          <w:szCs w:val="20"/>
        </w:rPr>
        <w:t>Oktober</w:t>
      </w:r>
      <w:r w:rsidR="00205F77" w:rsidRPr="004D02F0">
        <w:rPr>
          <w:rFonts w:ascii="Arial" w:hAnsi="Arial" w:cs="Arial"/>
          <w:b/>
          <w:sz w:val="20"/>
          <w:szCs w:val="20"/>
        </w:rPr>
        <w:t xml:space="preserve"> 20</w:t>
      </w:r>
      <w:r w:rsidR="004E304A">
        <w:rPr>
          <w:rFonts w:ascii="Arial" w:hAnsi="Arial" w:cs="Arial"/>
          <w:b/>
          <w:sz w:val="20"/>
          <w:szCs w:val="20"/>
        </w:rPr>
        <w:t>20</w:t>
      </w:r>
      <w:r w:rsidR="00205F77" w:rsidRPr="004D02F0">
        <w:rPr>
          <w:rFonts w:ascii="Arial" w:hAnsi="Arial" w:cs="Arial"/>
          <w:b/>
          <w:sz w:val="20"/>
          <w:szCs w:val="20"/>
        </w:rPr>
        <w:t xml:space="preserve">, </w:t>
      </w:r>
      <w:bookmarkStart w:id="3" w:name="_Hlk486831588"/>
      <w:r w:rsidR="00487ECE">
        <w:rPr>
          <w:rFonts w:ascii="Arial" w:hAnsi="Arial" w:cs="Arial"/>
          <w:b/>
          <w:sz w:val="20"/>
          <w:szCs w:val="20"/>
        </w:rPr>
        <w:t>Hamburg</w:t>
      </w:r>
      <w:r w:rsidR="009066E5">
        <w:rPr>
          <w:rFonts w:ascii="Arial" w:hAnsi="Arial" w:cs="Arial"/>
          <w:b/>
          <w:sz w:val="20"/>
          <w:szCs w:val="20"/>
        </w:rPr>
        <w:t>.</w:t>
      </w:r>
      <w:r w:rsidR="004E304A">
        <w:rPr>
          <w:rFonts w:ascii="Arial" w:hAnsi="Arial" w:cs="Arial"/>
          <w:bCs/>
          <w:sz w:val="20"/>
          <w:szCs w:val="20"/>
        </w:rPr>
        <w:t xml:space="preserve"> </w:t>
      </w:r>
      <w:r w:rsidR="000A0966">
        <w:rPr>
          <w:rFonts w:ascii="Arial" w:hAnsi="Arial" w:cs="Arial"/>
          <w:bCs/>
          <w:sz w:val="20"/>
          <w:szCs w:val="20"/>
        </w:rPr>
        <w:t xml:space="preserve">Das Transaktionsvolumen (TAV) an den deutschen Top-7-Standorten ist im 3. Quartal 2020 im Vorjahresvergleich </w:t>
      </w:r>
      <w:r w:rsidR="00DF6FF7">
        <w:rPr>
          <w:rFonts w:ascii="Arial" w:hAnsi="Arial" w:cs="Arial"/>
          <w:bCs/>
          <w:sz w:val="20"/>
          <w:szCs w:val="20"/>
        </w:rPr>
        <w:t xml:space="preserve">um </w:t>
      </w:r>
      <w:r w:rsidR="00F374EE">
        <w:rPr>
          <w:rFonts w:ascii="Arial" w:hAnsi="Arial" w:cs="Arial"/>
          <w:bCs/>
          <w:sz w:val="20"/>
          <w:szCs w:val="20"/>
        </w:rPr>
        <w:t>19</w:t>
      </w:r>
      <w:r w:rsidR="00DF6FF7">
        <w:rPr>
          <w:rFonts w:ascii="Arial" w:hAnsi="Arial" w:cs="Arial"/>
          <w:bCs/>
          <w:sz w:val="20"/>
          <w:szCs w:val="20"/>
        </w:rPr>
        <w:t xml:space="preserve"> %</w:t>
      </w:r>
      <w:r w:rsidR="00FB7504">
        <w:rPr>
          <w:rFonts w:ascii="Arial" w:hAnsi="Arial" w:cs="Arial"/>
          <w:bCs/>
          <w:sz w:val="20"/>
          <w:szCs w:val="20"/>
        </w:rPr>
        <w:t xml:space="preserve"> zurückgegangen</w:t>
      </w:r>
      <w:r w:rsidR="00032AD4">
        <w:rPr>
          <w:rFonts w:ascii="Arial" w:hAnsi="Arial" w:cs="Arial"/>
          <w:bCs/>
          <w:sz w:val="20"/>
          <w:szCs w:val="20"/>
        </w:rPr>
        <w:t xml:space="preserve">. </w:t>
      </w:r>
      <w:r w:rsidR="00FB7504">
        <w:rPr>
          <w:rFonts w:ascii="Arial" w:hAnsi="Arial" w:cs="Arial"/>
          <w:bCs/>
          <w:sz w:val="20"/>
          <w:szCs w:val="20"/>
        </w:rPr>
        <w:t xml:space="preserve">So </w:t>
      </w:r>
      <w:r w:rsidR="00FB7504" w:rsidRPr="00945BDC">
        <w:rPr>
          <w:rFonts w:ascii="Arial" w:hAnsi="Arial" w:cs="Arial"/>
          <w:bCs/>
          <w:sz w:val="20"/>
          <w:szCs w:val="20"/>
        </w:rPr>
        <w:t xml:space="preserve">sind </w:t>
      </w:r>
      <w:r w:rsidR="00093D24">
        <w:rPr>
          <w:rFonts w:ascii="Arial" w:hAnsi="Arial" w:cs="Arial"/>
          <w:bCs/>
          <w:sz w:val="20"/>
          <w:szCs w:val="20"/>
        </w:rPr>
        <w:t>in</w:t>
      </w:r>
      <w:r w:rsidR="00FB7504">
        <w:rPr>
          <w:rFonts w:ascii="Arial" w:hAnsi="Arial" w:cs="Arial"/>
          <w:bCs/>
          <w:sz w:val="20"/>
          <w:szCs w:val="20"/>
        </w:rPr>
        <w:t xml:space="preserve"> </w:t>
      </w:r>
      <w:r w:rsidR="00497BBB">
        <w:rPr>
          <w:rFonts w:ascii="Arial" w:hAnsi="Arial" w:cs="Arial"/>
          <w:bCs/>
          <w:sz w:val="20"/>
          <w:szCs w:val="20"/>
        </w:rPr>
        <w:t>Hamburg, Berlin, Düsseldorf, Köln, Frankfurt, Stuttgart und München</w:t>
      </w:r>
      <w:r w:rsidR="00FB7504" w:rsidRPr="00945BDC">
        <w:rPr>
          <w:rFonts w:ascii="Arial" w:hAnsi="Arial" w:cs="Arial"/>
          <w:bCs/>
          <w:sz w:val="20"/>
          <w:szCs w:val="20"/>
        </w:rPr>
        <w:t xml:space="preserve"> </w:t>
      </w:r>
      <w:r w:rsidR="00FB7504">
        <w:rPr>
          <w:rFonts w:ascii="Arial" w:hAnsi="Arial" w:cs="Arial"/>
          <w:bCs/>
          <w:sz w:val="20"/>
          <w:szCs w:val="20"/>
        </w:rPr>
        <w:t xml:space="preserve">in </w:t>
      </w:r>
      <w:r w:rsidR="00FB7504" w:rsidRPr="00945BDC">
        <w:rPr>
          <w:rFonts w:ascii="Arial" w:hAnsi="Arial" w:cs="Arial"/>
          <w:bCs/>
          <w:sz w:val="20"/>
          <w:szCs w:val="20"/>
        </w:rPr>
        <w:t xml:space="preserve">den </w:t>
      </w:r>
      <w:r w:rsidR="00A82305">
        <w:rPr>
          <w:rFonts w:ascii="Arial" w:hAnsi="Arial" w:cs="Arial"/>
          <w:bCs/>
          <w:sz w:val="20"/>
          <w:szCs w:val="20"/>
        </w:rPr>
        <w:t>ersten neun Monaten</w:t>
      </w:r>
      <w:r w:rsidR="00FB7504" w:rsidRPr="00945BDC">
        <w:rPr>
          <w:rFonts w:ascii="Arial" w:hAnsi="Arial" w:cs="Arial"/>
          <w:bCs/>
          <w:sz w:val="20"/>
          <w:szCs w:val="20"/>
        </w:rPr>
        <w:t xml:space="preserve"> 20</w:t>
      </w:r>
      <w:r w:rsidR="00FB7504">
        <w:rPr>
          <w:rFonts w:ascii="Arial" w:hAnsi="Arial" w:cs="Arial"/>
          <w:bCs/>
          <w:sz w:val="20"/>
          <w:szCs w:val="20"/>
        </w:rPr>
        <w:t>20</w:t>
      </w:r>
      <w:r w:rsidR="00FB7504" w:rsidRPr="00945BDC">
        <w:rPr>
          <w:rFonts w:ascii="Arial" w:hAnsi="Arial" w:cs="Arial"/>
          <w:bCs/>
          <w:sz w:val="20"/>
          <w:szCs w:val="20"/>
        </w:rPr>
        <w:t xml:space="preserve"> </w:t>
      </w:r>
      <w:r w:rsidR="00DF6FF7">
        <w:rPr>
          <w:rFonts w:ascii="Arial" w:hAnsi="Arial" w:cs="Arial"/>
          <w:bCs/>
          <w:sz w:val="20"/>
          <w:szCs w:val="20"/>
        </w:rPr>
        <w:t>Verkäufe</w:t>
      </w:r>
      <w:r w:rsidR="00FB7504" w:rsidRPr="00945BDC">
        <w:rPr>
          <w:rFonts w:ascii="Arial" w:hAnsi="Arial" w:cs="Arial"/>
          <w:bCs/>
          <w:sz w:val="20"/>
          <w:szCs w:val="20"/>
        </w:rPr>
        <w:t xml:space="preserve"> für </w:t>
      </w:r>
      <w:r w:rsidR="00FB7504">
        <w:rPr>
          <w:rFonts w:ascii="Arial" w:hAnsi="Arial" w:cs="Arial"/>
          <w:bCs/>
          <w:sz w:val="20"/>
          <w:szCs w:val="20"/>
        </w:rPr>
        <w:t xml:space="preserve">gewerbliche </w:t>
      </w:r>
      <w:r w:rsidR="00FB7504" w:rsidRPr="00945BDC">
        <w:rPr>
          <w:rFonts w:ascii="Arial" w:hAnsi="Arial" w:cs="Arial"/>
          <w:bCs/>
          <w:sz w:val="20"/>
          <w:szCs w:val="20"/>
        </w:rPr>
        <w:t xml:space="preserve">Immobilien in Höhe von </w:t>
      </w:r>
      <w:r w:rsidR="00FB7504">
        <w:rPr>
          <w:rFonts w:ascii="Arial" w:hAnsi="Arial" w:cs="Arial"/>
          <w:bCs/>
          <w:sz w:val="20"/>
          <w:szCs w:val="20"/>
        </w:rPr>
        <w:t>1</w:t>
      </w:r>
      <w:r w:rsidR="00F374EE">
        <w:rPr>
          <w:rFonts w:ascii="Arial" w:hAnsi="Arial" w:cs="Arial"/>
          <w:bCs/>
          <w:sz w:val="20"/>
          <w:szCs w:val="20"/>
        </w:rPr>
        <w:t>9</w:t>
      </w:r>
      <w:r w:rsidR="00FB7504">
        <w:rPr>
          <w:rFonts w:ascii="Arial" w:hAnsi="Arial" w:cs="Arial"/>
          <w:bCs/>
          <w:sz w:val="20"/>
          <w:szCs w:val="20"/>
        </w:rPr>
        <w:t>,</w:t>
      </w:r>
      <w:r w:rsidR="00F374EE">
        <w:rPr>
          <w:rFonts w:ascii="Arial" w:hAnsi="Arial" w:cs="Arial"/>
          <w:bCs/>
          <w:sz w:val="20"/>
          <w:szCs w:val="20"/>
        </w:rPr>
        <w:t>06</w:t>
      </w:r>
      <w:r w:rsidR="00FB7504" w:rsidRPr="00945BDC">
        <w:rPr>
          <w:rFonts w:ascii="Arial" w:hAnsi="Arial" w:cs="Arial"/>
          <w:bCs/>
          <w:sz w:val="20"/>
          <w:szCs w:val="20"/>
        </w:rPr>
        <w:t xml:space="preserve"> Mrd. € abgeschlossen worden</w:t>
      </w:r>
      <w:r w:rsidR="00FB7504">
        <w:rPr>
          <w:rFonts w:ascii="Arial" w:hAnsi="Arial" w:cs="Arial"/>
          <w:bCs/>
          <w:sz w:val="20"/>
          <w:szCs w:val="20"/>
        </w:rPr>
        <w:t xml:space="preserve">. </w:t>
      </w:r>
      <w:r w:rsidR="00255FB3">
        <w:rPr>
          <w:rFonts w:ascii="Arial" w:hAnsi="Arial" w:cs="Arial"/>
          <w:bCs/>
          <w:sz w:val="20"/>
          <w:szCs w:val="20"/>
        </w:rPr>
        <w:t>Einzig</w:t>
      </w:r>
      <w:r w:rsidR="00EC2BD1">
        <w:rPr>
          <w:rFonts w:ascii="Arial" w:hAnsi="Arial" w:cs="Arial"/>
          <w:bCs/>
          <w:sz w:val="20"/>
          <w:szCs w:val="20"/>
        </w:rPr>
        <w:t xml:space="preserve"> Hamburg und Düsseldorf </w:t>
      </w:r>
      <w:r w:rsidR="00255FB3">
        <w:rPr>
          <w:rFonts w:ascii="Arial" w:hAnsi="Arial" w:cs="Arial"/>
          <w:bCs/>
          <w:sz w:val="20"/>
          <w:szCs w:val="20"/>
        </w:rPr>
        <w:t>verzeichne</w:t>
      </w:r>
      <w:r w:rsidR="0072026F">
        <w:rPr>
          <w:rFonts w:ascii="Arial" w:hAnsi="Arial" w:cs="Arial"/>
          <w:bCs/>
          <w:sz w:val="20"/>
          <w:szCs w:val="20"/>
        </w:rPr>
        <w:t>te</w:t>
      </w:r>
      <w:r w:rsidR="008E1B63">
        <w:rPr>
          <w:rFonts w:ascii="Arial" w:hAnsi="Arial" w:cs="Arial"/>
          <w:bCs/>
          <w:sz w:val="20"/>
          <w:szCs w:val="20"/>
        </w:rPr>
        <w:t xml:space="preserve">n </w:t>
      </w:r>
      <w:r w:rsidR="00EC2BD1">
        <w:rPr>
          <w:rFonts w:ascii="Arial" w:hAnsi="Arial" w:cs="Arial"/>
          <w:bCs/>
          <w:sz w:val="20"/>
          <w:szCs w:val="20"/>
        </w:rPr>
        <w:t>Zu</w:t>
      </w:r>
      <w:r w:rsidR="003A7852">
        <w:rPr>
          <w:rFonts w:ascii="Arial" w:hAnsi="Arial" w:cs="Arial"/>
          <w:bCs/>
          <w:sz w:val="20"/>
          <w:szCs w:val="20"/>
        </w:rPr>
        <w:t>wächse beim TAV</w:t>
      </w:r>
      <w:r w:rsidR="00735CE6">
        <w:rPr>
          <w:rFonts w:ascii="Arial" w:hAnsi="Arial" w:cs="Arial"/>
          <w:bCs/>
          <w:sz w:val="20"/>
          <w:szCs w:val="20"/>
        </w:rPr>
        <w:t>.</w:t>
      </w:r>
      <w:r w:rsidR="00F5385D">
        <w:rPr>
          <w:rFonts w:ascii="Arial" w:hAnsi="Arial" w:cs="Arial"/>
          <w:bCs/>
          <w:sz w:val="20"/>
          <w:szCs w:val="20"/>
        </w:rPr>
        <w:t xml:space="preserve"> </w:t>
      </w:r>
      <w:r w:rsidR="000A0966">
        <w:rPr>
          <w:rFonts w:ascii="Arial" w:hAnsi="Arial" w:cs="Arial"/>
          <w:bCs/>
          <w:sz w:val="20"/>
          <w:szCs w:val="20"/>
        </w:rPr>
        <w:t>Dies ergaben Analysen des Maklernetzwerkes German Property Partners (GPP).</w:t>
      </w:r>
    </w:p>
    <w:p w14:paraId="2ACCDC89" w14:textId="77777777" w:rsidR="00735CE6" w:rsidRDefault="00735CE6" w:rsidP="00487ECE">
      <w:pPr>
        <w:widowControl w:val="0"/>
        <w:spacing w:after="0"/>
        <w:jc w:val="center"/>
        <w:rPr>
          <w:rFonts w:ascii="Arial" w:hAnsi="Arial" w:cs="Arial"/>
          <w:b/>
          <w:bCs/>
          <w:caps/>
          <w:sz w:val="20"/>
          <w:szCs w:val="20"/>
        </w:rPr>
      </w:pPr>
    </w:p>
    <w:p w14:paraId="035D3C6D" w14:textId="4235F38A" w:rsidR="004C1EFC" w:rsidRPr="00487ECE" w:rsidRDefault="001C4E4D" w:rsidP="00487ECE">
      <w:pPr>
        <w:widowControl w:val="0"/>
        <w:spacing w:after="0"/>
        <w:jc w:val="center"/>
        <w:rPr>
          <w:rFonts w:ascii="Arial" w:hAnsi="Arial" w:cs="Arial"/>
          <w:b/>
          <w:bCs/>
          <w:caps/>
          <w:sz w:val="20"/>
          <w:szCs w:val="20"/>
        </w:rPr>
      </w:pPr>
      <w:r>
        <w:rPr>
          <w:rFonts w:ascii="Arial" w:hAnsi="Arial" w:cs="Arial"/>
          <w:b/>
          <w:bCs/>
          <w:caps/>
          <w:sz w:val="20"/>
          <w:szCs w:val="20"/>
        </w:rPr>
        <w:t>TAV-</w:t>
      </w:r>
      <w:r w:rsidR="00F67C61">
        <w:rPr>
          <w:rFonts w:ascii="Arial" w:hAnsi="Arial" w:cs="Arial"/>
          <w:b/>
          <w:bCs/>
          <w:caps/>
          <w:sz w:val="20"/>
          <w:szCs w:val="20"/>
        </w:rPr>
        <w:t xml:space="preserve">Rückgang mit Ausnahme von </w:t>
      </w:r>
      <w:r w:rsidR="00EC2BD1">
        <w:rPr>
          <w:rFonts w:ascii="Arial" w:hAnsi="Arial" w:cs="Arial"/>
          <w:b/>
          <w:bCs/>
          <w:caps/>
          <w:sz w:val="20"/>
          <w:szCs w:val="20"/>
        </w:rPr>
        <w:t>Hamburg und düsseldorf</w:t>
      </w:r>
    </w:p>
    <w:p w14:paraId="465237C3" w14:textId="77777777" w:rsidR="00A035D3" w:rsidRDefault="00A035D3" w:rsidP="00487ECE">
      <w:pPr>
        <w:widowControl w:val="0"/>
        <w:spacing w:after="0"/>
        <w:rPr>
          <w:rFonts w:ascii="Arial" w:hAnsi="Arial" w:cs="Arial"/>
          <w:sz w:val="20"/>
          <w:szCs w:val="20"/>
        </w:rPr>
      </w:pPr>
    </w:p>
    <w:p w14:paraId="56DF8A6A" w14:textId="5B50F826" w:rsidR="00497BBB" w:rsidRDefault="00FF33E5" w:rsidP="00487ECE">
      <w:pPr>
        <w:widowControl w:val="0"/>
        <w:spacing w:after="0"/>
        <w:rPr>
          <w:rFonts w:ascii="Arial" w:hAnsi="Arial" w:cs="Arial"/>
          <w:sz w:val="20"/>
          <w:szCs w:val="20"/>
        </w:rPr>
      </w:pPr>
      <w:r>
        <w:rPr>
          <w:rFonts w:ascii="Arial" w:hAnsi="Arial" w:cs="Arial"/>
          <w:sz w:val="20"/>
          <w:szCs w:val="20"/>
        </w:rPr>
        <w:t xml:space="preserve">In </w:t>
      </w:r>
      <w:r w:rsidR="00870FCE">
        <w:rPr>
          <w:rFonts w:ascii="Arial" w:hAnsi="Arial" w:cs="Arial"/>
          <w:sz w:val="20"/>
          <w:szCs w:val="20"/>
        </w:rPr>
        <w:t>Hamburg</w:t>
      </w:r>
      <w:r w:rsidR="00AD5E68">
        <w:rPr>
          <w:rFonts w:ascii="Arial" w:hAnsi="Arial" w:cs="Arial"/>
          <w:sz w:val="20"/>
          <w:szCs w:val="20"/>
        </w:rPr>
        <w:t xml:space="preserve"> lag </w:t>
      </w:r>
      <w:r w:rsidR="00870FCE">
        <w:rPr>
          <w:rFonts w:ascii="Arial" w:hAnsi="Arial" w:cs="Arial"/>
          <w:sz w:val="20"/>
          <w:szCs w:val="20"/>
        </w:rPr>
        <w:t>das TAV</w:t>
      </w:r>
      <w:r w:rsidR="00AD5E68">
        <w:rPr>
          <w:rFonts w:ascii="Arial" w:hAnsi="Arial" w:cs="Arial"/>
          <w:sz w:val="20"/>
          <w:szCs w:val="20"/>
        </w:rPr>
        <w:t xml:space="preserve"> zum Ende des 3. Quartals mit insgesamt </w:t>
      </w:r>
      <w:r w:rsidR="00AD5E68" w:rsidRPr="004B42C6">
        <w:rPr>
          <w:rFonts w:ascii="Arial" w:hAnsi="Arial" w:cs="Arial"/>
          <w:sz w:val="20"/>
          <w:szCs w:val="20"/>
        </w:rPr>
        <w:t>3,6</w:t>
      </w:r>
      <w:r w:rsidR="00CB7FFB">
        <w:rPr>
          <w:rFonts w:ascii="Arial" w:hAnsi="Arial" w:cs="Arial"/>
          <w:sz w:val="20"/>
          <w:szCs w:val="20"/>
        </w:rPr>
        <w:t>4</w:t>
      </w:r>
      <w:r w:rsidR="00AD5E68" w:rsidRPr="004B42C6">
        <w:rPr>
          <w:rFonts w:ascii="Arial" w:hAnsi="Arial" w:cs="Arial"/>
          <w:sz w:val="20"/>
          <w:szCs w:val="20"/>
        </w:rPr>
        <w:t xml:space="preserve"> Mrd.</w:t>
      </w:r>
      <w:r w:rsidR="00AD5E68">
        <w:rPr>
          <w:rFonts w:ascii="Arial" w:hAnsi="Arial" w:cs="Arial"/>
          <w:sz w:val="20"/>
          <w:szCs w:val="20"/>
        </w:rPr>
        <w:t xml:space="preserve"> € deutlich über dem Vorjahresniveau (+37</w:t>
      </w:r>
      <w:r>
        <w:rPr>
          <w:rFonts w:ascii="Arial" w:hAnsi="Arial" w:cs="Arial"/>
          <w:sz w:val="20"/>
          <w:szCs w:val="20"/>
        </w:rPr>
        <w:t xml:space="preserve"> </w:t>
      </w:r>
      <w:r w:rsidR="00AD5E68">
        <w:rPr>
          <w:rFonts w:ascii="Arial" w:hAnsi="Arial" w:cs="Arial"/>
          <w:sz w:val="20"/>
          <w:szCs w:val="20"/>
        </w:rPr>
        <w:t>%).</w:t>
      </w:r>
      <w:r w:rsidR="00D037DE">
        <w:rPr>
          <w:rFonts w:ascii="Arial" w:hAnsi="Arial" w:cs="Arial"/>
          <w:sz w:val="20"/>
          <w:szCs w:val="20"/>
        </w:rPr>
        <w:t xml:space="preserve"> Diese Steigerung ist </w:t>
      </w:r>
      <w:r w:rsidR="008E1B63">
        <w:rPr>
          <w:rFonts w:ascii="Arial" w:hAnsi="Arial" w:cs="Arial"/>
          <w:sz w:val="20"/>
          <w:szCs w:val="20"/>
        </w:rPr>
        <w:t xml:space="preserve">in erster Linie auf </w:t>
      </w:r>
      <w:r w:rsidR="008E1B63" w:rsidRPr="008E1B63">
        <w:rPr>
          <w:rFonts w:ascii="Arial" w:hAnsi="Arial" w:cs="Arial"/>
          <w:sz w:val="20"/>
          <w:szCs w:val="20"/>
        </w:rPr>
        <w:t xml:space="preserve">zehn </w:t>
      </w:r>
      <w:r w:rsidR="008E1B63">
        <w:rPr>
          <w:rFonts w:ascii="Arial" w:hAnsi="Arial" w:cs="Arial"/>
          <w:sz w:val="20"/>
          <w:szCs w:val="20"/>
        </w:rPr>
        <w:t xml:space="preserve">großvolumige </w:t>
      </w:r>
      <w:r w:rsidR="008E1B63" w:rsidRPr="008E1B63">
        <w:rPr>
          <w:rFonts w:ascii="Arial" w:hAnsi="Arial" w:cs="Arial"/>
          <w:sz w:val="20"/>
          <w:szCs w:val="20"/>
        </w:rPr>
        <w:t xml:space="preserve">Transaktionen </w:t>
      </w:r>
      <w:r w:rsidR="00032AD4">
        <w:rPr>
          <w:rFonts w:ascii="Arial" w:hAnsi="Arial" w:cs="Arial"/>
          <w:sz w:val="20"/>
          <w:szCs w:val="20"/>
        </w:rPr>
        <w:t>über 100 Mio. € (2019: 6)</w:t>
      </w:r>
      <w:r w:rsidR="008E1B63" w:rsidRPr="008E1B63">
        <w:rPr>
          <w:rFonts w:ascii="Arial" w:hAnsi="Arial" w:cs="Arial"/>
          <w:sz w:val="20"/>
          <w:szCs w:val="20"/>
        </w:rPr>
        <w:t xml:space="preserve"> </w:t>
      </w:r>
      <w:r w:rsidR="00D037DE">
        <w:rPr>
          <w:rFonts w:ascii="Arial" w:hAnsi="Arial" w:cs="Arial"/>
          <w:sz w:val="20"/>
          <w:szCs w:val="20"/>
        </w:rPr>
        <w:t xml:space="preserve">zurückzuführen. </w:t>
      </w:r>
      <w:r>
        <w:rPr>
          <w:rFonts w:ascii="Arial" w:hAnsi="Arial" w:cs="Arial"/>
          <w:sz w:val="20"/>
          <w:szCs w:val="20"/>
        </w:rPr>
        <w:t xml:space="preserve">Düsseldorf erreichte </w:t>
      </w:r>
      <w:r w:rsidR="008E1B63">
        <w:rPr>
          <w:rFonts w:ascii="Arial" w:hAnsi="Arial" w:cs="Arial"/>
          <w:sz w:val="20"/>
          <w:szCs w:val="20"/>
        </w:rPr>
        <w:t xml:space="preserve">ebenfalls einen TAV-Anstieg von </w:t>
      </w:r>
      <w:r>
        <w:rPr>
          <w:rFonts w:ascii="Arial" w:hAnsi="Arial" w:cs="Arial"/>
          <w:sz w:val="20"/>
          <w:szCs w:val="20"/>
        </w:rPr>
        <w:t xml:space="preserve">36 </w:t>
      </w:r>
      <w:r w:rsidR="00287BB2">
        <w:rPr>
          <w:rFonts w:ascii="Arial" w:hAnsi="Arial" w:cs="Arial"/>
          <w:sz w:val="20"/>
          <w:szCs w:val="20"/>
        </w:rPr>
        <w:t>% auf 2</w:t>
      </w:r>
      <w:r w:rsidR="00CB7FFB">
        <w:rPr>
          <w:rFonts w:ascii="Arial" w:hAnsi="Arial" w:cs="Arial"/>
          <w:sz w:val="20"/>
          <w:szCs w:val="20"/>
        </w:rPr>
        <w:t>,28</w:t>
      </w:r>
      <w:r w:rsidR="00287BB2">
        <w:rPr>
          <w:rFonts w:ascii="Arial" w:hAnsi="Arial" w:cs="Arial"/>
          <w:sz w:val="20"/>
          <w:szCs w:val="20"/>
        </w:rPr>
        <w:t xml:space="preserve"> Mrd. €</w:t>
      </w:r>
      <w:r w:rsidR="00D037DE">
        <w:rPr>
          <w:rFonts w:ascii="Arial" w:hAnsi="Arial" w:cs="Arial"/>
          <w:sz w:val="20"/>
          <w:szCs w:val="20"/>
        </w:rPr>
        <w:t xml:space="preserve">, </w:t>
      </w:r>
      <w:r w:rsidR="008E1B63">
        <w:rPr>
          <w:rFonts w:ascii="Arial" w:hAnsi="Arial" w:cs="Arial"/>
          <w:sz w:val="20"/>
          <w:szCs w:val="20"/>
        </w:rPr>
        <w:t xml:space="preserve">der jedoch </w:t>
      </w:r>
      <w:r w:rsidR="008E1B63" w:rsidRPr="00F76358">
        <w:rPr>
          <w:rFonts w:ascii="Arial" w:hAnsi="Arial" w:cs="Arial"/>
          <w:sz w:val="20"/>
          <w:szCs w:val="20"/>
        </w:rPr>
        <w:t xml:space="preserve">vorrangig </w:t>
      </w:r>
      <w:r w:rsidR="00F76358" w:rsidRPr="00F76358">
        <w:rPr>
          <w:rFonts w:ascii="Arial" w:hAnsi="Arial" w:cs="Arial"/>
          <w:sz w:val="20"/>
          <w:szCs w:val="20"/>
        </w:rPr>
        <w:t>im starken Ergebnis des 1. Quartals 2020 begründet liegt</w:t>
      </w:r>
      <w:r w:rsidR="008E1B63" w:rsidRPr="00F76358">
        <w:rPr>
          <w:rFonts w:ascii="Arial" w:hAnsi="Arial" w:cs="Arial"/>
          <w:sz w:val="20"/>
          <w:szCs w:val="20"/>
        </w:rPr>
        <w:t>.</w:t>
      </w:r>
      <w:r w:rsidR="00287BB2" w:rsidRPr="00F76358">
        <w:rPr>
          <w:rFonts w:ascii="Arial" w:hAnsi="Arial" w:cs="Arial"/>
          <w:sz w:val="20"/>
          <w:szCs w:val="20"/>
        </w:rPr>
        <w:t xml:space="preserve"> </w:t>
      </w:r>
      <w:r w:rsidR="00287BB2">
        <w:rPr>
          <w:rFonts w:ascii="Arial" w:hAnsi="Arial" w:cs="Arial"/>
          <w:sz w:val="20"/>
          <w:szCs w:val="20"/>
        </w:rPr>
        <w:t xml:space="preserve">An </w:t>
      </w:r>
      <w:r w:rsidR="00D037DE">
        <w:rPr>
          <w:rFonts w:ascii="Arial" w:hAnsi="Arial" w:cs="Arial"/>
          <w:sz w:val="20"/>
          <w:szCs w:val="20"/>
        </w:rPr>
        <w:lastRenderedPageBreak/>
        <w:t>den übrigen</w:t>
      </w:r>
      <w:r w:rsidR="00287BB2">
        <w:rPr>
          <w:rFonts w:ascii="Arial" w:hAnsi="Arial" w:cs="Arial"/>
          <w:sz w:val="20"/>
          <w:szCs w:val="20"/>
        </w:rPr>
        <w:t xml:space="preserve"> Top-7-Standorten ging das TAV zurück, am deutlichsten in</w:t>
      </w:r>
      <w:r w:rsidR="00255FB3">
        <w:rPr>
          <w:rFonts w:ascii="Arial" w:hAnsi="Arial" w:cs="Arial"/>
          <w:sz w:val="20"/>
          <w:szCs w:val="20"/>
        </w:rPr>
        <w:t xml:space="preserve"> Berlin um </w:t>
      </w:r>
      <w:r w:rsidR="00497BBB">
        <w:rPr>
          <w:rFonts w:ascii="Arial" w:hAnsi="Arial" w:cs="Arial"/>
          <w:sz w:val="20"/>
          <w:szCs w:val="20"/>
        </w:rPr>
        <w:t>42</w:t>
      </w:r>
      <w:r>
        <w:rPr>
          <w:rFonts w:ascii="Arial" w:hAnsi="Arial" w:cs="Arial"/>
          <w:sz w:val="20"/>
          <w:szCs w:val="20"/>
        </w:rPr>
        <w:t xml:space="preserve"> % auf 4,</w:t>
      </w:r>
      <w:r w:rsidR="00497BBB">
        <w:rPr>
          <w:rFonts w:ascii="Arial" w:hAnsi="Arial" w:cs="Arial"/>
          <w:sz w:val="20"/>
          <w:szCs w:val="20"/>
        </w:rPr>
        <w:t>7</w:t>
      </w:r>
      <w:r w:rsidR="00CB7FFB">
        <w:rPr>
          <w:rFonts w:ascii="Arial" w:hAnsi="Arial" w:cs="Arial"/>
          <w:sz w:val="20"/>
          <w:szCs w:val="20"/>
        </w:rPr>
        <w:t>5</w:t>
      </w:r>
      <w:r>
        <w:rPr>
          <w:rFonts w:ascii="Arial" w:hAnsi="Arial" w:cs="Arial"/>
          <w:sz w:val="20"/>
          <w:szCs w:val="20"/>
        </w:rPr>
        <w:t xml:space="preserve"> Mrd</w:t>
      </w:r>
      <w:r w:rsidR="00255FB3">
        <w:rPr>
          <w:rFonts w:ascii="Arial" w:hAnsi="Arial" w:cs="Arial"/>
          <w:sz w:val="20"/>
          <w:szCs w:val="20"/>
        </w:rPr>
        <w:t>.</w:t>
      </w:r>
      <w:r>
        <w:rPr>
          <w:rFonts w:ascii="Arial" w:hAnsi="Arial" w:cs="Arial"/>
          <w:sz w:val="20"/>
          <w:szCs w:val="20"/>
        </w:rPr>
        <w:t xml:space="preserve"> €</w:t>
      </w:r>
      <w:r w:rsidR="00497BBB">
        <w:rPr>
          <w:rFonts w:ascii="Arial" w:hAnsi="Arial" w:cs="Arial"/>
          <w:sz w:val="20"/>
          <w:szCs w:val="20"/>
        </w:rPr>
        <w:t xml:space="preserve">, was insbesondere auf das starke Vorjahresquartal der Bundeshauptstadt zurückzuführen ist. </w:t>
      </w:r>
      <w:r w:rsidR="00497BBB">
        <w:rPr>
          <w:rFonts w:ascii="Arial" w:hAnsi="Arial" w:cs="Arial"/>
          <w:sz w:val="20"/>
          <w:szCs w:val="20"/>
        </w:rPr>
        <w:br/>
        <w:t>35 % des TAV der Top-7-Standorte entfiel</w:t>
      </w:r>
      <w:r w:rsidR="00854409">
        <w:rPr>
          <w:rFonts w:ascii="Arial" w:hAnsi="Arial" w:cs="Arial"/>
          <w:sz w:val="20"/>
          <w:szCs w:val="20"/>
        </w:rPr>
        <w:t>en</w:t>
      </w:r>
      <w:r w:rsidR="00497BBB">
        <w:rPr>
          <w:rFonts w:ascii="Arial" w:hAnsi="Arial" w:cs="Arial"/>
          <w:sz w:val="20"/>
          <w:szCs w:val="20"/>
        </w:rPr>
        <w:t xml:space="preserve"> auf Portfolio-Deals (2019: 21 %).  </w:t>
      </w:r>
    </w:p>
    <w:p w14:paraId="0DDBF4D1" w14:textId="2920A835" w:rsidR="00AD5E68" w:rsidRPr="00497BBB" w:rsidRDefault="001C4E4D" w:rsidP="00487ECE">
      <w:pPr>
        <w:widowControl w:val="0"/>
        <w:spacing w:after="0"/>
        <w:rPr>
          <w:rFonts w:ascii="Arial" w:hAnsi="Arial" w:cs="Arial"/>
          <w:sz w:val="20"/>
          <w:szCs w:val="20"/>
        </w:rPr>
      </w:pPr>
      <w:r>
        <w:rPr>
          <w:rFonts w:ascii="Arial" w:hAnsi="Arial" w:cs="Arial"/>
          <w:sz w:val="20"/>
          <w:szCs w:val="20"/>
        </w:rPr>
        <w:t xml:space="preserve"> </w:t>
      </w:r>
      <w:r w:rsidR="00FF33E5">
        <w:rPr>
          <w:rFonts w:ascii="Arial" w:hAnsi="Arial" w:cs="Arial"/>
          <w:sz w:val="20"/>
          <w:szCs w:val="20"/>
        </w:rPr>
        <w:t xml:space="preserve">  </w:t>
      </w:r>
    </w:p>
    <w:p w14:paraId="252B8945" w14:textId="66016230" w:rsidR="004B42C6" w:rsidRDefault="00287BB2" w:rsidP="00487ECE">
      <w:pPr>
        <w:widowControl w:val="0"/>
        <w:spacing w:after="0"/>
        <w:rPr>
          <w:rFonts w:ascii="Arial" w:hAnsi="Arial" w:cs="Arial"/>
          <w:sz w:val="20"/>
          <w:szCs w:val="20"/>
        </w:rPr>
      </w:pPr>
      <w:r w:rsidRPr="00DF6FF7">
        <w:rPr>
          <w:rFonts w:ascii="Arial" w:hAnsi="Arial" w:cs="Arial"/>
          <w:i/>
          <w:sz w:val="20"/>
          <w:szCs w:val="20"/>
        </w:rPr>
        <w:t>„</w:t>
      </w:r>
      <w:r w:rsidR="00F85FF3" w:rsidRPr="00DF6FF7">
        <w:rPr>
          <w:rFonts w:ascii="Arial" w:hAnsi="Arial" w:cs="Arial"/>
          <w:i/>
          <w:sz w:val="20"/>
          <w:szCs w:val="20"/>
        </w:rPr>
        <w:t xml:space="preserve">Zwar lässt sich </w:t>
      </w:r>
      <w:r w:rsidR="00ED5A7D">
        <w:rPr>
          <w:rFonts w:ascii="Arial" w:hAnsi="Arial" w:cs="Arial"/>
          <w:i/>
          <w:sz w:val="20"/>
          <w:szCs w:val="20"/>
        </w:rPr>
        <w:t xml:space="preserve">an einigen Standorten </w:t>
      </w:r>
      <w:r w:rsidR="00F85FF3" w:rsidRPr="00DF6FF7">
        <w:rPr>
          <w:rFonts w:ascii="Arial" w:hAnsi="Arial" w:cs="Arial"/>
          <w:i/>
          <w:sz w:val="20"/>
          <w:szCs w:val="20"/>
        </w:rPr>
        <w:t>bereits eine le</w:t>
      </w:r>
      <w:r w:rsidR="00061F18" w:rsidRPr="00DF6FF7">
        <w:rPr>
          <w:rFonts w:ascii="Arial" w:hAnsi="Arial" w:cs="Arial"/>
          <w:i/>
          <w:sz w:val="20"/>
          <w:szCs w:val="20"/>
        </w:rPr>
        <w:t>i</w:t>
      </w:r>
      <w:r w:rsidR="00A82305">
        <w:rPr>
          <w:rFonts w:ascii="Arial" w:hAnsi="Arial" w:cs="Arial"/>
          <w:i/>
          <w:sz w:val="20"/>
          <w:szCs w:val="20"/>
        </w:rPr>
        <w:t>chte Marktbelebung feststellen:</w:t>
      </w:r>
      <w:r w:rsidR="00061F18" w:rsidRPr="00DF6FF7">
        <w:rPr>
          <w:rFonts w:ascii="Arial" w:hAnsi="Arial" w:cs="Arial"/>
          <w:i/>
          <w:sz w:val="20"/>
          <w:szCs w:val="20"/>
        </w:rPr>
        <w:t xml:space="preserve"> </w:t>
      </w:r>
      <w:r w:rsidR="00A82305">
        <w:rPr>
          <w:rFonts w:ascii="Arial" w:hAnsi="Arial" w:cs="Arial"/>
          <w:i/>
          <w:sz w:val="20"/>
          <w:szCs w:val="20"/>
        </w:rPr>
        <w:t>A</w:t>
      </w:r>
      <w:r w:rsidR="00F85FF3" w:rsidRPr="00DF6FF7">
        <w:rPr>
          <w:rFonts w:ascii="Arial" w:hAnsi="Arial" w:cs="Arial"/>
          <w:i/>
          <w:sz w:val="20"/>
          <w:szCs w:val="20"/>
        </w:rPr>
        <w:t>n</w:t>
      </w:r>
      <w:r w:rsidR="00061F18" w:rsidRPr="00DF6FF7">
        <w:rPr>
          <w:rFonts w:ascii="Arial" w:hAnsi="Arial" w:cs="Arial"/>
          <w:i/>
          <w:sz w:val="20"/>
          <w:szCs w:val="20"/>
        </w:rPr>
        <w:t xml:space="preserve"> </w:t>
      </w:r>
      <w:r w:rsidR="00F85FF3" w:rsidRPr="00DF6FF7">
        <w:rPr>
          <w:rFonts w:ascii="Arial" w:hAnsi="Arial" w:cs="Arial"/>
          <w:i/>
          <w:sz w:val="20"/>
          <w:szCs w:val="20"/>
        </w:rPr>
        <w:t>den Top-7-Standorten wurden</w:t>
      </w:r>
      <w:r w:rsidR="002947F3">
        <w:rPr>
          <w:rFonts w:ascii="Arial" w:hAnsi="Arial" w:cs="Arial"/>
          <w:i/>
          <w:sz w:val="20"/>
          <w:szCs w:val="20"/>
        </w:rPr>
        <w:t xml:space="preserve"> allein im dritten Quartal 6,</w:t>
      </w:r>
      <w:r w:rsidR="00F374EE">
        <w:rPr>
          <w:rFonts w:ascii="Arial" w:hAnsi="Arial" w:cs="Arial"/>
          <w:i/>
          <w:sz w:val="20"/>
          <w:szCs w:val="20"/>
        </w:rPr>
        <w:t>6</w:t>
      </w:r>
      <w:r w:rsidR="002947F3">
        <w:rPr>
          <w:rFonts w:ascii="Arial" w:hAnsi="Arial" w:cs="Arial"/>
          <w:i/>
          <w:sz w:val="20"/>
          <w:szCs w:val="20"/>
        </w:rPr>
        <w:t xml:space="preserve"> </w:t>
      </w:r>
      <w:r w:rsidR="004F424B">
        <w:rPr>
          <w:rFonts w:ascii="Arial" w:hAnsi="Arial" w:cs="Arial"/>
          <w:i/>
          <w:sz w:val="20"/>
          <w:szCs w:val="20"/>
        </w:rPr>
        <w:t>Milliarden Euro</w:t>
      </w:r>
      <w:r w:rsidR="002947F3">
        <w:rPr>
          <w:rFonts w:ascii="Arial" w:hAnsi="Arial" w:cs="Arial"/>
          <w:i/>
          <w:sz w:val="20"/>
          <w:szCs w:val="20"/>
        </w:rPr>
        <w:t xml:space="preserve"> umgesetzt und damit</w:t>
      </w:r>
      <w:r w:rsidR="00ED5A7D">
        <w:rPr>
          <w:rFonts w:ascii="Arial" w:hAnsi="Arial" w:cs="Arial"/>
          <w:i/>
          <w:sz w:val="20"/>
          <w:szCs w:val="20"/>
        </w:rPr>
        <w:t xml:space="preserve"> </w:t>
      </w:r>
      <w:r w:rsidR="00F85FF3" w:rsidRPr="00DF6FF7">
        <w:rPr>
          <w:rFonts w:ascii="Arial" w:hAnsi="Arial" w:cs="Arial"/>
          <w:i/>
          <w:sz w:val="20"/>
          <w:szCs w:val="20"/>
        </w:rPr>
        <w:t xml:space="preserve">rund </w:t>
      </w:r>
      <w:r w:rsidR="00894D94" w:rsidRPr="00DF6FF7">
        <w:rPr>
          <w:rFonts w:ascii="Arial" w:hAnsi="Arial" w:cs="Arial"/>
          <w:i/>
          <w:sz w:val="20"/>
          <w:szCs w:val="20"/>
        </w:rPr>
        <w:t>1,</w:t>
      </w:r>
      <w:r w:rsidR="00F374EE">
        <w:rPr>
          <w:rFonts w:ascii="Arial" w:hAnsi="Arial" w:cs="Arial"/>
          <w:i/>
          <w:sz w:val="20"/>
          <w:szCs w:val="20"/>
        </w:rPr>
        <w:t>9</w:t>
      </w:r>
      <w:r w:rsidR="00061F18" w:rsidRPr="00DF6FF7">
        <w:rPr>
          <w:rFonts w:ascii="Arial" w:hAnsi="Arial" w:cs="Arial"/>
          <w:i/>
          <w:sz w:val="20"/>
          <w:szCs w:val="20"/>
        </w:rPr>
        <w:t xml:space="preserve"> </w:t>
      </w:r>
      <w:r w:rsidR="00894D94" w:rsidRPr="00DF6FF7">
        <w:rPr>
          <w:rFonts w:ascii="Arial" w:hAnsi="Arial" w:cs="Arial"/>
          <w:i/>
          <w:sz w:val="20"/>
          <w:szCs w:val="20"/>
        </w:rPr>
        <w:t>Milliarden Euro</w:t>
      </w:r>
      <w:r w:rsidR="00061F18" w:rsidRPr="00DF6FF7">
        <w:rPr>
          <w:rFonts w:ascii="Arial" w:hAnsi="Arial" w:cs="Arial"/>
          <w:i/>
          <w:sz w:val="20"/>
          <w:szCs w:val="20"/>
        </w:rPr>
        <w:t xml:space="preserve"> </w:t>
      </w:r>
      <w:r w:rsidR="004F424B">
        <w:rPr>
          <w:rFonts w:ascii="Arial" w:hAnsi="Arial" w:cs="Arial"/>
          <w:i/>
          <w:sz w:val="20"/>
          <w:szCs w:val="20"/>
        </w:rPr>
        <w:t>mehr</w:t>
      </w:r>
      <w:r w:rsidR="002947F3">
        <w:rPr>
          <w:rFonts w:ascii="Arial" w:hAnsi="Arial" w:cs="Arial"/>
          <w:i/>
          <w:sz w:val="20"/>
          <w:szCs w:val="20"/>
        </w:rPr>
        <w:t xml:space="preserve"> als im zweiten Quartal</w:t>
      </w:r>
      <w:r w:rsidR="00DF6FF7" w:rsidRPr="00DF6FF7">
        <w:rPr>
          <w:rFonts w:ascii="Arial" w:hAnsi="Arial" w:cs="Arial"/>
          <w:i/>
          <w:sz w:val="20"/>
          <w:szCs w:val="20"/>
        </w:rPr>
        <w:t xml:space="preserve">. </w:t>
      </w:r>
      <w:r w:rsidR="001C4E4D" w:rsidRPr="00DF6FF7">
        <w:rPr>
          <w:rFonts w:ascii="Arial" w:hAnsi="Arial" w:cs="Arial"/>
          <w:i/>
          <w:sz w:val="20"/>
          <w:szCs w:val="20"/>
        </w:rPr>
        <w:t>E</w:t>
      </w:r>
      <w:r w:rsidRPr="00DF6FF7">
        <w:rPr>
          <w:rFonts w:ascii="Arial" w:hAnsi="Arial" w:cs="Arial"/>
          <w:i/>
          <w:sz w:val="20"/>
          <w:szCs w:val="20"/>
        </w:rPr>
        <w:t xml:space="preserve">ingeschränkte Kontaktmöglichkeiten treffen </w:t>
      </w:r>
      <w:r w:rsidR="00F85FF3" w:rsidRPr="00DF6FF7">
        <w:rPr>
          <w:rFonts w:ascii="Arial" w:hAnsi="Arial" w:cs="Arial"/>
          <w:i/>
          <w:sz w:val="20"/>
          <w:szCs w:val="20"/>
        </w:rPr>
        <w:t xml:space="preserve">jedoch </w:t>
      </w:r>
      <w:r w:rsidRPr="00DF6FF7">
        <w:rPr>
          <w:rFonts w:ascii="Arial" w:hAnsi="Arial" w:cs="Arial"/>
          <w:i/>
          <w:sz w:val="20"/>
          <w:szCs w:val="20"/>
        </w:rPr>
        <w:t xml:space="preserve">auf einen </w:t>
      </w:r>
      <w:r w:rsidR="00F85FF3" w:rsidRPr="00DF6FF7">
        <w:rPr>
          <w:rFonts w:ascii="Arial" w:hAnsi="Arial" w:cs="Arial"/>
          <w:i/>
          <w:sz w:val="20"/>
          <w:szCs w:val="20"/>
        </w:rPr>
        <w:t xml:space="preserve">weiterhin </w:t>
      </w:r>
      <w:r w:rsidRPr="00DF6FF7">
        <w:rPr>
          <w:rFonts w:ascii="Arial" w:hAnsi="Arial" w:cs="Arial"/>
          <w:i/>
          <w:sz w:val="20"/>
          <w:szCs w:val="20"/>
        </w:rPr>
        <w:t>gestiegenen Beratungsbedarf</w:t>
      </w:r>
      <w:r w:rsidR="001C4E4D" w:rsidRPr="00DF6FF7">
        <w:rPr>
          <w:rFonts w:ascii="Arial" w:hAnsi="Arial" w:cs="Arial"/>
          <w:i/>
          <w:sz w:val="20"/>
          <w:szCs w:val="20"/>
        </w:rPr>
        <w:t xml:space="preserve"> seitens der Investoren</w:t>
      </w:r>
      <w:r w:rsidR="00870FCE" w:rsidRPr="00DF6FF7">
        <w:rPr>
          <w:rFonts w:ascii="Arial" w:hAnsi="Arial" w:cs="Arial"/>
          <w:i/>
          <w:sz w:val="20"/>
          <w:szCs w:val="20"/>
        </w:rPr>
        <w:t>. Daher dauern Transaktionsprozesse länger</w:t>
      </w:r>
      <w:r w:rsidR="00032AD4" w:rsidRPr="00DF6FF7">
        <w:rPr>
          <w:rFonts w:ascii="Arial" w:hAnsi="Arial" w:cs="Arial"/>
          <w:i/>
          <w:sz w:val="20"/>
          <w:szCs w:val="20"/>
        </w:rPr>
        <w:t xml:space="preserve"> und kommen </w:t>
      </w:r>
      <w:r w:rsidR="00426634">
        <w:rPr>
          <w:rFonts w:ascii="Arial" w:hAnsi="Arial" w:cs="Arial"/>
          <w:i/>
          <w:sz w:val="20"/>
          <w:szCs w:val="20"/>
        </w:rPr>
        <w:t xml:space="preserve">– wenn überhaupt – </w:t>
      </w:r>
      <w:r w:rsidR="00E65030" w:rsidRPr="00DF6FF7">
        <w:rPr>
          <w:rFonts w:ascii="Arial" w:hAnsi="Arial" w:cs="Arial"/>
          <w:i/>
          <w:sz w:val="20"/>
          <w:szCs w:val="20"/>
        </w:rPr>
        <w:t xml:space="preserve">nur </w:t>
      </w:r>
      <w:r w:rsidR="00F85FF3" w:rsidRPr="00DF6FF7">
        <w:rPr>
          <w:rFonts w:ascii="Arial" w:hAnsi="Arial" w:cs="Arial"/>
          <w:i/>
          <w:sz w:val="20"/>
          <w:szCs w:val="20"/>
        </w:rPr>
        <w:t>mit Verzögerungen</w:t>
      </w:r>
      <w:r w:rsidR="00032AD4" w:rsidRPr="00DF6FF7">
        <w:rPr>
          <w:rFonts w:ascii="Arial" w:hAnsi="Arial" w:cs="Arial"/>
          <w:i/>
          <w:sz w:val="20"/>
          <w:szCs w:val="20"/>
        </w:rPr>
        <w:t xml:space="preserve"> zum Abschluss</w:t>
      </w:r>
      <w:r w:rsidRPr="00DF6FF7">
        <w:rPr>
          <w:rFonts w:ascii="Arial" w:hAnsi="Arial" w:cs="Arial"/>
          <w:i/>
          <w:sz w:val="20"/>
          <w:szCs w:val="20"/>
        </w:rPr>
        <w:t>“</w:t>
      </w:r>
      <w:r w:rsidRPr="00DF6FF7">
        <w:rPr>
          <w:rFonts w:ascii="Arial" w:hAnsi="Arial" w:cs="Arial"/>
          <w:sz w:val="20"/>
          <w:szCs w:val="20"/>
        </w:rPr>
        <w:t xml:space="preserve">, </w:t>
      </w:r>
      <w:r w:rsidR="00255FB3" w:rsidRPr="00DF6FF7">
        <w:rPr>
          <w:rFonts w:ascii="Arial" w:hAnsi="Arial" w:cs="Arial"/>
          <w:sz w:val="20"/>
          <w:szCs w:val="20"/>
        </w:rPr>
        <w:t>beobachtet</w:t>
      </w:r>
      <w:r w:rsidRPr="00DF6FF7">
        <w:rPr>
          <w:rFonts w:ascii="Arial" w:hAnsi="Arial" w:cs="Arial"/>
          <w:sz w:val="20"/>
          <w:szCs w:val="20"/>
        </w:rPr>
        <w:t xml:space="preserve"> </w:t>
      </w:r>
      <w:r w:rsidRPr="00DF6FF7">
        <w:rPr>
          <w:rFonts w:ascii="Arial" w:hAnsi="Arial" w:cs="Arial"/>
          <w:b/>
          <w:sz w:val="20"/>
          <w:szCs w:val="20"/>
        </w:rPr>
        <w:t>GPP-Sprecher Oliver Schön</w:t>
      </w:r>
      <w:r w:rsidR="00F85FF3" w:rsidRPr="00DF6FF7">
        <w:rPr>
          <w:rFonts w:ascii="Arial" w:hAnsi="Arial" w:cs="Arial"/>
          <w:sz w:val="20"/>
          <w:szCs w:val="20"/>
        </w:rPr>
        <w:t>.</w:t>
      </w:r>
    </w:p>
    <w:p w14:paraId="1CC1D6C9" w14:textId="53599849" w:rsidR="00A043D5" w:rsidRDefault="00A043D5" w:rsidP="00487ECE">
      <w:pPr>
        <w:widowControl w:val="0"/>
        <w:spacing w:after="0"/>
        <w:rPr>
          <w:rFonts w:ascii="Arial" w:hAnsi="Arial" w:cs="Arial"/>
          <w:sz w:val="20"/>
          <w:szCs w:val="20"/>
        </w:rPr>
      </w:pPr>
    </w:p>
    <w:p w14:paraId="441E0ACC" w14:textId="11493AC7" w:rsidR="00487ECE" w:rsidRPr="00487ECE" w:rsidRDefault="00F5385D" w:rsidP="00487ECE">
      <w:pPr>
        <w:widowControl w:val="0"/>
        <w:spacing w:after="0"/>
        <w:jc w:val="center"/>
        <w:rPr>
          <w:rFonts w:ascii="Arial" w:hAnsi="Arial" w:cs="Arial"/>
          <w:b/>
          <w:bCs/>
          <w:caps/>
          <w:sz w:val="20"/>
          <w:szCs w:val="20"/>
        </w:rPr>
      </w:pPr>
      <w:r>
        <w:rPr>
          <w:rFonts w:ascii="Arial" w:hAnsi="Arial" w:cs="Arial"/>
          <w:b/>
          <w:bCs/>
          <w:caps/>
          <w:sz w:val="20"/>
          <w:szCs w:val="20"/>
        </w:rPr>
        <w:t xml:space="preserve">RUN AUF </w:t>
      </w:r>
      <w:r w:rsidR="00945BDC">
        <w:rPr>
          <w:rFonts w:ascii="Arial" w:hAnsi="Arial" w:cs="Arial"/>
          <w:b/>
          <w:bCs/>
          <w:caps/>
          <w:sz w:val="20"/>
          <w:szCs w:val="20"/>
        </w:rPr>
        <w:t xml:space="preserve">CORE-Objekte </w:t>
      </w:r>
      <w:r>
        <w:rPr>
          <w:rFonts w:ascii="Arial" w:hAnsi="Arial" w:cs="Arial"/>
          <w:b/>
          <w:bCs/>
          <w:caps/>
          <w:sz w:val="20"/>
          <w:szCs w:val="20"/>
        </w:rPr>
        <w:t>SETZT SICH FORT</w:t>
      </w:r>
      <w:r w:rsidR="00945BDC">
        <w:rPr>
          <w:rFonts w:ascii="Arial" w:hAnsi="Arial" w:cs="Arial"/>
          <w:b/>
          <w:bCs/>
          <w:caps/>
          <w:sz w:val="20"/>
          <w:szCs w:val="20"/>
        </w:rPr>
        <w:t xml:space="preserve"> </w:t>
      </w:r>
    </w:p>
    <w:p w14:paraId="1FB7C3C1" w14:textId="77777777" w:rsidR="006B7430" w:rsidRDefault="006B7430" w:rsidP="00487ECE">
      <w:pPr>
        <w:widowControl w:val="0"/>
        <w:spacing w:after="0"/>
        <w:rPr>
          <w:rFonts w:ascii="Arial" w:hAnsi="Arial" w:cs="Arial"/>
          <w:sz w:val="20"/>
          <w:szCs w:val="20"/>
        </w:rPr>
      </w:pPr>
    </w:p>
    <w:p w14:paraId="54972A9C" w14:textId="1029DF6E" w:rsidR="000F1FCB" w:rsidRDefault="00F86BF2" w:rsidP="00487ECE">
      <w:pPr>
        <w:widowControl w:val="0"/>
        <w:spacing w:after="0"/>
        <w:rPr>
          <w:rFonts w:ascii="Arial" w:hAnsi="Arial" w:cs="Arial"/>
          <w:sz w:val="20"/>
          <w:szCs w:val="20"/>
        </w:rPr>
      </w:pPr>
      <w:r w:rsidRPr="001C4E4D">
        <w:rPr>
          <w:rFonts w:ascii="Arial" w:hAnsi="Arial" w:cs="Arial"/>
          <w:sz w:val="20"/>
          <w:szCs w:val="20"/>
        </w:rPr>
        <w:t xml:space="preserve">Angesichts der wirtschaftlichen Unsicherheiten </w:t>
      </w:r>
      <w:r w:rsidR="00426634">
        <w:rPr>
          <w:rFonts w:ascii="Arial" w:hAnsi="Arial" w:cs="Arial"/>
          <w:sz w:val="20"/>
          <w:szCs w:val="20"/>
        </w:rPr>
        <w:t>ist</w:t>
      </w:r>
      <w:r w:rsidR="00CB7FFB">
        <w:rPr>
          <w:rFonts w:ascii="Arial" w:hAnsi="Arial" w:cs="Arial"/>
          <w:sz w:val="20"/>
          <w:szCs w:val="20"/>
        </w:rPr>
        <w:t xml:space="preserve"> es </w:t>
      </w:r>
      <w:r w:rsidR="00F85FF3">
        <w:rPr>
          <w:rFonts w:ascii="Arial" w:hAnsi="Arial" w:cs="Arial"/>
          <w:sz w:val="20"/>
          <w:szCs w:val="20"/>
        </w:rPr>
        <w:t xml:space="preserve">für Investoren </w:t>
      </w:r>
      <w:r w:rsidR="00CB7FFB">
        <w:rPr>
          <w:rFonts w:ascii="Arial" w:hAnsi="Arial" w:cs="Arial"/>
          <w:sz w:val="20"/>
          <w:szCs w:val="20"/>
        </w:rPr>
        <w:t>zun</w:t>
      </w:r>
      <w:r w:rsidR="00A258C1" w:rsidRPr="001C4E4D">
        <w:rPr>
          <w:rFonts w:ascii="Arial" w:hAnsi="Arial" w:cs="Arial"/>
          <w:sz w:val="20"/>
          <w:szCs w:val="20"/>
        </w:rPr>
        <w:t>ehmend schwieriger, Finanzierungen zu bekommen, insbesondere für risikobehaftete Objekte in B- und C-Lagen.</w:t>
      </w:r>
      <w:r w:rsidR="00093D24">
        <w:rPr>
          <w:rFonts w:ascii="Arial" w:hAnsi="Arial" w:cs="Arial"/>
          <w:sz w:val="20"/>
          <w:szCs w:val="20"/>
        </w:rPr>
        <w:t xml:space="preserve"> </w:t>
      </w:r>
      <w:r w:rsidR="00DF6FF7" w:rsidRPr="00DF6FF7">
        <w:rPr>
          <w:rFonts w:ascii="Arial" w:hAnsi="Arial" w:cs="Arial"/>
          <w:b/>
          <w:sz w:val="20"/>
          <w:szCs w:val="20"/>
        </w:rPr>
        <w:t xml:space="preserve">Oliver </w:t>
      </w:r>
      <w:r w:rsidR="00093D24" w:rsidRPr="00093D24">
        <w:rPr>
          <w:rFonts w:ascii="Arial" w:hAnsi="Arial" w:cs="Arial"/>
          <w:b/>
          <w:sz w:val="20"/>
          <w:szCs w:val="20"/>
        </w:rPr>
        <w:t>Schön</w:t>
      </w:r>
      <w:r w:rsidR="00093D24" w:rsidRPr="00DF6FF7">
        <w:rPr>
          <w:rFonts w:ascii="Arial" w:hAnsi="Arial" w:cs="Arial"/>
          <w:sz w:val="20"/>
          <w:szCs w:val="20"/>
        </w:rPr>
        <w:t>:</w:t>
      </w:r>
      <w:r w:rsidR="00093D24">
        <w:rPr>
          <w:rFonts w:ascii="Arial" w:hAnsi="Arial" w:cs="Arial"/>
          <w:sz w:val="20"/>
          <w:szCs w:val="20"/>
        </w:rPr>
        <w:t xml:space="preserve"> </w:t>
      </w:r>
      <w:r w:rsidR="001C4E4D">
        <w:rPr>
          <w:rFonts w:ascii="Arial" w:hAnsi="Arial" w:cs="Arial"/>
          <w:i/>
          <w:sz w:val="20"/>
          <w:szCs w:val="20"/>
        </w:rPr>
        <w:t>„</w:t>
      </w:r>
      <w:r w:rsidR="00093D24">
        <w:rPr>
          <w:rFonts w:ascii="Arial" w:hAnsi="Arial" w:cs="Arial"/>
          <w:i/>
          <w:sz w:val="20"/>
          <w:szCs w:val="20"/>
        </w:rPr>
        <w:t xml:space="preserve">Core-Objekte sind die Gewinner. </w:t>
      </w:r>
      <w:r>
        <w:rPr>
          <w:rFonts w:ascii="Arial" w:hAnsi="Arial" w:cs="Arial"/>
          <w:i/>
          <w:sz w:val="20"/>
          <w:szCs w:val="20"/>
        </w:rPr>
        <w:t xml:space="preserve">Die Nachfrage </w:t>
      </w:r>
      <w:r w:rsidR="00CB7FFB">
        <w:rPr>
          <w:rFonts w:ascii="Arial" w:hAnsi="Arial" w:cs="Arial"/>
          <w:i/>
          <w:sz w:val="20"/>
          <w:szCs w:val="20"/>
        </w:rPr>
        <w:t xml:space="preserve">der Investoren </w:t>
      </w:r>
      <w:r w:rsidR="00A77166">
        <w:rPr>
          <w:rFonts w:ascii="Arial" w:hAnsi="Arial" w:cs="Arial"/>
          <w:i/>
          <w:sz w:val="20"/>
          <w:szCs w:val="20"/>
        </w:rPr>
        <w:t xml:space="preserve">konzentrierte sich </w:t>
      </w:r>
      <w:r>
        <w:rPr>
          <w:rFonts w:ascii="Arial" w:hAnsi="Arial" w:cs="Arial"/>
          <w:i/>
          <w:sz w:val="20"/>
          <w:szCs w:val="20"/>
        </w:rPr>
        <w:t>a</w:t>
      </w:r>
      <w:r w:rsidR="00A77166">
        <w:rPr>
          <w:rFonts w:ascii="Arial" w:hAnsi="Arial" w:cs="Arial"/>
          <w:i/>
          <w:sz w:val="20"/>
          <w:szCs w:val="20"/>
        </w:rPr>
        <w:t xml:space="preserve">uch im </w:t>
      </w:r>
      <w:r w:rsidR="00A533C8">
        <w:rPr>
          <w:rFonts w:ascii="Arial" w:hAnsi="Arial" w:cs="Arial"/>
          <w:i/>
          <w:sz w:val="20"/>
          <w:szCs w:val="20"/>
        </w:rPr>
        <w:t>dritten</w:t>
      </w:r>
      <w:r w:rsidR="00A77166">
        <w:rPr>
          <w:rFonts w:ascii="Arial" w:hAnsi="Arial" w:cs="Arial"/>
          <w:i/>
          <w:sz w:val="20"/>
          <w:szCs w:val="20"/>
        </w:rPr>
        <w:t xml:space="preserve"> Quartal auf </w:t>
      </w:r>
      <w:r w:rsidR="00093D24">
        <w:rPr>
          <w:rFonts w:ascii="Arial" w:hAnsi="Arial" w:cs="Arial"/>
          <w:i/>
          <w:sz w:val="20"/>
          <w:szCs w:val="20"/>
        </w:rPr>
        <w:t>Top-</w:t>
      </w:r>
      <w:r w:rsidR="00A533C8">
        <w:rPr>
          <w:rFonts w:ascii="Arial" w:hAnsi="Arial" w:cs="Arial"/>
          <w:i/>
          <w:sz w:val="20"/>
          <w:szCs w:val="20"/>
        </w:rPr>
        <w:t>Immobilien</w:t>
      </w:r>
      <w:r w:rsidR="00A77166">
        <w:rPr>
          <w:rFonts w:ascii="Arial" w:hAnsi="Arial" w:cs="Arial"/>
          <w:i/>
          <w:sz w:val="20"/>
          <w:szCs w:val="20"/>
        </w:rPr>
        <w:t xml:space="preserve"> </w:t>
      </w:r>
      <w:r w:rsidR="00CE30C9">
        <w:rPr>
          <w:rFonts w:ascii="Arial" w:hAnsi="Arial" w:cs="Arial"/>
          <w:i/>
          <w:sz w:val="20"/>
          <w:szCs w:val="20"/>
        </w:rPr>
        <w:t>mit</w:t>
      </w:r>
      <w:r w:rsidR="00F67BAE">
        <w:rPr>
          <w:rFonts w:ascii="Arial" w:hAnsi="Arial" w:cs="Arial"/>
          <w:i/>
          <w:sz w:val="20"/>
          <w:szCs w:val="20"/>
        </w:rPr>
        <w:t xml:space="preserve"> </w:t>
      </w:r>
      <w:r w:rsidR="00A77166">
        <w:rPr>
          <w:rFonts w:ascii="Arial" w:hAnsi="Arial" w:cs="Arial"/>
          <w:i/>
          <w:sz w:val="20"/>
          <w:szCs w:val="20"/>
        </w:rPr>
        <w:t>bonitätsstarken Mietern</w:t>
      </w:r>
      <w:r w:rsidR="00CE30C9">
        <w:rPr>
          <w:rFonts w:ascii="Arial" w:hAnsi="Arial" w:cs="Arial"/>
          <w:i/>
          <w:sz w:val="20"/>
          <w:szCs w:val="20"/>
        </w:rPr>
        <w:t xml:space="preserve"> bei langfristigen Verträgen</w:t>
      </w:r>
      <w:r w:rsidR="000C48E3" w:rsidRPr="00CE30C9">
        <w:rPr>
          <w:rFonts w:ascii="Arial" w:hAnsi="Arial" w:cs="Arial"/>
          <w:i/>
          <w:sz w:val="20"/>
          <w:szCs w:val="20"/>
        </w:rPr>
        <w:t>.</w:t>
      </w:r>
      <w:r w:rsidR="00093D24" w:rsidRPr="00CE30C9">
        <w:rPr>
          <w:rFonts w:ascii="Arial" w:hAnsi="Arial" w:cs="Arial"/>
          <w:i/>
          <w:sz w:val="20"/>
          <w:szCs w:val="20"/>
        </w:rPr>
        <w:t>“</w:t>
      </w:r>
      <w:r w:rsidR="0071679E">
        <w:rPr>
          <w:rFonts w:ascii="Arial" w:hAnsi="Arial" w:cs="Arial"/>
          <w:sz w:val="20"/>
          <w:szCs w:val="20"/>
        </w:rPr>
        <w:t xml:space="preserve"> </w:t>
      </w:r>
      <w:r w:rsidR="00CA4D35">
        <w:rPr>
          <w:rFonts w:ascii="Arial" w:hAnsi="Arial" w:cs="Arial"/>
          <w:sz w:val="20"/>
          <w:szCs w:val="20"/>
        </w:rPr>
        <w:t xml:space="preserve">Dies übe </w:t>
      </w:r>
      <w:r w:rsidR="00CA4D35" w:rsidRPr="00ED0267">
        <w:rPr>
          <w:rFonts w:ascii="Arial" w:hAnsi="Arial" w:cs="Arial"/>
          <w:sz w:val="20"/>
          <w:szCs w:val="20"/>
        </w:rPr>
        <w:t xml:space="preserve">zusätzlichen Druck auf die </w:t>
      </w:r>
      <w:r w:rsidR="00CA4D35">
        <w:rPr>
          <w:rFonts w:ascii="Arial" w:hAnsi="Arial" w:cs="Arial"/>
          <w:sz w:val="20"/>
          <w:szCs w:val="20"/>
        </w:rPr>
        <w:t>Top-7-</w:t>
      </w:r>
      <w:r w:rsidR="00E65030">
        <w:rPr>
          <w:rFonts w:ascii="Arial" w:hAnsi="Arial" w:cs="Arial"/>
          <w:sz w:val="20"/>
          <w:szCs w:val="20"/>
        </w:rPr>
        <w:t>Spitzenrenditen</w:t>
      </w:r>
      <w:r w:rsidR="00CA4D35" w:rsidRPr="00ED0267">
        <w:rPr>
          <w:rFonts w:ascii="Arial" w:hAnsi="Arial" w:cs="Arial"/>
          <w:sz w:val="20"/>
          <w:szCs w:val="20"/>
        </w:rPr>
        <w:t xml:space="preserve"> </w:t>
      </w:r>
      <w:r w:rsidR="00CA4D35">
        <w:rPr>
          <w:rFonts w:ascii="Arial" w:hAnsi="Arial" w:cs="Arial"/>
          <w:sz w:val="20"/>
          <w:szCs w:val="20"/>
        </w:rPr>
        <w:t xml:space="preserve">aus, die im 3. Quartal </w:t>
      </w:r>
      <w:r w:rsidR="00B40195">
        <w:rPr>
          <w:rFonts w:ascii="Arial" w:hAnsi="Arial" w:cs="Arial"/>
          <w:sz w:val="20"/>
          <w:szCs w:val="20"/>
        </w:rPr>
        <w:t>insbesondere bei Logistik-Objekten</w:t>
      </w:r>
      <w:r w:rsidR="006C17CE">
        <w:rPr>
          <w:rFonts w:ascii="Arial" w:hAnsi="Arial" w:cs="Arial"/>
          <w:sz w:val="20"/>
          <w:szCs w:val="20"/>
        </w:rPr>
        <w:t xml:space="preserve"> </w:t>
      </w:r>
      <w:r w:rsidR="00B40195">
        <w:rPr>
          <w:rFonts w:ascii="Arial" w:hAnsi="Arial" w:cs="Arial"/>
          <w:sz w:val="20"/>
          <w:szCs w:val="20"/>
        </w:rPr>
        <w:t xml:space="preserve">mit </w:t>
      </w:r>
      <w:r w:rsidR="00A50F1C">
        <w:rPr>
          <w:rFonts w:ascii="Arial" w:hAnsi="Arial" w:cs="Arial"/>
          <w:sz w:val="20"/>
          <w:szCs w:val="20"/>
        </w:rPr>
        <w:t>3,96</w:t>
      </w:r>
      <w:r w:rsidR="00B40195">
        <w:rPr>
          <w:rFonts w:ascii="Arial" w:hAnsi="Arial" w:cs="Arial"/>
          <w:sz w:val="20"/>
          <w:szCs w:val="20"/>
        </w:rPr>
        <w:t xml:space="preserve"> % </w:t>
      </w:r>
      <w:r w:rsidR="00AD0891">
        <w:rPr>
          <w:rFonts w:ascii="Arial" w:hAnsi="Arial" w:cs="Arial"/>
          <w:sz w:val="20"/>
          <w:szCs w:val="20"/>
        </w:rPr>
        <w:t xml:space="preserve">bereits </w:t>
      </w:r>
      <w:r w:rsidR="006C17CE">
        <w:rPr>
          <w:rFonts w:ascii="Arial" w:hAnsi="Arial" w:cs="Arial"/>
          <w:sz w:val="20"/>
          <w:szCs w:val="20"/>
        </w:rPr>
        <w:t xml:space="preserve">unter dem Vorjahresniveau </w:t>
      </w:r>
      <w:r w:rsidR="00B40195">
        <w:rPr>
          <w:rFonts w:ascii="Arial" w:hAnsi="Arial" w:cs="Arial"/>
          <w:sz w:val="20"/>
          <w:szCs w:val="20"/>
        </w:rPr>
        <w:t>(</w:t>
      </w:r>
      <w:r w:rsidR="000A0966">
        <w:rPr>
          <w:rFonts w:ascii="Arial" w:hAnsi="Arial" w:cs="Arial"/>
          <w:sz w:val="20"/>
          <w:szCs w:val="20"/>
        </w:rPr>
        <w:t>2019: 4,25 %)</w:t>
      </w:r>
      <w:r w:rsidR="00B40195">
        <w:rPr>
          <w:rFonts w:ascii="Arial" w:hAnsi="Arial" w:cs="Arial"/>
          <w:sz w:val="20"/>
          <w:szCs w:val="20"/>
        </w:rPr>
        <w:t xml:space="preserve"> </w:t>
      </w:r>
      <w:r w:rsidR="006C17CE">
        <w:rPr>
          <w:rFonts w:ascii="Arial" w:hAnsi="Arial" w:cs="Arial"/>
          <w:sz w:val="20"/>
          <w:szCs w:val="20"/>
        </w:rPr>
        <w:t>lagen</w:t>
      </w:r>
      <w:r w:rsidR="0039350A">
        <w:rPr>
          <w:rFonts w:ascii="Arial" w:hAnsi="Arial" w:cs="Arial"/>
          <w:sz w:val="20"/>
          <w:szCs w:val="20"/>
        </w:rPr>
        <w:t>. M</w:t>
      </w:r>
      <w:r w:rsidR="000C48E3">
        <w:rPr>
          <w:rFonts w:ascii="Arial" w:hAnsi="Arial" w:cs="Arial"/>
          <w:color w:val="000000" w:themeColor="text1"/>
          <w:sz w:val="20"/>
          <w:szCs w:val="20"/>
        </w:rPr>
        <w:t xml:space="preserve">it einem Anteil von </w:t>
      </w:r>
      <w:r w:rsidR="0039350A">
        <w:rPr>
          <w:rFonts w:ascii="Arial" w:hAnsi="Arial" w:cs="Arial"/>
          <w:color w:val="000000" w:themeColor="text1"/>
          <w:sz w:val="20"/>
          <w:szCs w:val="20"/>
        </w:rPr>
        <w:t>6</w:t>
      </w:r>
      <w:r w:rsidR="00854409">
        <w:rPr>
          <w:rFonts w:ascii="Arial" w:hAnsi="Arial" w:cs="Arial"/>
          <w:color w:val="000000" w:themeColor="text1"/>
          <w:sz w:val="20"/>
          <w:szCs w:val="20"/>
        </w:rPr>
        <w:t>0</w:t>
      </w:r>
      <w:r w:rsidR="001A778E">
        <w:rPr>
          <w:rFonts w:ascii="Arial" w:hAnsi="Arial" w:cs="Arial"/>
          <w:color w:val="000000" w:themeColor="text1"/>
          <w:sz w:val="20"/>
          <w:szCs w:val="20"/>
        </w:rPr>
        <w:t> </w:t>
      </w:r>
      <w:r w:rsidR="000C48E3">
        <w:rPr>
          <w:rFonts w:ascii="Arial" w:hAnsi="Arial" w:cs="Arial"/>
          <w:color w:val="000000" w:themeColor="text1"/>
          <w:sz w:val="20"/>
          <w:szCs w:val="20"/>
        </w:rPr>
        <w:t>% am Verkaufsvolumen entfiel d</w:t>
      </w:r>
      <w:r w:rsidR="000C48E3" w:rsidRPr="000C48E3">
        <w:rPr>
          <w:rFonts w:ascii="Arial" w:hAnsi="Arial" w:cs="Arial"/>
          <w:sz w:val="20"/>
          <w:szCs w:val="20"/>
        </w:rPr>
        <w:t xml:space="preserve">er Großteil der </w:t>
      </w:r>
      <w:r w:rsidR="00854409">
        <w:rPr>
          <w:rFonts w:ascii="Arial" w:hAnsi="Arial" w:cs="Arial"/>
          <w:sz w:val="20"/>
          <w:szCs w:val="20"/>
        </w:rPr>
        <w:t>Top-7-</w:t>
      </w:r>
      <w:r w:rsidR="000C48E3" w:rsidRPr="000C48E3">
        <w:rPr>
          <w:rFonts w:ascii="Arial" w:hAnsi="Arial" w:cs="Arial"/>
          <w:sz w:val="20"/>
          <w:szCs w:val="20"/>
        </w:rPr>
        <w:t>Abschlüsse auf Büro</w:t>
      </w:r>
      <w:r w:rsidR="00CE30C9">
        <w:rPr>
          <w:rFonts w:ascii="Arial" w:hAnsi="Arial" w:cs="Arial"/>
          <w:sz w:val="20"/>
          <w:szCs w:val="20"/>
        </w:rPr>
        <w:t>-Objekte</w:t>
      </w:r>
      <w:r w:rsidR="0039350A">
        <w:rPr>
          <w:rFonts w:ascii="Arial" w:hAnsi="Arial" w:cs="Arial"/>
          <w:sz w:val="20"/>
          <w:szCs w:val="20"/>
        </w:rPr>
        <w:t>, während die stark von der Krise betroffene Assetklasse Hotel gemieden wurde (4</w:t>
      </w:r>
      <w:r w:rsidR="006E26A7">
        <w:rPr>
          <w:rFonts w:ascii="Arial" w:hAnsi="Arial" w:cs="Arial"/>
          <w:sz w:val="20"/>
          <w:szCs w:val="20"/>
        </w:rPr>
        <w:t xml:space="preserve"> %).</w:t>
      </w:r>
      <w:r w:rsidR="0039350A">
        <w:rPr>
          <w:rFonts w:ascii="Arial" w:hAnsi="Arial" w:cs="Arial"/>
          <w:sz w:val="20"/>
          <w:szCs w:val="20"/>
        </w:rPr>
        <w:t xml:space="preserve"> </w:t>
      </w:r>
      <w:r w:rsidR="00C11CAD">
        <w:rPr>
          <w:rFonts w:ascii="Arial" w:hAnsi="Arial" w:cs="Arial"/>
          <w:sz w:val="20"/>
          <w:szCs w:val="20"/>
        </w:rPr>
        <w:t>Einzelhandels</w:t>
      </w:r>
      <w:r w:rsidR="00E65030">
        <w:rPr>
          <w:rFonts w:ascii="Arial" w:hAnsi="Arial" w:cs="Arial"/>
          <w:sz w:val="20"/>
          <w:szCs w:val="20"/>
        </w:rPr>
        <w:t>-O</w:t>
      </w:r>
      <w:r w:rsidR="00C11CAD">
        <w:rPr>
          <w:rFonts w:ascii="Arial" w:hAnsi="Arial" w:cs="Arial"/>
          <w:sz w:val="20"/>
          <w:szCs w:val="20"/>
        </w:rPr>
        <w:t xml:space="preserve">bjekte </w:t>
      </w:r>
      <w:r w:rsidR="000A0966">
        <w:rPr>
          <w:rFonts w:ascii="Arial" w:hAnsi="Arial" w:cs="Arial"/>
          <w:sz w:val="20"/>
          <w:szCs w:val="20"/>
        </w:rPr>
        <w:t>steigerten ihren Anteil</w:t>
      </w:r>
      <w:r w:rsidR="00C11CAD">
        <w:rPr>
          <w:rFonts w:ascii="Arial" w:hAnsi="Arial" w:cs="Arial"/>
          <w:sz w:val="20"/>
          <w:szCs w:val="20"/>
        </w:rPr>
        <w:t xml:space="preserve"> trotz Corona-Turbulenzen </w:t>
      </w:r>
      <w:r w:rsidR="000A0966">
        <w:rPr>
          <w:rFonts w:ascii="Arial" w:hAnsi="Arial" w:cs="Arial"/>
          <w:sz w:val="20"/>
          <w:szCs w:val="20"/>
        </w:rPr>
        <w:t>v</w:t>
      </w:r>
      <w:r w:rsidR="00C11CAD">
        <w:rPr>
          <w:rFonts w:ascii="Arial" w:hAnsi="Arial" w:cs="Arial"/>
          <w:sz w:val="20"/>
          <w:szCs w:val="20"/>
        </w:rPr>
        <w:t xml:space="preserve">on </w:t>
      </w:r>
      <w:r w:rsidR="000A0966">
        <w:rPr>
          <w:rFonts w:ascii="Arial" w:hAnsi="Arial" w:cs="Arial"/>
          <w:sz w:val="20"/>
          <w:szCs w:val="20"/>
        </w:rPr>
        <w:t xml:space="preserve">5 auf </w:t>
      </w:r>
      <w:r w:rsidR="00C11CAD">
        <w:rPr>
          <w:rFonts w:ascii="Arial" w:hAnsi="Arial" w:cs="Arial"/>
          <w:sz w:val="20"/>
          <w:szCs w:val="20"/>
        </w:rPr>
        <w:t>9</w:t>
      </w:r>
      <w:r w:rsidR="00854409">
        <w:rPr>
          <w:rFonts w:ascii="Arial" w:hAnsi="Arial" w:cs="Arial"/>
          <w:sz w:val="20"/>
          <w:szCs w:val="20"/>
        </w:rPr>
        <w:t xml:space="preserve"> %. Dieses Ergebnis w</w:t>
      </w:r>
      <w:r w:rsidR="00213674">
        <w:rPr>
          <w:rFonts w:ascii="Arial" w:hAnsi="Arial" w:cs="Arial"/>
          <w:sz w:val="20"/>
          <w:szCs w:val="20"/>
        </w:rPr>
        <w:t xml:space="preserve">ird </w:t>
      </w:r>
      <w:r w:rsidR="00D34C43">
        <w:rPr>
          <w:rFonts w:ascii="Arial" w:hAnsi="Arial" w:cs="Arial"/>
          <w:sz w:val="20"/>
          <w:szCs w:val="20"/>
        </w:rPr>
        <w:t xml:space="preserve">jedoch </w:t>
      </w:r>
      <w:r w:rsidR="00735CE6">
        <w:rPr>
          <w:rFonts w:ascii="Arial" w:hAnsi="Arial" w:cs="Arial"/>
          <w:sz w:val="20"/>
          <w:szCs w:val="20"/>
        </w:rPr>
        <w:t xml:space="preserve">maßgeblich durch die </w:t>
      </w:r>
      <w:r w:rsidR="00AD0891">
        <w:rPr>
          <w:rFonts w:ascii="Arial" w:hAnsi="Arial" w:cs="Arial"/>
          <w:sz w:val="20"/>
          <w:szCs w:val="20"/>
        </w:rPr>
        <w:t xml:space="preserve">großvolumige </w:t>
      </w:r>
      <w:r w:rsidR="00735CE6">
        <w:rPr>
          <w:rFonts w:ascii="Arial" w:hAnsi="Arial" w:cs="Arial"/>
          <w:sz w:val="20"/>
          <w:szCs w:val="20"/>
        </w:rPr>
        <w:t>Veräußerung zweier „Karstadt“-Immobilien in Hamburg getragen.</w:t>
      </w:r>
      <w:r w:rsidR="00213674">
        <w:rPr>
          <w:rFonts w:ascii="Arial" w:hAnsi="Arial" w:cs="Arial"/>
          <w:sz w:val="20"/>
          <w:szCs w:val="20"/>
        </w:rPr>
        <w:t xml:space="preserve"> </w:t>
      </w:r>
      <w:r w:rsidR="00CE30C9">
        <w:rPr>
          <w:rFonts w:ascii="Arial" w:hAnsi="Arial" w:cs="Arial"/>
          <w:sz w:val="20"/>
          <w:szCs w:val="20"/>
        </w:rPr>
        <w:t xml:space="preserve">Ausländische Investoren zeigten sich an den Top-7-Standorten mit einem </w:t>
      </w:r>
      <w:r w:rsidR="00213674">
        <w:rPr>
          <w:rFonts w:ascii="Arial" w:hAnsi="Arial" w:cs="Arial"/>
          <w:sz w:val="20"/>
          <w:szCs w:val="20"/>
        </w:rPr>
        <w:t>Volumena</w:t>
      </w:r>
      <w:r w:rsidR="00CE30C9">
        <w:rPr>
          <w:rFonts w:ascii="Arial" w:hAnsi="Arial" w:cs="Arial"/>
          <w:sz w:val="20"/>
          <w:szCs w:val="20"/>
        </w:rPr>
        <w:t>nteil von 4</w:t>
      </w:r>
      <w:r w:rsidR="00F374EE">
        <w:rPr>
          <w:rFonts w:ascii="Arial" w:hAnsi="Arial" w:cs="Arial"/>
          <w:sz w:val="20"/>
          <w:szCs w:val="20"/>
        </w:rPr>
        <w:t>3</w:t>
      </w:r>
      <w:r w:rsidR="00CE30C9">
        <w:rPr>
          <w:rFonts w:ascii="Arial" w:hAnsi="Arial" w:cs="Arial"/>
          <w:sz w:val="20"/>
          <w:szCs w:val="20"/>
        </w:rPr>
        <w:t xml:space="preserve"> % (2019: 43 %) </w:t>
      </w:r>
      <w:r w:rsidR="00F374EE">
        <w:rPr>
          <w:rFonts w:ascii="Arial" w:hAnsi="Arial" w:cs="Arial"/>
          <w:sz w:val="20"/>
          <w:szCs w:val="20"/>
        </w:rPr>
        <w:t>gleichbleibend</w:t>
      </w:r>
      <w:r w:rsidR="00CE30C9">
        <w:rPr>
          <w:rFonts w:ascii="Arial" w:hAnsi="Arial" w:cs="Arial"/>
          <w:sz w:val="20"/>
          <w:szCs w:val="20"/>
        </w:rPr>
        <w:t xml:space="preserve"> investitionsfreudig, wenngleich </w:t>
      </w:r>
      <w:r w:rsidR="00621821">
        <w:rPr>
          <w:rFonts w:ascii="Arial" w:hAnsi="Arial" w:cs="Arial"/>
          <w:sz w:val="20"/>
          <w:szCs w:val="20"/>
        </w:rPr>
        <w:t>R</w:t>
      </w:r>
      <w:r w:rsidR="00CE30C9">
        <w:rPr>
          <w:rFonts w:ascii="Arial" w:hAnsi="Arial" w:cs="Arial"/>
          <w:sz w:val="20"/>
          <w:szCs w:val="20"/>
        </w:rPr>
        <w:t>eisebeschränkungen</w:t>
      </w:r>
      <w:r w:rsidR="00213674">
        <w:rPr>
          <w:rFonts w:ascii="Arial" w:hAnsi="Arial" w:cs="Arial"/>
          <w:sz w:val="20"/>
          <w:szCs w:val="20"/>
        </w:rPr>
        <w:t xml:space="preserve"> </w:t>
      </w:r>
      <w:r w:rsidR="00621821">
        <w:rPr>
          <w:rFonts w:ascii="Arial" w:hAnsi="Arial" w:cs="Arial"/>
          <w:sz w:val="20"/>
          <w:szCs w:val="20"/>
        </w:rPr>
        <w:t>länderübergreifende Transaktionen</w:t>
      </w:r>
      <w:r w:rsidR="00213674">
        <w:rPr>
          <w:rFonts w:ascii="Arial" w:hAnsi="Arial" w:cs="Arial"/>
          <w:sz w:val="20"/>
          <w:szCs w:val="20"/>
        </w:rPr>
        <w:t xml:space="preserve"> erschwerten.  </w:t>
      </w:r>
    </w:p>
    <w:p w14:paraId="5BB2BD37" w14:textId="657D3C87" w:rsidR="00D6747B" w:rsidRPr="00487ECE" w:rsidRDefault="00D6747B" w:rsidP="00487ECE">
      <w:pPr>
        <w:widowControl w:val="0"/>
        <w:spacing w:after="0"/>
        <w:jc w:val="center"/>
        <w:rPr>
          <w:rFonts w:ascii="Arial" w:hAnsi="Arial" w:cs="Arial"/>
          <w:b/>
          <w:bCs/>
          <w:caps/>
          <w:sz w:val="20"/>
          <w:szCs w:val="20"/>
        </w:rPr>
      </w:pPr>
      <w:r w:rsidRPr="00A279C4">
        <w:rPr>
          <w:rFonts w:ascii="Arial" w:eastAsiaTheme="minorEastAsia" w:hAnsi="Arial" w:cs="Arial"/>
          <w:b/>
          <w:bCs/>
          <w:sz w:val="20"/>
          <w:szCs w:val="20"/>
          <w:lang w:eastAsia="de-DE"/>
        </w:rPr>
        <w:t>PROGNOSE</w:t>
      </w:r>
    </w:p>
    <w:p w14:paraId="0B4A2806" w14:textId="77777777" w:rsidR="00D6747B" w:rsidRDefault="00D6747B" w:rsidP="00487ECE">
      <w:pPr>
        <w:widowControl w:val="0"/>
        <w:spacing w:after="0"/>
        <w:rPr>
          <w:rFonts w:ascii="Arial" w:eastAsiaTheme="minorEastAsia" w:hAnsi="Arial" w:cs="Arial"/>
          <w:sz w:val="20"/>
          <w:szCs w:val="20"/>
          <w:lang w:eastAsia="de-DE"/>
        </w:rPr>
      </w:pPr>
    </w:p>
    <w:bookmarkEnd w:id="1"/>
    <w:bookmarkEnd w:id="3"/>
    <w:p w14:paraId="32FF8DF1" w14:textId="210AE574" w:rsidR="0071679E" w:rsidRDefault="00DF6FF7" w:rsidP="0071679E">
      <w:pPr>
        <w:widowControl w:val="0"/>
        <w:spacing w:after="0"/>
        <w:rPr>
          <w:rFonts w:ascii="Arial" w:hAnsi="Arial" w:cs="Arial"/>
          <w:sz w:val="20"/>
          <w:szCs w:val="20"/>
        </w:rPr>
      </w:pPr>
      <w:r>
        <w:rPr>
          <w:rFonts w:ascii="Arial" w:hAnsi="Arial" w:cs="Arial"/>
          <w:b/>
          <w:bCs/>
          <w:sz w:val="20"/>
          <w:szCs w:val="20"/>
        </w:rPr>
        <w:t xml:space="preserve">Oliver </w:t>
      </w:r>
      <w:r w:rsidR="0071679E" w:rsidRPr="00E90575">
        <w:rPr>
          <w:rFonts w:ascii="Arial" w:hAnsi="Arial" w:cs="Arial"/>
          <w:b/>
          <w:bCs/>
          <w:sz w:val="20"/>
          <w:szCs w:val="20"/>
        </w:rPr>
        <w:t>Schön</w:t>
      </w:r>
      <w:r w:rsidR="0071679E">
        <w:rPr>
          <w:rFonts w:ascii="Arial" w:hAnsi="Arial" w:cs="Arial"/>
          <w:sz w:val="20"/>
          <w:szCs w:val="20"/>
        </w:rPr>
        <w:t xml:space="preserve">: </w:t>
      </w:r>
      <w:r w:rsidR="0071679E" w:rsidRPr="0071679E">
        <w:rPr>
          <w:rFonts w:ascii="Arial" w:hAnsi="Arial" w:cs="Arial"/>
          <w:i/>
          <w:sz w:val="20"/>
          <w:szCs w:val="20"/>
        </w:rPr>
        <w:t>„</w:t>
      </w:r>
      <w:r w:rsidR="00EC2BD1" w:rsidRPr="00EC2BD1">
        <w:rPr>
          <w:rFonts w:ascii="Arial" w:hAnsi="Arial" w:cs="Arial"/>
          <w:i/>
          <w:sz w:val="20"/>
          <w:szCs w:val="20"/>
        </w:rPr>
        <w:t xml:space="preserve">Liquidität sucht Anlage. </w:t>
      </w:r>
      <w:r w:rsidR="00EC2BD1">
        <w:rPr>
          <w:rFonts w:ascii="Arial" w:hAnsi="Arial" w:cs="Arial"/>
          <w:i/>
          <w:sz w:val="20"/>
          <w:szCs w:val="20"/>
        </w:rPr>
        <w:t xml:space="preserve">Der </w:t>
      </w:r>
      <w:r w:rsidR="00A533C8">
        <w:rPr>
          <w:rFonts w:ascii="Arial" w:hAnsi="Arial" w:cs="Arial"/>
          <w:i/>
          <w:sz w:val="20"/>
          <w:szCs w:val="20"/>
        </w:rPr>
        <w:t>Nachholbedarf</w:t>
      </w:r>
      <w:r w:rsidR="00EC2BD1">
        <w:rPr>
          <w:rFonts w:ascii="Arial" w:hAnsi="Arial" w:cs="Arial"/>
          <w:i/>
          <w:sz w:val="20"/>
          <w:szCs w:val="20"/>
        </w:rPr>
        <w:t xml:space="preserve"> der Investoren und das niedrige Zinsniveau dürften den Investmentmarkt an den Top-7-Standorten </w:t>
      </w:r>
      <w:r w:rsidR="0027541D">
        <w:rPr>
          <w:rFonts w:ascii="Arial" w:hAnsi="Arial" w:cs="Arial"/>
          <w:i/>
          <w:sz w:val="20"/>
          <w:szCs w:val="20"/>
        </w:rPr>
        <w:t xml:space="preserve">zum Jahresende </w:t>
      </w:r>
      <w:r w:rsidR="00EC2BD1">
        <w:rPr>
          <w:rFonts w:ascii="Arial" w:hAnsi="Arial" w:cs="Arial"/>
          <w:i/>
          <w:sz w:val="20"/>
          <w:szCs w:val="20"/>
        </w:rPr>
        <w:t xml:space="preserve">deutlich beleben, wobei sich das </w:t>
      </w:r>
      <w:r w:rsidR="00EC2BD1" w:rsidRPr="00EC2BD1">
        <w:rPr>
          <w:rFonts w:ascii="Arial" w:hAnsi="Arial" w:cs="Arial"/>
          <w:i/>
          <w:sz w:val="20"/>
          <w:szCs w:val="20"/>
        </w:rPr>
        <w:t xml:space="preserve">Interesse </w:t>
      </w:r>
      <w:r w:rsidR="00EC2BD1">
        <w:rPr>
          <w:rFonts w:ascii="Arial" w:hAnsi="Arial" w:cs="Arial"/>
          <w:i/>
          <w:sz w:val="20"/>
          <w:szCs w:val="20"/>
        </w:rPr>
        <w:t xml:space="preserve">vorrangig auf </w:t>
      </w:r>
      <w:r w:rsidR="00EC2BD1" w:rsidRPr="00EC2BD1">
        <w:rPr>
          <w:rFonts w:ascii="Arial" w:hAnsi="Arial" w:cs="Arial"/>
          <w:i/>
          <w:sz w:val="20"/>
          <w:szCs w:val="20"/>
        </w:rPr>
        <w:t>risikoarme Objekttypen</w:t>
      </w:r>
      <w:r w:rsidR="00EC2BD1">
        <w:rPr>
          <w:rFonts w:ascii="Arial" w:hAnsi="Arial" w:cs="Arial"/>
          <w:i/>
          <w:sz w:val="20"/>
          <w:szCs w:val="20"/>
        </w:rPr>
        <w:t xml:space="preserve"> beziehen wird.</w:t>
      </w:r>
      <w:r w:rsidR="00255FB3">
        <w:rPr>
          <w:rFonts w:ascii="Arial" w:hAnsi="Arial" w:cs="Arial"/>
          <w:i/>
          <w:sz w:val="20"/>
          <w:szCs w:val="20"/>
        </w:rPr>
        <w:t xml:space="preserve"> </w:t>
      </w:r>
      <w:r w:rsidR="00426634">
        <w:rPr>
          <w:rFonts w:ascii="Arial" w:hAnsi="Arial" w:cs="Arial"/>
          <w:i/>
          <w:sz w:val="20"/>
          <w:szCs w:val="20"/>
        </w:rPr>
        <w:t xml:space="preserve">Die Fantasie für risikoreichere </w:t>
      </w:r>
      <w:r w:rsidR="000753F5">
        <w:rPr>
          <w:rFonts w:ascii="Arial" w:hAnsi="Arial" w:cs="Arial"/>
          <w:i/>
          <w:sz w:val="20"/>
          <w:szCs w:val="20"/>
        </w:rPr>
        <w:t>Assetklassen</w:t>
      </w:r>
      <w:r w:rsidR="00426634">
        <w:rPr>
          <w:rFonts w:ascii="Arial" w:hAnsi="Arial" w:cs="Arial"/>
          <w:i/>
          <w:sz w:val="20"/>
          <w:szCs w:val="20"/>
        </w:rPr>
        <w:t xml:space="preserve"> ist erst einmal verschwunden. </w:t>
      </w:r>
      <w:r w:rsidR="00255FB3">
        <w:rPr>
          <w:rFonts w:ascii="Arial" w:hAnsi="Arial" w:cs="Arial"/>
          <w:i/>
          <w:sz w:val="20"/>
          <w:szCs w:val="20"/>
        </w:rPr>
        <w:t>D</w:t>
      </w:r>
      <w:r w:rsidR="00CA6164">
        <w:rPr>
          <w:rFonts w:ascii="Arial" w:hAnsi="Arial" w:cs="Arial"/>
          <w:i/>
          <w:sz w:val="20"/>
          <w:szCs w:val="20"/>
        </w:rPr>
        <w:t xml:space="preserve">a im Core-Segment </w:t>
      </w:r>
      <w:r w:rsidR="00255FB3">
        <w:rPr>
          <w:rFonts w:ascii="Arial" w:hAnsi="Arial" w:cs="Arial"/>
          <w:i/>
          <w:sz w:val="20"/>
          <w:szCs w:val="20"/>
        </w:rPr>
        <w:t>große Nachfrage</w:t>
      </w:r>
      <w:r w:rsidR="00CA6164">
        <w:rPr>
          <w:rFonts w:ascii="Arial" w:hAnsi="Arial" w:cs="Arial"/>
          <w:i/>
          <w:sz w:val="20"/>
          <w:szCs w:val="20"/>
        </w:rPr>
        <w:t xml:space="preserve"> auf Produktknappheit trifft, </w:t>
      </w:r>
      <w:r w:rsidR="000A0966">
        <w:rPr>
          <w:rFonts w:ascii="Arial" w:hAnsi="Arial" w:cs="Arial"/>
          <w:i/>
          <w:sz w:val="20"/>
          <w:szCs w:val="20"/>
        </w:rPr>
        <w:t>sind hier keine Preisabschläge zu erwarten</w:t>
      </w:r>
      <w:r w:rsidR="00255FB3">
        <w:rPr>
          <w:rFonts w:ascii="Arial" w:hAnsi="Arial" w:cs="Arial"/>
          <w:i/>
          <w:sz w:val="20"/>
          <w:szCs w:val="20"/>
        </w:rPr>
        <w:t>.</w:t>
      </w:r>
      <w:r w:rsidR="0071679E" w:rsidRPr="0071679E">
        <w:rPr>
          <w:rFonts w:ascii="Arial" w:hAnsi="Arial" w:cs="Arial"/>
          <w:i/>
          <w:sz w:val="20"/>
          <w:szCs w:val="20"/>
        </w:rPr>
        <w:t>“</w:t>
      </w:r>
      <w:r w:rsidR="0071679E">
        <w:rPr>
          <w:rFonts w:ascii="Arial" w:hAnsi="Arial" w:cs="Arial"/>
          <w:sz w:val="20"/>
          <w:szCs w:val="20"/>
        </w:rPr>
        <w:t xml:space="preserve"> </w:t>
      </w:r>
      <w:r w:rsidR="00CA6164">
        <w:rPr>
          <w:rFonts w:ascii="Arial" w:hAnsi="Arial" w:cs="Arial"/>
          <w:sz w:val="20"/>
          <w:szCs w:val="20"/>
        </w:rPr>
        <w:br/>
      </w:r>
      <w:r w:rsidR="00CA6164">
        <w:rPr>
          <w:rFonts w:ascii="Arial" w:hAnsi="Arial" w:cs="Arial"/>
          <w:sz w:val="20"/>
          <w:szCs w:val="20"/>
        </w:rPr>
        <w:br/>
      </w:r>
      <w:r w:rsidR="00EC2BD1">
        <w:rPr>
          <w:rFonts w:ascii="Arial" w:hAnsi="Arial" w:cs="Arial"/>
          <w:sz w:val="20"/>
          <w:szCs w:val="20"/>
        </w:rPr>
        <w:t xml:space="preserve">Laut GPP-Prognose wird das Transaktionsvolumen zum </w:t>
      </w:r>
      <w:r w:rsidR="0027541D">
        <w:rPr>
          <w:rFonts w:ascii="Arial" w:hAnsi="Arial" w:cs="Arial"/>
          <w:sz w:val="20"/>
          <w:szCs w:val="20"/>
        </w:rPr>
        <w:t>Ende des 4. Quartals</w:t>
      </w:r>
      <w:r w:rsidR="00EC2BD1">
        <w:rPr>
          <w:rFonts w:ascii="Arial" w:hAnsi="Arial" w:cs="Arial"/>
          <w:sz w:val="20"/>
          <w:szCs w:val="20"/>
        </w:rPr>
        <w:t xml:space="preserve"> bei rund </w:t>
      </w:r>
      <w:r w:rsidR="0039350A">
        <w:rPr>
          <w:rFonts w:ascii="Arial" w:hAnsi="Arial" w:cs="Arial"/>
          <w:sz w:val="20"/>
          <w:szCs w:val="20"/>
        </w:rPr>
        <w:t>27,6</w:t>
      </w:r>
      <w:r w:rsidR="00D65F25">
        <w:rPr>
          <w:rFonts w:ascii="Arial" w:hAnsi="Arial" w:cs="Arial"/>
          <w:sz w:val="20"/>
          <w:szCs w:val="20"/>
        </w:rPr>
        <w:t>0</w:t>
      </w:r>
      <w:r w:rsidR="00EC2BD1">
        <w:rPr>
          <w:rFonts w:ascii="Arial" w:hAnsi="Arial" w:cs="Arial"/>
          <w:sz w:val="20"/>
          <w:szCs w:val="20"/>
        </w:rPr>
        <w:t xml:space="preserve"> Mrd. € liegen </w:t>
      </w:r>
      <w:r w:rsidR="00870FCE">
        <w:rPr>
          <w:rFonts w:ascii="Arial" w:hAnsi="Arial" w:cs="Arial"/>
          <w:sz w:val="20"/>
          <w:szCs w:val="20"/>
        </w:rPr>
        <w:t>–</w:t>
      </w:r>
      <w:r w:rsidR="00EC2BD1">
        <w:rPr>
          <w:rFonts w:ascii="Arial" w:hAnsi="Arial" w:cs="Arial"/>
          <w:sz w:val="20"/>
          <w:szCs w:val="20"/>
        </w:rPr>
        <w:t xml:space="preserve"> </w:t>
      </w:r>
      <w:r w:rsidR="00D65F25">
        <w:rPr>
          <w:rFonts w:ascii="Arial" w:hAnsi="Arial" w:cs="Arial"/>
          <w:sz w:val="20"/>
          <w:szCs w:val="20"/>
        </w:rPr>
        <w:t>deutlich unter dem Fünf</w:t>
      </w:r>
      <w:r w:rsidR="006E26A7">
        <w:rPr>
          <w:rFonts w:ascii="Arial" w:hAnsi="Arial" w:cs="Arial"/>
          <w:sz w:val="20"/>
          <w:szCs w:val="20"/>
        </w:rPr>
        <w:t>-Jahres-Mittel von 33,1</w:t>
      </w:r>
      <w:r w:rsidR="00F2076A">
        <w:rPr>
          <w:rFonts w:ascii="Arial" w:hAnsi="Arial" w:cs="Arial"/>
          <w:sz w:val="20"/>
          <w:szCs w:val="20"/>
        </w:rPr>
        <w:t>2</w:t>
      </w:r>
      <w:r w:rsidR="006E26A7">
        <w:rPr>
          <w:rFonts w:ascii="Arial" w:hAnsi="Arial" w:cs="Arial"/>
          <w:sz w:val="20"/>
          <w:szCs w:val="20"/>
        </w:rPr>
        <w:t xml:space="preserve"> Mrd. €. </w:t>
      </w:r>
      <w:r w:rsidR="0027541D">
        <w:rPr>
          <w:rFonts w:ascii="Arial" w:hAnsi="Arial" w:cs="Arial"/>
          <w:sz w:val="20"/>
          <w:szCs w:val="20"/>
        </w:rPr>
        <w:t xml:space="preserve"> </w:t>
      </w:r>
      <w:r w:rsidR="006A0566">
        <w:rPr>
          <w:rFonts w:ascii="Arial" w:hAnsi="Arial" w:cs="Arial"/>
          <w:sz w:val="20"/>
          <w:szCs w:val="20"/>
        </w:rPr>
        <w:br/>
      </w:r>
    </w:p>
    <w:p w14:paraId="143EE438" w14:textId="36D2CCF0" w:rsidR="006A0566" w:rsidRDefault="006A0566" w:rsidP="006A0566">
      <w:pPr>
        <w:spacing w:after="0" w:line="240" w:lineRule="auto"/>
        <w:jc w:val="both"/>
        <w:rPr>
          <w:rFonts w:ascii="Arial" w:hAnsi="Arial" w:cs="Arial"/>
          <w:b/>
          <w:sz w:val="20"/>
          <w:szCs w:val="20"/>
        </w:rPr>
      </w:pPr>
      <w:r w:rsidRPr="00EE7FCA">
        <w:rPr>
          <w:rFonts w:ascii="Arial" w:hAnsi="Arial" w:cs="Arial"/>
          <w:b/>
          <w:sz w:val="20"/>
          <w:szCs w:val="20"/>
        </w:rPr>
        <w:t>Top</w:t>
      </w:r>
      <w:r>
        <w:rPr>
          <w:rFonts w:ascii="Arial" w:hAnsi="Arial" w:cs="Arial"/>
          <w:b/>
          <w:sz w:val="20"/>
          <w:szCs w:val="20"/>
        </w:rPr>
        <w:t xml:space="preserve"> 10 </w:t>
      </w:r>
      <w:r w:rsidRPr="00EE7FCA">
        <w:rPr>
          <w:rFonts w:ascii="Arial" w:hAnsi="Arial" w:cs="Arial"/>
          <w:b/>
          <w:sz w:val="20"/>
          <w:szCs w:val="20"/>
        </w:rPr>
        <w:t>bekannte Abschlüsse</w:t>
      </w:r>
      <w:r>
        <w:rPr>
          <w:rFonts w:ascii="Arial" w:hAnsi="Arial" w:cs="Arial"/>
          <w:b/>
          <w:sz w:val="20"/>
          <w:szCs w:val="20"/>
        </w:rPr>
        <w:t xml:space="preserve"> | Top-7-Standorte | 1.-</w:t>
      </w:r>
      <w:r w:rsidR="00647DCD">
        <w:rPr>
          <w:rFonts w:ascii="Arial" w:hAnsi="Arial" w:cs="Arial"/>
          <w:b/>
          <w:sz w:val="20"/>
          <w:szCs w:val="20"/>
        </w:rPr>
        <w:t>3</w:t>
      </w:r>
      <w:r>
        <w:rPr>
          <w:rFonts w:ascii="Arial" w:hAnsi="Arial" w:cs="Arial"/>
          <w:b/>
          <w:sz w:val="20"/>
          <w:szCs w:val="20"/>
        </w:rPr>
        <w:t>. Quartal 20</w:t>
      </w:r>
      <w:r w:rsidR="00647DCD">
        <w:rPr>
          <w:rFonts w:ascii="Arial" w:hAnsi="Arial" w:cs="Arial"/>
          <w:b/>
          <w:sz w:val="20"/>
          <w:szCs w:val="20"/>
        </w:rPr>
        <w:t>20</w:t>
      </w:r>
    </w:p>
    <w:tbl>
      <w:tblPr>
        <w:tblStyle w:val="TableGrid1"/>
        <w:tblW w:w="9231" w:type="dxa"/>
        <w:tblLayout w:type="fixed"/>
        <w:tblLook w:val="04A0" w:firstRow="1" w:lastRow="0" w:firstColumn="1" w:lastColumn="0" w:noHBand="0" w:noVBand="1"/>
      </w:tblPr>
      <w:tblGrid>
        <w:gridCol w:w="687"/>
        <w:gridCol w:w="2682"/>
        <w:gridCol w:w="2658"/>
        <w:gridCol w:w="2309"/>
        <w:gridCol w:w="895"/>
      </w:tblGrid>
      <w:tr w:rsidR="006A0566" w:rsidRPr="006F49D0" w14:paraId="39E8140D" w14:textId="77777777" w:rsidTr="00D93985">
        <w:trPr>
          <w:trHeight w:val="552"/>
        </w:trPr>
        <w:tc>
          <w:tcPr>
            <w:tcW w:w="687" w:type="dxa"/>
            <w:shd w:val="clear" w:color="auto" w:fill="auto"/>
            <w:vAlign w:val="center"/>
          </w:tcPr>
          <w:p w14:paraId="4BC5FD6D"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Stadt</w:t>
            </w:r>
          </w:p>
        </w:tc>
        <w:tc>
          <w:tcPr>
            <w:tcW w:w="2682" w:type="dxa"/>
            <w:shd w:val="clear" w:color="auto" w:fill="auto"/>
            <w:vAlign w:val="center"/>
          </w:tcPr>
          <w:p w14:paraId="05982A93"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Projekt/Objekt</w:t>
            </w:r>
          </w:p>
        </w:tc>
        <w:tc>
          <w:tcPr>
            <w:tcW w:w="2658" w:type="dxa"/>
            <w:shd w:val="clear" w:color="auto" w:fill="auto"/>
            <w:vAlign w:val="center"/>
          </w:tcPr>
          <w:p w14:paraId="39A5F310"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Käufer</w:t>
            </w:r>
          </w:p>
        </w:tc>
        <w:tc>
          <w:tcPr>
            <w:tcW w:w="2309" w:type="dxa"/>
            <w:shd w:val="clear" w:color="auto" w:fill="auto"/>
            <w:vAlign w:val="center"/>
          </w:tcPr>
          <w:p w14:paraId="2E6A865A"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Verkäufer</w:t>
            </w:r>
          </w:p>
        </w:tc>
        <w:tc>
          <w:tcPr>
            <w:tcW w:w="895" w:type="dxa"/>
            <w:shd w:val="clear" w:color="auto" w:fill="auto"/>
            <w:vAlign w:val="center"/>
          </w:tcPr>
          <w:p w14:paraId="47B106DB"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KP</w:t>
            </w:r>
            <w:r>
              <w:rPr>
                <w:rFonts w:ascii="Arial" w:hAnsi="Arial" w:cs="Arial"/>
                <w:b/>
                <w:sz w:val="16"/>
                <w:szCs w:val="16"/>
              </w:rPr>
              <w:t>*</w:t>
            </w:r>
          </w:p>
          <w:p w14:paraId="6D60E96E" w14:textId="77777777" w:rsidR="006A0566" w:rsidRPr="006F49D0" w:rsidRDefault="006A0566" w:rsidP="00CB4698">
            <w:pPr>
              <w:widowControl w:val="0"/>
              <w:jc w:val="center"/>
              <w:rPr>
                <w:rFonts w:ascii="Arial" w:hAnsi="Arial" w:cs="Arial"/>
                <w:b/>
                <w:sz w:val="16"/>
                <w:szCs w:val="16"/>
              </w:rPr>
            </w:pPr>
            <w:r w:rsidRPr="006F49D0">
              <w:rPr>
                <w:rFonts w:ascii="Arial" w:hAnsi="Arial" w:cs="Arial"/>
                <w:sz w:val="16"/>
                <w:szCs w:val="16"/>
              </w:rPr>
              <w:t>(ca. Mio. €)</w:t>
            </w:r>
          </w:p>
        </w:tc>
      </w:tr>
      <w:tr w:rsidR="006A0566" w:rsidRPr="00C90B69" w14:paraId="7E130A63" w14:textId="77777777" w:rsidTr="00D93985">
        <w:trPr>
          <w:trHeight w:val="552"/>
        </w:trPr>
        <w:tc>
          <w:tcPr>
            <w:tcW w:w="687" w:type="dxa"/>
            <w:shd w:val="clear" w:color="auto" w:fill="auto"/>
            <w:vAlign w:val="center"/>
          </w:tcPr>
          <w:p w14:paraId="17561091" w14:textId="7464A193" w:rsidR="006A0566" w:rsidRPr="00C90B69" w:rsidRDefault="00D65F25" w:rsidP="00CB4698">
            <w:pPr>
              <w:widowControl w:val="0"/>
              <w:jc w:val="center"/>
              <w:rPr>
                <w:rFonts w:ascii="Arial" w:hAnsi="Arial" w:cs="Arial"/>
                <w:bCs/>
                <w:sz w:val="16"/>
                <w:szCs w:val="16"/>
              </w:rPr>
            </w:pPr>
            <w:r>
              <w:rPr>
                <w:rFonts w:ascii="Arial" w:hAnsi="Arial" w:cs="Arial"/>
                <w:bCs/>
                <w:sz w:val="16"/>
                <w:szCs w:val="16"/>
              </w:rPr>
              <w:t>HAM</w:t>
            </w:r>
          </w:p>
        </w:tc>
        <w:tc>
          <w:tcPr>
            <w:tcW w:w="2682" w:type="dxa"/>
            <w:shd w:val="clear" w:color="auto" w:fill="auto"/>
            <w:vAlign w:val="center"/>
          </w:tcPr>
          <w:p w14:paraId="5BC635FC" w14:textId="77777777" w:rsidR="006A0566" w:rsidRPr="00C90B69" w:rsidRDefault="006A0566" w:rsidP="00CB4698">
            <w:pPr>
              <w:widowControl w:val="0"/>
              <w:jc w:val="center"/>
              <w:rPr>
                <w:rFonts w:ascii="Arial" w:hAnsi="Arial" w:cs="Arial"/>
                <w:bCs/>
                <w:sz w:val="16"/>
                <w:szCs w:val="16"/>
              </w:rPr>
            </w:pPr>
            <w:r w:rsidRPr="00C90B69">
              <w:rPr>
                <w:rFonts w:ascii="Arial" w:hAnsi="Arial" w:cs="Arial"/>
                <w:bCs/>
                <w:sz w:val="16"/>
                <w:szCs w:val="16"/>
              </w:rPr>
              <w:t>„</w:t>
            </w:r>
            <w:r>
              <w:rPr>
                <w:rFonts w:ascii="Arial" w:hAnsi="Arial" w:cs="Arial"/>
                <w:bCs/>
                <w:sz w:val="16"/>
                <w:szCs w:val="16"/>
              </w:rPr>
              <w:t>Johann Kontor</w:t>
            </w:r>
            <w:r w:rsidRPr="00C90B69">
              <w:rPr>
                <w:rFonts w:ascii="Arial" w:hAnsi="Arial" w:cs="Arial"/>
                <w:bCs/>
                <w:sz w:val="16"/>
                <w:szCs w:val="16"/>
              </w:rPr>
              <w:t xml:space="preserve">“, </w:t>
            </w:r>
            <w:r>
              <w:rPr>
                <w:rFonts w:ascii="Arial" w:hAnsi="Arial" w:cs="Arial"/>
                <w:bCs/>
                <w:sz w:val="16"/>
                <w:szCs w:val="16"/>
              </w:rPr>
              <w:t>Klosterwall 6-8</w:t>
            </w:r>
          </w:p>
        </w:tc>
        <w:tc>
          <w:tcPr>
            <w:tcW w:w="2658" w:type="dxa"/>
            <w:shd w:val="clear" w:color="auto" w:fill="auto"/>
            <w:vAlign w:val="center"/>
          </w:tcPr>
          <w:p w14:paraId="5E11DDEF" w14:textId="77777777" w:rsidR="006A0566" w:rsidRPr="0089570C" w:rsidRDefault="006A0566" w:rsidP="00CB4698">
            <w:pPr>
              <w:widowControl w:val="0"/>
              <w:jc w:val="center"/>
              <w:rPr>
                <w:rFonts w:ascii="Arial" w:hAnsi="Arial" w:cs="Arial"/>
                <w:bCs/>
                <w:sz w:val="16"/>
                <w:szCs w:val="16"/>
                <w:lang w:val="en-GB"/>
              </w:rPr>
            </w:pPr>
            <w:r w:rsidRPr="0089570C">
              <w:rPr>
                <w:rFonts w:ascii="Arial" w:hAnsi="Arial" w:cs="Arial"/>
                <w:bCs/>
                <w:sz w:val="16"/>
                <w:szCs w:val="16"/>
                <w:lang w:val="en-GB"/>
              </w:rPr>
              <w:t>Captiva/</w:t>
            </w:r>
            <w:proofErr w:type="spellStart"/>
            <w:r w:rsidRPr="0089570C">
              <w:rPr>
                <w:rFonts w:ascii="Arial" w:hAnsi="Arial" w:cs="Arial"/>
                <w:bCs/>
                <w:sz w:val="16"/>
                <w:szCs w:val="16"/>
                <w:lang w:val="en-GB"/>
              </w:rPr>
              <w:t>HanseMerkur</w:t>
            </w:r>
            <w:proofErr w:type="spellEnd"/>
            <w:r w:rsidRPr="0089570C">
              <w:rPr>
                <w:rFonts w:ascii="Arial" w:hAnsi="Arial" w:cs="Arial"/>
                <w:bCs/>
                <w:sz w:val="16"/>
                <w:szCs w:val="16"/>
                <w:lang w:val="en-GB"/>
              </w:rPr>
              <w:t xml:space="preserve">/Aug. </w:t>
            </w:r>
            <w:proofErr w:type="spellStart"/>
            <w:r w:rsidRPr="0089570C">
              <w:rPr>
                <w:rFonts w:ascii="Arial" w:hAnsi="Arial" w:cs="Arial"/>
                <w:bCs/>
                <w:sz w:val="16"/>
                <w:szCs w:val="16"/>
                <w:lang w:val="en-GB"/>
              </w:rPr>
              <w:t>Prien</w:t>
            </w:r>
            <w:proofErr w:type="spellEnd"/>
            <w:r w:rsidRPr="0089570C">
              <w:rPr>
                <w:rFonts w:ascii="Arial" w:hAnsi="Arial" w:cs="Arial"/>
                <w:bCs/>
                <w:sz w:val="16"/>
                <w:szCs w:val="16"/>
                <w:lang w:val="en-GB"/>
              </w:rPr>
              <w:t xml:space="preserve"> Family Office</w:t>
            </w:r>
          </w:p>
        </w:tc>
        <w:tc>
          <w:tcPr>
            <w:tcW w:w="2309" w:type="dxa"/>
            <w:shd w:val="clear" w:color="auto" w:fill="auto"/>
            <w:vAlign w:val="center"/>
          </w:tcPr>
          <w:p w14:paraId="6E7C0E69" w14:textId="77777777" w:rsidR="006A0566" w:rsidRPr="00C90B69" w:rsidRDefault="006A0566" w:rsidP="00CB4698">
            <w:pPr>
              <w:widowControl w:val="0"/>
              <w:jc w:val="center"/>
              <w:rPr>
                <w:rFonts w:ascii="Arial" w:hAnsi="Arial" w:cs="Arial"/>
                <w:bCs/>
                <w:sz w:val="16"/>
                <w:szCs w:val="16"/>
              </w:rPr>
            </w:pPr>
            <w:r>
              <w:rPr>
                <w:rFonts w:ascii="Arial" w:hAnsi="Arial" w:cs="Arial"/>
                <w:bCs/>
                <w:sz w:val="16"/>
                <w:szCs w:val="16"/>
              </w:rPr>
              <w:t>Aug. Prien</w:t>
            </w:r>
          </w:p>
        </w:tc>
        <w:tc>
          <w:tcPr>
            <w:tcW w:w="895" w:type="dxa"/>
            <w:shd w:val="clear" w:color="auto" w:fill="auto"/>
            <w:vAlign w:val="center"/>
          </w:tcPr>
          <w:p w14:paraId="2841C443" w14:textId="77777777" w:rsidR="006A0566" w:rsidRPr="00C90B69" w:rsidRDefault="006A0566" w:rsidP="00CB4698">
            <w:pPr>
              <w:widowControl w:val="0"/>
              <w:jc w:val="center"/>
              <w:rPr>
                <w:rFonts w:ascii="Arial" w:hAnsi="Arial" w:cs="Arial"/>
                <w:bCs/>
                <w:sz w:val="16"/>
                <w:szCs w:val="16"/>
              </w:rPr>
            </w:pPr>
            <w:r>
              <w:rPr>
                <w:rFonts w:ascii="Arial" w:hAnsi="Arial" w:cs="Arial"/>
                <w:bCs/>
                <w:sz w:val="16"/>
                <w:szCs w:val="16"/>
              </w:rPr>
              <w:t>&gt;300</w:t>
            </w:r>
          </w:p>
        </w:tc>
      </w:tr>
      <w:tr w:rsidR="009C1812" w:rsidRPr="00C90B69" w14:paraId="6847279F" w14:textId="77777777" w:rsidTr="00D93985">
        <w:trPr>
          <w:trHeight w:val="552"/>
        </w:trPr>
        <w:tc>
          <w:tcPr>
            <w:tcW w:w="687" w:type="dxa"/>
            <w:shd w:val="clear" w:color="auto" w:fill="D9D9D9" w:themeFill="background1" w:themeFillShade="D9"/>
            <w:vAlign w:val="center"/>
          </w:tcPr>
          <w:p w14:paraId="0E52DE7F" w14:textId="5602DE65" w:rsidR="009C1812" w:rsidRDefault="00D65F25" w:rsidP="00CB4698">
            <w:pPr>
              <w:widowControl w:val="0"/>
              <w:jc w:val="center"/>
              <w:rPr>
                <w:rFonts w:ascii="Arial" w:hAnsi="Arial" w:cs="Arial"/>
                <w:bCs/>
                <w:sz w:val="16"/>
                <w:szCs w:val="16"/>
              </w:rPr>
            </w:pPr>
            <w:r>
              <w:rPr>
                <w:rFonts w:ascii="Arial" w:hAnsi="Arial" w:cs="Arial"/>
                <w:bCs/>
                <w:sz w:val="16"/>
                <w:szCs w:val="16"/>
              </w:rPr>
              <w:lastRenderedPageBreak/>
              <w:t>HAM</w:t>
            </w:r>
          </w:p>
        </w:tc>
        <w:tc>
          <w:tcPr>
            <w:tcW w:w="2682" w:type="dxa"/>
            <w:shd w:val="clear" w:color="auto" w:fill="D9D9D9" w:themeFill="background1" w:themeFillShade="D9"/>
            <w:vAlign w:val="center"/>
          </w:tcPr>
          <w:p w14:paraId="28DE483C" w14:textId="77777777" w:rsidR="009C1812" w:rsidRPr="009C1812" w:rsidRDefault="009C1812" w:rsidP="009C1812">
            <w:pPr>
              <w:widowControl w:val="0"/>
              <w:jc w:val="center"/>
              <w:rPr>
                <w:rFonts w:ascii="Arial" w:hAnsi="Arial" w:cs="Arial"/>
                <w:bCs/>
                <w:sz w:val="16"/>
                <w:szCs w:val="16"/>
              </w:rPr>
            </w:pPr>
            <w:r w:rsidRPr="009C1812">
              <w:rPr>
                <w:rFonts w:ascii="Arial" w:hAnsi="Arial" w:cs="Arial"/>
                <w:bCs/>
                <w:sz w:val="16"/>
                <w:szCs w:val="16"/>
              </w:rPr>
              <w:t>„Gruner + Jahr-Verlagshaus“,</w:t>
            </w:r>
          </w:p>
          <w:p w14:paraId="1C2E7133" w14:textId="7285DE84" w:rsidR="009C1812" w:rsidRDefault="009C1812" w:rsidP="009C1812">
            <w:pPr>
              <w:widowControl w:val="0"/>
              <w:jc w:val="center"/>
              <w:rPr>
                <w:rFonts w:ascii="Arial" w:hAnsi="Arial" w:cs="Arial"/>
                <w:bCs/>
                <w:sz w:val="16"/>
                <w:szCs w:val="16"/>
              </w:rPr>
            </w:pPr>
            <w:r w:rsidRPr="009C1812">
              <w:rPr>
                <w:rFonts w:ascii="Arial" w:hAnsi="Arial" w:cs="Arial"/>
                <w:bCs/>
                <w:sz w:val="16"/>
                <w:szCs w:val="16"/>
              </w:rPr>
              <w:t>Am Baumwall 11</w:t>
            </w:r>
          </w:p>
        </w:tc>
        <w:tc>
          <w:tcPr>
            <w:tcW w:w="2658" w:type="dxa"/>
            <w:shd w:val="clear" w:color="auto" w:fill="D9D9D9" w:themeFill="background1" w:themeFillShade="D9"/>
            <w:vAlign w:val="center"/>
          </w:tcPr>
          <w:p w14:paraId="3CB97ACF" w14:textId="12820EEF" w:rsidR="009C1812" w:rsidRDefault="009C1812" w:rsidP="00CB4698">
            <w:pPr>
              <w:widowControl w:val="0"/>
              <w:jc w:val="center"/>
              <w:rPr>
                <w:rFonts w:ascii="Arial" w:hAnsi="Arial" w:cs="Arial"/>
                <w:bCs/>
                <w:sz w:val="16"/>
                <w:szCs w:val="16"/>
              </w:rPr>
            </w:pPr>
            <w:proofErr w:type="spellStart"/>
            <w:r w:rsidRPr="00D93985">
              <w:rPr>
                <w:rFonts w:ascii="Arial" w:hAnsi="Arial" w:cs="Arial"/>
                <w:bCs/>
                <w:sz w:val="16"/>
                <w:szCs w:val="16"/>
              </w:rPr>
              <w:t>Tishman</w:t>
            </w:r>
            <w:proofErr w:type="spellEnd"/>
            <w:r w:rsidRPr="00D93985">
              <w:rPr>
                <w:rFonts w:ascii="Arial" w:hAnsi="Arial" w:cs="Arial"/>
                <w:bCs/>
                <w:sz w:val="16"/>
                <w:szCs w:val="16"/>
              </w:rPr>
              <w:t xml:space="preserve"> Speyer</w:t>
            </w:r>
          </w:p>
        </w:tc>
        <w:tc>
          <w:tcPr>
            <w:tcW w:w="2309" w:type="dxa"/>
            <w:shd w:val="clear" w:color="auto" w:fill="D9D9D9" w:themeFill="background1" w:themeFillShade="D9"/>
            <w:vAlign w:val="center"/>
          </w:tcPr>
          <w:p w14:paraId="32A92367" w14:textId="66323443" w:rsidR="009C1812" w:rsidRDefault="009C1812" w:rsidP="00CB4698">
            <w:pPr>
              <w:widowControl w:val="0"/>
              <w:jc w:val="center"/>
              <w:rPr>
                <w:rFonts w:ascii="Arial" w:hAnsi="Arial" w:cs="Arial"/>
                <w:bCs/>
                <w:sz w:val="16"/>
                <w:szCs w:val="16"/>
              </w:rPr>
            </w:pPr>
            <w:r w:rsidRPr="00D93985">
              <w:rPr>
                <w:rFonts w:ascii="Arial" w:hAnsi="Arial" w:cs="Arial"/>
                <w:bCs/>
                <w:sz w:val="16"/>
                <w:szCs w:val="16"/>
              </w:rPr>
              <w:t>Gruner + Jahr</w:t>
            </w:r>
          </w:p>
        </w:tc>
        <w:tc>
          <w:tcPr>
            <w:tcW w:w="895" w:type="dxa"/>
            <w:shd w:val="clear" w:color="auto" w:fill="D9D9D9" w:themeFill="background1" w:themeFillShade="D9"/>
            <w:vAlign w:val="center"/>
          </w:tcPr>
          <w:p w14:paraId="1DBFF5D8" w14:textId="0F662F58" w:rsidR="009C1812" w:rsidRDefault="009C1812" w:rsidP="00CB4698">
            <w:pPr>
              <w:widowControl w:val="0"/>
              <w:jc w:val="center"/>
              <w:rPr>
                <w:rFonts w:ascii="Arial" w:hAnsi="Arial" w:cs="Arial"/>
                <w:bCs/>
                <w:sz w:val="16"/>
                <w:szCs w:val="16"/>
              </w:rPr>
            </w:pPr>
            <w:r w:rsidRPr="00D93985">
              <w:rPr>
                <w:rFonts w:ascii="Arial" w:hAnsi="Arial" w:cs="Arial"/>
                <w:bCs/>
                <w:sz w:val="16"/>
                <w:szCs w:val="16"/>
              </w:rPr>
              <w:t>300</w:t>
            </w:r>
          </w:p>
        </w:tc>
      </w:tr>
      <w:tr w:rsidR="00766B7C" w:rsidRPr="00C90B69" w14:paraId="514EB9BF" w14:textId="77777777" w:rsidTr="00766B7C">
        <w:trPr>
          <w:trHeight w:val="552"/>
        </w:trPr>
        <w:tc>
          <w:tcPr>
            <w:tcW w:w="687" w:type="dxa"/>
            <w:shd w:val="clear" w:color="auto" w:fill="D9D9D9" w:themeFill="background1" w:themeFillShade="D9"/>
            <w:vAlign w:val="center"/>
          </w:tcPr>
          <w:p w14:paraId="07286BA8" w14:textId="3CB91980" w:rsidR="00766B7C" w:rsidRDefault="00766B7C" w:rsidP="00CB4698">
            <w:pPr>
              <w:widowControl w:val="0"/>
              <w:jc w:val="center"/>
              <w:rPr>
                <w:rFonts w:ascii="Arial" w:hAnsi="Arial" w:cs="Arial"/>
                <w:bCs/>
                <w:sz w:val="16"/>
                <w:szCs w:val="16"/>
              </w:rPr>
            </w:pPr>
            <w:r>
              <w:rPr>
                <w:rFonts w:ascii="Arial" w:hAnsi="Arial" w:cs="Arial"/>
                <w:bCs/>
                <w:sz w:val="16"/>
                <w:szCs w:val="16"/>
              </w:rPr>
              <w:t>MUC</w:t>
            </w:r>
          </w:p>
        </w:tc>
        <w:tc>
          <w:tcPr>
            <w:tcW w:w="2682" w:type="dxa"/>
            <w:shd w:val="clear" w:color="auto" w:fill="D9D9D9" w:themeFill="background1" w:themeFillShade="D9"/>
            <w:vAlign w:val="center"/>
          </w:tcPr>
          <w:p w14:paraId="34B6D024" w14:textId="2FF9DF2B" w:rsidR="00766B7C" w:rsidRDefault="00766B7C" w:rsidP="00D93985">
            <w:pPr>
              <w:widowControl w:val="0"/>
              <w:jc w:val="center"/>
              <w:rPr>
                <w:rFonts w:ascii="Arial" w:hAnsi="Arial" w:cs="Arial"/>
                <w:bCs/>
                <w:sz w:val="16"/>
                <w:szCs w:val="16"/>
              </w:rPr>
            </w:pPr>
            <w:r w:rsidRPr="00766B7C">
              <w:rPr>
                <w:rFonts w:ascii="Arial" w:hAnsi="Arial" w:cs="Arial"/>
                <w:bCs/>
                <w:sz w:val="16"/>
                <w:szCs w:val="16"/>
              </w:rPr>
              <w:t>"Weißes Quartier", St.-Martin-Straße</w:t>
            </w:r>
          </w:p>
        </w:tc>
        <w:tc>
          <w:tcPr>
            <w:tcW w:w="2658" w:type="dxa"/>
            <w:shd w:val="clear" w:color="auto" w:fill="D9D9D9" w:themeFill="background1" w:themeFillShade="D9"/>
            <w:vAlign w:val="center"/>
          </w:tcPr>
          <w:p w14:paraId="645BD330" w14:textId="43C58B85" w:rsidR="00766B7C" w:rsidRDefault="00766B7C" w:rsidP="00D93985">
            <w:pPr>
              <w:widowControl w:val="0"/>
              <w:jc w:val="center"/>
              <w:rPr>
                <w:rFonts w:ascii="Arial" w:hAnsi="Arial" w:cs="Arial"/>
                <w:bCs/>
                <w:sz w:val="16"/>
                <w:szCs w:val="16"/>
              </w:rPr>
            </w:pPr>
            <w:r w:rsidRPr="00766B7C">
              <w:rPr>
                <w:rFonts w:ascii="Arial" w:hAnsi="Arial" w:cs="Arial"/>
                <w:bCs/>
                <w:sz w:val="16"/>
                <w:szCs w:val="16"/>
              </w:rPr>
              <w:t>Deka</w:t>
            </w:r>
            <w:r w:rsidR="00726738">
              <w:rPr>
                <w:rFonts w:ascii="Arial" w:hAnsi="Arial" w:cs="Arial"/>
                <w:bCs/>
                <w:sz w:val="16"/>
                <w:szCs w:val="16"/>
              </w:rPr>
              <w:t xml:space="preserve"> Immobilien</w:t>
            </w:r>
          </w:p>
        </w:tc>
        <w:tc>
          <w:tcPr>
            <w:tcW w:w="2309" w:type="dxa"/>
            <w:shd w:val="clear" w:color="auto" w:fill="D9D9D9" w:themeFill="background1" w:themeFillShade="D9"/>
            <w:vAlign w:val="center"/>
          </w:tcPr>
          <w:p w14:paraId="31C1B7AC" w14:textId="6799BC40" w:rsidR="00766B7C" w:rsidRDefault="00766B7C" w:rsidP="00D93985">
            <w:pPr>
              <w:widowControl w:val="0"/>
              <w:jc w:val="center"/>
              <w:rPr>
                <w:rFonts w:ascii="Arial" w:hAnsi="Arial" w:cs="Arial"/>
                <w:bCs/>
                <w:sz w:val="16"/>
                <w:szCs w:val="16"/>
              </w:rPr>
            </w:pPr>
            <w:proofErr w:type="spellStart"/>
            <w:r w:rsidRPr="00766B7C">
              <w:rPr>
                <w:rFonts w:ascii="Arial" w:hAnsi="Arial" w:cs="Arial"/>
                <w:bCs/>
                <w:sz w:val="16"/>
                <w:szCs w:val="16"/>
              </w:rPr>
              <w:t>InfraRed</w:t>
            </w:r>
            <w:proofErr w:type="spellEnd"/>
            <w:r w:rsidRPr="00766B7C">
              <w:rPr>
                <w:rFonts w:ascii="Arial" w:hAnsi="Arial" w:cs="Arial"/>
                <w:bCs/>
                <w:sz w:val="16"/>
                <w:szCs w:val="16"/>
              </w:rPr>
              <w:t xml:space="preserve"> Capital Partners, Allgemeine </w:t>
            </w:r>
            <w:proofErr w:type="spellStart"/>
            <w:r w:rsidRPr="00766B7C">
              <w:rPr>
                <w:rFonts w:ascii="Arial" w:hAnsi="Arial" w:cs="Arial"/>
                <w:bCs/>
                <w:sz w:val="16"/>
                <w:szCs w:val="16"/>
              </w:rPr>
              <w:t>Südboden</w:t>
            </w:r>
            <w:proofErr w:type="spellEnd"/>
          </w:p>
        </w:tc>
        <w:tc>
          <w:tcPr>
            <w:tcW w:w="895" w:type="dxa"/>
            <w:shd w:val="clear" w:color="auto" w:fill="D9D9D9" w:themeFill="background1" w:themeFillShade="D9"/>
            <w:vAlign w:val="center"/>
          </w:tcPr>
          <w:p w14:paraId="6FB01627" w14:textId="169553D9" w:rsidR="00766B7C" w:rsidRDefault="00766B7C" w:rsidP="00D93985">
            <w:pPr>
              <w:widowControl w:val="0"/>
              <w:jc w:val="center"/>
              <w:rPr>
                <w:rFonts w:ascii="Arial" w:hAnsi="Arial" w:cs="Arial"/>
                <w:bCs/>
                <w:sz w:val="16"/>
                <w:szCs w:val="16"/>
              </w:rPr>
            </w:pPr>
            <w:r>
              <w:rPr>
                <w:rFonts w:ascii="Arial" w:hAnsi="Arial" w:cs="Arial"/>
                <w:bCs/>
                <w:sz w:val="16"/>
                <w:szCs w:val="16"/>
              </w:rPr>
              <w:t>280</w:t>
            </w:r>
          </w:p>
        </w:tc>
      </w:tr>
      <w:tr w:rsidR="006A0566" w:rsidRPr="00C90B69" w14:paraId="4D9636ED" w14:textId="77777777" w:rsidTr="00D93985">
        <w:trPr>
          <w:trHeight w:val="552"/>
        </w:trPr>
        <w:tc>
          <w:tcPr>
            <w:tcW w:w="687" w:type="dxa"/>
            <w:shd w:val="clear" w:color="auto" w:fill="auto"/>
            <w:vAlign w:val="center"/>
          </w:tcPr>
          <w:p w14:paraId="3B82862E" w14:textId="081BD566" w:rsidR="006A0566" w:rsidRDefault="009C1812" w:rsidP="00CB4698">
            <w:pPr>
              <w:widowControl w:val="0"/>
              <w:jc w:val="center"/>
              <w:rPr>
                <w:rFonts w:ascii="Arial" w:hAnsi="Arial" w:cs="Arial"/>
                <w:bCs/>
                <w:sz w:val="16"/>
                <w:szCs w:val="16"/>
              </w:rPr>
            </w:pPr>
            <w:r>
              <w:rPr>
                <w:rFonts w:ascii="Arial" w:hAnsi="Arial" w:cs="Arial"/>
                <w:bCs/>
                <w:sz w:val="16"/>
                <w:szCs w:val="16"/>
              </w:rPr>
              <w:t>DUS</w:t>
            </w:r>
          </w:p>
        </w:tc>
        <w:tc>
          <w:tcPr>
            <w:tcW w:w="2682" w:type="dxa"/>
            <w:shd w:val="clear" w:color="auto" w:fill="auto"/>
            <w:vAlign w:val="center"/>
          </w:tcPr>
          <w:p w14:paraId="19626343" w14:textId="77777777" w:rsidR="006A0566" w:rsidRPr="00C90B69" w:rsidRDefault="006A0566" w:rsidP="00D93985">
            <w:pPr>
              <w:widowControl w:val="0"/>
              <w:jc w:val="center"/>
              <w:rPr>
                <w:rFonts w:ascii="Arial" w:hAnsi="Arial" w:cs="Arial"/>
                <w:bCs/>
                <w:sz w:val="16"/>
                <w:szCs w:val="16"/>
              </w:rPr>
            </w:pPr>
            <w:r>
              <w:rPr>
                <w:rFonts w:ascii="Arial" w:hAnsi="Arial" w:cs="Arial"/>
                <w:bCs/>
                <w:sz w:val="16"/>
                <w:szCs w:val="16"/>
              </w:rPr>
              <w:t xml:space="preserve">„MIZAL“, </w:t>
            </w:r>
            <w:proofErr w:type="spellStart"/>
            <w:r>
              <w:rPr>
                <w:rFonts w:ascii="Arial" w:hAnsi="Arial" w:cs="Arial"/>
                <w:bCs/>
                <w:sz w:val="16"/>
                <w:szCs w:val="16"/>
              </w:rPr>
              <w:t>Plockstraße</w:t>
            </w:r>
            <w:proofErr w:type="spellEnd"/>
          </w:p>
        </w:tc>
        <w:tc>
          <w:tcPr>
            <w:tcW w:w="2658" w:type="dxa"/>
            <w:shd w:val="clear" w:color="auto" w:fill="auto"/>
            <w:vAlign w:val="center"/>
          </w:tcPr>
          <w:p w14:paraId="6E86BEEE" w14:textId="77777777" w:rsidR="006A0566" w:rsidRDefault="006A0566" w:rsidP="00D93985">
            <w:pPr>
              <w:widowControl w:val="0"/>
              <w:jc w:val="center"/>
              <w:rPr>
                <w:rFonts w:ascii="Arial" w:hAnsi="Arial" w:cs="Arial"/>
                <w:bCs/>
                <w:sz w:val="16"/>
                <w:szCs w:val="16"/>
              </w:rPr>
            </w:pPr>
            <w:r>
              <w:rPr>
                <w:rFonts w:ascii="Arial" w:hAnsi="Arial" w:cs="Arial"/>
                <w:bCs/>
                <w:sz w:val="16"/>
                <w:szCs w:val="16"/>
              </w:rPr>
              <w:t>R+V Versicherung</w:t>
            </w:r>
          </w:p>
        </w:tc>
        <w:tc>
          <w:tcPr>
            <w:tcW w:w="2309" w:type="dxa"/>
            <w:shd w:val="clear" w:color="auto" w:fill="auto"/>
            <w:vAlign w:val="center"/>
          </w:tcPr>
          <w:p w14:paraId="42579624" w14:textId="77777777" w:rsidR="006A0566" w:rsidRDefault="006A0566" w:rsidP="00D93985">
            <w:pPr>
              <w:widowControl w:val="0"/>
              <w:jc w:val="center"/>
              <w:rPr>
                <w:rFonts w:ascii="Arial" w:hAnsi="Arial" w:cs="Arial"/>
                <w:bCs/>
                <w:sz w:val="16"/>
                <w:szCs w:val="16"/>
              </w:rPr>
            </w:pPr>
            <w:proofErr w:type="spellStart"/>
            <w:r>
              <w:rPr>
                <w:rFonts w:ascii="Arial" w:hAnsi="Arial" w:cs="Arial"/>
                <w:bCs/>
                <w:sz w:val="16"/>
                <w:szCs w:val="16"/>
              </w:rPr>
              <w:t>Codic</w:t>
            </w:r>
            <w:proofErr w:type="spellEnd"/>
          </w:p>
        </w:tc>
        <w:tc>
          <w:tcPr>
            <w:tcW w:w="895" w:type="dxa"/>
            <w:shd w:val="clear" w:color="auto" w:fill="auto"/>
            <w:vAlign w:val="center"/>
          </w:tcPr>
          <w:p w14:paraId="3527A949" w14:textId="2856A374" w:rsidR="006A0566" w:rsidRDefault="006A0566" w:rsidP="00D93985">
            <w:pPr>
              <w:widowControl w:val="0"/>
              <w:jc w:val="center"/>
              <w:rPr>
                <w:rFonts w:ascii="Arial" w:hAnsi="Arial" w:cs="Arial"/>
                <w:bCs/>
                <w:sz w:val="16"/>
                <w:szCs w:val="16"/>
              </w:rPr>
            </w:pPr>
            <w:r>
              <w:rPr>
                <w:rFonts w:ascii="Arial" w:hAnsi="Arial" w:cs="Arial"/>
                <w:bCs/>
                <w:sz w:val="16"/>
                <w:szCs w:val="16"/>
              </w:rPr>
              <w:t>260</w:t>
            </w:r>
          </w:p>
        </w:tc>
      </w:tr>
      <w:tr w:rsidR="009C1812" w:rsidRPr="00C90B69" w14:paraId="1FD20D42" w14:textId="77777777" w:rsidTr="00D93985">
        <w:trPr>
          <w:trHeight w:val="552"/>
        </w:trPr>
        <w:tc>
          <w:tcPr>
            <w:tcW w:w="687" w:type="dxa"/>
            <w:shd w:val="clear" w:color="auto" w:fill="D9D9D9" w:themeFill="background1" w:themeFillShade="D9"/>
            <w:vAlign w:val="center"/>
          </w:tcPr>
          <w:p w14:paraId="4CA3EA8C" w14:textId="301703A9" w:rsidR="009C1812" w:rsidRDefault="00D65F25" w:rsidP="00CB4698">
            <w:pPr>
              <w:widowControl w:val="0"/>
              <w:jc w:val="center"/>
              <w:rPr>
                <w:rFonts w:ascii="Arial" w:hAnsi="Arial" w:cs="Arial"/>
                <w:bCs/>
                <w:sz w:val="16"/>
                <w:szCs w:val="16"/>
              </w:rPr>
            </w:pPr>
            <w:r>
              <w:rPr>
                <w:rFonts w:ascii="Arial" w:hAnsi="Arial" w:cs="Arial"/>
                <w:bCs/>
                <w:sz w:val="16"/>
                <w:szCs w:val="16"/>
              </w:rPr>
              <w:t>HAM</w:t>
            </w:r>
          </w:p>
        </w:tc>
        <w:tc>
          <w:tcPr>
            <w:tcW w:w="2682" w:type="dxa"/>
            <w:shd w:val="clear" w:color="auto" w:fill="D9D9D9" w:themeFill="background1" w:themeFillShade="D9"/>
            <w:vAlign w:val="center"/>
          </w:tcPr>
          <w:p w14:paraId="4769CFE1" w14:textId="7627D396" w:rsidR="009C1812" w:rsidRPr="00D93985" w:rsidRDefault="009C1812" w:rsidP="00D93985">
            <w:pPr>
              <w:widowControl w:val="0"/>
              <w:jc w:val="center"/>
              <w:rPr>
                <w:rFonts w:ascii="Arial" w:hAnsi="Arial" w:cs="Arial"/>
                <w:bCs/>
                <w:sz w:val="16"/>
                <w:szCs w:val="16"/>
              </w:rPr>
            </w:pPr>
            <w:r w:rsidRPr="00D93985">
              <w:rPr>
                <w:rFonts w:ascii="Arial" w:hAnsi="Arial" w:cs="Arial"/>
                <w:bCs/>
                <w:sz w:val="16"/>
                <w:szCs w:val="16"/>
              </w:rPr>
              <w:t>„Karstadt“, Mönckebergstraße 16</w:t>
            </w:r>
          </w:p>
        </w:tc>
        <w:tc>
          <w:tcPr>
            <w:tcW w:w="2658" w:type="dxa"/>
            <w:shd w:val="clear" w:color="auto" w:fill="D9D9D9" w:themeFill="background1" w:themeFillShade="D9"/>
            <w:vAlign w:val="center"/>
          </w:tcPr>
          <w:p w14:paraId="4158CE78" w14:textId="486FC899" w:rsidR="009C1812" w:rsidRPr="00D93985" w:rsidRDefault="009C1812" w:rsidP="00D93985">
            <w:pPr>
              <w:widowControl w:val="0"/>
              <w:jc w:val="center"/>
              <w:rPr>
                <w:rFonts w:ascii="Arial" w:hAnsi="Arial" w:cs="Arial"/>
                <w:bCs/>
                <w:sz w:val="16"/>
                <w:szCs w:val="16"/>
              </w:rPr>
            </w:pPr>
            <w:r w:rsidRPr="00D93985">
              <w:rPr>
                <w:rFonts w:ascii="Arial" w:hAnsi="Arial" w:cs="Arial"/>
                <w:bCs/>
                <w:sz w:val="16"/>
                <w:szCs w:val="16"/>
              </w:rPr>
              <w:t>Signa Holding</w:t>
            </w:r>
          </w:p>
        </w:tc>
        <w:tc>
          <w:tcPr>
            <w:tcW w:w="2309" w:type="dxa"/>
            <w:shd w:val="clear" w:color="auto" w:fill="D9D9D9" w:themeFill="background1" w:themeFillShade="D9"/>
            <w:vAlign w:val="center"/>
          </w:tcPr>
          <w:p w14:paraId="06F5A25F" w14:textId="04686E37" w:rsidR="009C1812" w:rsidRPr="00D93985" w:rsidRDefault="009C1812" w:rsidP="00D93985">
            <w:pPr>
              <w:widowControl w:val="0"/>
              <w:jc w:val="center"/>
              <w:rPr>
                <w:rFonts w:ascii="Arial" w:hAnsi="Arial" w:cs="Arial"/>
                <w:bCs/>
                <w:sz w:val="16"/>
                <w:szCs w:val="16"/>
              </w:rPr>
            </w:pPr>
            <w:r w:rsidRPr="00D93985">
              <w:rPr>
                <w:rFonts w:ascii="Arial" w:hAnsi="Arial" w:cs="Arial"/>
                <w:bCs/>
                <w:sz w:val="16"/>
                <w:szCs w:val="16"/>
              </w:rPr>
              <w:t>Quantum Immobilien</w:t>
            </w:r>
          </w:p>
        </w:tc>
        <w:tc>
          <w:tcPr>
            <w:tcW w:w="895" w:type="dxa"/>
            <w:shd w:val="clear" w:color="auto" w:fill="D9D9D9" w:themeFill="background1" w:themeFillShade="D9"/>
            <w:vAlign w:val="center"/>
          </w:tcPr>
          <w:p w14:paraId="1862C2A6" w14:textId="5FFF493D" w:rsidR="009C1812" w:rsidRPr="00D93985" w:rsidRDefault="009C1812" w:rsidP="00D93985">
            <w:pPr>
              <w:widowControl w:val="0"/>
              <w:jc w:val="center"/>
              <w:rPr>
                <w:rFonts w:ascii="Arial" w:hAnsi="Arial" w:cs="Arial"/>
                <w:bCs/>
                <w:sz w:val="16"/>
                <w:szCs w:val="16"/>
              </w:rPr>
            </w:pPr>
            <w:r w:rsidRPr="00D93985">
              <w:rPr>
                <w:rFonts w:ascii="Arial" w:hAnsi="Arial" w:cs="Arial"/>
                <w:bCs/>
                <w:sz w:val="16"/>
                <w:szCs w:val="16"/>
              </w:rPr>
              <w:t>260</w:t>
            </w:r>
          </w:p>
        </w:tc>
      </w:tr>
      <w:tr w:rsidR="00766B7C" w:rsidRPr="00C90B69" w14:paraId="16647839" w14:textId="77777777" w:rsidTr="00766B7C">
        <w:trPr>
          <w:trHeight w:val="552"/>
        </w:trPr>
        <w:tc>
          <w:tcPr>
            <w:tcW w:w="687" w:type="dxa"/>
            <w:shd w:val="clear" w:color="auto" w:fill="D9D9D9" w:themeFill="background1" w:themeFillShade="D9"/>
            <w:vAlign w:val="center"/>
          </w:tcPr>
          <w:p w14:paraId="1E3E15B0" w14:textId="21BFD17F" w:rsidR="00766B7C" w:rsidRPr="00D65F25" w:rsidRDefault="00766B7C" w:rsidP="00CB4698">
            <w:pPr>
              <w:widowControl w:val="0"/>
              <w:jc w:val="center"/>
              <w:rPr>
                <w:rFonts w:ascii="Arial" w:hAnsi="Arial" w:cs="Arial"/>
                <w:bCs/>
                <w:sz w:val="16"/>
                <w:szCs w:val="16"/>
              </w:rPr>
            </w:pPr>
            <w:r>
              <w:rPr>
                <w:rFonts w:ascii="Arial" w:hAnsi="Arial" w:cs="Arial"/>
                <w:bCs/>
                <w:sz w:val="16"/>
                <w:szCs w:val="16"/>
              </w:rPr>
              <w:t>MUC</w:t>
            </w:r>
          </w:p>
        </w:tc>
        <w:tc>
          <w:tcPr>
            <w:tcW w:w="2682" w:type="dxa"/>
            <w:shd w:val="clear" w:color="auto" w:fill="D9D9D9" w:themeFill="background1" w:themeFillShade="D9"/>
            <w:vAlign w:val="center"/>
          </w:tcPr>
          <w:p w14:paraId="4ED2B35D" w14:textId="1DACAC7C" w:rsidR="00766B7C" w:rsidRPr="00D65F25" w:rsidRDefault="00766B7C" w:rsidP="00D93985">
            <w:pPr>
              <w:widowControl w:val="0"/>
              <w:jc w:val="center"/>
              <w:rPr>
                <w:rFonts w:ascii="Arial" w:hAnsi="Arial" w:cs="Arial"/>
                <w:bCs/>
                <w:sz w:val="16"/>
                <w:szCs w:val="16"/>
              </w:rPr>
            </w:pPr>
            <w:r w:rsidRPr="00766B7C">
              <w:rPr>
                <w:rFonts w:ascii="Arial" w:hAnsi="Arial" w:cs="Arial"/>
                <w:bCs/>
                <w:sz w:val="16"/>
                <w:szCs w:val="16"/>
              </w:rPr>
              <w:t>"Perlach Plaza" Hanns-Seidel-Platz</w:t>
            </w:r>
          </w:p>
        </w:tc>
        <w:tc>
          <w:tcPr>
            <w:tcW w:w="2658" w:type="dxa"/>
            <w:shd w:val="clear" w:color="auto" w:fill="D9D9D9" w:themeFill="background1" w:themeFillShade="D9"/>
            <w:vAlign w:val="center"/>
          </w:tcPr>
          <w:p w14:paraId="0437D9FF" w14:textId="6DE0F25C" w:rsidR="00766B7C" w:rsidRPr="00D65F25" w:rsidRDefault="00766B7C" w:rsidP="00D93985">
            <w:pPr>
              <w:widowControl w:val="0"/>
              <w:jc w:val="center"/>
              <w:rPr>
                <w:rFonts w:ascii="Arial" w:hAnsi="Arial" w:cs="Arial"/>
                <w:bCs/>
                <w:sz w:val="16"/>
                <w:szCs w:val="16"/>
              </w:rPr>
            </w:pPr>
            <w:r w:rsidRPr="00766B7C">
              <w:rPr>
                <w:rFonts w:ascii="Arial" w:hAnsi="Arial" w:cs="Arial"/>
                <w:bCs/>
                <w:sz w:val="16"/>
                <w:szCs w:val="16"/>
              </w:rPr>
              <w:t>KGAL</w:t>
            </w:r>
          </w:p>
        </w:tc>
        <w:tc>
          <w:tcPr>
            <w:tcW w:w="2309" w:type="dxa"/>
            <w:shd w:val="clear" w:color="auto" w:fill="D9D9D9" w:themeFill="background1" w:themeFillShade="D9"/>
            <w:vAlign w:val="center"/>
          </w:tcPr>
          <w:p w14:paraId="6DB2ABA1" w14:textId="74AA719C" w:rsidR="00766B7C" w:rsidRPr="00D65F25" w:rsidRDefault="00766B7C" w:rsidP="00D93985">
            <w:pPr>
              <w:widowControl w:val="0"/>
              <w:jc w:val="center"/>
              <w:rPr>
                <w:rFonts w:ascii="Arial" w:hAnsi="Arial" w:cs="Arial"/>
                <w:bCs/>
                <w:sz w:val="16"/>
                <w:szCs w:val="16"/>
              </w:rPr>
            </w:pPr>
            <w:proofErr w:type="spellStart"/>
            <w:r w:rsidRPr="00766B7C">
              <w:rPr>
                <w:rFonts w:ascii="Arial" w:hAnsi="Arial" w:cs="Arial"/>
                <w:bCs/>
                <w:sz w:val="16"/>
                <w:szCs w:val="16"/>
              </w:rPr>
              <w:t>Concrete</w:t>
            </w:r>
            <w:proofErr w:type="spellEnd"/>
            <w:r w:rsidRPr="00766B7C">
              <w:rPr>
                <w:rFonts w:ascii="Arial" w:hAnsi="Arial" w:cs="Arial"/>
                <w:bCs/>
                <w:sz w:val="16"/>
                <w:szCs w:val="16"/>
              </w:rPr>
              <w:t xml:space="preserve"> Capital, BHB Bauträger</w:t>
            </w:r>
          </w:p>
        </w:tc>
        <w:tc>
          <w:tcPr>
            <w:tcW w:w="895" w:type="dxa"/>
            <w:shd w:val="clear" w:color="auto" w:fill="D9D9D9" w:themeFill="background1" w:themeFillShade="D9"/>
            <w:vAlign w:val="center"/>
          </w:tcPr>
          <w:p w14:paraId="7A6F2ED4" w14:textId="126DE687" w:rsidR="00766B7C" w:rsidRPr="00D65F25" w:rsidRDefault="00766B7C" w:rsidP="00D93985">
            <w:pPr>
              <w:widowControl w:val="0"/>
              <w:jc w:val="center"/>
              <w:rPr>
                <w:rFonts w:ascii="Arial" w:hAnsi="Arial" w:cs="Arial"/>
                <w:bCs/>
                <w:sz w:val="16"/>
                <w:szCs w:val="16"/>
              </w:rPr>
            </w:pPr>
            <w:r w:rsidRPr="00766B7C">
              <w:rPr>
                <w:rFonts w:ascii="Arial" w:hAnsi="Arial" w:cs="Arial"/>
                <w:bCs/>
                <w:sz w:val="16"/>
                <w:szCs w:val="16"/>
              </w:rPr>
              <w:t>250</w:t>
            </w:r>
          </w:p>
        </w:tc>
      </w:tr>
      <w:tr w:rsidR="006A0566" w:rsidRPr="00C90B69" w14:paraId="3FF437D5" w14:textId="77777777" w:rsidTr="00D93985">
        <w:trPr>
          <w:trHeight w:val="552"/>
        </w:trPr>
        <w:tc>
          <w:tcPr>
            <w:tcW w:w="687" w:type="dxa"/>
            <w:shd w:val="clear" w:color="auto" w:fill="auto"/>
            <w:vAlign w:val="center"/>
          </w:tcPr>
          <w:p w14:paraId="16C60109" w14:textId="214AEA2C" w:rsidR="006A0566" w:rsidRPr="00D65F25" w:rsidRDefault="009C1812" w:rsidP="00CB4698">
            <w:pPr>
              <w:widowControl w:val="0"/>
              <w:jc w:val="center"/>
              <w:rPr>
                <w:rFonts w:ascii="Arial" w:hAnsi="Arial" w:cs="Arial"/>
                <w:bCs/>
                <w:sz w:val="16"/>
                <w:szCs w:val="16"/>
              </w:rPr>
            </w:pPr>
            <w:r w:rsidRPr="00D65F25">
              <w:rPr>
                <w:rFonts w:ascii="Arial" w:hAnsi="Arial" w:cs="Arial"/>
                <w:bCs/>
                <w:sz w:val="16"/>
                <w:szCs w:val="16"/>
              </w:rPr>
              <w:t>BER</w:t>
            </w:r>
          </w:p>
        </w:tc>
        <w:tc>
          <w:tcPr>
            <w:tcW w:w="2682" w:type="dxa"/>
            <w:shd w:val="clear" w:color="auto" w:fill="auto"/>
            <w:vAlign w:val="center"/>
          </w:tcPr>
          <w:p w14:paraId="45226F11" w14:textId="77777777" w:rsidR="006A0566" w:rsidRPr="00D65F25" w:rsidRDefault="006A0566" w:rsidP="00D93985">
            <w:pPr>
              <w:widowControl w:val="0"/>
              <w:jc w:val="center"/>
              <w:rPr>
                <w:rFonts w:ascii="Arial" w:hAnsi="Arial" w:cs="Arial"/>
                <w:bCs/>
                <w:sz w:val="16"/>
                <w:szCs w:val="16"/>
              </w:rPr>
            </w:pPr>
            <w:r w:rsidRPr="00D65F25">
              <w:rPr>
                <w:rFonts w:ascii="Arial" w:hAnsi="Arial" w:cs="Arial"/>
                <w:bCs/>
                <w:sz w:val="16"/>
                <w:szCs w:val="16"/>
              </w:rPr>
              <w:t>„Chaussee23“, Chausseestraße 23</w:t>
            </w:r>
          </w:p>
        </w:tc>
        <w:tc>
          <w:tcPr>
            <w:tcW w:w="2658" w:type="dxa"/>
            <w:shd w:val="clear" w:color="auto" w:fill="auto"/>
            <w:vAlign w:val="center"/>
          </w:tcPr>
          <w:p w14:paraId="550BACE0" w14:textId="77777777" w:rsidR="006A0566" w:rsidRPr="00D65F25" w:rsidRDefault="006A0566" w:rsidP="00D93985">
            <w:pPr>
              <w:widowControl w:val="0"/>
              <w:jc w:val="center"/>
              <w:rPr>
                <w:rFonts w:ascii="Arial" w:hAnsi="Arial" w:cs="Arial"/>
                <w:bCs/>
                <w:sz w:val="16"/>
                <w:szCs w:val="16"/>
              </w:rPr>
            </w:pPr>
            <w:proofErr w:type="spellStart"/>
            <w:r w:rsidRPr="00D65F25">
              <w:rPr>
                <w:rFonts w:ascii="Arial" w:hAnsi="Arial" w:cs="Arial"/>
                <w:bCs/>
                <w:sz w:val="16"/>
                <w:szCs w:val="16"/>
              </w:rPr>
              <w:t>Credit</w:t>
            </w:r>
            <w:proofErr w:type="spellEnd"/>
            <w:r w:rsidRPr="00D65F25">
              <w:rPr>
                <w:rFonts w:ascii="Arial" w:hAnsi="Arial" w:cs="Arial"/>
                <w:bCs/>
                <w:sz w:val="16"/>
                <w:szCs w:val="16"/>
              </w:rPr>
              <w:t xml:space="preserve"> Suisse</w:t>
            </w:r>
          </w:p>
        </w:tc>
        <w:tc>
          <w:tcPr>
            <w:tcW w:w="2309" w:type="dxa"/>
            <w:shd w:val="clear" w:color="auto" w:fill="auto"/>
            <w:vAlign w:val="center"/>
          </w:tcPr>
          <w:p w14:paraId="3BF3F514" w14:textId="77777777" w:rsidR="006A0566" w:rsidRPr="00D65F25" w:rsidRDefault="006A0566" w:rsidP="00D93985">
            <w:pPr>
              <w:widowControl w:val="0"/>
              <w:jc w:val="center"/>
              <w:rPr>
                <w:rFonts w:ascii="Arial" w:hAnsi="Arial" w:cs="Arial"/>
                <w:bCs/>
                <w:sz w:val="16"/>
                <w:szCs w:val="16"/>
              </w:rPr>
            </w:pPr>
            <w:r w:rsidRPr="00D65F25">
              <w:rPr>
                <w:rFonts w:ascii="Arial" w:hAnsi="Arial" w:cs="Arial"/>
                <w:bCs/>
                <w:sz w:val="16"/>
                <w:szCs w:val="16"/>
              </w:rPr>
              <w:t xml:space="preserve">Barings Real Estate </w:t>
            </w:r>
            <w:proofErr w:type="spellStart"/>
            <w:r w:rsidRPr="00D65F25">
              <w:rPr>
                <w:rFonts w:ascii="Arial" w:hAnsi="Arial" w:cs="Arial"/>
                <w:bCs/>
                <w:sz w:val="16"/>
                <w:szCs w:val="16"/>
              </w:rPr>
              <w:t>Advisers</w:t>
            </w:r>
            <w:proofErr w:type="spellEnd"/>
          </w:p>
        </w:tc>
        <w:tc>
          <w:tcPr>
            <w:tcW w:w="895" w:type="dxa"/>
            <w:shd w:val="clear" w:color="auto" w:fill="auto"/>
            <w:vAlign w:val="center"/>
          </w:tcPr>
          <w:p w14:paraId="190DC2BB" w14:textId="77777777" w:rsidR="006A0566" w:rsidRPr="00D65F25" w:rsidRDefault="006A0566" w:rsidP="00D93985">
            <w:pPr>
              <w:widowControl w:val="0"/>
              <w:jc w:val="center"/>
              <w:rPr>
                <w:rFonts w:ascii="Arial" w:hAnsi="Arial" w:cs="Arial"/>
                <w:bCs/>
                <w:sz w:val="16"/>
                <w:szCs w:val="16"/>
              </w:rPr>
            </w:pPr>
            <w:r w:rsidRPr="00D65F25">
              <w:rPr>
                <w:rFonts w:ascii="Arial" w:hAnsi="Arial" w:cs="Arial"/>
                <w:bCs/>
                <w:sz w:val="16"/>
                <w:szCs w:val="16"/>
              </w:rPr>
              <w:t>220</w:t>
            </w:r>
          </w:p>
        </w:tc>
      </w:tr>
      <w:tr w:rsidR="006A0566" w:rsidRPr="00C90B69" w14:paraId="13CC665B" w14:textId="77777777" w:rsidTr="00D93985">
        <w:trPr>
          <w:trHeight w:val="552"/>
        </w:trPr>
        <w:tc>
          <w:tcPr>
            <w:tcW w:w="687" w:type="dxa"/>
            <w:shd w:val="clear" w:color="auto" w:fill="auto"/>
            <w:vAlign w:val="center"/>
          </w:tcPr>
          <w:p w14:paraId="170EAD30" w14:textId="482DC8DE" w:rsidR="006A0566" w:rsidRPr="00D93985" w:rsidRDefault="009C1812" w:rsidP="00CB4698">
            <w:pPr>
              <w:widowControl w:val="0"/>
              <w:jc w:val="center"/>
              <w:rPr>
                <w:rFonts w:ascii="Arial" w:hAnsi="Arial" w:cs="Arial"/>
                <w:bCs/>
                <w:sz w:val="16"/>
                <w:szCs w:val="16"/>
              </w:rPr>
            </w:pPr>
            <w:r w:rsidRPr="00D93985">
              <w:rPr>
                <w:rFonts w:ascii="Arial" w:hAnsi="Arial" w:cs="Arial"/>
                <w:bCs/>
                <w:sz w:val="16"/>
                <w:szCs w:val="16"/>
              </w:rPr>
              <w:t>MUC</w:t>
            </w:r>
          </w:p>
        </w:tc>
        <w:tc>
          <w:tcPr>
            <w:tcW w:w="2682" w:type="dxa"/>
            <w:shd w:val="clear" w:color="auto" w:fill="auto"/>
            <w:vAlign w:val="center"/>
          </w:tcPr>
          <w:p w14:paraId="2916D6DE" w14:textId="77777777" w:rsidR="006A0566" w:rsidRPr="00D93985" w:rsidRDefault="006A0566" w:rsidP="00D93985">
            <w:pPr>
              <w:widowControl w:val="0"/>
              <w:jc w:val="center"/>
              <w:rPr>
                <w:rFonts w:ascii="Arial" w:hAnsi="Arial" w:cs="Arial"/>
                <w:bCs/>
                <w:sz w:val="16"/>
                <w:szCs w:val="16"/>
              </w:rPr>
            </w:pPr>
            <w:r w:rsidRPr="00D93985">
              <w:rPr>
                <w:rFonts w:ascii="Arial" w:hAnsi="Arial" w:cs="Arial"/>
                <w:bCs/>
                <w:sz w:val="16"/>
                <w:szCs w:val="16"/>
              </w:rPr>
              <w:t>Neumarkter Straße 28</w:t>
            </w:r>
          </w:p>
        </w:tc>
        <w:tc>
          <w:tcPr>
            <w:tcW w:w="2658" w:type="dxa"/>
            <w:shd w:val="clear" w:color="auto" w:fill="auto"/>
            <w:vAlign w:val="center"/>
          </w:tcPr>
          <w:p w14:paraId="6C3DC09D" w14:textId="77777777" w:rsidR="006A0566" w:rsidRPr="00D93985" w:rsidRDefault="006A0566" w:rsidP="00D93985">
            <w:pPr>
              <w:widowControl w:val="0"/>
              <w:jc w:val="center"/>
              <w:rPr>
                <w:rFonts w:ascii="Arial" w:hAnsi="Arial" w:cs="Arial"/>
                <w:bCs/>
                <w:sz w:val="16"/>
                <w:szCs w:val="16"/>
              </w:rPr>
            </w:pPr>
            <w:r w:rsidRPr="00D93985">
              <w:rPr>
                <w:rFonts w:ascii="Arial" w:hAnsi="Arial" w:cs="Arial"/>
                <w:bCs/>
                <w:sz w:val="16"/>
                <w:szCs w:val="16"/>
              </w:rPr>
              <w:t>Allianz</w:t>
            </w:r>
          </w:p>
        </w:tc>
        <w:tc>
          <w:tcPr>
            <w:tcW w:w="2309" w:type="dxa"/>
            <w:shd w:val="clear" w:color="auto" w:fill="auto"/>
            <w:vAlign w:val="center"/>
          </w:tcPr>
          <w:p w14:paraId="18132932" w14:textId="77777777" w:rsidR="006A0566" w:rsidRPr="00D93985" w:rsidRDefault="006A0566" w:rsidP="00D93985">
            <w:pPr>
              <w:widowControl w:val="0"/>
              <w:jc w:val="center"/>
              <w:rPr>
                <w:rFonts w:ascii="Arial" w:hAnsi="Arial" w:cs="Arial"/>
                <w:bCs/>
                <w:sz w:val="16"/>
                <w:szCs w:val="16"/>
              </w:rPr>
            </w:pPr>
            <w:r w:rsidRPr="00D93985">
              <w:rPr>
                <w:rFonts w:ascii="Arial" w:hAnsi="Arial" w:cs="Arial"/>
                <w:bCs/>
                <w:sz w:val="16"/>
                <w:szCs w:val="16"/>
              </w:rPr>
              <w:t>Random House</w:t>
            </w:r>
          </w:p>
        </w:tc>
        <w:tc>
          <w:tcPr>
            <w:tcW w:w="895" w:type="dxa"/>
            <w:shd w:val="clear" w:color="auto" w:fill="auto"/>
            <w:vAlign w:val="center"/>
          </w:tcPr>
          <w:p w14:paraId="322014D8" w14:textId="77777777" w:rsidR="006A0566" w:rsidRPr="00D93985" w:rsidRDefault="006A0566" w:rsidP="00D93985">
            <w:pPr>
              <w:widowControl w:val="0"/>
              <w:jc w:val="center"/>
              <w:rPr>
                <w:rFonts w:ascii="Arial" w:hAnsi="Arial" w:cs="Arial"/>
                <w:bCs/>
                <w:sz w:val="16"/>
                <w:szCs w:val="16"/>
              </w:rPr>
            </w:pPr>
            <w:r w:rsidRPr="00D93985">
              <w:rPr>
                <w:rFonts w:ascii="Arial" w:hAnsi="Arial" w:cs="Arial"/>
                <w:bCs/>
                <w:sz w:val="16"/>
                <w:szCs w:val="16"/>
              </w:rPr>
              <w:t>214</w:t>
            </w:r>
          </w:p>
        </w:tc>
      </w:tr>
      <w:tr w:rsidR="006A0566" w:rsidRPr="00C90B69" w14:paraId="585CD898" w14:textId="77777777" w:rsidTr="00D93985">
        <w:trPr>
          <w:trHeight w:val="552"/>
        </w:trPr>
        <w:tc>
          <w:tcPr>
            <w:tcW w:w="687" w:type="dxa"/>
            <w:shd w:val="clear" w:color="auto" w:fill="auto"/>
            <w:vAlign w:val="center"/>
          </w:tcPr>
          <w:p w14:paraId="237F7A44" w14:textId="18DB0598" w:rsidR="006A0566" w:rsidRPr="00D93985" w:rsidRDefault="009C1812" w:rsidP="00CB4698">
            <w:pPr>
              <w:widowControl w:val="0"/>
              <w:jc w:val="center"/>
              <w:rPr>
                <w:rFonts w:ascii="Arial" w:hAnsi="Arial" w:cs="Arial"/>
                <w:bCs/>
                <w:sz w:val="16"/>
                <w:szCs w:val="16"/>
              </w:rPr>
            </w:pPr>
            <w:r>
              <w:rPr>
                <w:rFonts w:ascii="Arial" w:hAnsi="Arial" w:cs="Arial"/>
                <w:bCs/>
                <w:sz w:val="16"/>
                <w:szCs w:val="16"/>
              </w:rPr>
              <w:t>FFM</w:t>
            </w:r>
          </w:p>
        </w:tc>
        <w:tc>
          <w:tcPr>
            <w:tcW w:w="2682" w:type="dxa"/>
            <w:shd w:val="clear" w:color="auto" w:fill="auto"/>
            <w:vAlign w:val="center"/>
          </w:tcPr>
          <w:p w14:paraId="6C8247EF" w14:textId="77777777" w:rsidR="006A0566" w:rsidRPr="00D93985" w:rsidRDefault="006A0566" w:rsidP="00D93985">
            <w:pPr>
              <w:widowControl w:val="0"/>
              <w:jc w:val="center"/>
              <w:rPr>
                <w:rFonts w:ascii="Arial" w:hAnsi="Arial" w:cs="Arial"/>
                <w:bCs/>
                <w:sz w:val="16"/>
                <w:szCs w:val="16"/>
              </w:rPr>
            </w:pPr>
            <w:r w:rsidRPr="00D93985">
              <w:rPr>
                <w:rFonts w:ascii="Arial" w:hAnsi="Arial" w:cs="Arial"/>
                <w:bCs/>
                <w:sz w:val="16"/>
                <w:szCs w:val="16"/>
              </w:rPr>
              <w:t>„</w:t>
            </w:r>
            <w:proofErr w:type="spellStart"/>
            <w:r w:rsidRPr="00D93985">
              <w:rPr>
                <w:rFonts w:ascii="Arial" w:hAnsi="Arial" w:cs="Arial"/>
                <w:bCs/>
                <w:sz w:val="16"/>
                <w:szCs w:val="16"/>
              </w:rPr>
              <w:t>Ma’ro</w:t>
            </w:r>
            <w:proofErr w:type="spellEnd"/>
            <w:r w:rsidRPr="00D93985">
              <w:rPr>
                <w:rFonts w:ascii="Arial" w:hAnsi="Arial" w:cs="Arial"/>
                <w:bCs/>
                <w:sz w:val="16"/>
                <w:szCs w:val="16"/>
              </w:rPr>
              <w:t>“, Neue Mainzer Straße 74-80</w:t>
            </w:r>
          </w:p>
        </w:tc>
        <w:tc>
          <w:tcPr>
            <w:tcW w:w="2658" w:type="dxa"/>
            <w:shd w:val="clear" w:color="auto" w:fill="auto"/>
            <w:vAlign w:val="center"/>
          </w:tcPr>
          <w:p w14:paraId="5D0E95BB" w14:textId="77777777" w:rsidR="006A0566" w:rsidRPr="00D93985" w:rsidRDefault="006A0566" w:rsidP="00D93985">
            <w:pPr>
              <w:widowControl w:val="0"/>
              <w:jc w:val="center"/>
              <w:rPr>
                <w:rFonts w:ascii="Arial" w:hAnsi="Arial" w:cs="Arial"/>
                <w:bCs/>
                <w:sz w:val="16"/>
                <w:szCs w:val="16"/>
              </w:rPr>
            </w:pPr>
            <w:proofErr w:type="spellStart"/>
            <w:r w:rsidRPr="00D93985">
              <w:rPr>
                <w:rFonts w:ascii="Arial" w:hAnsi="Arial" w:cs="Arial"/>
                <w:bCs/>
                <w:sz w:val="16"/>
                <w:szCs w:val="16"/>
              </w:rPr>
              <w:t>Luwin</w:t>
            </w:r>
            <w:proofErr w:type="spellEnd"/>
            <w:r w:rsidRPr="00D93985">
              <w:rPr>
                <w:rFonts w:ascii="Arial" w:hAnsi="Arial" w:cs="Arial"/>
                <w:bCs/>
                <w:sz w:val="16"/>
                <w:szCs w:val="16"/>
              </w:rPr>
              <w:t xml:space="preserve"> für Versorgungswerk der Architektenkammer </w:t>
            </w:r>
            <w:proofErr w:type="spellStart"/>
            <w:r w:rsidRPr="00D93985">
              <w:rPr>
                <w:rFonts w:ascii="Arial" w:hAnsi="Arial" w:cs="Arial"/>
                <w:bCs/>
                <w:sz w:val="16"/>
                <w:szCs w:val="16"/>
              </w:rPr>
              <w:t>Ba</w:t>
            </w:r>
            <w:proofErr w:type="spellEnd"/>
            <w:r w:rsidRPr="00D93985">
              <w:rPr>
                <w:rFonts w:ascii="Arial" w:hAnsi="Arial" w:cs="Arial"/>
                <w:bCs/>
                <w:sz w:val="16"/>
                <w:szCs w:val="16"/>
              </w:rPr>
              <w:t>.-</w:t>
            </w:r>
            <w:proofErr w:type="spellStart"/>
            <w:r w:rsidRPr="00D93985">
              <w:rPr>
                <w:rFonts w:ascii="Arial" w:hAnsi="Arial" w:cs="Arial"/>
                <w:bCs/>
                <w:sz w:val="16"/>
                <w:szCs w:val="16"/>
              </w:rPr>
              <w:t>Wü</w:t>
            </w:r>
            <w:proofErr w:type="spellEnd"/>
            <w:r w:rsidRPr="00D93985">
              <w:rPr>
                <w:rFonts w:ascii="Arial" w:hAnsi="Arial" w:cs="Arial"/>
                <w:bCs/>
                <w:sz w:val="16"/>
                <w:szCs w:val="16"/>
              </w:rPr>
              <w:t>.</w:t>
            </w:r>
          </w:p>
        </w:tc>
        <w:tc>
          <w:tcPr>
            <w:tcW w:w="2309" w:type="dxa"/>
            <w:shd w:val="clear" w:color="auto" w:fill="auto"/>
            <w:vAlign w:val="center"/>
          </w:tcPr>
          <w:p w14:paraId="13931528" w14:textId="77777777" w:rsidR="006A0566" w:rsidRPr="00D93985" w:rsidRDefault="006A0566" w:rsidP="00D93985">
            <w:pPr>
              <w:widowControl w:val="0"/>
              <w:jc w:val="center"/>
              <w:rPr>
                <w:rFonts w:ascii="Arial" w:hAnsi="Arial" w:cs="Arial"/>
                <w:bCs/>
                <w:sz w:val="16"/>
                <w:szCs w:val="16"/>
              </w:rPr>
            </w:pPr>
            <w:proofErr w:type="spellStart"/>
            <w:r w:rsidRPr="00D93985">
              <w:rPr>
                <w:rFonts w:ascii="Arial" w:hAnsi="Arial" w:cs="Arial"/>
                <w:bCs/>
                <w:sz w:val="16"/>
                <w:szCs w:val="16"/>
              </w:rPr>
              <w:t>Invesco</w:t>
            </w:r>
            <w:proofErr w:type="spellEnd"/>
            <w:r w:rsidRPr="00D93985">
              <w:rPr>
                <w:rFonts w:ascii="Arial" w:hAnsi="Arial" w:cs="Arial"/>
                <w:bCs/>
                <w:sz w:val="16"/>
                <w:szCs w:val="16"/>
              </w:rPr>
              <w:t xml:space="preserve"> Real Estate</w:t>
            </w:r>
          </w:p>
        </w:tc>
        <w:tc>
          <w:tcPr>
            <w:tcW w:w="895" w:type="dxa"/>
            <w:shd w:val="clear" w:color="auto" w:fill="auto"/>
            <w:vAlign w:val="center"/>
          </w:tcPr>
          <w:p w14:paraId="0C9F5A6E" w14:textId="77777777" w:rsidR="006A0566" w:rsidRPr="00D93985" w:rsidRDefault="006A0566" w:rsidP="00D93985">
            <w:pPr>
              <w:widowControl w:val="0"/>
              <w:jc w:val="center"/>
              <w:rPr>
                <w:rFonts w:ascii="Arial" w:hAnsi="Arial" w:cs="Arial"/>
                <w:bCs/>
                <w:sz w:val="16"/>
                <w:szCs w:val="16"/>
              </w:rPr>
            </w:pPr>
            <w:r w:rsidRPr="00D93985">
              <w:rPr>
                <w:rFonts w:ascii="Arial" w:hAnsi="Arial" w:cs="Arial"/>
                <w:bCs/>
                <w:sz w:val="16"/>
                <w:szCs w:val="16"/>
              </w:rPr>
              <w:t>200</w:t>
            </w:r>
          </w:p>
        </w:tc>
      </w:tr>
      <w:tr w:rsidR="006A0566" w:rsidRPr="00C90B69" w14:paraId="6AFBCA3C" w14:textId="77777777" w:rsidTr="00D93985">
        <w:trPr>
          <w:trHeight w:val="552"/>
        </w:trPr>
        <w:tc>
          <w:tcPr>
            <w:tcW w:w="687" w:type="dxa"/>
            <w:shd w:val="clear" w:color="auto" w:fill="auto"/>
            <w:vAlign w:val="center"/>
          </w:tcPr>
          <w:p w14:paraId="7CEE269E" w14:textId="08261FEA" w:rsidR="006A0566" w:rsidRPr="00D93985" w:rsidRDefault="009C1812" w:rsidP="00CB4698">
            <w:pPr>
              <w:widowControl w:val="0"/>
              <w:jc w:val="center"/>
              <w:rPr>
                <w:rFonts w:ascii="Arial" w:hAnsi="Arial" w:cs="Arial"/>
                <w:bCs/>
                <w:sz w:val="16"/>
                <w:szCs w:val="16"/>
              </w:rPr>
            </w:pPr>
            <w:r>
              <w:rPr>
                <w:rFonts w:ascii="Arial" w:hAnsi="Arial" w:cs="Arial"/>
                <w:bCs/>
                <w:sz w:val="16"/>
                <w:szCs w:val="16"/>
              </w:rPr>
              <w:t>FFM</w:t>
            </w:r>
          </w:p>
        </w:tc>
        <w:tc>
          <w:tcPr>
            <w:tcW w:w="2682" w:type="dxa"/>
            <w:shd w:val="clear" w:color="auto" w:fill="auto"/>
            <w:vAlign w:val="center"/>
          </w:tcPr>
          <w:p w14:paraId="574C6EB6" w14:textId="77777777" w:rsidR="006A0566" w:rsidRPr="00D93985" w:rsidRDefault="006A0566" w:rsidP="00D93985">
            <w:pPr>
              <w:widowControl w:val="0"/>
              <w:jc w:val="center"/>
              <w:rPr>
                <w:rFonts w:ascii="Arial" w:hAnsi="Arial" w:cs="Arial"/>
                <w:bCs/>
                <w:sz w:val="16"/>
                <w:szCs w:val="16"/>
              </w:rPr>
            </w:pPr>
            <w:r w:rsidRPr="00D93985">
              <w:rPr>
                <w:rFonts w:ascii="Arial" w:hAnsi="Arial" w:cs="Arial"/>
                <w:bCs/>
                <w:sz w:val="16"/>
                <w:szCs w:val="16"/>
              </w:rPr>
              <w:t xml:space="preserve">„Westend </w:t>
            </w:r>
            <w:proofErr w:type="spellStart"/>
            <w:r w:rsidRPr="00D93985">
              <w:rPr>
                <w:rFonts w:ascii="Arial" w:hAnsi="Arial" w:cs="Arial"/>
                <w:bCs/>
                <w:sz w:val="16"/>
                <w:szCs w:val="16"/>
              </w:rPr>
              <w:t>Carée</w:t>
            </w:r>
            <w:proofErr w:type="spellEnd"/>
            <w:r w:rsidRPr="00D93985">
              <w:rPr>
                <w:rFonts w:ascii="Arial" w:hAnsi="Arial" w:cs="Arial"/>
                <w:bCs/>
                <w:sz w:val="16"/>
                <w:szCs w:val="16"/>
              </w:rPr>
              <w:t xml:space="preserve">“, </w:t>
            </w:r>
            <w:proofErr w:type="spellStart"/>
            <w:r w:rsidRPr="00D93985">
              <w:rPr>
                <w:rFonts w:ascii="Arial" w:hAnsi="Arial" w:cs="Arial"/>
                <w:bCs/>
                <w:sz w:val="16"/>
                <w:szCs w:val="16"/>
              </w:rPr>
              <w:t>Grüneburgweg</w:t>
            </w:r>
            <w:proofErr w:type="spellEnd"/>
            <w:r w:rsidRPr="00D93985">
              <w:rPr>
                <w:rFonts w:ascii="Arial" w:hAnsi="Arial" w:cs="Arial"/>
                <w:bCs/>
                <w:sz w:val="16"/>
                <w:szCs w:val="16"/>
              </w:rPr>
              <w:t xml:space="preserve"> 14-18</w:t>
            </w:r>
          </w:p>
        </w:tc>
        <w:tc>
          <w:tcPr>
            <w:tcW w:w="2658" w:type="dxa"/>
            <w:shd w:val="clear" w:color="auto" w:fill="auto"/>
            <w:vAlign w:val="center"/>
          </w:tcPr>
          <w:p w14:paraId="2A402AF0" w14:textId="77777777" w:rsidR="006A0566" w:rsidRPr="00D93985" w:rsidRDefault="006A0566" w:rsidP="00D93985">
            <w:pPr>
              <w:widowControl w:val="0"/>
              <w:jc w:val="center"/>
              <w:rPr>
                <w:rFonts w:ascii="Arial" w:hAnsi="Arial" w:cs="Arial"/>
                <w:bCs/>
                <w:sz w:val="16"/>
                <w:szCs w:val="16"/>
              </w:rPr>
            </w:pPr>
            <w:proofErr w:type="spellStart"/>
            <w:r w:rsidRPr="00D93985">
              <w:rPr>
                <w:rFonts w:ascii="Arial" w:hAnsi="Arial" w:cs="Arial"/>
                <w:bCs/>
                <w:sz w:val="16"/>
                <w:szCs w:val="16"/>
              </w:rPr>
              <w:t>publity</w:t>
            </w:r>
            <w:proofErr w:type="spellEnd"/>
            <w:r w:rsidRPr="00D93985">
              <w:rPr>
                <w:rFonts w:ascii="Arial" w:hAnsi="Arial" w:cs="Arial"/>
                <w:bCs/>
                <w:sz w:val="16"/>
                <w:szCs w:val="16"/>
              </w:rPr>
              <w:t xml:space="preserve"> AG</w:t>
            </w:r>
          </w:p>
        </w:tc>
        <w:tc>
          <w:tcPr>
            <w:tcW w:w="2309" w:type="dxa"/>
            <w:shd w:val="clear" w:color="auto" w:fill="auto"/>
            <w:vAlign w:val="center"/>
          </w:tcPr>
          <w:p w14:paraId="7ABC0576" w14:textId="77777777" w:rsidR="006A0566" w:rsidRPr="00D93985" w:rsidRDefault="006A0566" w:rsidP="00D93985">
            <w:pPr>
              <w:widowControl w:val="0"/>
              <w:jc w:val="center"/>
              <w:rPr>
                <w:rFonts w:ascii="Arial" w:hAnsi="Arial" w:cs="Arial"/>
                <w:bCs/>
                <w:sz w:val="16"/>
                <w:szCs w:val="16"/>
              </w:rPr>
            </w:pPr>
            <w:proofErr w:type="spellStart"/>
            <w:r w:rsidRPr="00D93985">
              <w:rPr>
                <w:rFonts w:ascii="Arial" w:hAnsi="Arial" w:cs="Arial"/>
                <w:bCs/>
                <w:sz w:val="16"/>
                <w:szCs w:val="16"/>
              </w:rPr>
              <w:t>InfraRed</w:t>
            </w:r>
            <w:proofErr w:type="spellEnd"/>
            <w:r w:rsidRPr="00D93985">
              <w:rPr>
                <w:rFonts w:ascii="Arial" w:hAnsi="Arial" w:cs="Arial"/>
                <w:bCs/>
                <w:sz w:val="16"/>
                <w:szCs w:val="16"/>
              </w:rPr>
              <w:t xml:space="preserve"> Capital Partners</w:t>
            </w:r>
          </w:p>
        </w:tc>
        <w:tc>
          <w:tcPr>
            <w:tcW w:w="895" w:type="dxa"/>
            <w:shd w:val="clear" w:color="auto" w:fill="auto"/>
            <w:vAlign w:val="center"/>
          </w:tcPr>
          <w:p w14:paraId="1A2A7CA0" w14:textId="77777777" w:rsidR="006A0566" w:rsidRPr="00D93985" w:rsidRDefault="006A0566" w:rsidP="00D93985">
            <w:pPr>
              <w:widowControl w:val="0"/>
              <w:jc w:val="center"/>
              <w:rPr>
                <w:rFonts w:ascii="Arial" w:hAnsi="Arial" w:cs="Arial"/>
                <w:bCs/>
                <w:sz w:val="16"/>
                <w:szCs w:val="16"/>
              </w:rPr>
            </w:pPr>
            <w:r w:rsidRPr="00D93985">
              <w:rPr>
                <w:rFonts w:ascii="Arial" w:hAnsi="Arial" w:cs="Arial"/>
                <w:bCs/>
                <w:sz w:val="16"/>
                <w:szCs w:val="16"/>
              </w:rPr>
              <w:t>&lt;200</w:t>
            </w:r>
          </w:p>
        </w:tc>
      </w:tr>
    </w:tbl>
    <w:p w14:paraId="522DDABE" w14:textId="77777777" w:rsidR="006A0566" w:rsidRPr="00124162" w:rsidRDefault="006A0566" w:rsidP="006A0566">
      <w:pPr>
        <w:widowControl w:val="0"/>
        <w:spacing w:after="0"/>
        <w:rPr>
          <w:rFonts w:ascii="Arial" w:hAnsi="Arial" w:cs="Arial"/>
          <w:sz w:val="16"/>
          <w:szCs w:val="16"/>
          <w:lang w:val="en-GB"/>
        </w:rPr>
      </w:pPr>
      <w:r>
        <w:rPr>
          <w:rFonts w:ascii="Arial" w:hAnsi="Arial" w:cs="Arial"/>
          <w:sz w:val="16"/>
          <w:szCs w:val="16"/>
        </w:rPr>
        <w:t xml:space="preserve">Deals aus diesem Berichtsquartal sind grau hinterlegt. </w:t>
      </w:r>
      <w:proofErr w:type="spellStart"/>
      <w:r w:rsidRPr="00124162">
        <w:rPr>
          <w:rFonts w:ascii="Arial" w:hAnsi="Arial" w:cs="Arial"/>
          <w:sz w:val="16"/>
          <w:szCs w:val="16"/>
          <w:lang w:val="en-GB"/>
        </w:rPr>
        <w:t>Quelle</w:t>
      </w:r>
      <w:proofErr w:type="spellEnd"/>
      <w:r w:rsidRPr="00124162">
        <w:rPr>
          <w:rFonts w:ascii="Arial" w:hAnsi="Arial" w:cs="Arial"/>
          <w:sz w:val="16"/>
          <w:szCs w:val="16"/>
          <w:lang w:val="en-GB"/>
        </w:rPr>
        <w:t>: German Property Partners (GPP)</w:t>
      </w:r>
    </w:p>
    <w:p w14:paraId="66A10177" w14:textId="77777777" w:rsidR="00A4078F" w:rsidRPr="00124162" w:rsidRDefault="00A4078F" w:rsidP="00DD4941">
      <w:pPr>
        <w:widowControl w:val="0"/>
        <w:spacing w:after="0"/>
        <w:rPr>
          <w:rFonts w:ascii="Arial" w:hAnsi="Arial" w:cs="Arial"/>
          <w:sz w:val="16"/>
          <w:szCs w:val="16"/>
          <w:lang w:val="en-GB"/>
        </w:rPr>
      </w:pPr>
    </w:p>
    <w:p w14:paraId="26EA443F" w14:textId="5122348E" w:rsidR="006A0566" w:rsidRDefault="006A0566" w:rsidP="006A0566">
      <w:pPr>
        <w:widowControl w:val="0"/>
        <w:spacing w:after="0"/>
        <w:jc w:val="both"/>
        <w:rPr>
          <w:rFonts w:ascii="Arial" w:hAnsi="Arial" w:cs="Arial"/>
          <w:b/>
          <w:sz w:val="20"/>
          <w:szCs w:val="20"/>
        </w:rPr>
      </w:pPr>
      <w:r w:rsidRPr="00124162">
        <w:rPr>
          <w:rFonts w:ascii="Arial" w:hAnsi="Arial" w:cs="Arial"/>
          <w:b/>
          <w:sz w:val="20"/>
          <w:szCs w:val="20"/>
          <w:lang w:val="en-GB"/>
        </w:rPr>
        <w:t xml:space="preserve">Top-7-Standorte | </w:t>
      </w:r>
      <w:r w:rsidR="00647DCD" w:rsidRPr="00124162">
        <w:rPr>
          <w:rFonts w:ascii="Arial" w:hAnsi="Arial" w:cs="Arial"/>
          <w:b/>
          <w:sz w:val="20"/>
          <w:szCs w:val="20"/>
          <w:lang w:val="en-GB"/>
        </w:rPr>
        <w:t>1.-3</w:t>
      </w:r>
      <w:r w:rsidRPr="00124162">
        <w:rPr>
          <w:rFonts w:ascii="Arial" w:hAnsi="Arial" w:cs="Arial"/>
          <w:b/>
          <w:sz w:val="20"/>
          <w:szCs w:val="20"/>
          <w:lang w:val="en-GB"/>
        </w:rPr>
        <w:t xml:space="preserve">. </w:t>
      </w:r>
      <w:r w:rsidRPr="00487ECE">
        <w:rPr>
          <w:rFonts w:ascii="Arial" w:hAnsi="Arial" w:cs="Arial"/>
          <w:b/>
          <w:sz w:val="20"/>
          <w:szCs w:val="20"/>
        </w:rPr>
        <w:t>Quartal 20</w:t>
      </w:r>
      <w:r w:rsidR="00647DCD">
        <w:rPr>
          <w:rFonts w:ascii="Arial" w:hAnsi="Arial" w:cs="Arial"/>
          <w:b/>
          <w:sz w:val="20"/>
          <w:szCs w:val="20"/>
        </w:rPr>
        <w:t>20</w:t>
      </w:r>
    </w:p>
    <w:tbl>
      <w:tblPr>
        <w:tblStyle w:val="TableGrid2"/>
        <w:tblW w:w="0" w:type="auto"/>
        <w:tblLook w:val="04A0" w:firstRow="1" w:lastRow="0" w:firstColumn="1" w:lastColumn="0" w:noHBand="0" w:noVBand="1"/>
      </w:tblPr>
      <w:tblGrid>
        <w:gridCol w:w="1939"/>
        <w:gridCol w:w="817"/>
        <w:gridCol w:w="816"/>
        <w:gridCol w:w="933"/>
        <w:gridCol w:w="937"/>
        <w:gridCol w:w="937"/>
        <w:gridCol w:w="932"/>
        <w:gridCol w:w="936"/>
        <w:gridCol w:w="800"/>
      </w:tblGrid>
      <w:tr w:rsidR="006A0566" w:rsidRPr="006F49D0" w14:paraId="200FACDE" w14:textId="77777777" w:rsidTr="00CB4698">
        <w:tc>
          <w:tcPr>
            <w:tcW w:w="1939" w:type="dxa"/>
          </w:tcPr>
          <w:p w14:paraId="0448DC90" w14:textId="77777777" w:rsidR="006A0566" w:rsidRPr="006F49D0" w:rsidRDefault="006A0566" w:rsidP="00CB4698">
            <w:pPr>
              <w:widowControl w:val="0"/>
              <w:jc w:val="both"/>
              <w:rPr>
                <w:rFonts w:ascii="Arial" w:hAnsi="Arial" w:cs="Arial"/>
                <w:b/>
                <w:sz w:val="16"/>
                <w:szCs w:val="16"/>
              </w:rPr>
            </w:pPr>
          </w:p>
        </w:tc>
        <w:tc>
          <w:tcPr>
            <w:tcW w:w="817" w:type="dxa"/>
          </w:tcPr>
          <w:p w14:paraId="7A423236"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HAM</w:t>
            </w:r>
          </w:p>
        </w:tc>
        <w:tc>
          <w:tcPr>
            <w:tcW w:w="816" w:type="dxa"/>
          </w:tcPr>
          <w:p w14:paraId="588D40C5"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BER</w:t>
            </w:r>
          </w:p>
        </w:tc>
        <w:tc>
          <w:tcPr>
            <w:tcW w:w="933" w:type="dxa"/>
          </w:tcPr>
          <w:p w14:paraId="3DFAA8D9"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DUS</w:t>
            </w:r>
          </w:p>
        </w:tc>
        <w:tc>
          <w:tcPr>
            <w:tcW w:w="937" w:type="dxa"/>
          </w:tcPr>
          <w:p w14:paraId="542C5A28" w14:textId="77777777" w:rsidR="006A0566" w:rsidRPr="00496E95" w:rsidRDefault="006A0566" w:rsidP="00CB4698">
            <w:pPr>
              <w:widowControl w:val="0"/>
              <w:jc w:val="center"/>
              <w:rPr>
                <w:rFonts w:ascii="Arial" w:hAnsi="Arial" w:cs="Arial"/>
                <w:b/>
                <w:sz w:val="16"/>
                <w:szCs w:val="16"/>
              </w:rPr>
            </w:pPr>
            <w:r w:rsidRPr="00496E95">
              <w:rPr>
                <w:rFonts w:ascii="Arial" w:hAnsi="Arial" w:cs="Arial"/>
                <w:b/>
                <w:sz w:val="16"/>
                <w:szCs w:val="16"/>
              </w:rPr>
              <w:t>CGN</w:t>
            </w:r>
          </w:p>
        </w:tc>
        <w:tc>
          <w:tcPr>
            <w:tcW w:w="937" w:type="dxa"/>
          </w:tcPr>
          <w:p w14:paraId="448B9BC1" w14:textId="77777777" w:rsidR="006A0566" w:rsidRPr="00496E95" w:rsidRDefault="006A0566" w:rsidP="00CB4698">
            <w:pPr>
              <w:widowControl w:val="0"/>
              <w:jc w:val="center"/>
              <w:rPr>
                <w:rFonts w:ascii="Arial" w:hAnsi="Arial" w:cs="Arial"/>
                <w:b/>
                <w:sz w:val="16"/>
                <w:szCs w:val="16"/>
              </w:rPr>
            </w:pPr>
            <w:r w:rsidRPr="00496E95">
              <w:rPr>
                <w:rFonts w:ascii="Arial" w:hAnsi="Arial" w:cs="Arial"/>
                <w:b/>
                <w:sz w:val="16"/>
                <w:szCs w:val="16"/>
              </w:rPr>
              <w:t>FFM</w:t>
            </w:r>
          </w:p>
        </w:tc>
        <w:tc>
          <w:tcPr>
            <w:tcW w:w="932" w:type="dxa"/>
          </w:tcPr>
          <w:p w14:paraId="3AE3122E"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STU</w:t>
            </w:r>
          </w:p>
        </w:tc>
        <w:tc>
          <w:tcPr>
            <w:tcW w:w="936" w:type="dxa"/>
          </w:tcPr>
          <w:p w14:paraId="343D4B19"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MUC</w:t>
            </w:r>
          </w:p>
        </w:tc>
        <w:tc>
          <w:tcPr>
            <w:tcW w:w="800" w:type="dxa"/>
          </w:tcPr>
          <w:p w14:paraId="2E76D680" w14:textId="77777777" w:rsidR="006A0566" w:rsidRPr="006F49D0" w:rsidRDefault="006A0566" w:rsidP="00CB4698">
            <w:pPr>
              <w:widowControl w:val="0"/>
              <w:jc w:val="center"/>
              <w:rPr>
                <w:rFonts w:ascii="Arial" w:hAnsi="Arial" w:cs="Arial"/>
                <w:b/>
                <w:sz w:val="16"/>
                <w:szCs w:val="16"/>
              </w:rPr>
            </w:pPr>
            <w:r>
              <w:rPr>
                <w:rFonts w:ascii="Arial" w:hAnsi="Arial" w:cs="Arial"/>
                <w:b/>
                <w:sz w:val="16"/>
                <w:szCs w:val="16"/>
              </w:rPr>
              <w:t>TOP</w:t>
            </w:r>
            <w:r w:rsidRPr="006F49D0">
              <w:rPr>
                <w:rFonts w:ascii="Arial" w:hAnsi="Arial" w:cs="Arial"/>
                <w:b/>
                <w:sz w:val="16"/>
                <w:szCs w:val="16"/>
              </w:rPr>
              <w:t>-7</w:t>
            </w:r>
          </w:p>
        </w:tc>
      </w:tr>
      <w:tr w:rsidR="006A0566" w:rsidRPr="006F49D0" w14:paraId="50C9861D" w14:textId="77777777" w:rsidTr="006C17CE">
        <w:tc>
          <w:tcPr>
            <w:tcW w:w="1939" w:type="dxa"/>
          </w:tcPr>
          <w:p w14:paraId="14677540"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TAV</w:t>
            </w:r>
          </w:p>
          <w:p w14:paraId="6009DF5B" w14:textId="77777777" w:rsidR="006A0566" w:rsidRPr="006F49D0" w:rsidRDefault="006A0566" w:rsidP="00CB4698">
            <w:pPr>
              <w:widowControl w:val="0"/>
              <w:jc w:val="both"/>
              <w:rPr>
                <w:rFonts w:ascii="Arial" w:hAnsi="Arial" w:cs="Arial"/>
                <w:b/>
                <w:sz w:val="16"/>
                <w:szCs w:val="16"/>
              </w:rPr>
            </w:pPr>
            <w:r w:rsidRPr="006F49D0">
              <w:rPr>
                <w:rFonts w:ascii="Arial" w:hAnsi="Arial" w:cs="Arial"/>
                <w:sz w:val="16"/>
                <w:szCs w:val="16"/>
              </w:rPr>
              <w:t>in Mio. €</w:t>
            </w:r>
          </w:p>
        </w:tc>
        <w:tc>
          <w:tcPr>
            <w:tcW w:w="817" w:type="dxa"/>
            <w:vAlign w:val="center"/>
          </w:tcPr>
          <w:p w14:paraId="75CA8E5B" w14:textId="79DAA0E0" w:rsidR="006A0566" w:rsidRPr="000256CF" w:rsidRDefault="00AA7124" w:rsidP="00AA7124">
            <w:pPr>
              <w:widowControl w:val="0"/>
              <w:jc w:val="center"/>
              <w:rPr>
                <w:rFonts w:ascii="Arial" w:hAnsi="Arial" w:cs="Arial"/>
                <w:sz w:val="16"/>
                <w:szCs w:val="16"/>
              </w:rPr>
            </w:pPr>
            <w:r>
              <w:rPr>
                <w:rFonts w:ascii="Arial" w:hAnsi="Arial" w:cs="Arial"/>
                <w:sz w:val="16"/>
                <w:szCs w:val="16"/>
              </w:rPr>
              <w:t>3</w:t>
            </w:r>
            <w:r w:rsidR="006A0566">
              <w:rPr>
                <w:rFonts w:ascii="Arial" w:hAnsi="Arial" w:cs="Arial"/>
                <w:sz w:val="16"/>
                <w:szCs w:val="16"/>
              </w:rPr>
              <w:t>.</w:t>
            </w:r>
            <w:r>
              <w:rPr>
                <w:rFonts w:ascii="Arial" w:hAnsi="Arial" w:cs="Arial"/>
                <w:sz w:val="16"/>
                <w:szCs w:val="16"/>
              </w:rPr>
              <w:t>640</w:t>
            </w:r>
          </w:p>
        </w:tc>
        <w:tc>
          <w:tcPr>
            <w:tcW w:w="816" w:type="dxa"/>
            <w:vAlign w:val="center"/>
          </w:tcPr>
          <w:p w14:paraId="76C43343" w14:textId="2728D4B3" w:rsidR="006A0566" w:rsidRPr="00AA7124" w:rsidRDefault="00DB0732" w:rsidP="00CB4698">
            <w:pPr>
              <w:widowControl w:val="0"/>
              <w:jc w:val="center"/>
              <w:rPr>
                <w:rFonts w:ascii="Arial" w:hAnsi="Arial" w:cs="Arial"/>
                <w:sz w:val="16"/>
                <w:szCs w:val="16"/>
                <w:highlight w:val="yellow"/>
              </w:rPr>
            </w:pPr>
            <w:r>
              <w:rPr>
                <w:rFonts w:ascii="Arial" w:hAnsi="Arial" w:cs="Arial"/>
                <w:sz w:val="16"/>
                <w:szCs w:val="16"/>
              </w:rPr>
              <w:t>4.7</w:t>
            </w:r>
            <w:r w:rsidR="006C17CE" w:rsidRPr="006C17CE">
              <w:rPr>
                <w:rFonts w:ascii="Arial" w:hAnsi="Arial" w:cs="Arial"/>
                <w:sz w:val="16"/>
                <w:szCs w:val="16"/>
              </w:rPr>
              <w:t>50</w:t>
            </w:r>
          </w:p>
        </w:tc>
        <w:tc>
          <w:tcPr>
            <w:tcW w:w="933" w:type="dxa"/>
            <w:vAlign w:val="center"/>
          </w:tcPr>
          <w:p w14:paraId="5FEF9B6E" w14:textId="4D66C066" w:rsidR="006A0566" w:rsidRPr="00AA7124" w:rsidRDefault="006C17CE" w:rsidP="00CB4698">
            <w:pPr>
              <w:widowControl w:val="0"/>
              <w:jc w:val="center"/>
              <w:rPr>
                <w:rFonts w:ascii="Arial" w:hAnsi="Arial" w:cs="Arial"/>
                <w:sz w:val="16"/>
                <w:szCs w:val="16"/>
                <w:highlight w:val="yellow"/>
              </w:rPr>
            </w:pPr>
            <w:r w:rsidRPr="006C17CE">
              <w:rPr>
                <w:rFonts w:ascii="Arial" w:hAnsi="Arial" w:cs="Arial"/>
                <w:sz w:val="16"/>
                <w:szCs w:val="16"/>
              </w:rPr>
              <w:t>2.280</w:t>
            </w:r>
          </w:p>
        </w:tc>
        <w:tc>
          <w:tcPr>
            <w:tcW w:w="937" w:type="dxa"/>
            <w:vAlign w:val="center"/>
          </w:tcPr>
          <w:p w14:paraId="062AC22D" w14:textId="3FDBC961" w:rsidR="006A0566" w:rsidRPr="006C17CE" w:rsidRDefault="006C17CE" w:rsidP="00CB4698">
            <w:pPr>
              <w:widowControl w:val="0"/>
              <w:jc w:val="center"/>
              <w:rPr>
                <w:rFonts w:ascii="Arial" w:hAnsi="Arial" w:cs="Arial"/>
                <w:sz w:val="16"/>
                <w:szCs w:val="16"/>
              </w:rPr>
            </w:pPr>
            <w:r w:rsidRPr="006C17CE">
              <w:rPr>
                <w:rFonts w:ascii="Arial" w:hAnsi="Arial" w:cs="Arial"/>
                <w:sz w:val="16"/>
                <w:szCs w:val="16"/>
              </w:rPr>
              <w:t>1.200</w:t>
            </w:r>
          </w:p>
        </w:tc>
        <w:tc>
          <w:tcPr>
            <w:tcW w:w="937" w:type="dxa"/>
            <w:vAlign w:val="center"/>
          </w:tcPr>
          <w:p w14:paraId="3167EB73" w14:textId="5107BE42" w:rsidR="006A0566" w:rsidRPr="006C17CE" w:rsidRDefault="006C17CE" w:rsidP="00CB4698">
            <w:pPr>
              <w:widowControl w:val="0"/>
              <w:jc w:val="center"/>
              <w:rPr>
                <w:rFonts w:ascii="Arial" w:hAnsi="Arial" w:cs="Arial"/>
                <w:sz w:val="16"/>
                <w:szCs w:val="16"/>
              </w:rPr>
            </w:pPr>
            <w:r w:rsidRPr="006C17CE">
              <w:rPr>
                <w:rFonts w:ascii="Arial" w:hAnsi="Arial" w:cs="Arial"/>
                <w:sz w:val="16"/>
                <w:szCs w:val="16"/>
              </w:rPr>
              <w:t>3.307</w:t>
            </w:r>
          </w:p>
        </w:tc>
        <w:tc>
          <w:tcPr>
            <w:tcW w:w="932" w:type="dxa"/>
            <w:vAlign w:val="center"/>
          </w:tcPr>
          <w:p w14:paraId="7AC06FF8" w14:textId="0BB4FD47" w:rsidR="006A0566" w:rsidRPr="006C17CE" w:rsidRDefault="00F374EE" w:rsidP="00CB4698">
            <w:pPr>
              <w:widowControl w:val="0"/>
              <w:jc w:val="center"/>
              <w:rPr>
                <w:rFonts w:ascii="Arial" w:hAnsi="Arial" w:cs="Arial"/>
                <w:sz w:val="16"/>
                <w:szCs w:val="16"/>
              </w:rPr>
            </w:pPr>
            <w:r>
              <w:rPr>
                <w:rFonts w:ascii="Arial" w:hAnsi="Arial" w:cs="Arial"/>
                <w:sz w:val="16"/>
                <w:szCs w:val="16"/>
              </w:rPr>
              <w:t>892</w:t>
            </w:r>
          </w:p>
        </w:tc>
        <w:tc>
          <w:tcPr>
            <w:tcW w:w="936" w:type="dxa"/>
            <w:shd w:val="clear" w:color="auto" w:fill="auto"/>
            <w:vAlign w:val="center"/>
          </w:tcPr>
          <w:p w14:paraId="43946B17" w14:textId="5540D431" w:rsidR="006A0566" w:rsidRPr="006C17CE" w:rsidRDefault="006C17CE" w:rsidP="00CB4698">
            <w:pPr>
              <w:widowControl w:val="0"/>
              <w:jc w:val="center"/>
              <w:rPr>
                <w:rFonts w:ascii="Arial" w:hAnsi="Arial" w:cs="Arial"/>
                <w:sz w:val="16"/>
                <w:szCs w:val="16"/>
              </w:rPr>
            </w:pPr>
            <w:r w:rsidRPr="006C17CE">
              <w:rPr>
                <w:rFonts w:ascii="Arial" w:hAnsi="Arial" w:cs="Arial"/>
                <w:sz w:val="16"/>
                <w:szCs w:val="16"/>
              </w:rPr>
              <w:t>2.989</w:t>
            </w:r>
          </w:p>
        </w:tc>
        <w:tc>
          <w:tcPr>
            <w:tcW w:w="800" w:type="dxa"/>
            <w:vAlign w:val="center"/>
          </w:tcPr>
          <w:p w14:paraId="2FDD1DB5" w14:textId="2CDC2DF3" w:rsidR="006A0566" w:rsidRPr="006C17CE" w:rsidRDefault="006C17CE" w:rsidP="00F374EE">
            <w:pPr>
              <w:widowControl w:val="0"/>
              <w:jc w:val="center"/>
              <w:rPr>
                <w:rFonts w:ascii="Arial" w:hAnsi="Arial" w:cs="Arial"/>
                <w:b/>
                <w:sz w:val="16"/>
                <w:szCs w:val="16"/>
              </w:rPr>
            </w:pPr>
            <w:r w:rsidRPr="006C17CE">
              <w:rPr>
                <w:rFonts w:ascii="Arial" w:hAnsi="Arial" w:cs="Arial"/>
                <w:b/>
                <w:sz w:val="16"/>
                <w:szCs w:val="16"/>
              </w:rPr>
              <w:t>1</w:t>
            </w:r>
            <w:r w:rsidR="00F374EE">
              <w:rPr>
                <w:rFonts w:ascii="Arial" w:hAnsi="Arial" w:cs="Arial"/>
                <w:b/>
                <w:sz w:val="16"/>
                <w:szCs w:val="16"/>
              </w:rPr>
              <w:t>9</w:t>
            </w:r>
            <w:r w:rsidRPr="006C17CE">
              <w:rPr>
                <w:rFonts w:ascii="Arial" w:hAnsi="Arial" w:cs="Arial"/>
                <w:b/>
                <w:sz w:val="16"/>
                <w:szCs w:val="16"/>
              </w:rPr>
              <w:t>.</w:t>
            </w:r>
            <w:r w:rsidR="00F374EE">
              <w:rPr>
                <w:rFonts w:ascii="Arial" w:hAnsi="Arial" w:cs="Arial"/>
                <w:b/>
                <w:sz w:val="16"/>
                <w:szCs w:val="16"/>
              </w:rPr>
              <w:t>058</w:t>
            </w:r>
          </w:p>
        </w:tc>
      </w:tr>
      <w:tr w:rsidR="006A0566" w:rsidRPr="006F49D0" w14:paraId="7380293A" w14:textId="77777777" w:rsidTr="006C17CE">
        <w:tc>
          <w:tcPr>
            <w:tcW w:w="1939" w:type="dxa"/>
          </w:tcPr>
          <w:p w14:paraId="5E2AECD0"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Veränderung</w:t>
            </w:r>
          </w:p>
          <w:p w14:paraId="2FCBBF14" w14:textId="77777777" w:rsidR="006A0566" w:rsidRPr="006F49D0" w:rsidRDefault="006A0566" w:rsidP="00CB4698">
            <w:pPr>
              <w:widowControl w:val="0"/>
              <w:jc w:val="both"/>
              <w:rPr>
                <w:rFonts w:ascii="Arial" w:hAnsi="Arial" w:cs="Arial"/>
                <w:b/>
                <w:sz w:val="16"/>
                <w:szCs w:val="16"/>
              </w:rPr>
            </w:pPr>
            <w:proofErr w:type="spellStart"/>
            <w:r w:rsidRPr="00184A11">
              <w:rPr>
                <w:rFonts w:ascii="Arial" w:hAnsi="Arial" w:cs="Arial"/>
                <w:sz w:val="16"/>
                <w:szCs w:val="16"/>
              </w:rPr>
              <w:t>ggü</w:t>
            </w:r>
            <w:proofErr w:type="spellEnd"/>
            <w:r w:rsidRPr="00184A11">
              <w:rPr>
                <w:rFonts w:ascii="Arial" w:hAnsi="Arial" w:cs="Arial"/>
                <w:sz w:val="16"/>
                <w:szCs w:val="16"/>
              </w:rPr>
              <w:t>. Vorjahr</w:t>
            </w:r>
            <w:r w:rsidRPr="006F49D0">
              <w:rPr>
                <w:rFonts w:ascii="Arial" w:hAnsi="Arial" w:cs="Arial"/>
                <w:b/>
                <w:sz w:val="16"/>
                <w:szCs w:val="16"/>
              </w:rPr>
              <w:t xml:space="preserve"> </w:t>
            </w:r>
            <w:r w:rsidRPr="006F49D0">
              <w:rPr>
                <w:rFonts w:ascii="Arial" w:hAnsi="Arial" w:cs="Arial"/>
                <w:sz w:val="16"/>
                <w:szCs w:val="16"/>
              </w:rPr>
              <w:t>in %</w:t>
            </w:r>
          </w:p>
        </w:tc>
        <w:tc>
          <w:tcPr>
            <w:tcW w:w="817" w:type="dxa"/>
            <w:vAlign w:val="center"/>
          </w:tcPr>
          <w:p w14:paraId="366E421A" w14:textId="76D78373" w:rsidR="006A0566" w:rsidRPr="00B45C1F" w:rsidRDefault="00AA7124" w:rsidP="00CB4698">
            <w:pPr>
              <w:widowControl w:val="0"/>
              <w:jc w:val="center"/>
              <w:rPr>
                <w:rFonts w:ascii="Arial" w:hAnsi="Arial" w:cs="Arial"/>
                <w:sz w:val="16"/>
                <w:szCs w:val="16"/>
              </w:rPr>
            </w:pPr>
            <w:r>
              <w:rPr>
                <w:rFonts w:ascii="Arial" w:hAnsi="Arial" w:cs="Arial"/>
                <w:sz w:val="16"/>
                <w:szCs w:val="16"/>
              </w:rPr>
              <w:t>+37</w:t>
            </w:r>
          </w:p>
        </w:tc>
        <w:tc>
          <w:tcPr>
            <w:tcW w:w="816" w:type="dxa"/>
            <w:vAlign w:val="center"/>
          </w:tcPr>
          <w:p w14:paraId="3EEA9F22" w14:textId="59C10B22" w:rsidR="006A0566" w:rsidRPr="00AA7124" w:rsidRDefault="00854409" w:rsidP="00CB4698">
            <w:pPr>
              <w:widowControl w:val="0"/>
              <w:jc w:val="center"/>
              <w:rPr>
                <w:rFonts w:ascii="Arial" w:hAnsi="Arial" w:cs="Arial"/>
                <w:sz w:val="16"/>
                <w:szCs w:val="16"/>
                <w:highlight w:val="yellow"/>
              </w:rPr>
            </w:pPr>
            <w:r>
              <w:rPr>
                <w:rFonts w:ascii="Arial" w:hAnsi="Arial" w:cs="Arial"/>
                <w:sz w:val="16"/>
                <w:szCs w:val="16"/>
              </w:rPr>
              <w:t>-42</w:t>
            </w:r>
          </w:p>
        </w:tc>
        <w:tc>
          <w:tcPr>
            <w:tcW w:w="933" w:type="dxa"/>
            <w:vAlign w:val="center"/>
          </w:tcPr>
          <w:p w14:paraId="49E7C453" w14:textId="7AFF8AC3" w:rsidR="006A0566" w:rsidRPr="00AA7124" w:rsidRDefault="006C17CE" w:rsidP="00CB4698">
            <w:pPr>
              <w:widowControl w:val="0"/>
              <w:jc w:val="center"/>
              <w:rPr>
                <w:rFonts w:ascii="Arial" w:hAnsi="Arial" w:cs="Arial"/>
                <w:sz w:val="16"/>
                <w:szCs w:val="16"/>
                <w:highlight w:val="yellow"/>
              </w:rPr>
            </w:pPr>
            <w:r>
              <w:rPr>
                <w:rFonts w:ascii="Arial" w:hAnsi="Arial" w:cs="Arial"/>
                <w:sz w:val="16"/>
                <w:szCs w:val="16"/>
              </w:rPr>
              <w:t>+36</w:t>
            </w:r>
          </w:p>
        </w:tc>
        <w:tc>
          <w:tcPr>
            <w:tcW w:w="937" w:type="dxa"/>
            <w:vAlign w:val="center"/>
          </w:tcPr>
          <w:p w14:paraId="5B639059" w14:textId="5D0AFFE2" w:rsidR="006A0566" w:rsidRPr="006C17CE" w:rsidRDefault="006C17CE" w:rsidP="00CB4698">
            <w:pPr>
              <w:widowControl w:val="0"/>
              <w:jc w:val="center"/>
              <w:rPr>
                <w:rFonts w:ascii="Arial" w:hAnsi="Arial" w:cs="Arial"/>
                <w:sz w:val="16"/>
                <w:szCs w:val="16"/>
              </w:rPr>
            </w:pPr>
            <w:r w:rsidRPr="006C17CE">
              <w:rPr>
                <w:rFonts w:ascii="Arial" w:hAnsi="Arial" w:cs="Arial"/>
                <w:sz w:val="16"/>
                <w:szCs w:val="16"/>
              </w:rPr>
              <w:t>-20</w:t>
            </w:r>
          </w:p>
        </w:tc>
        <w:tc>
          <w:tcPr>
            <w:tcW w:w="937" w:type="dxa"/>
            <w:vAlign w:val="center"/>
          </w:tcPr>
          <w:p w14:paraId="15A58B43" w14:textId="04A9BEDC" w:rsidR="006A0566" w:rsidRPr="006C17CE" w:rsidRDefault="006C17CE" w:rsidP="00CB4698">
            <w:pPr>
              <w:widowControl w:val="0"/>
              <w:jc w:val="center"/>
              <w:rPr>
                <w:rFonts w:ascii="Arial" w:hAnsi="Arial" w:cs="Arial"/>
                <w:sz w:val="16"/>
                <w:szCs w:val="16"/>
              </w:rPr>
            </w:pPr>
            <w:r w:rsidRPr="006C17CE">
              <w:rPr>
                <w:rFonts w:ascii="Arial" w:hAnsi="Arial" w:cs="Arial"/>
                <w:sz w:val="16"/>
                <w:szCs w:val="16"/>
              </w:rPr>
              <w:t>-18</w:t>
            </w:r>
          </w:p>
        </w:tc>
        <w:tc>
          <w:tcPr>
            <w:tcW w:w="932" w:type="dxa"/>
            <w:vAlign w:val="center"/>
          </w:tcPr>
          <w:p w14:paraId="0ADC5685" w14:textId="2FAC6235" w:rsidR="006A0566" w:rsidRPr="006C17CE" w:rsidRDefault="00F374EE" w:rsidP="00CB4698">
            <w:pPr>
              <w:widowControl w:val="0"/>
              <w:jc w:val="center"/>
              <w:rPr>
                <w:rFonts w:ascii="Arial" w:hAnsi="Arial" w:cs="Arial"/>
                <w:sz w:val="16"/>
                <w:szCs w:val="16"/>
              </w:rPr>
            </w:pPr>
            <w:r>
              <w:rPr>
                <w:rFonts w:ascii="Arial" w:hAnsi="Arial" w:cs="Arial"/>
                <w:sz w:val="16"/>
                <w:szCs w:val="16"/>
              </w:rPr>
              <w:t>-2</w:t>
            </w:r>
            <w:r w:rsidR="006C17CE" w:rsidRPr="006C17CE">
              <w:rPr>
                <w:rFonts w:ascii="Arial" w:hAnsi="Arial" w:cs="Arial"/>
                <w:sz w:val="16"/>
                <w:szCs w:val="16"/>
              </w:rPr>
              <w:t>8</w:t>
            </w:r>
          </w:p>
        </w:tc>
        <w:tc>
          <w:tcPr>
            <w:tcW w:w="936" w:type="dxa"/>
            <w:shd w:val="clear" w:color="auto" w:fill="auto"/>
            <w:vAlign w:val="center"/>
          </w:tcPr>
          <w:p w14:paraId="41EFE33D" w14:textId="0924877B" w:rsidR="006A0566" w:rsidRPr="006C17CE" w:rsidRDefault="006C17CE" w:rsidP="00CB4698">
            <w:pPr>
              <w:widowControl w:val="0"/>
              <w:jc w:val="center"/>
              <w:rPr>
                <w:rFonts w:ascii="Arial" w:hAnsi="Arial" w:cs="Arial"/>
                <w:sz w:val="16"/>
                <w:szCs w:val="16"/>
              </w:rPr>
            </w:pPr>
            <w:r w:rsidRPr="006C17CE">
              <w:rPr>
                <w:rFonts w:ascii="Arial" w:hAnsi="Arial" w:cs="Arial"/>
                <w:sz w:val="16"/>
                <w:szCs w:val="16"/>
              </w:rPr>
              <w:t>-32</w:t>
            </w:r>
          </w:p>
        </w:tc>
        <w:tc>
          <w:tcPr>
            <w:tcW w:w="800" w:type="dxa"/>
            <w:vAlign w:val="center"/>
          </w:tcPr>
          <w:p w14:paraId="2AED7A78" w14:textId="195D3788" w:rsidR="006A0566" w:rsidRPr="006C17CE" w:rsidRDefault="00F374EE" w:rsidP="000A0966">
            <w:pPr>
              <w:widowControl w:val="0"/>
              <w:jc w:val="center"/>
              <w:rPr>
                <w:rFonts w:ascii="Arial" w:hAnsi="Arial" w:cs="Arial"/>
                <w:b/>
                <w:sz w:val="16"/>
                <w:szCs w:val="16"/>
              </w:rPr>
            </w:pPr>
            <w:r>
              <w:rPr>
                <w:rFonts w:ascii="Arial" w:hAnsi="Arial" w:cs="Arial"/>
                <w:b/>
                <w:sz w:val="16"/>
                <w:szCs w:val="16"/>
              </w:rPr>
              <w:t>-19</w:t>
            </w:r>
          </w:p>
        </w:tc>
      </w:tr>
      <w:tr w:rsidR="006A0566" w:rsidRPr="006F49D0" w14:paraId="416875DA" w14:textId="77777777" w:rsidTr="006C17CE">
        <w:tc>
          <w:tcPr>
            <w:tcW w:w="1939" w:type="dxa"/>
          </w:tcPr>
          <w:p w14:paraId="16BA9BE5" w14:textId="77777777" w:rsidR="006A0566" w:rsidRDefault="006A0566" w:rsidP="00CB4698">
            <w:pPr>
              <w:widowControl w:val="0"/>
              <w:jc w:val="both"/>
              <w:rPr>
                <w:rFonts w:ascii="Arial" w:hAnsi="Arial" w:cs="Arial"/>
                <w:b/>
                <w:sz w:val="16"/>
                <w:szCs w:val="16"/>
              </w:rPr>
            </w:pPr>
            <w:r w:rsidRPr="006F49D0">
              <w:rPr>
                <w:rFonts w:ascii="Arial" w:hAnsi="Arial" w:cs="Arial"/>
                <w:b/>
                <w:sz w:val="16"/>
                <w:szCs w:val="16"/>
              </w:rPr>
              <w:t>Spitzenrendite* Büro</w:t>
            </w:r>
          </w:p>
          <w:p w14:paraId="0FFB638E" w14:textId="77777777" w:rsidR="006A0566" w:rsidRPr="006F49D0" w:rsidRDefault="006A0566" w:rsidP="00CB4698">
            <w:pPr>
              <w:widowControl w:val="0"/>
              <w:jc w:val="both"/>
              <w:rPr>
                <w:rFonts w:ascii="Arial" w:hAnsi="Arial" w:cs="Arial"/>
                <w:b/>
                <w:sz w:val="16"/>
                <w:szCs w:val="16"/>
              </w:rPr>
            </w:pPr>
            <w:r w:rsidRPr="006F49D0">
              <w:rPr>
                <w:rFonts w:ascii="Arial" w:hAnsi="Arial" w:cs="Arial"/>
                <w:sz w:val="16"/>
                <w:szCs w:val="16"/>
              </w:rPr>
              <w:t>in %</w:t>
            </w:r>
          </w:p>
        </w:tc>
        <w:tc>
          <w:tcPr>
            <w:tcW w:w="817" w:type="dxa"/>
            <w:vAlign w:val="center"/>
          </w:tcPr>
          <w:p w14:paraId="3A26FD60" w14:textId="77777777" w:rsidR="006A0566" w:rsidRPr="00B372B7" w:rsidRDefault="006A0566" w:rsidP="00CB4698">
            <w:pPr>
              <w:widowControl w:val="0"/>
              <w:jc w:val="center"/>
              <w:rPr>
                <w:rFonts w:ascii="Arial" w:hAnsi="Arial" w:cs="Arial"/>
                <w:sz w:val="16"/>
                <w:szCs w:val="16"/>
              </w:rPr>
            </w:pPr>
            <w:r w:rsidRPr="00B372B7">
              <w:rPr>
                <w:rFonts w:ascii="Arial" w:hAnsi="Arial" w:cs="Arial"/>
                <w:sz w:val="16"/>
                <w:szCs w:val="16"/>
              </w:rPr>
              <w:t>2,80</w:t>
            </w:r>
          </w:p>
        </w:tc>
        <w:tc>
          <w:tcPr>
            <w:tcW w:w="816" w:type="dxa"/>
            <w:vAlign w:val="center"/>
          </w:tcPr>
          <w:p w14:paraId="04D32DF6"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2,70</w:t>
            </w:r>
          </w:p>
        </w:tc>
        <w:tc>
          <w:tcPr>
            <w:tcW w:w="933" w:type="dxa"/>
            <w:vAlign w:val="center"/>
          </w:tcPr>
          <w:p w14:paraId="3496E0ED"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2,95</w:t>
            </w:r>
          </w:p>
        </w:tc>
        <w:tc>
          <w:tcPr>
            <w:tcW w:w="937" w:type="dxa"/>
            <w:vAlign w:val="center"/>
          </w:tcPr>
          <w:p w14:paraId="1B3FC488"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3,00</w:t>
            </w:r>
          </w:p>
        </w:tc>
        <w:tc>
          <w:tcPr>
            <w:tcW w:w="937" w:type="dxa"/>
            <w:vAlign w:val="center"/>
          </w:tcPr>
          <w:p w14:paraId="7863667A"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2,95</w:t>
            </w:r>
          </w:p>
        </w:tc>
        <w:tc>
          <w:tcPr>
            <w:tcW w:w="932" w:type="dxa"/>
            <w:vAlign w:val="center"/>
          </w:tcPr>
          <w:p w14:paraId="185F44B1" w14:textId="06EF405F" w:rsidR="006A0566" w:rsidRPr="006C17CE" w:rsidRDefault="00F374EE" w:rsidP="00CB4698">
            <w:pPr>
              <w:widowControl w:val="0"/>
              <w:jc w:val="center"/>
              <w:rPr>
                <w:rFonts w:ascii="Arial" w:hAnsi="Arial" w:cs="Arial"/>
                <w:sz w:val="16"/>
                <w:szCs w:val="16"/>
              </w:rPr>
            </w:pPr>
            <w:r>
              <w:rPr>
                <w:rFonts w:ascii="Arial" w:hAnsi="Arial" w:cs="Arial"/>
                <w:sz w:val="16"/>
                <w:szCs w:val="16"/>
              </w:rPr>
              <w:t>2,80</w:t>
            </w:r>
          </w:p>
        </w:tc>
        <w:tc>
          <w:tcPr>
            <w:tcW w:w="936" w:type="dxa"/>
            <w:shd w:val="clear" w:color="auto" w:fill="auto"/>
            <w:vAlign w:val="center"/>
          </w:tcPr>
          <w:p w14:paraId="19DB0335"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3,00</w:t>
            </w:r>
          </w:p>
        </w:tc>
        <w:tc>
          <w:tcPr>
            <w:tcW w:w="800" w:type="dxa"/>
            <w:vAlign w:val="center"/>
          </w:tcPr>
          <w:p w14:paraId="0216D7FB" w14:textId="67DB7C42" w:rsidR="006A0566" w:rsidRPr="006C17CE" w:rsidRDefault="00F374EE" w:rsidP="00F374EE">
            <w:pPr>
              <w:widowControl w:val="0"/>
              <w:jc w:val="center"/>
              <w:rPr>
                <w:rFonts w:ascii="Arial" w:hAnsi="Arial" w:cs="Arial"/>
                <w:b/>
                <w:sz w:val="16"/>
                <w:szCs w:val="16"/>
              </w:rPr>
            </w:pPr>
            <w:r>
              <w:rPr>
                <w:rFonts w:ascii="Arial" w:hAnsi="Arial" w:cs="Arial"/>
                <w:b/>
                <w:sz w:val="16"/>
                <w:szCs w:val="16"/>
              </w:rPr>
              <w:t>2,89</w:t>
            </w:r>
          </w:p>
        </w:tc>
      </w:tr>
      <w:tr w:rsidR="006A0566" w:rsidRPr="006F49D0" w14:paraId="1D0629D1" w14:textId="77777777" w:rsidTr="006C17CE">
        <w:tc>
          <w:tcPr>
            <w:tcW w:w="1939" w:type="dxa"/>
          </w:tcPr>
          <w:p w14:paraId="5F7DF27B" w14:textId="77777777" w:rsidR="006A0566" w:rsidRPr="006F49D0" w:rsidRDefault="006A0566" w:rsidP="00CB4698">
            <w:pPr>
              <w:widowControl w:val="0"/>
              <w:jc w:val="both"/>
              <w:rPr>
                <w:rFonts w:ascii="Arial" w:hAnsi="Arial" w:cs="Arial"/>
                <w:b/>
                <w:sz w:val="16"/>
                <w:szCs w:val="16"/>
              </w:rPr>
            </w:pPr>
            <w:proofErr w:type="spellStart"/>
            <w:r>
              <w:rPr>
                <w:rFonts w:ascii="Arial" w:hAnsi="Arial" w:cs="Arial"/>
                <w:b/>
                <w:sz w:val="16"/>
                <w:szCs w:val="16"/>
              </w:rPr>
              <w:t>ggü</w:t>
            </w:r>
            <w:proofErr w:type="spellEnd"/>
            <w:r>
              <w:rPr>
                <w:rFonts w:ascii="Arial" w:hAnsi="Arial" w:cs="Arial"/>
                <w:b/>
                <w:sz w:val="16"/>
                <w:szCs w:val="16"/>
              </w:rPr>
              <w:t xml:space="preserve">. Vorjahr </w:t>
            </w:r>
            <w:r w:rsidRPr="003A2101">
              <w:rPr>
                <w:rFonts w:ascii="Arial" w:hAnsi="Arial" w:cs="Arial"/>
                <w:sz w:val="16"/>
                <w:szCs w:val="16"/>
              </w:rPr>
              <w:t>in %-Pkt.</w:t>
            </w:r>
          </w:p>
        </w:tc>
        <w:tc>
          <w:tcPr>
            <w:tcW w:w="817" w:type="dxa"/>
            <w:vAlign w:val="center"/>
          </w:tcPr>
          <w:p w14:paraId="7DCC31B2" w14:textId="77777777" w:rsidR="006A0566" w:rsidRPr="00806F64" w:rsidRDefault="006A0566" w:rsidP="00CB4698">
            <w:pPr>
              <w:widowControl w:val="0"/>
              <w:jc w:val="center"/>
              <w:rPr>
                <w:rFonts w:ascii="Arial" w:hAnsi="Arial" w:cs="Arial"/>
                <w:sz w:val="16"/>
                <w:szCs w:val="16"/>
              </w:rPr>
            </w:pPr>
            <w:r>
              <w:rPr>
                <w:rFonts w:ascii="Arial" w:hAnsi="Arial" w:cs="Arial"/>
                <w:sz w:val="16"/>
                <w:szCs w:val="16"/>
              </w:rPr>
              <w:t>0,00</w:t>
            </w:r>
          </w:p>
        </w:tc>
        <w:tc>
          <w:tcPr>
            <w:tcW w:w="816" w:type="dxa"/>
            <w:vAlign w:val="center"/>
          </w:tcPr>
          <w:p w14:paraId="1D9B71C7"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-0,20</w:t>
            </w:r>
          </w:p>
        </w:tc>
        <w:tc>
          <w:tcPr>
            <w:tcW w:w="933" w:type="dxa"/>
            <w:vAlign w:val="center"/>
          </w:tcPr>
          <w:p w14:paraId="6F68995C"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-0,05</w:t>
            </w:r>
          </w:p>
        </w:tc>
        <w:tc>
          <w:tcPr>
            <w:tcW w:w="937" w:type="dxa"/>
            <w:vAlign w:val="center"/>
          </w:tcPr>
          <w:p w14:paraId="1AD055DC"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-0,20</w:t>
            </w:r>
          </w:p>
        </w:tc>
        <w:tc>
          <w:tcPr>
            <w:tcW w:w="937" w:type="dxa"/>
            <w:vAlign w:val="center"/>
          </w:tcPr>
          <w:p w14:paraId="457AA114"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0,00</w:t>
            </w:r>
          </w:p>
        </w:tc>
        <w:tc>
          <w:tcPr>
            <w:tcW w:w="932" w:type="dxa"/>
            <w:vAlign w:val="center"/>
          </w:tcPr>
          <w:p w14:paraId="0C825309" w14:textId="3B5B840C" w:rsidR="006A0566" w:rsidRPr="006C17CE" w:rsidRDefault="00742E3B" w:rsidP="00F374EE">
            <w:pPr>
              <w:widowControl w:val="0"/>
              <w:jc w:val="center"/>
              <w:rPr>
                <w:rFonts w:ascii="Arial" w:hAnsi="Arial" w:cs="Arial"/>
                <w:sz w:val="16"/>
                <w:szCs w:val="16"/>
              </w:rPr>
            </w:pPr>
            <w:r>
              <w:rPr>
                <w:rFonts w:ascii="Arial" w:hAnsi="Arial" w:cs="Arial"/>
                <w:sz w:val="16"/>
                <w:szCs w:val="16"/>
              </w:rPr>
              <w:t>-</w:t>
            </w:r>
            <w:r w:rsidR="006A0566" w:rsidRPr="006C17CE">
              <w:rPr>
                <w:rFonts w:ascii="Arial" w:hAnsi="Arial" w:cs="Arial"/>
                <w:sz w:val="16"/>
                <w:szCs w:val="16"/>
              </w:rPr>
              <w:t>0,</w:t>
            </w:r>
            <w:r w:rsidR="00F374EE">
              <w:rPr>
                <w:rFonts w:ascii="Arial" w:hAnsi="Arial" w:cs="Arial"/>
                <w:sz w:val="16"/>
                <w:szCs w:val="16"/>
              </w:rPr>
              <w:t>2</w:t>
            </w:r>
            <w:r w:rsidR="006A0566" w:rsidRPr="006C17CE">
              <w:rPr>
                <w:rFonts w:ascii="Arial" w:hAnsi="Arial" w:cs="Arial"/>
                <w:sz w:val="16"/>
                <w:szCs w:val="16"/>
              </w:rPr>
              <w:t>0</w:t>
            </w:r>
          </w:p>
        </w:tc>
        <w:tc>
          <w:tcPr>
            <w:tcW w:w="936" w:type="dxa"/>
            <w:shd w:val="clear" w:color="auto" w:fill="auto"/>
            <w:vAlign w:val="center"/>
          </w:tcPr>
          <w:p w14:paraId="7EB840C7" w14:textId="1E8D9A69" w:rsidR="006A0566" w:rsidRPr="006C17CE" w:rsidRDefault="006C17CE" w:rsidP="00CB4698">
            <w:pPr>
              <w:widowControl w:val="0"/>
              <w:jc w:val="center"/>
              <w:rPr>
                <w:rFonts w:ascii="Arial" w:hAnsi="Arial" w:cs="Arial"/>
                <w:sz w:val="16"/>
                <w:szCs w:val="16"/>
              </w:rPr>
            </w:pPr>
            <w:r w:rsidRPr="006C17CE">
              <w:rPr>
                <w:rFonts w:ascii="Arial" w:hAnsi="Arial" w:cs="Arial"/>
                <w:sz w:val="16"/>
                <w:szCs w:val="16"/>
              </w:rPr>
              <w:t>0,30</w:t>
            </w:r>
          </w:p>
        </w:tc>
        <w:tc>
          <w:tcPr>
            <w:tcW w:w="800" w:type="dxa"/>
            <w:vAlign w:val="center"/>
          </w:tcPr>
          <w:p w14:paraId="7D9A218D" w14:textId="3ABC3793" w:rsidR="006A0566" w:rsidRPr="006C17CE" w:rsidRDefault="006A0566" w:rsidP="00CB4698">
            <w:pPr>
              <w:widowControl w:val="0"/>
              <w:jc w:val="center"/>
              <w:rPr>
                <w:rFonts w:ascii="Arial" w:hAnsi="Arial" w:cs="Arial"/>
                <w:b/>
                <w:sz w:val="16"/>
                <w:szCs w:val="16"/>
              </w:rPr>
            </w:pPr>
            <w:r w:rsidRPr="006C17CE">
              <w:rPr>
                <w:rFonts w:ascii="Arial" w:hAnsi="Arial" w:cs="Arial"/>
                <w:b/>
                <w:sz w:val="16"/>
                <w:szCs w:val="16"/>
              </w:rPr>
              <w:t>-0,</w:t>
            </w:r>
            <w:r w:rsidR="00F374EE">
              <w:rPr>
                <w:rFonts w:ascii="Arial" w:hAnsi="Arial" w:cs="Arial"/>
                <w:b/>
                <w:sz w:val="16"/>
                <w:szCs w:val="16"/>
              </w:rPr>
              <w:t>05</w:t>
            </w:r>
          </w:p>
        </w:tc>
      </w:tr>
      <w:tr w:rsidR="006A0566" w:rsidRPr="006F49D0" w14:paraId="50B975E3" w14:textId="77777777" w:rsidTr="006C17CE">
        <w:tc>
          <w:tcPr>
            <w:tcW w:w="1939" w:type="dxa"/>
          </w:tcPr>
          <w:p w14:paraId="107EF9B1"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 xml:space="preserve">Spitzenrendite* Logistik </w:t>
            </w:r>
            <w:r w:rsidRPr="006F49D0">
              <w:rPr>
                <w:rFonts w:ascii="Arial" w:hAnsi="Arial" w:cs="Arial"/>
                <w:sz w:val="16"/>
                <w:szCs w:val="16"/>
              </w:rPr>
              <w:t>in %</w:t>
            </w:r>
          </w:p>
        </w:tc>
        <w:tc>
          <w:tcPr>
            <w:tcW w:w="817" w:type="dxa"/>
            <w:vAlign w:val="center"/>
          </w:tcPr>
          <w:p w14:paraId="723DA8B4" w14:textId="77777777" w:rsidR="006A0566" w:rsidRPr="00132236" w:rsidRDefault="006A0566" w:rsidP="00CB4698">
            <w:pPr>
              <w:widowControl w:val="0"/>
              <w:jc w:val="center"/>
              <w:rPr>
                <w:rFonts w:ascii="Arial" w:hAnsi="Arial" w:cs="Arial"/>
                <w:sz w:val="16"/>
                <w:szCs w:val="16"/>
              </w:rPr>
            </w:pPr>
            <w:r w:rsidRPr="00132236">
              <w:rPr>
                <w:rFonts w:ascii="Arial" w:hAnsi="Arial" w:cs="Arial"/>
                <w:sz w:val="16"/>
                <w:szCs w:val="16"/>
              </w:rPr>
              <w:t>4,</w:t>
            </w:r>
            <w:r>
              <w:rPr>
                <w:rFonts w:ascii="Arial" w:hAnsi="Arial" w:cs="Arial"/>
                <w:sz w:val="16"/>
                <w:szCs w:val="16"/>
              </w:rPr>
              <w:t>2</w:t>
            </w:r>
            <w:r w:rsidRPr="00132236">
              <w:rPr>
                <w:rFonts w:ascii="Arial" w:hAnsi="Arial" w:cs="Arial"/>
                <w:sz w:val="16"/>
                <w:szCs w:val="16"/>
              </w:rPr>
              <w:t>0</w:t>
            </w:r>
          </w:p>
        </w:tc>
        <w:tc>
          <w:tcPr>
            <w:tcW w:w="816" w:type="dxa"/>
            <w:vAlign w:val="center"/>
          </w:tcPr>
          <w:p w14:paraId="427E0471"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3,80</w:t>
            </w:r>
          </w:p>
        </w:tc>
        <w:tc>
          <w:tcPr>
            <w:tcW w:w="933" w:type="dxa"/>
            <w:vAlign w:val="center"/>
          </w:tcPr>
          <w:p w14:paraId="777D310C"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4,00</w:t>
            </w:r>
          </w:p>
        </w:tc>
        <w:tc>
          <w:tcPr>
            <w:tcW w:w="937" w:type="dxa"/>
            <w:vAlign w:val="center"/>
          </w:tcPr>
          <w:p w14:paraId="18CF9CF0" w14:textId="239A7A61" w:rsidR="006A0566" w:rsidRPr="006C17CE" w:rsidRDefault="00AD0891" w:rsidP="00AD0891">
            <w:pPr>
              <w:widowControl w:val="0"/>
              <w:jc w:val="center"/>
              <w:rPr>
                <w:rFonts w:ascii="Arial" w:hAnsi="Arial" w:cs="Arial"/>
                <w:sz w:val="16"/>
                <w:szCs w:val="16"/>
              </w:rPr>
            </w:pPr>
            <w:r>
              <w:rPr>
                <w:rFonts w:ascii="Arial" w:hAnsi="Arial" w:cs="Arial"/>
                <w:sz w:val="16"/>
                <w:szCs w:val="16"/>
              </w:rPr>
              <w:t>3</w:t>
            </w:r>
            <w:r w:rsidR="006A0566" w:rsidRPr="006C17CE">
              <w:rPr>
                <w:rFonts w:ascii="Arial" w:hAnsi="Arial" w:cs="Arial"/>
                <w:sz w:val="16"/>
                <w:szCs w:val="16"/>
              </w:rPr>
              <w:t>,</w:t>
            </w:r>
            <w:r>
              <w:rPr>
                <w:rFonts w:ascii="Arial" w:hAnsi="Arial" w:cs="Arial"/>
                <w:sz w:val="16"/>
                <w:szCs w:val="16"/>
              </w:rPr>
              <w:t>8</w:t>
            </w:r>
            <w:r w:rsidR="006A0566" w:rsidRPr="006C17CE">
              <w:rPr>
                <w:rFonts w:ascii="Arial" w:hAnsi="Arial" w:cs="Arial"/>
                <w:sz w:val="16"/>
                <w:szCs w:val="16"/>
              </w:rPr>
              <w:t>0</w:t>
            </w:r>
          </w:p>
        </w:tc>
        <w:tc>
          <w:tcPr>
            <w:tcW w:w="937" w:type="dxa"/>
            <w:vAlign w:val="center"/>
          </w:tcPr>
          <w:p w14:paraId="6FC45529" w14:textId="7B97118C" w:rsidR="006A0566" w:rsidRPr="006C17CE" w:rsidRDefault="006A0566" w:rsidP="006C17CE">
            <w:pPr>
              <w:widowControl w:val="0"/>
              <w:jc w:val="center"/>
              <w:rPr>
                <w:rFonts w:ascii="Arial" w:hAnsi="Arial" w:cs="Arial"/>
                <w:sz w:val="16"/>
                <w:szCs w:val="16"/>
              </w:rPr>
            </w:pPr>
            <w:r w:rsidRPr="006C17CE">
              <w:rPr>
                <w:rFonts w:ascii="Arial" w:hAnsi="Arial" w:cs="Arial"/>
                <w:sz w:val="16"/>
                <w:szCs w:val="16"/>
              </w:rPr>
              <w:t>3,</w:t>
            </w:r>
            <w:r w:rsidR="00426634">
              <w:rPr>
                <w:rFonts w:ascii="Arial" w:hAnsi="Arial" w:cs="Arial"/>
                <w:sz w:val="16"/>
                <w:szCs w:val="16"/>
              </w:rPr>
              <w:t>7</w:t>
            </w:r>
            <w:r w:rsidRPr="006C17CE">
              <w:rPr>
                <w:rFonts w:ascii="Arial" w:hAnsi="Arial" w:cs="Arial"/>
                <w:sz w:val="16"/>
                <w:szCs w:val="16"/>
              </w:rPr>
              <w:t>0</w:t>
            </w:r>
          </w:p>
        </w:tc>
        <w:tc>
          <w:tcPr>
            <w:tcW w:w="932" w:type="dxa"/>
            <w:vAlign w:val="center"/>
          </w:tcPr>
          <w:p w14:paraId="5A040C04" w14:textId="49E30CD8" w:rsidR="006A0566" w:rsidRPr="006C17CE" w:rsidRDefault="006A0566" w:rsidP="00DE33B5">
            <w:pPr>
              <w:widowControl w:val="0"/>
              <w:jc w:val="center"/>
              <w:rPr>
                <w:rFonts w:ascii="Arial" w:hAnsi="Arial" w:cs="Arial"/>
                <w:sz w:val="16"/>
                <w:szCs w:val="16"/>
              </w:rPr>
            </w:pPr>
            <w:r w:rsidRPr="006C17CE">
              <w:rPr>
                <w:rFonts w:ascii="Arial" w:hAnsi="Arial" w:cs="Arial"/>
                <w:sz w:val="16"/>
                <w:szCs w:val="16"/>
              </w:rPr>
              <w:t>4,</w:t>
            </w:r>
            <w:r w:rsidR="00DE33B5">
              <w:rPr>
                <w:rFonts w:ascii="Arial" w:hAnsi="Arial" w:cs="Arial"/>
                <w:sz w:val="16"/>
                <w:szCs w:val="16"/>
              </w:rPr>
              <w:t>2</w:t>
            </w:r>
            <w:r w:rsidRPr="006C17CE">
              <w:rPr>
                <w:rFonts w:ascii="Arial" w:hAnsi="Arial" w:cs="Arial"/>
                <w:sz w:val="16"/>
                <w:szCs w:val="16"/>
              </w:rPr>
              <w:t>0</w:t>
            </w:r>
          </w:p>
        </w:tc>
        <w:tc>
          <w:tcPr>
            <w:tcW w:w="936" w:type="dxa"/>
            <w:shd w:val="clear" w:color="auto" w:fill="auto"/>
            <w:vAlign w:val="center"/>
          </w:tcPr>
          <w:p w14:paraId="684DD4AF"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4,00</w:t>
            </w:r>
          </w:p>
        </w:tc>
        <w:tc>
          <w:tcPr>
            <w:tcW w:w="800" w:type="dxa"/>
            <w:vAlign w:val="center"/>
          </w:tcPr>
          <w:p w14:paraId="0CE5389C" w14:textId="16F9EB9C" w:rsidR="006A0566" w:rsidRPr="006C17CE" w:rsidRDefault="00DE33B5" w:rsidP="00CB4698">
            <w:pPr>
              <w:widowControl w:val="0"/>
              <w:jc w:val="center"/>
              <w:rPr>
                <w:rFonts w:ascii="Arial" w:hAnsi="Arial" w:cs="Arial"/>
                <w:b/>
                <w:sz w:val="16"/>
                <w:szCs w:val="16"/>
              </w:rPr>
            </w:pPr>
            <w:r>
              <w:rPr>
                <w:rFonts w:ascii="Arial" w:hAnsi="Arial" w:cs="Arial"/>
                <w:b/>
                <w:sz w:val="16"/>
                <w:szCs w:val="16"/>
              </w:rPr>
              <w:t>3,96</w:t>
            </w:r>
          </w:p>
        </w:tc>
      </w:tr>
      <w:tr w:rsidR="006A0566" w:rsidRPr="006F49D0" w14:paraId="0E1157E4" w14:textId="77777777" w:rsidTr="006C17CE">
        <w:tc>
          <w:tcPr>
            <w:tcW w:w="1939" w:type="dxa"/>
          </w:tcPr>
          <w:p w14:paraId="75EC6EA9" w14:textId="77777777" w:rsidR="006A0566" w:rsidRPr="006F49D0" w:rsidRDefault="006A0566" w:rsidP="00CB4698">
            <w:pPr>
              <w:widowControl w:val="0"/>
              <w:jc w:val="both"/>
              <w:rPr>
                <w:rFonts w:ascii="Arial" w:hAnsi="Arial" w:cs="Arial"/>
                <w:b/>
                <w:sz w:val="16"/>
                <w:szCs w:val="16"/>
              </w:rPr>
            </w:pPr>
            <w:proofErr w:type="spellStart"/>
            <w:r>
              <w:rPr>
                <w:rFonts w:ascii="Arial" w:hAnsi="Arial" w:cs="Arial"/>
                <w:b/>
                <w:sz w:val="16"/>
                <w:szCs w:val="16"/>
              </w:rPr>
              <w:t>ggü</w:t>
            </w:r>
            <w:proofErr w:type="spellEnd"/>
            <w:r>
              <w:rPr>
                <w:rFonts w:ascii="Arial" w:hAnsi="Arial" w:cs="Arial"/>
                <w:b/>
                <w:sz w:val="16"/>
                <w:szCs w:val="16"/>
              </w:rPr>
              <w:t xml:space="preserve">. Vorjahr </w:t>
            </w:r>
            <w:r w:rsidRPr="003A2101">
              <w:rPr>
                <w:rFonts w:ascii="Arial" w:hAnsi="Arial" w:cs="Arial"/>
                <w:sz w:val="16"/>
                <w:szCs w:val="16"/>
              </w:rPr>
              <w:t>in %-Pkt.</w:t>
            </w:r>
          </w:p>
        </w:tc>
        <w:tc>
          <w:tcPr>
            <w:tcW w:w="817" w:type="dxa"/>
            <w:vAlign w:val="center"/>
          </w:tcPr>
          <w:p w14:paraId="0A5E4A80" w14:textId="77777777" w:rsidR="006A0566" w:rsidRPr="006F37CD" w:rsidRDefault="006A0566" w:rsidP="00CB4698">
            <w:pPr>
              <w:widowControl w:val="0"/>
              <w:jc w:val="center"/>
              <w:rPr>
                <w:rFonts w:ascii="Arial" w:hAnsi="Arial" w:cs="Arial"/>
                <w:sz w:val="16"/>
                <w:szCs w:val="16"/>
              </w:rPr>
            </w:pPr>
            <w:r>
              <w:rPr>
                <w:rFonts w:ascii="Arial" w:hAnsi="Arial" w:cs="Arial"/>
                <w:sz w:val="16"/>
                <w:szCs w:val="16"/>
              </w:rPr>
              <w:t>-0,30</w:t>
            </w:r>
          </w:p>
        </w:tc>
        <w:tc>
          <w:tcPr>
            <w:tcW w:w="816" w:type="dxa"/>
            <w:vAlign w:val="center"/>
          </w:tcPr>
          <w:p w14:paraId="5E5CC2C6"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-0,40</w:t>
            </w:r>
          </w:p>
        </w:tc>
        <w:tc>
          <w:tcPr>
            <w:tcW w:w="933" w:type="dxa"/>
            <w:vAlign w:val="center"/>
          </w:tcPr>
          <w:p w14:paraId="27A92190"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-0,35</w:t>
            </w:r>
          </w:p>
        </w:tc>
        <w:tc>
          <w:tcPr>
            <w:tcW w:w="937" w:type="dxa"/>
            <w:vAlign w:val="center"/>
          </w:tcPr>
          <w:p w14:paraId="1E795FEA" w14:textId="5A6B522C" w:rsidR="006A0566" w:rsidRPr="006C17CE" w:rsidRDefault="006A0566" w:rsidP="00AD0891">
            <w:pPr>
              <w:widowControl w:val="0"/>
              <w:jc w:val="center"/>
              <w:rPr>
                <w:rFonts w:ascii="Arial" w:hAnsi="Arial" w:cs="Arial"/>
                <w:sz w:val="16"/>
                <w:szCs w:val="16"/>
              </w:rPr>
            </w:pPr>
            <w:r w:rsidRPr="006C17CE">
              <w:rPr>
                <w:rFonts w:ascii="Arial" w:hAnsi="Arial" w:cs="Arial"/>
                <w:sz w:val="16"/>
                <w:szCs w:val="16"/>
              </w:rPr>
              <w:t>-0,</w:t>
            </w:r>
            <w:r w:rsidR="00AD0891">
              <w:rPr>
                <w:rFonts w:ascii="Arial" w:hAnsi="Arial" w:cs="Arial"/>
                <w:sz w:val="16"/>
                <w:szCs w:val="16"/>
              </w:rPr>
              <w:t>40</w:t>
            </w:r>
          </w:p>
        </w:tc>
        <w:tc>
          <w:tcPr>
            <w:tcW w:w="937" w:type="dxa"/>
            <w:vAlign w:val="center"/>
          </w:tcPr>
          <w:p w14:paraId="31615C3D" w14:textId="261CC786" w:rsidR="006A0566" w:rsidRPr="006C17CE" w:rsidRDefault="006A0566" w:rsidP="006C17CE">
            <w:pPr>
              <w:widowControl w:val="0"/>
              <w:jc w:val="center"/>
              <w:rPr>
                <w:rFonts w:ascii="Arial" w:hAnsi="Arial" w:cs="Arial"/>
                <w:sz w:val="16"/>
                <w:szCs w:val="16"/>
              </w:rPr>
            </w:pPr>
            <w:r w:rsidRPr="006C17CE">
              <w:rPr>
                <w:rFonts w:ascii="Arial" w:hAnsi="Arial" w:cs="Arial"/>
                <w:sz w:val="16"/>
                <w:szCs w:val="16"/>
              </w:rPr>
              <w:t>-0,</w:t>
            </w:r>
            <w:r w:rsidR="00426634">
              <w:rPr>
                <w:rFonts w:ascii="Arial" w:hAnsi="Arial" w:cs="Arial"/>
                <w:sz w:val="16"/>
                <w:szCs w:val="16"/>
              </w:rPr>
              <w:t>3</w:t>
            </w:r>
            <w:r w:rsidRPr="006C17CE">
              <w:rPr>
                <w:rFonts w:ascii="Arial" w:hAnsi="Arial" w:cs="Arial"/>
                <w:sz w:val="16"/>
                <w:szCs w:val="16"/>
              </w:rPr>
              <w:t>0</w:t>
            </w:r>
          </w:p>
        </w:tc>
        <w:tc>
          <w:tcPr>
            <w:tcW w:w="932" w:type="dxa"/>
            <w:vAlign w:val="center"/>
          </w:tcPr>
          <w:p w14:paraId="7F1C6DE4" w14:textId="4BD5BEF1" w:rsidR="006A0566" w:rsidRPr="006C17CE" w:rsidRDefault="00DE33B5" w:rsidP="00DE33B5">
            <w:pPr>
              <w:widowControl w:val="0"/>
              <w:jc w:val="center"/>
              <w:rPr>
                <w:rFonts w:ascii="Arial" w:hAnsi="Arial" w:cs="Arial"/>
                <w:sz w:val="16"/>
                <w:szCs w:val="16"/>
              </w:rPr>
            </w:pPr>
            <w:r>
              <w:rPr>
                <w:rFonts w:ascii="Arial" w:hAnsi="Arial" w:cs="Arial"/>
                <w:sz w:val="16"/>
                <w:szCs w:val="16"/>
              </w:rPr>
              <w:t>-</w:t>
            </w:r>
            <w:r w:rsidR="006A0566" w:rsidRPr="006C17CE">
              <w:rPr>
                <w:rFonts w:ascii="Arial" w:hAnsi="Arial" w:cs="Arial"/>
                <w:sz w:val="16"/>
                <w:szCs w:val="16"/>
              </w:rPr>
              <w:t>0,</w:t>
            </w:r>
            <w:r>
              <w:rPr>
                <w:rFonts w:ascii="Arial" w:hAnsi="Arial" w:cs="Arial"/>
                <w:sz w:val="16"/>
                <w:szCs w:val="16"/>
              </w:rPr>
              <w:t>3</w:t>
            </w:r>
            <w:r w:rsidR="006A0566" w:rsidRPr="006C17CE">
              <w:rPr>
                <w:rFonts w:ascii="Arial" w:hAnsi="Arial" w:cs="Arial"/>
                <w:sz w:val="16"/>
                <w:szCs w:val="16"/>
              </w:rPr>
              <w:t>0</w:t>
            </w:r>
          </w:p>
        </w:tc>
        <w:tc>
          <w:tcPr>
            <w:tcW w:w="936" w:type="dxa"/>
            <w:shd w:val="clear" w:color="auto" w:fill="auto"/>
            <w:vAlign w:val="center"/>
          </w:tcPr>
          <w:p w14:paraId="00B0CCF3"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0,00</w:t>
            </w:r>
          </w:p>
        </w:tc>
        <w:tc>
          <w:tcPr>
            <w:tcW w:w="800" w:type="dxa"/>
            <w:vAlign w:val="center"/>
          </w:tcPr>
          <w:p w14:paraId="19B34957" w14:textId="6CCF23F1" w:rsidR="006A0566" w:rsidRPr="006C17CE" w:rsidRDefault="00DE33B5" w:rsidP="00CB4698">
            <w:pPr>
              <w:widowControl w:val="0"/>
              <w:jc w:val="center"/>
              <w:rPr>
                <w:rFonts w:ascii="Arial" w:hAnsi="Arial" w:cs="Arial"/>
                <w:b/>
                <w:sz w:val="16"/>
                <w:szCs w:val="16"/>
              </w:rPr>
            </w:pPr>
            <w:r>
              <w:rPr>
                <w:rFonts w:ascii="Arial" w:hAnsi="Arial" w:cs="Arial"/>
                <w:b/>
                <w:sz w:val="16"/>
                <w:szCs w:val="16"/>
              </w:rPr>
              <w:t>-0,29</w:t>
            </w:r>
          </w:p>
        </w:tc>
      </w:tr>
      <w:tr w:rsidR="006A0566" w:rsidRPr="006F49D0" w14:paraId="11513A42" w14:textId="77777777" w:rsidTr="006C17CE">
        <w:tc>
          <w:tcPr>
            <w:tcW w:w="1939" w:type="dxa"/>
          </w:tcPr>
          <w:p w14:paraId="4A65772B"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Stärkste</w:t>
            </w:r>
          </w:p>
          <w:p w14:paraId="31998AB2"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Assetklasse</w:t>
            </w:r>
          </w:p>
        </w:tc>
        <w:tc>
          <w:tcPr>
            <w:tcW w:w="817" w:type="dxa"/>
            <w:vAlign w:val="center"/>
          </w:tcPr>
          <w:p w14:paraId="6A6A9731" w14:textId="77777777" w:rsidR="006A0566" w:rsidRPr="009A2044" w:rsidRDefault="006A0566" w:rsidP="00CB4698">
            <w:pPr>
              <w:widowControl w:val="0"/>
              <w:jc w:val="center"/>
              <w:rPr>
                <w:rFonts w:ascii="Arial" w:hAnsi="Arial" w:cs="Arial"/>
                <w:sz w:val="16"/>
                <w:szCs w:val="16"/>
              </w:rPr>
            </w:pPr>
            <w:r>
              <w:rPr>
                <w:rFonts w:ascii="Arial" w:hAnsi="Arial" w:cs="Arial"/>
                <w:sz w:val="16"/>
                <w:szCs w:val="16"/>
              </w:rPr>
              <w:t>Büro</w:t>
            </w:r>
          </w:p>
        </w:tc>
        <w:tc>
          <w:tcPr>
            <w:tcW w:w="816" w:type="dxa"/>
            <w:vAlign w:val="center"/>
          </w:tcPr>
          <w:p w14:paraId="16372C6A"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Büro</w:t>
            </w:r>
          </w:p>
        </w:tc>
        <w:tc>
          <w:tcPr>
            <w:tcW w:w="933" w:type="dxa"/>
            <w:vAlign w:val="center"/>
          </w:tcPr>
          <w:p w14:paraId="5DAF8A6A"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Büro</w:t>
            </w:r>
          </w:p>
        </w:tc>
        <w:tc>
          <w:tcPr>
            <w:tcW w:w="937" w:type="dxa"/>
            <w:vAlign w:val="center"/>
          </w:tcPr>
          <w:p w14:paraId="325DEF48"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Büro</w:t>
            </w:r>
          </w:p>
        </w:tc>
        <w:tc>
          <w:tcPr>
            <w:tcW w:w="937" w:type="dxa"/>
            <w:vAlign w:val="center"/>
          </w:tcPr>
          <w:p w14:paraId="58B170C6"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Büro</w:t>
            </w:r>
          </w:p>
        </w:tc>
        <w:tc>
          <w:tcPr>
            <w:tcW w:w="932" w:type="dxa"/>
            <w:vAlign w:val="center"/>
          </w:tcPr>
          <w:p w14:paraId="2A40510B"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Büro</w:t>
            </w:r>
          </w:p>
        </w:tc>
        <w:tc>
          <w:tcPr>
            <w:tcW w:w="936" w:type="dxa"/>
            <w:shd w:val="clear" w:color="auto" w:fill="auto"/>
            <w:vAlign w:val="center"/>
          </w:tcPr>
          <w:p w14:paraId="0071E92B" w14:textId="77777777" w:rsidR="006A0566" w:rsidRPr="006C17CE" w:rsidRDefault="006A0566" w:rsidP="00CB4698">
            <w:pPr>
              <w:widowControl w:val="0"/>
              <w:jc w:val="center"/>
              <w:rPr>
                <w:rFonts w:ascii="Arial" w:hAnsi="Arial" w:cs="Arial"/>
                <w:sz w:val="16"/>
                <w:szCs w:val="16"/>
              </w:rPr>
            </w:pPr>
            <w:r w:rsidRPr="006C17CE">
              <w:rPr>
                <w:rFonts w:ascii="Arial" w:hAnsi="Arial" w:cs="Arial"/>
                <w:sz w:val="16"/>
                <w:szCs w:val="16"/>
              </w:rPr>
              <w:t>Büro</w:t>
            </w:r>
          </w:p>
        </w:tc>
        <w:tc>
          <w:tcPr>
            <w:tcW w:w="800" w:type="dxa"/>
            <w:vAlign w:val="center"/>
          </w:tcPr>
          <w:p w14:paraId="2D0AC5C1" w14:textId="77777777" w:rsidR="006A0566" w:rsidRPr="006C17CE" w:rsidRDefault="006A0566" w:rsidP="00CB4698">
            <w:pPr>
              <w:widowControl w:val="0"/>
              <w:jc w:val="center"/>
              <w:rPr>
                <w:rFonts w:ascii="Arial" w:hAnsi="Arial" w:cs="Arial"/>
                <w:b/>
                <w:sz w:val="16"/>
                <w:szCs w:val="16"/>
              </w:rPr>
            </w:pPr>
            <w:r w:rsidRPr="006C17CE">
              <w:rPr>
                <w:rFonts w:ascii="Arial" w:hAnsi="Arial" w:cs="Arial"/>
                <w:b/>
                <w:sz w:val="16"/>
                <w:szCs w:val="16"/>
              </w:rPr>
              <w:t>-</w:t>
            </w:r>
          </w:p>
        </w:tc>
      </w:tr>
      <w:tr w:rsidR="006A0566" w:rsidRPr="006F49D0" w14:paraId="1C71FD3A" w14:textId="77777777" w:rsidTr="006C17CE">
        <w:tc>
          <w:tcPr>
            <w:tcW w:w="1939" w:type="dxa"/>
          </w:tcPr>
          <w:p w14:paraId="7434BD58"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Stärkste</w:t>
            </w:r>
          </w:p>
          <w:p w14:paraId="2650C67A"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 xml:space="preserve">Assetklasse </w:t>
            </w:r>
            <w:r w:rsidRPr="006F49D0">
              <w:rPr>
                <w:rFonts w:ascii="Arial" w:hAnsi="Arial" w:cs="Arial"/>
                <w:sz w:val="16"/>
                <w:szCs w:val="16"/>
              </w:rPr>
              <w:t>in %</w:t>
            </w:r>
          </w:p>
        </w:tc>
        <w:tc>
          <w:tcPr>
            <w:tcW w:w="817" w:type="dxa"/>
            <w:vAlign w:val="center"/>
          </w:tcPr>
          <w:p w14:paraId="03DB0EF7" w14:textId="3EE903AD" w:rsidR="006A0566" w:rsidRPr="00EF0237" w:rsidRDefault="00AA7124" w:rsidP="00CB4698">
            <w:pPr>
              <w:widowControl w:val="0"/>
              <w:jc w:val="center"/>
              <w:rPr>
                <w:rFonts w:ascii="Arial" w:hAnsi="Arial" w:cs="Arial"/>
                <w:color w:val="000000" w:themeColor="text1"/>
                <w:sz w:val="16"/>
                <w:szCs w:val="16"/>
              </w:rPr>
            </w:pPr>
            <w:r>
              <w:rPr>
                <w:rFonts w:ascii="Arial" w:hAnsi="Arial" w:cs="Arial"/>
                <w:color w:val="000000" w:themeColor="text1"/>
                <w:sz w:val="16"/>
                <w:szCs w:val="16"/>
              </w:rPr>
              <w:t>53</w:t>
            </w:r>
          </w:p>
        </w:tc>
        <w:tc>
          <w:tcPr>
            <w:tcW w:w="816" w:type="dxa"/>
            <w:vAlign w:val="center"/>
          </w:tcPr>
          <w:p w14:paraId="05D9C8A4" w14:textId="23629183" w:rsidR="006A0566" w:rsidRPr="006C17CE" w:rsidRDefault="00854409" w:rsidP="00CB4698">
            <w:pPr>
              <w:widowControl w:val="0"/>
              <w:jc w:val="center"/>
              <w:rPr>
                <w:rFonts w:ascii="Arial" w:hAnsi="Arial" w:cs="Arial"/>
                <w:color w:val="000000" w:themeColor="text1"/>
                <w:sz w:val="16"/>
                <w:szCs w:val="16"/>
              </w:rPr>
            </w:pPr>
            <w:r>
              <w:rPr>
                <w:rFonts w:ascii="Arial" w:hAnsi="Arial" w:cs="Arial"/>
                <w:color w:val="000000" w:themeColor="text1"/>
                <w:sz w:val="16"/>
                <w:szCs w:val="16"/>
              </w:rPr>
              <w:t>57</w:t>
            </w:r>
          </w:p>
        </w:tc>
        <w:tc>
          <w:tcPr>
            <w:tcW w:w="933" w:type="dxa"/>
            <w:vAlign w:val="center"/>
          </w:tcPr>
          <w:p w14:paraId="0EF2E3D1" w14:textId="326AF27D" w:rsidR="006A0566" w:rsidRPr="006C17CE" w:rsidRDefault="006C17CE" w:rsidP="00CB4698">
            <w:pPr>
              <w:widowControl w:val="0"/>
              <w:jc w:val="center"/>
              <w:rPr>
                <w:rFonts w:ascii="Arial" w:hAnsi="Arial" w:cs="Arial"/>
                <w:color w:val="000000" w:themeColor="text1"/>
                <w:sz w:val="16"/>
                <w:szCs w:val="16"/>
              </w:rPr>
            </w:pPr>
            <w:r w:rsidRPr="006C17CE">
              <w:rPr>
                <w:rFonts w:ascii="Arial" w:hAnsi="Arial" w:cs="Arial"/>
                <w:color w:val="000000" w:themeColor="text1"/>
                <w:sz w:val="16"/>
                <w:szCs w:val="16"/>
              </w:rPr>
              <w:t>81</w:t>
            </w:r>
          </w:p>
        </w:tc>
        <w:tc>
          <w:tcPr>
            <w:tcW w:w="937" w:type="dxa"/>
            <w:vAlign w:val="center"/>
          </w:tcPr>
          <w:p w14:paraId="171A9129" w14:textId="7C5B490B" w:rsidR="006A0566" w:rsidRPr="006C17CE" w:rsidRDefault="006C17CE" w:rsidP="00CB4698">
            <w:pPr>
              <w:widowControl w:val="0"/>
              <w:jc w:val="center"/>
              <w:rPr>
                <w:rFonts w:ascii="Arial" w:hAnsi="Arial" w:cs="Arial"/>
                <w:color w:val="000000" w:themeColor="text1"/>
                <w:sz w:val="16"/>
                <w:szCs w:val="16"/>
              </w:rPr>
            </w:pPr>
            <w:r w:rsidRPr="006C17CE">
              <w:rPr>
                <w:rFonts w:ascii="Arial" w:hAnsi="Arial" w:cs="Arial"/>
                <w:color w:val="000000" w:themeColor="text1"/>
                <w:sz w:val="16"/>
                <w:szCs w:val="16"/>
              </w:rPr>
              <w:t>56</w:t>
            </w:r>
          </w:p>
        </w:tc>
        <w:tc>
          <w:tcPr>
            <w:tcW w:w="937" w:type="dxa"/>
            <w:vAlign w:val="center"/>
          </w:tcPr>
          <w:p w14:paraId="713F8944" w14:textId="2717D74B" w:rsidR="006A0566" w:rsidRPr="006C17CE" w:rsidRDefault="006C17CE" w:rsidP="00CB4698">
            <w:pPr>
              <w:widowControl w:val="0"/>
              <w:jc w:val="center"/>
              <w:rPr>
                <w:rFonts w:ascii="Arial" w:hAnsi="Arial" w:cs="Arial"/>
                <w:color w:val="000000" w:themeColor="text1"/>
                <w:sz w:val="16"/>
                <w:szCs w:val="16"/>
              </w:rPr>
            </w:pPr>
            <w:r w:rsidRPr="006C17CE">
              <w:rPr>
                <w:rFonts w:ascii="Arial" w:hAnsi="Arial" w:cs="Arial"/>
                <w:color w:val="000000" w:themeColor="text1"/>
                <w:sz w:val="16"/>
                <w:szCs w:val="16"/>
              </w:rPr>
              <w:t>62</w:t>
            </w:r>
          </w:p>
        </w:tc>
        <w:tc>
          <w:tcPr>
            <w:tcW w:w="932" w:type="dxa"/>
            <w:vAlign w:val="center"/>
          </w:tcPr>
          <w:p w14:paraId="2D81D876" w14:textId="006F7AE0" w:rsidR="006A0566" w:rsidRPr="006C17CE" w:rsidRDefault="00F374EE" w:rsidP="00CB4698">
            <w:pPr>
              <w:widowControl w:val="0"/>
              <w:jc w:val="center"/>
              <w:rPr>
                <w:rFonts w:ascii="Arial" w:hAnsi="Arial" w:cs="Arial"/>
                <w:color w:val="000000" w:themeColor="text1"/>
                <w:sz w:val="16"/>
                <w:szCs w:val="16"/>
              </w:rPr>
            </w:pPr>
            <w:r>
              <w:rPr>
                <w:rFonts w:ascii="Arial" w:hAnsi="Arial" w:cs="Arial"/>
                <w:color w:val="000000" w:themeColor="text1"/>
                <w:sz w:val="16"/>
                <w:szCs w:val="16"/>
              </w:rPr>
              <w:t>70</w:t>
            </w:r>
          </w:p>
        </w:tc>
        <w:tc>
          <w:tcPr>
            <w:tcW w:w="936" w:type="dxa"/>
            <w:shd w:val="clear" w:color="auto" w:fill="auto"/>
            <w:vAlign w:val="center"/>
          </w:tcPr>
          <w:p w14:paraId="6959E9ED" w14:textId="7889E88F" w:rsidR="006A0566" w:rsidRPr="006C17CE" w:rsidRDefault="006C17CE" w:rsidP="00CB4698">
            <w:pPr>
              <w:widowControl w:val="0"/>
              <w:jc w:val="center"/>
              <w:rPr>
                <w:rFonts w:ascii="Arial" w:hAnsi="Arial" w:cs="Arial"/>
                <w:color w:val="000000" w:themeColor="text1"/>
                <w:sz w:val="16"/>
                <w:szCs w:val="16"/>
              </w:rPr>
            </w:pPr>
            <w:r w:rsidRPr="006C17CE">
              <w:rPr>
                <w:rFonts w:ascii="Arial" w:hAnsi="Arial" w:cs="Arial"/>
                <w:color w:val="000000" w:themeColor="text1"/>
                <w:sz w:val="16"/>
                <w:szCs w:val="16"/>
              </w:rPr>
              <w:t>55</w:t>
            </w:r>
          </w:p>
        </w:tc>
        <w:tc>
          <w:tcPr>
            <w:tcW w:w="800" w:type="dxa"/>
            <w:vAlign w:val="center"/>
          </w:tcPr>
          <w:p w14:paraId="397018BE" w14:textId="77777777" w:rsidR="006A0566" w:rsidRPr="006C17CE" w:rsidRDefault="006A0566" w:rsidP="00CB4698">
            <w:pPr>
              <w:widowControl w:val="0"/>
              <w:jc w:val="center"/>
              <w:rPr>
                <w:rFonts w:ascii="Arial" w:hAnsi="Arial" w:cs="Arial"/>
                <w:b/>
                <w:color w:val="FF0000"/>
                <w:sz w:val="16"/>
                <w:szCs w:val="16"/>
              </w:rPr>
            </w:pPr>
            <w:r w:rsidRPr="006C17CE">
              <w:rPr>
                <w:rFonts w:ascii="Arial" w:hAnsi="Arial" w:cs="Arial"/>
                <w:b/>
                <w:sz w:val="16"/>
                <w:szCs w:val="16"/>
              </w:rPr>
              <w:t>-</w:t>
            </w:r>
          </w:p>
        </w:tc>
      </w:tr>
    </w:tbl>
    <w:p w14:paraId="5C0C697E" w14:textId="53729E33" w:rsidR="006A0566" w:rsidRDefault="006A0566" w:rsidP="006A0566">
      <w:pPr>
        <w:widowControl w:val="0"/>
        <w:spacing w:after="0"/>
        <w:rPr>
          <w:rFonts w:ascii="Arial" w:hAnsi="Arial" w:cs="Arial"/>
          <w:sz w:val="16"/>
          <w:szCs w:val="16"/>
        </w:rPr>
      </w:pPr>
      <w:r w:rsidRPr="00F6792B">
        <w:rPr>
          <w:rFonts w:ascii="Arial" w:hAnsi="Arial" w:cs="Arial"/>
          <w:sz w:val="16"/>
          <w:szCs w:val="16"/>
        </w:rPr>
        <w:t>* Nettoanfangsrendite</w:t>
      </w:r>
      <w:r>
        <w:rPr>
          <w:rFonts w:ascii="Arial" w:hAnsi="Arial" w:cs="Arial"/>
          <w:sz w:val="16"/>
          <w:szCs w:val="16"/>
        </w:rPr>
        <w:t xml:space="preserve">; </w:t>
      </w:r>
      <w:r w:rsidRPr="00F952F7">
        <w:rPr>
          <w:rFonts w:ascii="Arial" w:hAnsi="Arial" w:cs="Arial"/>
          <w:sz w:val="16"/>
          <w:szCs w:val="16"/>
        </w:rPr>
        <w:t>Quelle</w:t>
      </w:r>
      <w:r>
        <w:rPr>
          <w:rFonts w:ascii="Arial" w:hAnsi="Arial" w:cs="Arial"/>
          <w:sz w:val="16"/>
          <w:szCs w:val="16"/>
        </w:rPr>
        <w:t>: German Property Partners (GPP)</w:t>
      </w:r>
    </w:p>
    <w:p w14:paraId="6E71A7B1" w14:textId="6952120B" w:rsidR="008B57EF" w:rsidRPr="00487ECE" w:rsidRDefault="008B57EF" w:rsidP="009A7060">
      <w:pPr>
        <w:spacing w:after="0" w:line="360" w:lineRule="auto"/>
        <w:rPr>
          <w:rFonts w:ascii="Arial" w:hAnsi="Arial" w:cs="Arial"/>
          <w:caps/>
          <w:sz w:val="20"/>
          <w:szCs w:val="20"/>
        </w:rPr>
      </w:pPr>
      <w:bookmarkStart w:id="4" w:name="_GoBack"/>
      <w:bookmarkEnd w:id="4"/>
    </w:p>
    <w:bookmarkEnd w:id="2"/>
    <w:p w14:paraId="4AAB2CD2" w14:textId="7320BF91" w:rsidR="32E3C701" w:rsidRPr="00487ECE" w:rsidRDefault="32E3C701" w:rsidP="0071679E">
      <w:pPr>
        <w:spacing w:after="0"/>
        <w:rPr>
          <w:b/>
          <w:iCs/>
          <w:sz w:val="16"/>
          <w:szCs w:val="16"/>
        </w:rPr>
      </w:pPr>
      <w:r w:rsidRPr="00487ECE">
        <w:rPr>
          <w:rFonts w:ascii="Arial" w:eastAsia="Arial" w:hAnsi="Arial" w:cs="Arial"/>
          <w:b/>
          <w:iCs/>
          <w:caps/>
          <w:sz w:val="16"/>
          <w:szCs w:val="16"/>
          <w:lang w:val="de"/>
        </w:rPr>
        <w:t>ÜBER GERMAN PROPERTY PARTNERS</w:t>
      </w:r>
      <w:r w:rsidR="0071679E">
        <w:rPr>
          <w:rFonts w:ascii="Arial" w:eastAsia="Arial" w:hAnsi="Arial" w:cs="Arial"/>
          <w:b/>
          <w:iCs/>
          <w:caps/>
          <w:sz w:val="16"/>
          <w:szCs w:val="16"/>
          <w:lang w:val="de"/>
        </w:rPr>
        <w:t xml:space="preserve"> (GPP)</w:t>
      </w:r>
    </w:p>
    <w:p w14:paraId="24D83185" w14:textId="0BE79AD4" w:rsidR="32E3C701" w:rsidRPr="00934090" w:rsidRDefault="00742E3B" w:rsidP="0071679E">
      <w:pPr>
        <w:rPr>
          <w:rFonts w:ascii="Arial" w:hAnsi="Arial" w:cs="Arial"/>
          <w:i/>
          <w:iCs/>
          <w:sz w:val="20"/>
          <w:szCs w:val="20"/>
        </w:rPr>
      </w:pPr>
      <w:hyperlink r:id="rId12" w:history="1">
        <w:r w:rsidR="32E3C701" w:rsidRPr="0071679E">
          <w:rPr>
            <w:rStyle w:val="Hyperlink"/>
            <w:rFonts w:ascii="Arial" w:eastAsia="Arial" w:hAnsi="Arial" w:cs="Arial"/>
            <w:iCs/>
            <w:sz w:val="16"/>
            <w:szCs w:val="16"/>
            <w:lang w:val="de"/>
          </w:rPr>
          <w:t>German Property Partners</w:t>
        </w:r>
      </w:hyperlink>
      <w:r w:rsidR="32E3C701" w:rsidRPr="00487ECE">
        <w:rPr>
          <w:rFonts w:ascii="Arial" w:eastAsia="Arial" w:hAnsi="Arial" w:cs="Arial"/>
          <w:iCs/>
          <w:sz w:val="16"/>
          <w:szCs w:val="16"/>
          <w:lang w:val="de"/>
        </w:rPr>
        <w:t xml:space="preserve"> (GPP) ist ein deutschlandweites Netzwerk lokal führender Gewerbe-Immobiliendienstleister. Hierzu gehören Grossmann &amp; Berger, </w:t>
      </w:r>
      <w:proofErr w:type="spellStart"/>
      <w:r w:rsidR="32E3C701" w:rsidRPr="00487ECE">
        <w:rPr>
          <w:rFonts w:ascii="Arial" w:eastAsia="Arial" w:hAnsi="Arial" w:cs="Arial"/>
          <w:iCs/>
          <w:sz w:val="16"/>
          <w:szCs w:val="16"/>
          <w:lang w:val="de"/>
        </w:rPr>
        <w:t>Anteon</w:t>
      </w:r>
      <w:proofErr w:type="spellEnd"/>
      <w:r w:rsidR="32E3C701" w:rsidRPr="00487ECE">
        <w:rPr>
          <w:rFonts w:ascii="Arial" w:eastAsia="Arial" w:hAnsi="Arial" w:cs="Arial"/>
          <w:iCs/>
          <w:sz w:val="16"/>
          <w:szCs w:val="16"/>
          <w:lang w:val="de"/>
        </w:rPr>
        <w:t xml:space="preserve"> Immobilien, GREIF &amp; CONTZEN Immobilien, </w:t>
      </w:r>
      <w:proofErr w:type="spellStart"/>
      <w:r w:rsidR="32E3C701" w:rsidRPr="00487ECE">
        <w:rPr>
          <w:rFonts w:ascii="Arial" w:eastAsia="Arial" w:hAnsi="Arial" w:cs="Arial"/>
          <w:iCs/>
          <w:sz w:val="16"/>
          <w:szCs w:val="16"/>
          <w:lang w:val="de"/>
        </w:rPr>
        <w:t>blackolive</w:t>
      </w:r>
      <w:proofErr w:type="spellEnd"/>
      <w:r w:rsidR="32E3C701" w:rsidRPr="00487ECE">
        <w:rPr>
          <w:rFonts w:ascii="Arial" w:eastAsia="Arial" w:hAnsi="Arial" w:cs="Arial"/>
          <w:iCs/>
          <w:sz w:val="16"/>
          <w:szCs w:val="16"/>
          <w:lang w:val="de"/>
        </w:rPr>
        <w:t xml:space="preser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w:t>
      </w:r>
      <w:proofErr w:type="spellStart"/>
      <w:r w:rsidR="32E3C701" w:rsidRPr="00487ECE">
        <w:rPr>
          <w:rFonts w:ascii="Arial" w:eastAsia="Arial" w:hAnsi="Arial" w:cs="Arial"/>
          <w:iCs/>
          <w:sz w:val="16"/>
          <w:szCs w:val="16"/>
          <w:lang w:val="de"/>
        </w:rPr>
        <w:t>Köln|Bonn</w:t>
      </w:r>
      <w:proofErr w:type="spellEnd"/>
      <w:r w:rsidR="32E3C701" w:rsidRPr="00487ECE">
        <w:rPr>
          <w:rFonts w:ascii="Arial" w:eastAsia="Arial" w:hAnsi="Arial" w:cs="Arial"/>
          <w:iCs/>
          <w:sz w:val="16"/>
          <w:szCs w:val="16"/>
          <w:lang w:val="de"/>
        </w:rPr>
        <w:t xml:space="preserve">,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sidRPr="00487ECE">
        <w:rPr>
          <w:rFonts w:ascii="Arial" w:eastAsia="Arial" w:hAnsi="Arial" w:cs="Arial"/>
          <w:iCs/>
          <w:sz w:val="16"/>
          <w:szCs w:val="16"/>
          <w:lang w:val="de"/>
        </w:rPr>
        <w:t>mehr als</w:t>
      </w:r>
      <w:r w:rsidR="32E3C701" w:rsidRPr="00487ECE">
        <w:rPr>
          <w:rFonts w:ascii="Arial" w:eastAsia="Arial" w:hAnsi="Arial" w:cs="Arial"/>
          <w:iCs/>
          <w:sz w:val="16"/>
          <w:szCs w:val="16"/>
          <w:lang w:val="de"/>
        </w:rPr>
        <w:t xml:space="preserve"> 4</w:t>
      </w:r>
      <w:r w:rsidR="00B52286" w:rsidRPr="00487ECE">
        <w:rPr>
          <w:rFonts w:ascii="Arial" w:eastAsia="Arial" w:hAnsi="Arial" w:cs="Arial"/>
          <w:iCs/>
          <w:sz w:val="16"/>
          <w:szCs w:val="16"/>
          <w:lang w:val="de"/>
        </w:rPr>
        <w:t>3</w:t>
      </w:r>
      <w:r w:rsidR="32E3C701" w:rsidRPr="00487ECE">
        <w:rPr>
          <w:rFonts w:ascii="Arial" w:eastAsia="Arial" w:hAnsi="Arial" w:cs="Arial"/>
          <w:iCs/>
          <w:sz w:val="16"/>
          <w:szCs w:val="16"/>
          <w:lang w:val="de"/>
        </w:rPr>
        <w:t xml:space="preserve">0 Immobilienspezialisten für das Netzwerk tätig. </w:t>
      </w:r>
      <w:r w:rsidR="32E3C701" w:rsidRPr="00487ECE">
        <w:rPr>
          <w:rFonts w:ascii="Arial" w:eastAsia="Arial" w:hAnsi="Arial" w:cs="Arial"/>
          <w:b/>
          <w:bCs/>
          <w:iCs/>
          <w:sz w:val="16"/>
          <w:szCs w:val="16"/>
          <w:lang w:val="de"/>
        </w:rPr>
        <w:t>201</w:t>
      </w:r>
      <w:r w:rsidR="00B52286" w:rsidRPr="00487ECE">
        <w:rPr>
          <w:rFonts w:ascii="Arial" w:eastAsia="Arial" w:hAnsi="Arial" w:cs="Arial"/>
          <w:b/>
          <w:bCs/>
          <w:iCs/>
          <w:sz w:val="16"/>
          <w:szCs w:val="16"/>
          <w:lang w:val="de"/>
        </w:rPr>
        <w:t>9</w:t>
      </w:r>
      <w:r w:rsidR="32E3C701" w:rsidRPr="00487ECE">
        <w:rPr>
          <w:rFonts w:ascii="Arial" w:eastAsia="Arial" w:hAnsi="Arial" w:cs="Arial"/>
          <w:iCs/>
          <w:sz w:val="16"/>
          <w:szCs w:val="16"/>
          <w:lang w:val="de"/>
        </w:rPr>
        <w:t xml:space="preserve"> vermittelte </w:t>
      </w:r>
      <w:r w:rsidR="0071679E">
        <w:rPr>
          <w:rFonts w:ascii="Arial" w:eastAsia="Arial" w:hAnsi="Arial" w:cs="Arial"/>
          <w:iCs/>
          <w:sz w:val="16"/>
          <w:szCs w:val="16"/>
          <w:lang w:val="de"/>
        </w:rPr>
        <w:t>GPP</w:t>
      </w:r>
      <w:r w:rsidR="32E3C701" w:rsidRPr="00487ECE">
        <w:rPr>
          <w:rFonts w:ascii="Arial" w:eastAsia="Arial" w:hAnsi="Arial" w:cs="Arial"/>
          <w:iCs/>
          <w:sz w:val="16"/>
          <w:szCs w:val="16"/>
          <w:lang w:val="de"/>
        </w:rPr>
        <w:t xml:space="preserve"> deutschlandweit rund </w:t>
      </w:r>
      <w:r w:rsidR="00C31217" w:rsidRPr="00487ECE">
        <w:rPr>
          <w:rFonts w:ascii="Arial" w:eastAsia="Arial" w:hAnsi="Arial" w:cs="Arial"/>
          <w:iCs/>
          <w:sz w:val="16"/>
          <w:szCs w:val="16"/>
          <w:lang w:val="de"/>
        </w:rPr>
        <w:t>452</w:t>
      </w:r>
      <w:r w:rsidR="32E3C701" w:rsidRPr="00487ECE">
        <w:rPr>
          <w:rFonts w:ascii="Arial" w:eastAsia="Arial" w:hAnsi="Arial" w:cs="Arial"/>
          <w:iCs/>
          <w:sz w:val="16"/>
          <w:szCs w:val="16"/>
          <w:lang w:val="de"/>
        </w:rPr>
        <w:t>.</w:t>
      </w:r>
      <w:r w:rsidR="00C31217" w:rsidRPr="00487ECE">
        <w:rPr>
          <w:rFonts w:ascii="Arial" w:eastAsia="Arial" w:hAnsi="Arial" w:cs="Arial"/>
          <w:iCs/>
          <w:sz w:val="16"/>
          <w:szCs w:val="16"/>
          <w:lang w:val="de"/>
        </w:rPr>
        <w:t>8</w:t>
      </w:r>
      <w:r w:rsidR="32E3C701" w:rsidRPr="00487ECE">
        <w:rPr>
          <w:rFonts w:ascii="Arial" w:eastAsia="Arial" w:hAnsi="Arial" w:cs="Arial"/>
          <w:iCs/>
          <w:sz w:val="16"/>
          <w:szCs w:val="16"/>
          <w:lang w:val="de"/>
        </w:rPr>
        <w:t>00 m² Gewerbefläche und betreute ein Transaktionsvolumen in Höhe von rund 2,</w:t>
      </w:r>
      <w:r w:rsidR="00C31217" w:rsidRPr="00487ECE">
        <w:rPr>
          <w:rFonts w:ascii="Arial" w:eastAsia="Arial" w:hAnsi="Arial" w:cs="Arial"/>
          <w:iCs/>
          <w:sz w:val="16"/>
          <w:szCs w:val="16"/>
          <w:lang w:val="de"/>
        </w:rPr>
        <w:t>14</w:t>
      </w:r>
      <w:r w:rsidR="0071679E">
        <w:rPr>
          <w:rFonts w:ascii="Arial" w:eastAsia="Arial" w:hAnsi="Arial" w:cs="Arial"/>
          <w:iCs/>
          <w:sz w:val="16"/>
          <w:szCs w:val="16"/>
          <w:lang w:val="de"/>
        </w:rPr>
        <w:t xml:space="preserve"> Mrd. €.</w:t>
      </w:r>
      <w:r w:rsidR="0037314C">
        <w:rPr>
          <w:rFonts w:ascii="Arial" w:eastAsia="Arial" w:hAnsi="Arial" w:cs="Arial"/>
          <w:iCs/>
          <w:sz w:val="16"/>
          <w:szCs w:val="16"/>
          <w:lang w:val="de"/>
        </w:rPr>
        <w:t xml:space="preserve"> </w:t>
      </w:r>
    </w:p>
    <w:sectPr w:rsidR="32E3C701" w:rsidRPr="00934090" w:rsidSect="00DC19BC">
      <w:headerReference w:type="default" r:id="rId13"/>
      <w:footerReference w:type="default" r:id="rId14"/>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444D" w14:textId="77777777" w:rsidR="00BF0236" w:rsidRDefault="00BF0236" w:rsidP="0055466B">
      <w:pPr>
        <w:spacing w:after="0" w:line="240" w:lineRule="auto"/>
      </w:pPr>
      <w:r>
        <w:separator/>
      </w:r>
    </w:p>
  </w:endnote>
  <w:endnote w:type="continuationSeparator" w:id="0">
    <w:p w14:paraId="525EF7CA" w14:textId="77777777" w:rsidR="00BF0236" w:rsidRDefault="00BF0236" w:rsidP="0055466B">
      <w:pPr>
        <w:spacing w:after="0" w:line="240" w:lineRule="auto"/>
      </w:pPr>
      <w:r>
        <w:continuationSeparator/>
      </w:r>
    </w:p>
  </w:endnote>
  <w:endnote w:type="continuationNotice" w:id="1">
    <w:p w14:paraId="736F80ED" w14:textId="77777777" w:rsidR="00BF0236" w:rsidRDefault="00BF0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75681937" w:rsidR="00422A01" w:rsidRPr="00DC19BC" w:rsidRDefault="00422A01">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742E3B">
      <w:rPr>
        <w:rFonts w:ascii="Arial" w:hAnsi="Arial" w:cs="Arial"/>
        <w:b/>
        <w:noProof/>
        <w:sz w:val="18"/>
        <w:szCs w:val="18"/>
      </w:rPr>
      <w:t>3</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742E3B">
      <w:rPr>
        <w:rFonts w:ascii="Arial" w:hAnsi="Arial" w:cs="Arial"/>
        <w:b/>
        <w:noProof/>
        <w:sz w:val="18"/>
        <w:szCs w:val="18"/>
      </w:rPr>
      <w:t>3</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5CA4" w14:textId="77777777" w:rsidR="00BF0236" w:rsidRDefault="00BF0236" w:rsidP="0055466B">
      <w:pPr>
        <w:spacing w:after="0" w:line="240" w:lineRule="auto"/>
      </w:pPr>
      <w:r>
        <w:separator/>
      </w:r>
    </w:p>
  </w:footnote>
  <w:footnote w:type="continuationSeparator" w:id="0">
    <w:p w14:paraId="614D4D28" w14:textId="77777777" w:rsidR="00BF0236" w:rsidRDefault="00BF0236" w:rsidP="0055466B">
      <w:pPr>
        <w:spacing w:after="0" w:line="240" w:lineRule="auto"/>
      </w:pPr>
      <w:r>
        <w:continuationSeparator/>
      </w:r>
    </w:p>
  </w:footnote>
  <w:footnote w:type="continuationNotice" w:id="1">
    <w:p w14:paraId="29E1006A" w14:textId="77777777" w:rsidR="00BF0236" w:rsidRDefault="00BF0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17BD8"/>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2AD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602BE"/>
    <w:rsid w:val="00060931"/>
    <w:rsid w:val="00060D5B"/>
    <w:rsid w:val="00061B3E"/>
    <w:rsid w:val="00061F18"/>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3F5"/>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D24"/>
    <w:rsid w:val="00093FF4"/>
    <w:rsid w:val="00094160"/>
    <w:rsid w:val="0009416D"/>
    <w:rsid w:val="000949B5"/>
    <w:rsid w:val="00094CFA"/>
    <w:rsid w:val="00094E05"/>
    <w:rsid w:val="00095515"/>
    <w:rsid w:val="00095E3C"/>
    <w:rsid w:val="0009638B"/>
    <w:rsid w:val="000965BE"/>
    <w:rsid w:val="00096A83"/>
    <w:rsid w:val="00097288"/>
    <w:rsid w:val="0009788B"/>
    <w:rsid w:val="000A0433"/>
    <w:rsid w:val="000A08B8"/>
    <w:rsid w:val="000A0966"/>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8E3"/>
    <w:rsid w:val="000C4B39"/>
    <w:rsid w:val="000C4BA4"/>
    <w:rsid w:val="000C58BE"/>
    <w:rsid w:val="000C5F5E"/>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E5"/>
    <w:rsid w:val="000D6E0A"/>
    <w:rsid w:val="000D779D"/>
    <w:rsid w:val="000E078E"/>
    <w:rsid w:val="000E0D4C"/>
    <w:rsid w:val="000E1162"/>
    <w:rsid w:val="000E1522"/>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F2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4162"/>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9B0"/>
    <w:rsid w:val="00166AFD"/>
    <w:rsid w:val="00166CE4"/>
    <w:rsid w:val="00166FD7"/>
    <w:rsid w:val="00167E41"/>
    <w:rsid w:val="00167FC6"/>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A778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4E4D"/>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674"/>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5FB3"/>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547"/>
    <w:rsid w:val="00274970"/>
    <w:rsid w:val="0027541D"/>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BB2"/>
    <w:rsid w:val="00287F2F"/>
    <w:rsid w:val="00290774"/>
    <w:rsid w:val="00291240"/>
    <w:rsid w:val="00291307"/>
    <w:rsid w:val="002915A0"/>
    <w:rsid w:val="0029260B"/>
    <w:rsid w:val="002935BF"/>
    <w:rsid w:val="00293AF2"/>
    <w:rsid w:val="00293C63"/>
    <w:rsid w:val="00294082"/>
    <w:rsid w:val="00294342"/>
    <w:rsid w:val="002947F3"/>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C08"/>
    <w:rsid w:val="002D00A8"/>
    <w:rsid w:val="002D097C"/>
    <w:rsid w:val="002D11DC"/>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5548"/>
    <w:rsid w:val="00305580"/>
    <w:rsid w:val="00305D1F"/>
    <w:rsid w:val="0030610F"/>
    <w:rsid w:val="00306A5A"/>
    <w:rsid w:val="00306BDC"/>
    <w:rsid w:val="003071D0"/>
    <w:rsid w:val="003079CD"/>
    <w:rsid w:val="003107A8"/>
    <w:rsid w:val="00310AFF"/>
    <w:rsid w:val="00310C48"/>
    <w:rsid w:val="00310F19"/>
    <w:rsid w:val="003133B1"/>
    <w:rsid w:val="003140B8"/>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191"/>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70"/>
    <w:rsid w:val="00370D38"/>
    <w:rsid w:val="0037149C"/>
    <w:rsid w:val="00371885"/>
    <w:rsid w:val="0037201B"/>
    <w:rsid w:val="003721BF"/>
    <w:rsid w:val="00372C33"/>
    <w:rsid w:val="00372D74"/>
    <w:rsid w:val="00372DE4"/>
    <w:rsid w:val="0037314C"/>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50A"/>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852"/>
    <w:rsid w:val="003A7B67"/>
    <w:rsid w:val="003A7B8C"/>
    <w:rsid w:val="003A7C68"/>
    <w:rsid w:val="003A7CD2"/>
    <w:rsid w:val="003A7EC8"/>
    <w:rsid w:val="003B053E"/>
    <w:rsid w:val="003B11D6"/>
    <w:rsid w:val="003B2A1C"/>
    <w:rsid w:val="003B4084"/>
    <w:rsid w:val="003B466C"/>
    <w:rsid w:val="003B54F6"/>
    <w:rsid w:val="003B6093"/>
    <w:rsid w:val="003B6C44"/>
    <w:rsid w:val="003B7638"/>
    <w:rsid w:val="003B7773"/>
    <w:rsid w:val="003C0AD2"/>
    <w:rsid w:val="003C1648"/>
    <w:rsid w:val="003C1D7D"/>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439"/>
    <w:rsid w:val="003D4577"/>
    <w:rsid w:val="003D4593"/>
    <w:rsid w:val="003D49B7"/>
    <w:rsid w:val="003D4FD3"/>
    <w:rsid w:val="003D5AD6"/>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4C0"/>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44CB"/>
    <w:rsid w:val="0042602D"/>
    <w:rsid w:val="0042611E"/>
    <w:rsid w:val="00426634"/>
    <w:rsid w:val="00426B18"/>
    <w:rsid w:val="0043007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AD2"/>
    <w:rsid w:val="00455B90"/>
    <w:rsid w:val="0045630E"/>
    <w:rsid w:val="00456A44"/>
    <w:rsid w:val="004575C8"/>
    <w:rsid w:val="0045796E"/>
    <w:rsid w:val="00457DEF"/>
    <w:rsid w:val="0046045E"/>
    <w:rsid w:val="00460A7B"/>
    <w:rsid w:val="00460C86"/>
    <w:rsid w:val="00460E0E"/>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97BBB"/>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2C6"/>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24B"/>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C06"/>
    <w:rsid w:val="00517D77"/>
    <w:rsid w:val="00520184"/>
    <w:rsid w:val="00520539"/>
    <w:rsid w:val="00520E2E"/>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BFF"/>
    <w:rsid w:val="005E0E5C"/>
    <w:rsid w:val="005E1285"/>
    <w:rsid w:val="005E12E3"/>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CA6"/>
    <w:rsid w:val="005F3D95"/>
    <w:rsid w:val="005F441F"/>
    <w:rsid w:val="005F4F3D"/>
    <w:rsid w:val="005F616B"/>
    <w:rsid w:val="005F6685"/>
    <w:rsid w:val="005F676A"/>
    <w:rsid w:val="005F68B1"/>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104BC"/>
    <w:rsid w:val="00610C35"/>
    <w:rsid w:val="006117E3"/>
    <w:rsid w:val="00611C25"/>
    <w:rsid w:val="006120FA"/>
    <w:rsid w:val="00612936"/>
    <w:rsid w:val="006132E7"/>
    <w:rsid w:val="00613E05"/>
    <w:rsid w:val="00614AF4"/>
    <w:rsid w:val="00614C1B"/>
    <w:rsid w:val="00615264"/>
    <w:rsid w:val="00615D10"/>
    <w:rsid w:val="006163B6"/>
    <w:rsid w:val="006177B3"/>
    <w:rsid w:val="00617B39"/>
    <w:rsid w:val="00620531"/>
    <w:rsid w:val="00620AA6"/>
    <w:rsid w:val="0062114C"/>
    <w:rsid w:val="006217CD"/>
    <w:rsid w:val="00621821"/>
    <w:rsid w:val="00622AFF"/>
    <w:rsid w:val="006231CA"/>
    <w:rsid w:val="00623851"/>
    <w:rsid w:val="00624745"/>
    <w:rsid w:val="00624C81"/>
    <w:rsid w:val="00624F42"/>
    <w:rsid w:val="00624FA7"/>
    <w:rsid w:val="006253DB"/>
    <w:rsid w:val="00625411"/>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47DCD"/>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7E0"/>
    <w:rsid w:val="00662D74"/>
    <w:rsid w:val="006634E1"/>
    <w:rsid w:val="0066399E"/>
    <w:rsid w:val="0066402A"/>
    <w:rsid w:val="0066545F"/>
    <w:rsid w:val="006655F6"/>
    <w:rsid w:val="00665E86"/>
    <w:rsid w:val="00665FBF"/>
    <w:rsid w:val="006661A8"/>
    <w:rsid w:val="00667C87"/>
    <w:rsid w:val="00670716"/>
    <w:rsid w:val="0067154D"/>
    <w:rsid w:val="00671DBA"/>
    <w:rsid w:val="0067309C"/>
    <w:rsid w:val="00673293"/>
    <w:rsid w:val="00673857"/>
    <w:rsid w:val="0067436B"/>
    <w:rsid w:val="006747F8"/>
    <w:rsid w:val="00675947"/>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D9"/>
    <w:rsid w:val="00696DF7"/>
    <w:rsid w:val="006A02FE"/>
    <w:rsid w:val="006A0566"/>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17CE"/>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6A7"/>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26F"/>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6738"/>
    <w:rsid w:val="00727533"/>
    <w:rsid w:val="00727CD8"/>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5CE6"/>
    <w:rsid w:val="007365F6"/>
    <w:rsid w:val="007366DD"/>
    <w:rsid w:val="00736F38"/>
    <w:rsid w:val="007372AB"/>
    <w:rsid w:val="0073751E"/>
    <w:rsid w:val="007375D8"/>
    <w:rsid w:val="00740251"/>
    <w:rsid w:val="007406FF"/>
    <w:rsid w:val="007408C0"/>
    <w:rsid w:val="00740C56"/>
    <w:rsid w:val="00741580"/>
    <w:rsid w:val="00741719"/>
    <w:rsid w:val="00742BB1"/>
    <w:rsid w:val="00742E3B"/>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B7C"/>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0A7A"/>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CC"/>
    <w:rsid w:val="007F0FCF"/>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361"/>
    <w:rsid w:val="00847709"/>
    <w:rsid w:val="008506D2"/>
    <w:rsid w:val="008506D7"/>
    <w:rsid w:val="0085117B"/>
    <w:rsid w:val="00851F4A"/>
    <w:rsid w:val="00851F7E"/>
    <w:rsid w:val="00851FAE"/>
    <w:rsid w:val="008522F8"/>
    <w:rsid w:val="0085247F"/>
    <w:rsid w:val="008528F1"/>
    <w:rsid w:val="008537B0"/>
    <w:rsid w:val="00853A4E"/>
    <w:rsid w:val="00854409"/>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0FCE"/>
    <w:rsid w:val="00871798"/>
    <w:rsid w:val="00871C96"/>
    <w:rsid w:val="00871F02"/>
    <w:rsid w:val="008722C8"/>
    <w:rsid w:val="00872F8E"/>
    <w:rsid w:val="00873115"/>
    <w:rsid w:val="00873285"/>
    <w:rsid w:val="00873E55"/>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4D94"/>
    <w:rsid w:val="008952CA"/>
    <w:rsid w:val="008965DF"/>
    <w:rsid w:val="0089712D"/>
    <w:rsid w:val="00897348"/>
    <w:rsid w:val="008A0C1E"/>
    <w:rsid w:val="008A0DBD"/>
    <w:rsid w:val="008A114A"/>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1141"/>
    <w:rsid w:val="008E12D2"/>
    <w:rsid w:val="008E144B"/>
    <w:rsid w:val="008E1B63"/>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BDC"/>
    <w:rsid w:val="00945EDB"/>
    <w:rsid w:val="0094664E"/>
    <w:rsid w:val="00946B04"/>
    <w:rsid w:val="00946F89"/>
    <w:rsid w:val="0094700F"/>
    <w:rsid w:val="009479A2"/>
    <w:rsid w:val="00947A77"/>
    <w:rsid w:val="00950B7B"/>
    <w:rsid w:val="00951AC4"/>
    <w:rsid w:val="00951FDC"/>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D9D"/>
    <w:rsid w:val="00996628"/>
    <w:rsid w:val="00996936"/>
    <w:rsid w:val="00996C34"/>
    <w:rsid w:val="00996C87"/>
    <w:rsid w:val="00997A8C"/>
    <w:rsid w:val="009A007D"/>
    <w:rsid w:val="009A0101"/>
    <w:rsid w:val="009A0841"/>
    <w:rsid w:val="009A185F"/>
    <w:rsid w:val="009A2906"/>
    <w:rsid w:val="009A37E2"/>
    <w:rsid w:val="009A3E58"/>
    <w:rsid w:val="009A49D3"/>
    <w:rsid w:val="009A4C25"/>
    <w:rsid w:val="009A539C"/>
    <w:rsid w:val="009A5861"/>
    <w:rsid w:val="009A5B89"/>
    <w:rsid w:val="009A5D73"/>
    <w:rsid w:val="009A5EFD"/>
    <w:rsid w:val="009A6E5F"/>
    <w:rsid w:val="009A7060"/>
    <w:rsid w:val="009A745E"/>
    <w:rsid w:val="009A7FBF"/>
    <w:rsid w:val="009B0182"/>
    <w:rsid w:val="009B02A3"/>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812"/>
    <w:rsid w:val="009C19F0"/>
    <w:rsid w:val="009C20F4"/>
    <w:rsid w:val="009C2338"/>
    <w:rsid w:val="009C2C14"/>
    <w:rsid w:val="009C2F90"/>
    <w:rsid w:val="009C31AA"/>
    <w:rsid w:val="009C398B"/>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459"/>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56EE"/>
    <w:rsid w:val="00A258C1"/>
    <w:rsid w:val="00A26932"/>
    <w:rsid w:val="00A27674"/>
    <w:rsid w:val="00A2798D"/>
    <w:rsid w:val="00A279C4"/>
    <w:rsid w:val="00A27A20"/>
    <w:rsid w:val="00A27FB8"/>
    <w:rsid w:val="00A30874"/>
    <w:rsid w:val="00A3216E"/>
    <w:rsid w:val="00A32202"/>
    <w:rsid w:val="00A32AE9"/>
    <w:rsid w:val="00A32E36"/>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0F1C"/>
    <w:rsid w:val="00A5106D"/>
    <w:rsid w:val="00A51605"/>
    <w:rsid w:val="00A51C14"/>
    <w:rsid w:val="00A522FD"/>
    <w:rsid w:val="00A52638"/>
    <w:rsid w:val="00A5265D"/>
    <w:rsid w:val="00A527A5"/>
    <w:rsid w:val="00A52BFD"/>
    <w:rsid w:val="00A52C58"/>
    <w:rsid w:val="00A53023"/>
    <w:rsid w:val="00A533C8"/>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EC2"/>
    <w:rsid w:val="00A622CD"/>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166"/>
    <w:rsid w:val="00A77449"/>
    <w:rsid w:val="00A775F2"/>
    <w:rsid w:val="00A776AE"/>
    <w:rsid w:val="00A777D3"/>
    <w:rsid w:val="00A809C1"/>
    <w:rsid w:val="00A80F9A"/>
    <w:rsid w:val="00A81572"/>
    <w:rsid w:val="00A82305"/>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4CBD"/>
    <w:rsid w:val="00A9577D"/>
    <w:rsid w:val="00A95B69"/>
    <w:rsid w:val="00A96702"/>
    <w:rsid w:val="00A9695F"/>
    <w:rsid w:val="00A969A5"/>
    <w:rsid w:val="00A97291"/>
    <w:rsid w:val="00A976F6"/>
    <w:rsid w:val="00A97860"/>
    <w:rsid w:val="00A97C91"/>
    <w:rsid w:val="00AA0069"/>
    <w:rsid w:val="00AA031E"/>
    <w:rsid w:val="00AA03B0"/>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6018"/>
    <w:rsid w:val="00AA614B"/>
    <w:rsid w:val="00AA67E4"/>
    <w:rsid w:val="00AA7124"/>
    <w:rsid w:val="00AA7932"/>
    <w:rsid w:val="00AA7977"/>
    <w:rsid w:val="00AB018B"/>
    <w:rsid w:val="00AB14C6"/>
    <w:rsid w:val="00AB1CCD"/>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63F3"/>
    <w:rsid w:val="00AB6517"/>
    <w:rsid w:val="00AB7288"/>
    <w:rsid w:val="00AC0375"/>
    <w:rsid w:val="00AC047B"/>
    <w:rsid w:val="00AC0774"/>
    <w:rsid w:val="00AC0846"/>
    <w:rsid w:val="00AC1B3E"/>
    <w:rsid w:val="00AC1F17"/>
    <w:rsid w:val="00AC2328"/>
    <w:rsid w:val="00AC2A87"/>
    <w:rsid w:val="00AC2E2F"/>
    <w:rsid w:val="00AC35A7"/>
    <w:rsid w:val="00AC3A7D"/>
    <w:rsid w:val="00AC3B3B"/>
    <w:rsid w:val="00AC3D05"/>
    <w:rsid w:val="00AC3DAD"/>
    <w:rsid w:val="00AC40C0"/>
    <w:rsid w:val="00AC4F2C"/>
    <w:rsid w:val="00AC4FF3"/>
    <w:rsid w:val="00AC5A56"/>
    <w:rsid w:val="00AC6055"/>
    <w:rsid w:val="00AC60EA"/>
    <w:rsid w:val="00AC7854"/>
    <w:rsid w:val="00AD04DF"/>
    <w:rsid w:val="00AD0555"/>
    <w:rsid w:val="00AD0833"/>
    <w:rsid w:val="00AD0891"/>
    <w:rsid w:val="00AD213C"/>
    <w:rsid w:val="00AD2D65"/>
    <w:rsid w:val="00AD304F"/>
    <w:rsid w:val="00AD31DE"/>
    <w:rsid w:val="00AD3312"/>
    <w:rsid w:val="00AD3379"/>
    <w:rsid w:val="00AD3836"/>
    <w:rsid w:val="00AD39B8"/>
    <w:rsid w:val="00AD3F95"/>
    <w:rsid w:val="00AD412C"/>
    <w:rsid w:val="00AD4AC2"/>
    <w:rsid w:val="00AD5A18"/>
    <w:rsid w:val="00AD5E6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195"/>
    <w:rsid w:val="00B40642"/>
    <w:rsid w:val="00B41DF7"/>
    <w:rsid w:val="00B4234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5165"/>
    <w:rsid w:val="00B9590C"/>
    <w:rsid w:val="00B95C2E"/>
    <w:rsid w:val="00B96272"/>
    <w:rsid w:val="00B96993"/>
    <w:rsid w:val="00BA007E"/>
    <w:rsid w:val="00BA0087"/>
    <w:rsid w:val="00BA00C6"/>
    <w:rsid w:val="00BA02F8"/>
    <w:rsid w:val="00BA1A32"/>
    <w:rsid w:val="00BA1AA5"/>
    <w:rsid w:val="00BA1CE2"/>
    <w:rsid w:val="00BA20BE"/>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1CAD"/>
    <w:rsid w:val="00C123BA"/>
    <w:rsid w:val="00C123EC"/>
    <w:rsid w:val="00C1266E"/>
    <w:rsid w:val="00C12E2D"/>
    <w:rsid w:val="00C1365C"/>
    <w:rsid w:val="00C13CE6"/>
    <w:rsid w:val="00C13E4C"/>
    <w:rsid w:val="00C144DC"/>
    <w:rsid w:val="00C14FC0"/>
    <w:rsid w:val="00C154CD"/>
    <w:rsid w:val="00C15B37"/>
    <w:rsid w:val="00C15C60"/>
    <w:rsid w:val="00C164B4"/>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9D4"/>
    <w:rsid w:val="00C54DE0"/>
    <w:rsid w:val="00C552CA"/>
    <w:rsid w:val="00C553F6"/>
    <w:rsid w:val="00C56176"/>
    <w:rsid w:val="00C57CF2"/>
    <w:rsid w:val="00C60584"/>
    <w:rsid w:val="00C615A4"/>
    <w:rsid w:val="00C61C61"/>
    <w:rsid w:val="00C62ADF"/>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BAD"/>
    <w:rsid w:val="00CA2AE4"/>
    <w:rsid w:val="00CA3147"/>
    <w:rsid w:val="00CA358B"/>
    <w:rsid w:val="00CA4510"/>
    <w:rsid w:val="00CA47CC"/>
    <w:rsid w:val="00CA4877"/>
    <w:rsid w:val="00CA4D35"/>
    <w:rsid w:val="00CA55BE"/>
    <w:rsid w:val="00CA5BD0"/>
    <w:rsid w:val="00CA605C"/>
    <w:rsid w:val="00CA6164"/>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B7FFB"/>
    <w:rsid w:val="00CC093A"/>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63F"/>
    <w:rsid w:val="00CE279C"/>
    <w:rsid w:val="00CE301B"/>
    <w:rsid w:val="00CE30C9"/>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1E93"/>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7D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655"/>
    <w:rsid w:val="00D32CC0"/>
    <w:rsid w:val="00D32D05"/>
    <w:rsid w:val="00D3438A"/>
    <w:rsid w:val="00D34402"/>
    <w:rsid w:val="00D34608"/>
    <w:rsid w:val="00D34AE0"/>
    <w:rsid w:val="00D34C43"/>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5F25"/>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85"/>
    <w:rsid w:val="00D939B5"/>
    <w:rsid w:val="00D93C21"/>
    <w:rsid w:val="00D94AF3"/>
    <w:rsid w:val="00D95413"/>
    <w:rsid w:val="00D96012"/>
    <w:rsid w:val="00D96DC8"/>
    <w:rsid w:val="00DA0B92"/>
    <w:rsid w:val="00DA0D7F"/>
    <w:rsid w:val="00DA10FF"/>
    <w:rsid w:val="00DA1EE8"/>
    <w:rsid w:val="00DA1FF3"/>
    <w:rsid w:val="00DA25EA"/>
    <w:rsid w:val="00DA2E84"/>
    <w:rsid w:val="00DA4119"/>
    <w:rsid w:val="00DA427F"/>
    <w:rsid w:val="00DA4DAD"/>
    <w:rsid w:val="00DA5D8E"/>
    <w:rsid w:val="00DA6055"/>
    <w:rsid w:val="00DA66F5"/>
    <w:rsid w:val="00DA6E7A"/>
    <w:rsid w:val="00DA6F4D"/>
    <w:rsid w:val="00DA7B0F"/>
    <w:rsid w:val="00DA7CBB"/>
    <w:rsid w:val="00DA7DA1"/>
    <w:rsid w:val="00DA7FFA"/>
    <w:rsid w:val="00DB0732"/>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0E9"/>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3066"/>
    <w:rsid w:val="00DE33B5"/>
    <w:rsid w:val="00DE37CB"/>
    <w:rsid w:val="00DE44BD"/>
    <w:rsid w:val="00DE4541"/>
    <w:rsid w:val="00DE4DC3"/>
    <w:rsid w:val="00DE54A8"/>
    <w:rsid w:val="00DE5558"/>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6FF7"/>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BB4"/>
    <w:rsid w:val="00E36C31"/>
    <w:rsid w:val="00E40B07"/>
    <w:rsid w:val="00E424E9"/>
    <w:rsid w:val="00E428A9"/>
    <w:rsid w:val="00E428EC"/>
    <w:rsid w:val="00E42A66"/>
    <w:rsid w:val="00E42E05"/>
    <w:rsid w:val="00E42E14"/>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030"/>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2BD1"/>
    <w:rsid w:val="00EC3F16"/>
    <w:rsid w:val="00EC4334"/>
    <w:rsid w:val="00EC4C59"/>
    <w:rsid w:val="00EC5297"/>
    <w:rsid w:val="00EC56F2"/>
    <w:rsid w:val="00EC58CB"/>
    <w:rsid w:val="00EC5A41"/>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A7D"/>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76A"/>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56A5"/>
    <w:rsid w:val="00F359D6"/>
    <w:rsid w:val="00F364AA"/>
    <w:rsid w:val="00F3692C"/>
    <w:rsid w:val="00F36B24"/>
    <w:rsid w:val="00F3704C"/>
    <w:rsid w:val="00F374EE"/>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85D"/>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BAE"/>
    <w:rsid w:val="00F67C61"/>
    <w:rsid w:val="00F67D28"/>
    <w:rsid w:val="00F67FF3"/>
    <w:rsid w:val="00F7148A"/>
    <w:rsid w:val="00F72D54"/>
    <w:rsid w:val="00F7314E"/>
    <w:rsid w:val="00F736E2"/>
    <w:rsid w:val="00F7418C"/>
    <w:rsid w:val="00F74CA9"/>
    <w:rsid w:val="00F7515E"/>
    <w:rsid w:val="00F7594A"/>
    <w:rsid w:val="00F75DC7"/>
    <w:rsid w:val="00F76358"/>
    <w:rsid w:val="00F773F4"/>
    <w:rsid w:val="00F7743B"/>
    <w:rsid w:val="00F77492"/>
    <w:rsid w:val="00F77B93"/>
    <w:rsid w:val="00F77C44"/>
    <w:rsid w:val="00F80354"/>
    <w:rsid w:val="00F80729"/>
    <w:rsid w:val="00F80A7D"/>
    <w:rsid w:val="00F81227"/>
    <w:rsid w:val="00F821CB"/>
    <w:rsid w:val="00F82388"/>
    <w:rsid w:val="00F8260C"/>
    <w:rsid w:val="00F826BE"/>
    <w:rsid w:val="00F82A01"/>
    <w:rsid w:val="00F837C9"/>
    <w:rsid w:val="00F83FAD"/>
    <w:rsid w:val="00F851FD"/>
    <w:rsid w:val="00F85442"/>
    <w:rsid w:val="00F85C86"/>
    <w:rsid w:val="00F85D15"/>
    <w:rsid w:val="00F85FF3"/>
    <w:rsid w:val="00F86440"/>
    <w:rsid w:val="00F86710"/>
    <w:rsid w:val="00F86BF2"/>
    <w:rsid w:val="00F87BE6"/>
    <w:rsid w:val="00F87F42"/>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504"/>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33E5"/>
    <w:rsid w:val="00FF5477"/>
    <w:rsid w:val="00FF557D"/>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 w:type="table" w:customStyle="1" w:styleId="TableGrid1">
    <w:name w:val="Table Grid1"/>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088387923">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49734038">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51532008">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rmanpropertypartners.d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2.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F8E6C-18B5-4F44-8B1B-3F6669F1BA90}">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84aed6d6-a926-4909-ae89-377442fd3b88"/>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7F0B8CE-23EB-44D5-836F-687F1A1A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Corinna Fühner</cp:lastModifiedBy>
  <cp:revision>6</cp:revision>
  <cp:lastPrinted>2020-09-29T14:05:00Z</cp:lastPrinted>
  <dcterms:created xsi:type="dcterms:W3CDTF">2020-10-05T08:53:00Z</dcterms:created>
  <dcterms:modified xsi:type="dcterms:W3CDTF">2020-10-05T10:10:00Z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