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3D13208" w:rsidR="000B1E51" w:rsidRPr="004D02F0" w:rsidRDefault="00436816" w:rsidP="00462FC6">
      <w:pPr>
        <w:widowControl w:val="0"/>
        <w:spacing w:after="40"/>
        <w:rPr>
          <w:rFonts w:ascii="Arial" w:hAnsi="Arial" w:cs="Arial"/>
          <w:b/>
          <w:color w:val="000000" w:themeColor="text1"/>
          <w:sz w:val="40"/>
          <w:szCs w:val="40"/>
        </w:rPr>
      </w:pPr>
      <w:r>
        <w:rPr>
          <w:noProof/>
          <w:color w:val="000000" w:themeColor="text1"/>
          <w:lang w:val="de-DE"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 xml:space="preserve">E-Mail: </w:t>
                            </w:r>
                            <w:proofErr w:type="spellStart"/>
                            <w:r>
                              <w:rPr>
                                <w:rFonts w:ascii="Arial" w:hAnsi="Arial"/>
                                <w:color w:val="808080" w:themeColor="background1" w:themeShade="80"/>
                                <w:sz w:val="16"/>
                                <w:szCs w:val="16"/>
                              </w:rPr>
                              <w:t>presse@germanpropertypartners.de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 xml:space="preserve">PRESS CONTACT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olor w:val="808080" w:themeColor="background1" w:themeShade="80"/>
                          <w:sz w:val="16"/>
                          <w:szCs w:val="16"/>
                        </w:rPr>
                        <w:t>Telephone: +49 (0)40 / 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rPr>
                      </w:pPr>
                      <w:r>
                        <w:rPr>
                          <w:rFonts w:ascii="Arial" w:hAnsi="Arial"/>
                          <w:color w:val="808080" w:themeColor="background1" w:themeShade="80"/>
                          <w:sz w:val="16"/>
                          <w:szCs w:val="16"/>
                        </w:rPr>
                        <w:t>E-Mail: presse@germanpropertypartners.de</w:t>
                      </w:r>
                    </w:p>
                  </w:txbxContent>
                </v:textbox>
              </v:shape>
            </w:pict>
          </mc:Fallback>
        </mc:AlternateContent>
      </w:r>
      <w:r>
        <w:rPr>
          <w:noProof/>
          <w:color w:val="000000" w:themeColor="text1"/>
          <w:lang w:val="de-DE"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Pr>
                          <w:rFonts w:ascii="Arial" w:hAnsi="Arial"/>
                          <w:color w:val="808080" w:themeColor="background1" w:themeShade="80"/>
                          <w:sz w:val="30"/>
                          <w:szCs w:val="30"/>
                        </w:rPr>
                        <w:t>PRESS RELEASE</w:t>
                      </w:r>
                    </w:p>
                  </w:txbxContent>
                </v:textbox>
              </v:shape>
            </w:pict>
          </mc:Fallback>
        </mc:AlternateContent>
      </w:r>
      <w:bookmarkStart w:id="0" w:name="_Hlk526105421"/>
      <w:r>
        <w:rPr>
          <w:rFonts w:ascii="Arial" w:hAnsi="Arial"/>
          <w:color w:val="000000" w:themeColor="text1"/>
          <w:sz w:val="40"/>
          <w:szCs w:val="40"/>
        </w:rPr>
        <w:t>TOP 7 OFFICE MARKETS Q2/20</w:t>
      </w:r>
      <w:bookmarkEnd w:id="0"/>
      <w:r>
        <w:rPr>
          <w:rFonts w:ascii="Arial" w:hAnsi="Arial"/>
          <w:color w:val="000000" w:themeColor="text1"/>
          <w:sz w:val="40"/>
          <w:szCs w:val="40"/>
        </w:rPr>
        <w:t>21</w:t>
      </w:r>
    </w:p>
    <w:p w14:paraId="3B735A9E" w14:textId="2E8CFFE3" w:rsidR="00073A8E" w:rsidRPr="007A4516" w:rsidRDefault="007A4516" w:rsidP="00462FC6">
      <w:pPr>
        <w:widowControl w:val="0"/>
        <w:spacing w:after="120"/>
        <w:rPr>
          <w:rFonts w:ascii="Arial" w:hAnsi="Arial" w:cs="Arial"/>
          <w:b/>
          <w:caps/>
          <w:sz w:val="40"/>
          <w:szCs w:val="40"/>
        </w:rPr>
      </w:pPr>
      <w:r>
        <w:rPr>
          <w:rFonts w:ascii="Arial" w:hAnsi="Arial"/>
          <w:b/>
          <w:caps/>
          <w:sz w:val="40"/>
          <w:szCs w:val="40"/>
        </w:rPr>
        <w:t>MARKET CONTINUES TO SEND MIXED MESSAGES</w:t>
      </w:r>
    </w:p>
    <w:p w14:paraId="28BEC29F" w14:textId="576CF333" w:rsidR="007D3839" w:rsidRDefault="00B5621B" w:rsidP="004C416A">
      <w:pPr>
        <w:widowControl w:val="0"/>
        <w:spacing w:after="120"/>
        <w:jc w:val="center"/>
        <w:rPr>
          <w:rFonts w:ascii="Arial" w:hAnsi="Arial" w:cs="Arial"/>
          <w:b/>
          <w:noProof/>
          <w:sz w:val="20"/>
          <w:szCs w:val="20"/>
        </w:rPr>
      </w:pPr>
      <w:r>
        <w:rPr>
          <w:noProof/>
          <w:color w:val="000000" w:themeColor="text1"/>
          <w:lang w:val="de-DE" w:eastAsia="de-DE"/>
        </w:rPr>
        <mc:AlternateContent>
          <mc:Choice Requires="wps">
            <w:drawing>
              <wp:anchor distT="0" distB="0" distL="114300" distR="114300" simplePos="0" relativeHeight="251658240" behindDoc="0" locked="0" layoutInCell="1" allowOverlap="1" wp14:anchorId="1B925072" wp14:editId="51FCA0A6">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C9CC3"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526105468"/>
      <w:bookmarkStart w:id="2" w:name="_Hlk486831603"/>
      <w:r>
        <w:rPr>
          <w:rFonts w:ascii="Arial" w:hAnsi="Arial"/>
          <w:b/>
          <w:sz w:val="20"/>
          <w:szCs w:val="20"/>
        </w:rPr>
        <w:br/>
      </w:r>
      <w:r>
        <w:rPr>
          <w:noProof/>
          <w:lang w:val="de-DE" w:eastAsia="de-DE"/>
        </w:rPr>
        <w:drawing>
          <wp:inline distT="0" distB="0" distL="0" distR="0" wp14:anchorId="09BAC9DE" wp14:editId="104E46CC">
            <wp:extent cx="4320000" cy="2509200"/>
            <wp:effectExtent l="0" t="0" r="444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2509200"/>
                    </a:xfrm>
                    <a:prstGeom prst="rect">
                      <a:avLst/>
                    </a:prstGeom>
                  </pic:spPr>
                </pic:pic>
              </a:graphicData>
            </a:graphic>
          </wp:inline>
        </w:drawing>
      </w:r>
    </w:p>
    <w:p w14:paraId="2BF2BAD1" w14:textId="0E1D2A7C" w:rsidR="00CA1303" w:rsidRDefault="00CA1303" w:rsidP="00BF5272">
      <w:pPr>
        <w:widowControl w:val="0"/>
        <w:spacing w:after="120"/>
        <w:jc w:val="both"/>
        <w:rPr>
          <w:rFonts w:ascii="Arial" w:hAnsi="Arial" w:cs="Arial"/>
          <w:b/>
          <w:sz w:val="20"/>
          <w:szCs w:val="20"/>
        </w:rPr>
      </w:pPr>
    </w:p>
    <w:p w14:paraId="654C7E2C" w14:textId="7878AC07" w:rsidR="0059571D" w:rsidRDefault="00E869FA" w:rsidP="0059571D">
      <w:pPr>
        <w:widowControl w:val="0"/>
        <w:spacing w:after="120"/>
        <w:jc w:val="both"/>
        <w:rPr>
          <w:rFonts w:ascii="Arial" w:hAnsi="Arial" w:cs="Arial"/>
          <w:bCs/>
          <w:color w:val="000000" w:themeColor="text1"/>
          <w:sz w:val="20"/>
          <w:szCs w:val="20"/>
        </w:rPr>
      </w:pPr>
      <w:r>
        <w:rPr>
          <w:rFonts w:ascii="Arial" w:hAnsi="Arial"/>
          <w:b/>
          <w:sz w:val="20"/>
          <w:szCs w:val="20"/>
        </w:rPr>
        <w:t xml:space="preserve">05 July 2021, </w:t>
      </w:r>
      <w:bookmarkStart w:id="3" w:name="_Hlk486831588"/>
      <w:r>
        <w:rPr>
          <w:rFonts w:ascii="Arial" w:hAnsi="Arial"/>
          <w:b/>
          <w:sz w:val="20"/>
          <w:szCs w:val="20"/>
        </w:rPr>
        <w:t>Hamburg.</w:t>
      </w:r>
      <w:r>
        <w:rPr>
          <w:rFonts w:ascii="Arial" w:hAnsi="Arial"/>
          <w:bCs/>
          <w:sz w:val="20"/>
          <w:szCs w:val="20"/>
        </w:rPr>
        <w:t xml:space="preserve"> Overall, in the 2nd quarter of 2021 take-up of office space in Germany’s top 7 cities remained largely unchanged year on year. In Hamburg, Berlin, Düsseldorf, Cologne, Frankfurt, Stuttgart and Munich some 1.21m square metres of office space was taken up, 1 % more than in the same period a year ago. </w:t>
      </w:r>
      <w:r>
        <w:rPr>
          <w:rFonts w:ascii="Arial" w:hAnsi="Arial"/>
          <w:bCs/>
          <w:i/>
          <w:sz w:val="20"/>
          <w:szCs w:val="20"/>
        </w:rPr>
        <w:t xml:space="preserve">“The market for office space in the top 7 cities still bears the scars of the coronavirus pandemic. Corporate reluctance to move to new premises is keeping the volume of new lets well below the average level,” </w:t>
      </w:r>
      <w:r>
        <w:rPr>
          <w:rFonts w:ascii="Arial" w:hAnsi="Arial"/>
          <w:bCs/>
          <w:sz w:val="20"/>
          <w:szCs w:val="20"/>
        </w:rPr>
        <w:t xml:space="preserve">remarks </w:t>
      </w:r>
      <w:r>
        <w:rPr>
          <w:rFonts w:ascii="Arial" w:hAnsi="Arial"/>
          <w:b/>
          <w:bCs/>
          <w:sz w:val="20"/>
          <w:szCs w:val="20"/>
        </w:rPr>
        <w:t xml:space="preserve">Oliver </w:t>
      </w:r>
      <w:proofErr w:type="spellStart"/>
      <w:r>
        <w:rPr>
          <w:rFonts w:ascii="Arial" w:hAnsi="Arial"/>
          <w:b/>
          <w:bCs/>
          <w:sz w:val="20"/>
          <w:szCs w:val="20"/>
        </w:rPr>
        <w:t>Schön</w:t>
      </w:r>
      <w:proofErr w:type="spellEnd"/>
      <w:r>
        <w:rPr>
          <w:rFonts w:ascii="Arial" w:hAnsi="Arial"/>
          <w:bCs/>
          <w:sz w:val="20"/>
          <w:szCs w:val="20"/>
        </w:rPr>
        <w:t xml:space="preserve">, spokesperson for German Property Partners (GPP). Partner firms in the GPP commercial property network are Grossmann &amp; Berger, Anteon </w:t>
      </w:r>
      <w:proofErr w:type="spellStart"/>
      <w:r>
        <w:rPr>
          <w:rFonts w:ascii="Arial" w:hAnsi="Arial"/>
          <w:bCs/>
          <w:sz w:val="20"/>
          <w:szCs w:val="20"/>
        </w:rPr>
        <w:t>Immobilien</w:t>
      </w:r>
      <w:proofErr w:type="spellEnd"/>
      <w:r>
        <w:rPr>
          <w:rFonts w:ascii="Arial" w:hAnsi="Arial"/>
          <w:bCs/>
          <w:sz w:val="20"/>
          <w:szCs w:val="20"/>
        </w:rPr>
        <w:t xml:space="preserve">, GREIF &amp; CONTZEN </w:t>
      </w:r>
      <w:proofErr w:type="spellStart"/>
      <w:r>
        <w:rPr>
          <w:rFonts w:ascii="Arial" w:hAnsi="Arial"/>
          <w:bCs/>
          <w:sz w:val="20"/>
          <w:szCs w:val="20"/>
        </w:rPr>
        <w:t>Immobilien</w:t>
      </w:r>
      <w:proofErr w:type="spellEnd"/>
      <w:r>
        <w:rPr>
          <w:rFonts w:ascii="Arial" w:hAnsi="Arial"/>
          <w:bCs/>
          <w:sz w:val="20"/>
          <w:szCs w:val="20"/>
        </w:rPr>
        <w:t xml:space="preserve">, </w:t>
      </w:r>
      <w:proofErr w:type="spellStart"/>
      <w:r>
        <w:rPr>
          <w:rFonts w:ascii="Arial" w:hAnsi="Arial"/>
          <w:bCs/>
          <w:sz w:val="20"/>
          <w:szCs w:val="20"/>
        </w:rPr>
        <w:t>b</w:t>
      </w:r>
      <w:r w:rsidR="00844D1E">
        <w:rPr>
          <w:rFonts w:ascii="Arial" w:hAnsi="Arial"/>
          <w:bCs/>
          <w:sz w:val="20"/>
          <w:szCs w:val="20"/>
        </w:rPr>
        <w:t>lackolive</w:t>
      </w:r>
      <w:proofErr w:type="spellEnd"/>
      <w:r w:rsidR="00844D1E">
        <w:rPr>
          <w:rFonts w:ascii="Arial" w:hAnsi="Arial"/>
          <w:bCs/>
          <w:sz w:val="20"/>
          <w:szCs w:val="20"/>
        </w:rPr>
        <w:t xml:space="preserve"> and E &amp; G Real Estate</w:t>
      </w:r>
      <w:r>
        <w:rPr>
          <w:rFonts w:ascii="Arial" w:hAnsi="Arial"/>
          <w:bCs/>
          <w:sz w:val="20"/>
          <w:szCs w:val="20"/>
        </w:rPr>
        <w:t>.</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264F7E91" w:rsidR="004C1EFC" w:rsidRPr="00637796" w:rsidRDefault="00637796" w:rsidP="00C87011">
      <w:pPr>
        <w:widowControl w:val="0"/>
        <w:spacing w:after="0" w:line="240" w:lineRule="auto"/>
        <w:jc w:val="center"/>
        <w:rPr>
          <w:rFonts w:ascii="Arial" w:hAnsi="Arial" w:cs="Arial"/>
          <w:b/>
          <w:bCs/>
          <w:caps/>
          <w:sz w:val="20"/>
          <w:szCs w:val="20"/>
        </w:rPr>
      </w:pPr>
      <w:r>
        <w:rPr>
          <w:rFonts w:ascii="Arial" w:hAnsi="Arial"/>
          <w:b/>
          <w:bCs/>
          <w:caps/>
          <w:sz w:val="20"/>
          <w:szCs w:val="20"/>
        </w:rPr>
        <w:t xml:space="preserve">FRESH ACTIVITY IN SOME OFFICE MARKETS </w:t>
      </w:r>
    </w:p>
    <w:p w14:paraId="465237C3" w14:textId="77777777" w:rsidR="00A035D3" w:rsidRDefault="00A035D3" w:rsidP="00487ECE">
      <w:pPr>
        <w:widowControl w:val="0"/>
        <w:spacing w:after="0"/>
        <w:rPr>
          <w:rFonts w:ascii="Arial" w:hAnsi="Arial" w:cs="Arial"/>
          <w:sz w:val="20"/>
          <w:szCs w:val="20"/>
        </w:rPr>
      </w:pPr>
    </w:p>
    <w:p w14:paraId="397BEC73" w14:textId="5FB193EB" w:rsidR="000B008F" w:rsidRDefault="000B008F" w:rsidP="00BF5272">
      <w:pPr>
        <w:widowControl w:val="0"/>
        <w:spacing w:after="0"/>
        <w:jc w:val="both"/>
        <w:rPr>
          <w:rFonts w:ascii="Arial" w:hAnsi="Arial" w:cs="Arial"/>
          <w:sz w:val="20"/>
          <w:szCs w:val="20"/>
        </w:rPr>
      </w:pPr>
      <w:r>
        <w:rPr>
          <w:rFonts w:ascii="Arial" w:hAnsi="Arial"/>
          <w:sz w:val="20"/>
          <w:szCs w:val="20"/>
        </w:rPr>
        <w:t xml:space="preserve">In the 2nd quarter of the year the pace of office letting in the top 7 markets continued to diverge considerably. Markets in Cologne and Frankfurt gathered fresh momentum and in each city take-up of space grew by about 50 %. There was also more movement on the Hamburg office market, where growth of 36 % in the first half of 2021 was primarily due to a strong start to the year. In Berlin the public sector was behind a respectable 5 % increase in take-up. By contrast, companies in Düsseldorf, Stuttgart and Munich hesitated to sign new leases and these office-letting markets dropped by -30 %, -35 % and -34 % respectively. </w:t>
      </w:r>
      <w:r>
        <w:rPr>
          <w:rFonts w:ascii="Arial" w:hAnsi="Arial"/>
          <w:i/>
          <w:sz w:val="20"/>
          <w:szCs w:val="20"/>
        </w:rPr>
        <w:t xml:space="preserve">“Düsseldorf posted no rental agreements for over 5,000 square metres </w:t>
      </w:r>
      <w:r>
        <w:rPr>
          <w:rFonts w:ascii="Arial" w:hAnsi="Arial"/>
          <w:i/>
          <w:sz w:val="20"/>
          <w:szCs w:val="20"/>
        </w:rPr>
        <w:lastRenderedPageBreak/>
        <w:t>for the second consecutive quarter; in Stuttgart the automotive industry generated no significant take-up and the public sector is also seeking appreciably less office space at present. In Munich a few isolated agreements for large premises were not yet sufficient to offset the overall decline on the market,”</w:t>
      </w:r>
      <w:r>
        <w:rPr>
          <w:rFonts w:ascii="Arial" w:hAnsi="Arial"/>
          <w:sz w:val="20"/>
          <w:szCs w:val="20"/>
        </w:rPr>
        <w:t xml:space="preserve"> adds </w:t>
      </w:r>
      <w:proofErr w:type="spellStart"/>
      <w:r>
        <w:rPr>
          <w:rFonts w:ascii="Arial" w:hAnsi="Arial"/>
          <w:b/>
          <w:sz w:val="20"/>
          <w:szCs w:val="20"/>
        </w:rPr>
        <w:t>Schön</w:t>
      </w:r>
      <w:proofErr w:type="spellEnd"/>
      <w:r>
        <w:rPr>
          <w:rFonts w:ascii="Arial" w:hAnsi="Arial"/>
          <w:sz w:val="20"/>
          <w:szCs w:val="20"/>
        </w:rPr>
        <w:t xml:space="preserve">. </w:t>
      </w:r>
    </w:p>
    <w:p w14:paraId="10FE85A8" w14:textId="77777777" w:rsidR="000B008F" w:rsidRDefault="000B008F" w:rsidP="00BF5272">
      <w:pPr>
        <w:widowControl w:val="0"/>
        <w:spacing w:after="0"/>
        <w:jc w:val="both"/>
        <w:rPr>
          <w:rFonts w:ascii="Arial" w:hAnsi="Arial" w:cs="Arial"/>
          <w:sz w:val="20"/>
          <w:szCs w:val="20"/>
        </w:rPr>
      </w:pPr>
    </w:p>
    <w:p w14:paraId="441E0ACC" w14:textId="24554832" w:rsidR="00487ECE" w:rsidRPr="002B6FFA" w:rsidRDefault="002B6FFA" w:rsidP="00487ECE">
      <w:pPr>
        <w:widowControl w:val="0"/>
        <w:spacing w:after="0"/>
        <w:jc w:val="center"/>
        <w:rPr>
          <w:rFonts w:ascii="Arial" w:hAnsi="Arial" w:cs="Arial"/>
          <w:b/>
          <w:bCs/>
          <w:caps/>
          <w:sz w:val="20"/>
          <w:szCs w:val="20"/>
        </w:rPr>
      </w:pPr>
      <w:r>
        <w:rPr>
          <w:rFonts w:ascii="Arial" w:hAnsi="Arial"/>
          <w:b/>
          <w:bCs/>
          <w:caps/>
          <w:sz w:val="20"/>
          <w:szCs w:val="20"/>
        </w:rPr>
        <w:t>HIGHER NUMBER OF COMPLETIONS AND SUB-LET SPACE</w:t>
      </w:r>
    </w:p>
    <w:p w14:paraId="1FB7C3C1" w14:textId="77777777" w:rsidR="006B7430" w:rsidRDefault="006B7430" w:rsidP="00487ECE">
      <w:pPr>
        <w:widowControl w:val="0"/>
        <w:spacing w:after="0"/>
        <w:rPr>
          <w:rFonts w:ascii="Arial" w:hAnsi="Arial" w:cs="Arial"/>
          <w:sz w:val="20"/>
          <w:szCs w:val="20"/>
        </w:rPr>
      </w:pPr>
    </w:p>
    <w:p w14:paraId="64A443B0" w14:textId="0C18D5EE" w:rsidR="00637796" w:rsidRDefault="00C533AE" w:rsidP="00BF5272">
      <w:pPr>
        <w:widowControl w:val="0"/>
        <w:spacing w:after="0"/>
        <w:jc w:val="both"/>
        <w:rPr>
          <w:rFonts w:ascii="Arial" w:hAnsi="Arial" w:cs="Arial"/>
          <w:sz w:val="20"/>
          <w:szCs w:val="20"/>
        </w:rPr>
      </w:pPr>
      <w:r>
        <w:rPr>
          <w:rFonts w:ascii="Arial" w:hAnsi="Arial"/>
          <w:sz w:val="20"/>
          <w:szCs w:val="20"/>
        </w:rPr>
        <w:t>As expected, the amount of office space in all of Germany’s top 7 cities that is available at short notice grew during the first two quarters of 2021, on average by 1.1 %. The highest vacancy rate was reported in Frankfurt at 8.5 %. Since the outbreak of the coronavirus pandemic the amount of empty space in this centre of the financial industry has risen appreciably, especially in the peripheral locations. Taking the increase in sub-let space into account, Düsseldorf posted the second-highest vacancy rate in the 1st half of 2021 - 7.4 %. Empty space in Berlin rose by 1.2 % due to the high volume of new-builds adding 1.2m square metres to the market in 2021/2022. A similarly large volume of completions was last seen in 1997.</w:t>
      </w:r>
    </w:p>
    <w:p w14:paraId="086CD0F8" w14:textId="77777777" w:rsidR="00637796" w:rsidRDefault="00637796" w:rsidP="00BF5272">
      <w:pPr>
        <w:widowControl w:val="0"/>
        <w:spacing w:after="0"/>
        <w:jc w:val="both"/>
        <w:rPr>
          <w:rFonts w:ascii="Arial" w:hAnsi="Arial" w:cs="Arial"/>
          <w:sz w:val="20"/>
          <w:szCs w:val="20"/>
        </w:rPr>
      </w:pPr>
    </w:p>
    <w:p w14:paraId="45C9DB34" w14:textId="6B11806F" w:rsidR="004926CE" w:rsidRDefault="00C0746B" w:rsidP="00BF5272">
      <w:pPr>
        <w:widowControl w:val="0"/>
        <w:spacing w:after="0"/>
        <w:jc w:val="both"/>
        <w:rPr>
          <w:rFonts w:ascii="Arial" w:hAnsi="Arial" w:cs="Arial"/>
          <w:sz w:val="20"/>
          <w:szCs w:val="20"/>
        </w:rPr>
      </w:pPr>
      <w:r>
        <w:rPr>
          <w:rFonts w:ascii="Arial" w:hAnsi="Arial"/>
          <w:i/>
          <w:sz w:val="20"/>
          <w:szCs w:val="20"/>
        </w:rPr>
        <w:t>“Year on year most cities report that the volume of sub-let space has grown. It could well be that some firms will rethink their space requirements if more people continue to work from home, thus adding to the vacancy rates in some places. In addition, some locations are seeing a higher rate of building completions”,</w:t>
      </w:r>
      <w:r>
        <w:rPr>
          <w:rFonts w:ascii="Arial" w:hAnsi="Arial"/>
          <w:sz w:val="20"/>
          <w:szCs w:val="20"/>
        </w:rPr>
        <w:t xml:space="preserve"> remarks </w:t>
      </w:r>
      <w:proofErr w:type="spellStart"/>
      <w:r>
        <w:rPr>
          <w:rFonts w:ascii="Arial" w:hAnsi="Arial"/>
          <w:b/>
          <w:sz w:val="20"/>
          <w:szCs w:val="20"/>
        </w:rPr>
        <w:t>Schön</w:t>
      </w:r>
      <w:proofErr w:type="spellEnd"/>
      <w:r>
        <w:rPr>
          <w:rFonts w:ascii="Arial" w:hAnsi="Arial"/>
          <w:sz w:val="20"/>
          <w:szCs w:val="20"/>
        </w:rPr>
        <w:t>. However, rental rates have seen little change. In most major cities premium and average rents moved very slightly up or down during the 1st half of 2021. The cathedral city of Cologne was an exception, where the average rent rose by 15 % year on year to € 17.30/m²/month. This development owes much to several agreements for large office suites signed by the public sector and leases for higher-priced office space.</w:t>
      </w:r>
    </w:p>
    <w:p w14:paraId="54972A9C" w14:textId="77777777" w:rsidR="000F1FCB" w:rsidRDefault="000F1FCB" w:rsidP="00487ECE">
      <w:pPr>
        <w:widowControl w:val="0"/>
        <w:spacing w:after="0"/>
        <w:rPr>
          <w:rFonts w:ascii="Arial" w:hAnsi="Arial" w:cs="Arial"/>
          <w:sz w:val="20"/>
          <w:szCs w:val="20"/>
        </w:rPr>
      </w:pPr>
    </w:p>
    <w:p w14:paraId="4E919AF9" w14:textId="57B26094" w:rsidR="00970DB3" w:rsidRPr="002B6FFA" w:rsidRDefault="002B6FFA" w:rsidP="00970DB3">
      <w:pPr>
        <w:widowControl w:val="0"/>
        <w:spacing w:after="0" w:line="240" w:lineRule="auto"/>
        <w:jc w:val="center"/>
        <w:rPr>
          <w:rFonts w:ascii="Arial" w:hAnsi="Arial" w:cs="Arial"/>
          <w:b/>
          <w:bCs/>
          <w:caps/>
          <w:sz w:val="20"/>
          <w:szCs w:val="20"/>
        </w:rPr>
      </w:pPr>
      <w:r>
        <w:rPr>
          <w:rFonts w:ascii="Arial" w:hAnsi="Arial"/>
          <w:b/>
          <w:bCs/>
          <w:caps/>
          <w:sz w:val="20"/>
          <w:szCs w:val="20"/>
        </w:rPr>
        <w:t>OVERALL, CAUTION PREVAILS ON THE LETTING MARKET</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19AFFCA8" w14:textId="2EF4A5E0" w:rsidR="00307D79" w:rsidRDefault="00307D79" w:rsidP="00EA21BF">
      <w:pPr>
        <w:widowControl w:val="0"/>
        <w:spacing w:after="0"/>
        <w:jc w:val="both"/>
        <w:rPr>
          <w:rFonts w:ascii="Arial" w:eastAsiaTheme="minorEastAsia" w:hAnsi="Arial" w:cs="Arial"/>
          <w:sz w:val="20"/>
          <w:szCs w:val="20"/>
        </w:rPr>
      </w:pPr>
      <w:r>
        <w:rPr>
          <w:rFonts w:ascii="Arial" w:hAnsi="Arial"/>
          <w:sz w:val="20"/>
          <w:szCs w:val="20"/>
        </w:rPr>
        <w:t>In most of the top 7 cities, the office-letting business is likely to revive in the second half of the year. The most dynamic market will probably be Cologne, where take-up of space is expected to reach pre-crisis levels by the end of the year. Demand for office space will remain muted in other cities and take-up of space will probably settle at the levels it reached a year ago. German Property Partners therefore predicts that in 2021, for the second year running, take-up of office space in all top 7 cities will remain well below the 10-year average of 3.39m square metres.</w:t>
      </w:r>
    </w:p>
    <w:bookmarkEnd w:id="2"/>
    <w:bookmarkEnd w:id="3"/>
    <w:p w14:paraId="0BE30C96" w14:textId="21466292" w:rsidR="000A7B82" w:rsidRDefault="000A7B82" w:rsidP="00487ECE">
      <w:pPr>
        <w:spacing w:after="0" w:line="240" w:lineRule="auto"/>
        <w:rPr>
          <w:rFonts w:ascii="Arial" w:hAnsi="Arial" w:cs="Arial"/>
          <w:b/>
          <w:sz w:val="20"/>
          <w:szCs w:val="20"/>
        </w:rPr>
      </w:pPr>
    </w:p>
    <w:p w14:paraId="73D49B3B" w14:textId="77777777" w:rsidR="007A4516" w:rsidRDefault="007A4516">
      <w:pPr>
        <w:rPr>
          <w:rFonts w:ascii="Arial" w:hAnsi="Arial" w:cs="Arial"/>
          <w:b/>
          <w:sz w:val="20"/>
          <w:szCs w:val="20"/>
        </w:rPr>
      </w:pPr>
      <w:r>
        <w:br w:type="page"/>
      </w:r>
    </w:p>
    <w:p w14:paraId="2820E23F" w14:textId="41983A5A" w:rsidR="003A0BD4" w:rsidRDefault="003A0BD4" w:rsidP="003A0BD4">
      <w:pPr>
        <w:spacing w:after="0" w:line="240" w:lineRule="auto"/>
        <w:jc w:val="both"/>
        <w:rPr>
          <w:rFonts w:ascii="Arial" w:hAnsi="Arial" w:cs="Arial"/>
          <w:sz w:val="20"/>
          <w:szCs w:val="20"/>
        </w:rPr>
      </w:pPr>
      <w:r>
        <w:rPr>
          <w:rFonts w:ascii="Arial" w:hAnsi="Arial"/>
          <w:b/>
          <w:sz w:val="20"/>
          <w:szCs w:val="20"/>
        </w:rPr>
        <w:lastRenderedPageBreak/>
        <w:t>Major known agreements for 10,000 m² or more | Top 7 locations | Q1-2 2021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b/>
                <w:sz w:val="16"/>
                <w:szCs w:val="16"/>
              </w:rPr>
              <w:t>City</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b/>
                <w:sz w:val="16"/>
                <w:szCs w:val="16"/>
              </w:rPr>
              <w:t>Project/property</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b/>
                <w:sz w:val="16"/>
                <w:szCs w:val="16"/>
              </w:rPr>
              <w:t>Tenant/owner-occupier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b/>
                <w:sz w:val="16"/>
                <w:szCs w:val="16"/>
              </w:rPr>
              <w:t xml:space="preserve">Rental area </w:t>
            </w:r>
            <w:r>
              <w:rPr>
                <w:rFonts w:ascii="Arial" w:hAnsi="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bCs/>
                <w:sz w:val="16"/>
                <w:szCs w:val="16"/>
              </w:rPr>
              <w:t xml:space="preserve">“Upbeat”, </w:t>
            </w:r>
            <w:proofErr w:type="spellStart"/>
            <w:r>
              <w:rPr>
                <w:rFonts w:ascii="Arial" w:hAnsi="Arial"/>
                <w:bCs/>
                <w:sz w:val="16"/>
                <w:szCs w:val="16"/>
              </w:rPr>
              <w:t>Heidestrasse</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7EC5BA" w:rsidR="00A4078F" w:rsidRPr="001D6864" w:rsidRDefault="00A2402E">
            <w:pPr>
              <w:widowControl w:val="0"/>
              <w:jc w:val="center"/>
              <w:rPr>
                <w:rFonts w:ascii="Arial" w:hAnsi="Arial" w:cs="Arial"/>
                <w:bCs/>
                <w:sz w:val="16"/>
                <w:szCs w:val="16"/>
              </w:rPr>
            </w:pPr>
            <w:r>
              <w:rPr>
                <w:rFonts w:ascii="Arial" w:hAnsi="Arial"/>
                <w:bCs/>
                <w:sz w:val="16"/>
                <w:szCs w:val="16"/>
              </w:rPr>
              <w:t>34,900</w:t>
            </w:r>
          </w:p>
        </w:tc>
      </w:tr>
      <w:tr w:rsidR="009F37BE" w14:paraId="104EB414" w14:textId="77777777" w:rsidTr="009F37BE">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9CDB9" w14:textId="6D52EA9C" w:rsidR="009F37BE" w:rsidRDefault="009F37BE">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E72F" w14:textId="1436DE77" w:rsidR="009F37BE" w:rsidRDefault="009F37BE">
            <w:pPr>
              <w:widowControl w:val="0"/>
              <w:jc w:val="center"/>
              <w:rPr>
                <w:rFonts w:ascii="Arial" w:hAnsi="Arial" w:cs="Arial"/>
                <w:bCs/>
                <w:sz w:val="16"/>
                <w:szCs w:val="16"/>
              </w:rPr>
            </w:pPr>
            <w:r>
              <w:rPr>
                <w:rFonts w:ascii="Arial" w:hAnsi="Arial"/>
                <w:bCs/>
                <w:sz w:val="16"/>
                <w:szCs w:val="16"/>
              </w:rPr>
              <w:t xml:space="preserve">“New Courts”, </w:t>
            </w:r>
            <w:proofErr w:type="spellStart"/>
            <w:r>
              <w:rPr>
                <w:rFonts w:ascii="Arial" w:hAnsi="Arial"/>
                <w:bCs/>
                <w:sz w:val="16"/>
                <w:szCs w:val="16"/>
              </w:rPr>
              <w:t>Gerichtstrasse</w:t>
            </w:r>
            <w:proofErr w:type="spellEnd"/>
            <w:r>
              <w:rPr>
                <w:rFonts w:ascii="Arial" w:hAnsi="Arial"/>
                <w:bCs/>
                <w:sz w:val="16"/>
                <w:szCs w:val="16"/>
              </w:rPr>
              <w:t xml:space="preserve"> 48-49</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2B9A9" w14:textId="4CA50081" w:rsidR="009F37BE" w:rsidRDefault="009F37BE">
            <w:pPr>
              <w:widowControl w:val="0"/>
              <w:jc w:val="center"/>
              <w:rPr>
                <w:rFonts w:ascii="Arial" w:hAnsi="Arial" w:cs="Arial"/>
                <w:bCs/>
                <w:sz w:val="16"/>
                <w:szCs w:val="16"/>
              </w:rPr>
            </w:pPr>
            <w:r>
              <w:rPr>
                <w:rFonts w:ascii="Arial" w:hAnsi="Arial"/>
                <w:bCs/>
                <w:sz w:val="16"/>
                <w:szCs w:val="16"/>
              </w:rPr>
              <w:t>Federal Office for Consumer P</w:t>
            </w:r>
            <w:r w:rsidR="00851E43">
              <w:rPr>
                <w:rFonts w:ascii="Arial" w:hAnsi="Arial"/>
                <w:bCs/>
                <w:sz w:val="16"/>
                <w:szCs w:val="16"/>
              </w:rPr>
              <w:t>rotection and Food Safety (BVL)</w:t>
            </w:r>
            <w:bookmarkStart w:id="4" w:name="_GoBack"/>
            <w:bookmarkEnd w:id="4"/>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5C18" w14:textId="1B591219" w:rsidR="009F37BE" w:rsidRDefault="009F37BE">
            <w:pPr>
              <w:widowControl w:val="0"/>
              <w:jc w:val="center"/>
              <w:rPr>
                <w:rFonts w:ascii="Arial" w:hAnsi="Arial" w:cs="Arial"/>
                <w:bCs/>
                <w:sz w:val="16"/>
                <w:szCs w:val="16"/>
              </w:rPr>
            </w:pPr>
            <w:r>
              <w:rPr>
                <w:rFonts w:ascii="Arial" w:hAnsi="Arial"/>
                <w:bCs/>
                <w:sz w:val="16"/>
                <w:szCs w:val="16"/>
              </w:rPr>
              <w:t>20,000</w:t>
            </w:r>
          </w:p>
        </w:tc>
      </w:tr>
      <w:tr w:rsidR="00AD06AB" w14:paraId="759F5EC5"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0C403" w14:textId="7A9F6F82" w:rsidR="00AD06AB" w:rsidRDefault="00AD06AB">
            <w:pPr>
              <w:widowControl w:val="0"/>
              <w:jc w:val="center"/>
              <w:rPr>
                <w:rFonts w:ascii="Arial" w:hAnsi="Arial" w:cs="Arial"/>
                <w:bCs/>
                <w:sz w:val="16"/>
                <w:szCs w:val="16"/>
              </w:rPr>
            </w:pPr>
            <w:r>
              <w:rPr>
                <w:rFonts w:ascii="Arial" w:hAnsi="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C9814" w14:textId="1AC8ECE5" w:rsidR="00AD06AB" w:rsidRDefault="00AD06AB">
            <w:pPr>
              <w:widowControl w:val="0"/>
              <w:jc w:val="center"/>
              <w:rPr>
                <w:rFonts w:ascii="Arial" w:hAnsi="Arial" w:cs="Arial"/>
                <w:bCs/>
                <w:sz w:val="16"/>
                <w:szCs w:val="16"/>
              </w:rPr>
            </w:pPr>
            <w:r>
              <w:rPr>
                <w:rFonts w:ascii="Arial" w:hAnsi="Arial"/>
                <w:bCs/>
                <w:sz w:val="16"/>
                <w:szCs w:val="16"/>
              </w:rPr>
              <w:t xml:space="preserve">“Kreisler”, </w:t>
            </w:r>
            <w:proofErr w:type="spellStart"/>
            <w:r>
              <w:rPr>
                <w:rFonts w:ascii="Arial" w:hAnsi="Arial"/>
                <w:bCs/>
                <w:sz w:val="16"/>
                <w:szCs w:val="16"/>
              </w:rPr>
              <w:t>Baseler</w:t>
            </w:r>
            <w:proofErr w:type="spellEnd"/>
            <w:r>
              <w:rPr>
                <w:rFonts w:ascii="Arial" w:hAnsi="Arial"/>
                <w:bCs/>
                <w:sz w:val="16"/>
                <w:szCs w:val="16"/>
              </w:rPr>
              <w:t xml:space="preserve"> </w:t>
            </w:r>
            <w:proofErr w:type="spellStart"/>
            <w:r>
              <w:rPr>
                <w:rFonts w:ascii="Arial" w:hAnsi="Arial"/>
                <w:bCs/>
                <w:sz w:val="16"/>
                <w:szCs w:val="16"/>
              </w:rPr>
              <w:t>Straße</w:t>
            </w:r>
            <w:proofErr w:type="spellEnd"/>
            <w:r>
              <w:rPr>
                <w:rFonts w:ascii="Arial" w:hAnsi="Arial"/>
                <w:bCs/>
                <w:sz w:val="16"/>
                <w:szCs w:val="16"/>
              </w:rPr>
              <w:t xml:space="preserve"> 46-48</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3342C" w14:textId="72B3F67A" w:rsidR="00AD06AB" w:rsidRDefault="00AD06AB">
            <w:pPr>
              <w:widowControl w:val="0"/>
              <w:jc w:val="center"/>
              <w:rPr>
                <w:rFonts w:ascii="Arial" w:hAnsi="Arial" w:cs="Arial"/>
                <w:bCs/>
                <w:sz w:val="16"/>
                <w:szCs w:val="16"/>
              </w:rPr>
            </w:pPr>
            <w:r>
              <w:rPr>
                <w:rFonts w:ascii="Arial" w:hAnsi="Arial"/>
                <w:bCs/>
                <w:sz w:val="16"/>
                <w:szCs w:val="16"/>
              </w:rPr>
              <w:t>Nestlé Deutschland</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08" w14:textId="5B0AB356" w:rsidR="00AD06AB" w:rsidRDefault="00A2402E">
            <w:pPr>
              <w:widowControl w:val="0"/>
              <w:jc w:val="center"/>
              <w:rPr>
                <w:rFonts w:ascii="Arial" w:hAnsi="Arial" w:cs="Arial"/>
                <w:bCs/>
                <w:sz w:val="16"/>
                <w:szCs w:val="16"/>
              </w:rPr>
            </w:pPr>
            <w:r>
              <w:rPr>
                <w:rFonts w:ascii="Arial" w:hAnsi="Arial"/>
                <w:bCs/>
                <w:sz w:val="16"/>
                <w:szCs w:val="16"/>
              </w:rPr>
              <w:t>20,000</w:t>
            </w:r>
          </w:p>
        </w:tc>
      </w:tr>
      <w:tr w:rsidR="00AD06AB" w14:paraId="2BC5A5C9"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BFD83" w14:textId="5A397F44" w:rsidR="00AD06AB" w:rsidRDefault="00AD06AB" w:rsidP="00AD06AB">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96002" w14:textId="6AD448D0" w:rsidR="00AD06AB" w:rsidRDefault="00AD06AB" w:rsidP="00AD06AB">
            <w:pPr>
              <w:widowControl w:val="0"/>
              <w:jc w:val="center"/>
              <w:rPr>
                <w:rFonts w:ascii="Arial" w:hAnsi="Arial" w:cs="Arial"/>
                <w:bCs/>
                <w:sz w:val="16"/>
                <w:szCs w:val="16"/>
              </w:rPr>
            </w:pPr>
            <w:r>
              <w:rPr>
                <w:rFonts w:ascii="Arial" w:hAnsi="Arial"/>
                <w:bCs/>
                <w:sz w:val="16"/>
                <w:szCs w:val="16"/>
              </w:rPr>
              <w:t>confidential</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50944" w14:textId="6CFA5017" w:rsidR="00AD06AB" w:rsidRDefault="00AD06AB" w:rsidP="00AD06AB">
            <w:pPr>
              <w:widowControl w:val="0"/>
              <w:jc w:val="center"/>
              <w:rPr>
                <w:rFonts w:ascii="Arial" w:hAnsi="Arial" w:cs="Arial"/>
                <w:bCs/>
                <w:sz w:val="16"/>
                <w:szCs w:val="16"/>
              </w:rPr>
            </w:pPr>
            <w:r>
              <w:rPr>
                <w:rFonts w:ascii="Arial" w:hAnsi="Arial"/>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135B2" w14:textId="59DF7E5C" w:rsidR="00AD06AB" w:rsidRDefault="00AD06AB" w:rsidP="00AD06AB">
            <w:pPr>
              <w:widowControl w:val="0"/>
              <w:jc w:val="center"/>
              <w:rPr>
                <w:rFonts w:ascii="Arial" w:hAnsi="Arial" w:cs="Arial"/>
                <w:bCs/>
                <w:sz w:val="16"/>
                <w:szCs w:val="16"/>
              </w:rPr>
            </w:pPr>
            <w:r>
              <w:rPr>
                <w:rFonts w:ascii="Arial" w:hAnsi="Arial"/>
                <w:bCs/>
                <w:sz w:val="16"/>
                <w:szCs w:val="16"/>
              </w:rPr>
              <w:t>19,000</w:t>
            </w:r>
          </w:p>
        </w:tc>
      </w:tr>
      <w:tr w:rsidR="009F37BE" w14:paraId="2AA3FB61"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570F9" w14:textId="3BFDCEC4" w:rsidR="009F37BE" w:rsidRDefault="009F37BE" w:rsidP="00AD06AB">
            <w:pPr>
              <w:widowControl w:val="0"/>
              <w:jc w:val="center"/>
              <w:rPr>
                <w:rFonts w:ascii="Arial" w:hAnsi="Arial" w:cs="Arial"/>
                <w:bCs/>
                <w:sz w:val="16"/>
                <w:szCs w:val="16"/>
              </w:rPr>
            </w:pPr>
            <w:r>
              <w:rPr>
                <w:rFonts w:ascii="Arial" w:hAnsi="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BC731" w14:textId="204DA693" w:rsidR="009F37BE" w:rsidRDefault="009F37BE" w:rsidP="00AD06AB">
            <w:pPr>
              <w:widowControl w:val="0"/>
              <w:jc w:val="center"/>
              <w:rPr>
                <w:rFonts w:ascii="Arial" w:hAnsi="Arial" w:cs="Arial"/>
                <w:bCs/>
                <w:sz w:val="16"/>
                <w:szCs w:val="16"/>
              </w:rPr>
            </w:pPr>
            <w:proofErr w:type="spellStart"/>
            <w:r>
              <w:rPr>
                <w:rFonts w:ascii="Arial" w:hAnsi="Arial"/>
                <w:bCs/>
                <w:sz w:val="16"/>
                <w:szCs w:val="16"/>
              </w:rPr>
              <w:t>Freisinger</w:t>
            </w:r>
            <w:proofErr w:type="spellEnd"/>
            <w:r>
              <w:rPr>
                <w:rFonts w:ascii="Arial" w:hAnsi="Arial"/>
                <w:bCs/>
                <w:sz w:val="16"/>
                <w:szCs w:val="16"/>
              </w:rPr>
              <w:t xml:space="preserve"> </w:t>
            </w:r>
            <w:proofErr w:type="spellStart"/>
            <w:r>
              <w:rPr>
                <w:rFonts w:ascii="Arial" w:hAnsi="Arial"/>
                <w:bCs/>
                <w:sz w:val="16"/>
                <w:szCs w:val="16"/>
              </w:rPr>
              <w:t>Landstrasse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56843" w14:textId="0E9C2453" w:rsidR="009F37BE" w:rsidRDefault="009F37BE" w:rsidP="00AD06AB">
            <w:pPr>
              <w:widowControl w:val="0"/>
              <w:jc w:val="center"/>
              <w:rPr>
                <w:rFonts w:ascii="Arial" w:hAnsi="Arial" w:cs="Arial"/>
                <w:bCs/>
                <w:sz w:val="16"/>
                <w:szCs w:val="16"/>
              </w:rPr>
            </w:pPr>
            <w:r>
              <w:rPr>
                <w:rFonts w:ascii="Arial" w:hAnsi="Arial"/>
                <w:bCs/>
                <w:sz w:val="16"/>
                <w:szCs w:val="16"/>
              </w:rPr>
              <w:t>SAP SE</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D946C" w14:textId="545ED28E" w:rsidR="009F37BE" w:rsidRDefault="009F37BE" w:rsidP="00AD06AB">
            <w:pPr>
              <w:widowControl w:val="0"/>
              <w:jc w:val="center"/>
              <w:rPr>
                <w:rFonts w:ascii="Arial" w:hAnsi="Arial" w:cs="Arial"/>
                <w:bCs/>
                <w:sz w:val="16"/>
                <w:szCs w:val="16"/>
              </w:rPr>
            </w:pPr>
            <w:r>
              <w:rPr>
                <w:rFonts w:ascii="Arial" w:hAnsi="Arial"/>
                <w:bCs/>
                <w:sz w:val="16"/>
                <w:szCs w:val="16"/>
              </w:rPr>
              <w:t>18,000</w:t>
            </w:r>
          </w:p>
        </w:tc>
      </w:tr>
      <w:tr w:rsidR="009F37BE" w14:paraId="23793703"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65C4C" w14:textId="00B20062" w:rsidR="009F37BE" w:rsidRDefault="009F37BE" w:rsidP="00AD06AB">
            <w:pPr>
              <w:widowControl w:val="0"/>
              <w:jc w:val="center"/>
              <w:rPr>
                <w:rFonts w:ascii="Arial" w:hAnsi="Arial" w:cs="Arial"/>
                <w:bCs/>
                <w:sz w:val="16"/>
                <w:szCs w:val="16"/>
              </w:rPr>
            </w:pPr>
            <w:r>
              <w:rPr>
                <w:rFonts w:ascii="Arial" w:hAnsi="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F8D6D" w14:textId="3A3AFE42" w:rsidR="009F37BE" w:rsidRDefault="009F37BE" w:rsidP="00AD06AB">
            <w:pPr>
              <w:widowControl w:val="0"/>
              <w:jc w:val="center"/>
              <w:rPr>
                <w:rFonts w:ascii="Arial" w:hAnsi="Arial" w:cs="Arial"/>
                <w:bCs/>
                <w:sz w:val="16"/>
                <w:szCs w:val="16"/>
              </w:rPr>
            </w:pPr>
            <w:r>
              <w:rPr>
                <w:rFonts w:ascii="Arial" w:hAnsi="Arial"/>
                <w:bCs/>
                <w:sz w:val="16"/>
                <w:szCs w:val="16"/>
              </w:rPr>
              <w:t>Gisela-Stein-</w:t>
            </w:r>
            <w:proofErr w:type="spellStart"/>
            <w:r>
              <w:rPr>
                <w:rFonts w:ascii="Arial" w:hAnsi="Arial"/>
                <w:bCs/>
                <w:sz w:val="16"/>
                <w:szCs w:val="16"/>
              </w:rPr>
              <w:t>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162D2" w14:textId="43187FC6" w:rsidR="009F37BE" w:rsidRDefault="009F37BE" w:rsidP="00AD06AB">
            <w:pPr>
              <w:widowControl w:val="0"/>
              <w:jc w:val="center"/>
              <w:rPr>
                <w:rFonts w:ascii="Arial" w:hAnsi="Arial" w:cs="Arial"/>
                <w:bCs/>
                <w:sz w:val="16"/>
                <w:szCs w:val="16"/>
              </w:rPr>
            </w:pPr>
            <w:r>
              <w:rPr>
                <w:rFonts w:ascii="Arial" w:hAnsi="Arial"/>
                <w:bCs/>
                <w:sz w:val="16"/>
                <w:szCs w:val="16"/>
              </w:rPr>
              <w:t xml:space="preserve">Wacker </w:t>
            </w:r>
            <w:proofErr w:type="spellStart"/>
            <w:r>
              <w:rPr>
                <w:rFonts w:ascii="Arial" w:hAnsi="Arial"/>
                <w:bCs/>
                <w:sz w:val="16"/>
                <w:szCs w:val="16"/>
              </w:rPr>
              <w:t>Chemie</w:t>
            </w:r>
            <w:proofErr w:type="spellEnd"/>
            <w:r>
              <w:rPr>
                <w:rFonts w:ascii="Arial" w:hAnsi="Arial"/>
                <w:bCs/>
                <w:sz w:val="16"/>
                <w:szCs w:val="16"/>
              </w:rPr>
              <w:t xml:space="preserve"> GmbH</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8CC0F" w14:textId="76BF4C80" w:rsidR="009F37BE" w:rsidRDefault="009F37BE" w:rsidP="00AD06AB">
            <w:pPr>
              <w:widowControl w:val="0"/>
              <w:jc w:val="center"/>
              <w:rPr>
                <w:rFonts w:ascii="Arial" w:hAnsi="Arial" w:cs="Arial"/>
                <w:bCs/>
                <w:sz w:val="16"/>
                <w:szCs w:val="16"/>
              </w:rPr>
            </w:pPr>
            <w:r>
              <w:rPr>
                <w:rFonts w:ascii="Arial" w:hAnsi="Arial"/>
                <w:bCs/>
                <w:sz w:val="16"/>
                <w:szCs w:val="16"/>
              </w:rPr>
              <w:t>17.800</w:t>
            </w:r>
          </w:p>
        </w:tc>
      </w:tr>
      <w:tr w:rsidR="00AD06AB" w14:paraId="4CF6F20F"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F8C0B" w14:textId="764AAF1F" w:rsidR="00AD06AB" w:rsidRDefault="00AD06AB" w:rsidP="00AD06AB">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30BF" w14:textId="2A2D2DFA" w:rsidR="00AD06AB" w:rsidRDefault="00AD06AB" w:rsidP="00AD06AB">
            <w:pPr>
              <w:widowControl w:val="0"/>
              <w:jc w:val="center"/>
              <w:rPr>
                <w:rFonts w:ascii="Arial" w:hAnsi="Arial" w:cs="Arial"/>
                <w:bCs/>
                <w:sz w:val="16"/>
                <w:szCs w:val="16"/>
              </w:rPr>
            </w:pPr>
            <w:r>
              <w:rPr>
                <w:rFonts w:ascii="Arial" w:hAnsi="Arial"/>
                <w:bCs/>
                <w:sz w:val="16"/>
                <w:szCs w:val="16"/>
              </w:rPr>
              <w:t>Josef-</w:t>
            </w:r>
            <w:proofErr w:type="spellStart"/>
            <w:r>
              <w:rPr>
                <w:rFonts w:ascii="Arial" w:hAnsi="Arial"/>
                <w:bCs/>
                <w:sz w:val="16"/>
                <w:szCs w:val="16"/>
              </w:rPr>
              <w:t>Lammerting</w:t>
            </w:r>
            <w:proofErr w:type="spellEnd"/>
            <w:r>
              <w:rPr>
                <w:rFonts w:ascii="Arial" w:hAnsi="Arial"/>
                <w:bCs/>
                <w:sz w:val="16"/>
                <w:szCs w:val="16"/>
              </w:rPr>
              <w:t>-</w:t>
            </w:r>
            <w:proofErr w:type="spellStart"/>
            <w:r>
              <w:rPr>
                <w:rFonts w:ascii="Arial" w:hAnsi="Arial"/>
                <w:bCs/>
                <w:sz w:val="16"/>
                <w:szCs w:val="16"/>
              </w:rPr>
              <w:t>Allee</w:t>
            </w:r>
            <w:proofErr w:type="spellEnd"/>
            <w:r>
              <w:rPr>
                <w:rFonts w:ascii="Arial" w:hAnsi="Arial"/>
                <w:bCs/>
                <w:sz w:val="16"/>
                <w:szCs w:val="16"/>
              </w:rPr>
              <w:t xml:space="preserve"> 24-34</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1CC7" w14:textId="22499116" w:rsidR="00AD06AB" w:rsidRDefault="00AD06AB" w:rsidP="00AD06AB">
            <w:pPr>
              <w:widowControl w:val="0"/>
              <w:jc w:val="center"/>
              <w:rPr>
                <w:rFonts w:ascii="Arial" w:hAnsi="Arial" w:cs="Arial"/>
                <w:bCs/>
                <w:sz w:val="16"/>
                <w:szCs w:val="16"/>
              </w:rPr>
            </w:pPr>
            <w:r>
              <w:rPr>
                <w:rFonts w:ascii="Arial" w:hAnsi="Arial"/>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CED6" w14:textId="38347C73" w:rsidR="00AD06AB" w:rsidRDefault="00AD06AB" w:rsidP="00AD06AB">
            <w:pPr>
              <w:widowControl w:val="0"/>
              <w:jc w:val="center"/>
              <w:rPr>
                <w:rFonts w:ascii="Arial" w:hAnsi="Arial" w:cs="Arial"/>
                <w:bCs/>
                <w:sz w:val="16"/>
                <w:szCs w:val="16"/>
              </w:rPr>
            </w:pPr>
            <w:r>
              <w:rPr>
                <w:rFonts w:ascii="Arial" w:hAnsi="Arial"/>
                <w:bCs/>
                <w:sz w:val="16"/>
                <w:szCs w:val="16"/>
              </w:rPr>
              <w:t>16,200</w:t>
            </w:r>
          </w:p>
        </w:tc>
      </w:tr>
      <w:tr w:rsidR="00AD06AB"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AD06AB" w:rsidRPr="001D6864" w:rsidRDefault="00AD06AB" w:rsidP="00AD06AB">
            <w:pPr>
              <w:widowControl w:val="0"/>
              <w:jc w:val="center"/>
              <w:rPr>
                <w:rFonts w:ascii="Arial" w:hAnsi="Arial" w:cs="Arial"/>
                <w:bCs/>
                <w:sz w:val="16"/>
                <w:szCs w:val="16"/>
              </w:rPr>
            </w:pPr>
            <w:r>
              <w:rPr>
                <w:rFonts w:ascii="Arial" w:hAnsi="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AD06AB" w:rsidRPr="00B90116" w:rsidRDefault="00AD06AB" w:rsidP="00AD06AB">
            <w:pPr>
              <w:widowControl w:val="0"/>
              <w:jc w:val="center"/>
              <w:rPr>
                <w:rFonts w:ascii="Arial" w:hAnsi="Arial" w:cs="Arial"/>
                <w:bCs/>
                <w:sz w:val="16"/>
                <w:szCs w:val="16"/>
              </w:rPr>
            </w:pPr>
            <w:r>
              <w:rPr>
                <w:rFonts w:ascii="Arial" w:hAnsi="Arial"/>
                <w:bCs/>
                <w:sz w:val="16"/>
                <w:szCs w:val="16"/>
              </w:rPr>
              <w:t xml:space="preserve">“The Move Blue”, Gateway Gardens, </w:t>
            </w:r>
          </w:p>
          <w:p w14:paraId="64FFF168" w14:textId="24BD08DB" w:rsidR="00AD06AB" w:rsidRPr="001D6864" w:rsidRDefault="00AD06AB" w:rsidP="00AD06AB">
            <w:pPr>
              <w:widowControl w:val="0"/>
              <w:jc w:val="center"/>
              <w:rPr>
                <w:rFonts w:ascii="Arial" w:hAnsi="Arial" w:cs="Arial"/>
                <w:bCs/>
                <w:sz w:val="16"/>
                <w:szCs w:val="16"/>
              </w:rPr>
            </w:pPr>
            <w:r>
              <w:rPr>
                <w:rFonts w:ascii="Arial" w:hAnsi="Arial"/>
                <w:bCs/>
                <w:sz w:val="16"/>
                <w:szCs w:val="16"/>
              </w:rPr>
              <w:t>De-Saint-</w:t>
            </w:r>
            <w:proofErr w:type="spellStart"/>
            <w:r>
              <w:rPr>
                <w:rFonts w:ascii="Arial" w:hAnsi="Arial"/>
                <w:bCs/>
                <w:sz w:val="16"/>
                <w:szCs w:val="16"/>
              </w:rPr>
              <w:t>Exupèry</w:t>
            </w:r>
            <w:proofErr w:type="spellEnd"/>
            <w:r>
              <w:rPr>
                <w:rFonts w:ascii="Arial" w:hAnsi="Arial"/>
                <w:bCs/>
                <w:sz w:val="16"/>
                <w:szCs w:val="16"/>
              </w:rPr>
              <w:t>-</w:t>
            </w:r>
            <w:proofErr w:type="spellStart"/>
            <w:r>
              <w:rPr>
                <w:rFonts w:ascii="Arial" w:hAnsi="Arial"/>
                <w:bCs/>
                <w:sz w:val="16"/>
                <w:szCs w:val="16"/>
              </w:rPr>
              <w:t>Strasse</w:t>
            </w:r>
            <w:proofErr w:type="spellEnd"/>
            <w:r>
              <w:rPr>
                <w:rFonts w:ascii="Arial" w:hAnsi="Arial"/>
                <w:bCs/>
                <w:sz w:val="16"/>
                <w:szCs w:val="16"/>
              </w:rPr>
              <w:t xml:space="preserv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AD06AB" w:rsidRPr="001D6864" w:rsidRDefault="00AD06AB" w:rsidP="00AD06AB">
            <w:pPr>
              <w:widowControl w:val="0"/>
              <w:jc w:val="center"/>
              <w:rPr>
                <w:rFonts w:ascii="Arial" w:hAnsi="Arial" w:cs="Arial"/>
                <w:bCs/>
                <w:sz w:val="16"/>
                <w:szCs w:val="16"/>
              </w:rPr>
            </w:pPr>
            <w:r>
              <w:rPr>
                <w:rFonts w:ascii="Arial" w:hAnsi="Arial"/>
                <w:bCs/>
                <w:sz w:val="16"/>
                <w:szCs w:val="16"/>
              </w:rPr>
              <w:t>Siemens (owner-occupier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AD06AB" w:rsidRPr="001D6864" w:rsidRDefault="00AD06AB" w:rsidP="00AD06AB">
            <w:pPr>
              <w:widowControl w:val="0"/>
              <w:jc w:val="center"/>
              <w:rPr>
                <w:rFonts w:ascii="Arial" w:hAnsi="Arial" w:cs="Arial"/>
                <w:bCs/>
                <w:sz w:val="16"/>
                <w:szCs w:val="16"/>
              </w:rPr>
            </w:pPr>
            <w:r>
              <w:rPr>
                <w:rFonts w:ascii="Arial" w:hAnsi="Arial"/>
                <w:bCs/>
                <w:sz w:val="16"/>
                <w:szCs w:val="16"/>
              </w:rPr>
              <w:t>15,000</w:t>
            </w:r>
          </w:p>
        </w:tc>
      </w:tr>
      <w:tr w:rsidR="00AD06AB"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D06AB" w:rsidRDefault="00AD06AB" w:rsidP="00AD06AB">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D06AB" w:rsidRDefault="00AD06AB" w:rsidP="00AD06AB">
            <w:pPr>
              <w:widowControl w:val="0"/>
              <w:jc w:val="center"/>
              <w:rPr>
                <w:rFonts w:ascii="Arial" w:hAnsi="Arial" w:cs="Arial"/>
                <w:bCs/>
                <w:sz w:val="16"/>
                <w:szCs w:val="16"/>
              </w:rPr>
            </w:pPr>
            <w:r>
              <w:rPr>
                <w:rFonts w:ascii="Arial" w:hAnsi="Arial"/>
                <w:bCs/>
                <w:sz w:val="16"/>
                <w:szCs w:val="16"/>
              </w:rPr>
              <w:t xml:space="preserve">“Shed”, </w:t>
            </w:r>
            <w:proofErr w:type="spellStart"/>
            <w:r>
              <w:rPr>
                <w:rFonts w:ascii="Arial" w:hAnsi="Arial"/>
                <w:bCs/>
                <w:sz w:val="16"/>
                <w:szCs w:val="16"/>
              </w:rPr>
              <w:t>Sonnenallee</w:t>
            </w:r>
            <w:proofErr w:type="spellEnd"/>
            <w:r>
              <w:rPr>
                <w:rFonts w:ascii="Arial" w:hAnsi="Arial"/>
                <w:bCs/>
                <w:sz w:val="16"/>
                <w:szCs w:val="16"/>
              </w:rPr>
              <w:t xml:space="preserv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D06AB" w:rsidRPr="00012241" w:rsidRDefault="00AD06AB" w:rsidP="00AD06AB">
            <w:pPr>
              <w:widowControl w:val="0"/>
              <w:jc w:val="center"/>
              <w:rPr>
                <w:rFonts w:ascii="Arial" w:hAnsi="Arial" w:cs="Arial"/>
                <w:bCs/>
                <w:sz w:val="16"/>
                <w:szCs w:val="16"/>
              </w:rPr>
            </w:pPr>
            <w:r>
              <w:rPr>
                <w:rFonts w:ascii="Arial" w:hAnsi="Arial"/>
                <w:bCs/>
                <w:sz w:val="16"/>
                <w:szCs w:val="16"/>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D06AB" w:rsidRPr="00012241" w:rsidRDefault="00AD06AB" w:rsidP="00AD06AB">
            <w:pPr>
              <w:widowControl w:val="0"/>
              <w:jc w:val="center"/>
              <w:rPr>
                <w:rFonts w:ascii="Arial" w:hAnsi="Arial" w:cs="Arial"/>
                <w:bCs/>
                <w:sz w:val="16"/>
                <w:szCs w:val="16"/>
              </w:rPr>
            </w:pPr>
            <w:r>
              <w:rPr>
                <w:rFonts w:ascii="Arial" w:hAnsi="Arial"/>
                <w:bCs/>
                <w:sz w:val="16"/>
                <w:szCs w:val="16"/>
              </w:rPr>
              <w:t>13,000</w:t>
            </w:r>
          </w:p>
        </w:tc>
      </w:tr>
      <w:tr w:rsidR="00AD06AB"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D06AB" w:rsidRDefault="00AD06AB" w:rsidP="00AD06AB">
            <w:pPr>
              <w:widowControl w:val="0"/>
              <w:jc w:val="center"/>
              <w:rPr>
                <w:rFonts w:ascii="Arial" w:hAnsi="Arial" w:cs="Arial"/>
                <w:bCs/>
                <w:sz w:val="16"/>
                <w:szCs w:val="16"/>
              </w:rPr>
            </w:pPr>
            <w:r>
              <w:rPr>
                <w:rFonts w:ascii="Arial" w:hAnsi="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D06AB" w:rsidRDefault="00AD06AB" w:rsidP="00AD06AB">
            <w:pPr>
              <w:widowControl w:val="0"/>
              <w:jc w:val="center"/>
              <w:rPr>
                <w:rFonts w:ascii="Arial" w:hAnsi="Arial" w:cs="Arial"/>
                <w:bCs/>
                <w:sz w:val="16"/>
                <w:szCs w:val="16"/>
              </w:rPr>
            </w:pPr>
            <w:r>
              <w:rPr>
                <w:rFonts w:ascii="Arial" w:hAnsi="Arial"/>
                <w:bCs/>
                <w:sz w:val="16"/>
                <w:szCs w:val="16"/>
              </w:rPr>
              <w:t xml:space="preserve">“Ovum”, </w:t>
            </w:r>
            <w:proofErr w:type="spellStart"/>
            <w:r>
              <w:rPr>
                <w:rFonts w:ascii="Arial" w:hAnsi="Arial"/>
                <w:bCs/>
                <w:sz w:val="16"/>
                <w:szCs w:val="16"/>
              </w:rPr>
              <w:t>Stolberger</w:t>
            </w:r>
            <w:proofErr w:type="spellEnd"/>
            <w:r>
              <w:rPr>
                <w:rFonts w:ascii="Arial" w:hAnsi="Arial"/>
                <w:bCs/>
                <w:sz w:val="16"/>
                <w:szCs w:val="16"/>
              </w:rPr>
              <w:t xml:space="preserve"> </w:t>
            </w:r>
            <w:proofErr w:type="spellStart"/>
            <w:r>
              <w:rPr>
                <w:rFonts w:ascii="Arial" w:hAnsi="Arial"/>
                <w:bCs/>
                <w:sz w:val="16"/>
                <w:szCs w:val="16"/>
              </w:rPr>
              <w:t>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D06AB" w:rsidRDefault="00AD06AB" w:rsidP="00AD06AB">
            <w:pPr>
              <w:widowControl w:val="0"/>
              <w:jc w:val="center"/>
              <w:rPr>
                <w:rFonts w:ascii="Arial" w:hAnsi="Arial" w:cs="Arial"/>
                <w:bCs/>
                <w:sz w:val="16"/>
                <w:szCs w:val="16"/>
              </w:rPr>
            </w:pPr>
            <w:r>
              <w:rPr>
                <w:rFonts w:ascii="Arial" w:hAnsi="Arial"/>
                <w:bCs/>
                <w:sz w:val="16"/>
                <w:szCs w:val="16"/>
              </w:rPr>
              <w:t>“BIMA” for a 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D06AB" w:rsidRDefault="00AD06AB" w:rsidP="00AD06AB">
            <w:pPr>
              <w:widowControl w:val="0"/>
              <w:jc w:val="center"/>
              <w:rPr>
                <w:rFonts w:ascii="Arial" w:hAnsi="Arial" w:cs="Arial"/>
                <w:bCs/>
                <w:sz w:val="16"/>
                <w:szCs w:val="16"/>
              </w:rPr>
            </w:pPr>
            <w:r>
              <w:rPr>
                <w:rFonts w:ascii="Arial" w:hAnsi="Arial"/>
                <w:bCs/>
                <w:sz w:val="16"/>
                <w:szCs w:val="16"/>
              </w:rPr>
              <w:t>12,000</w:t>
            </w:r>
          </w:p>
        </w:tc>
      </w:tr>
      <w:tr w:rsidR="00AD06AB"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D06AB" w:rsidRDefault="00AD06AB" w:rsidP="00AD06AB">
            <w:pPr>
              <w:widowControl w:val="0"/>
              <w:jc w:val="center"/>
              <w:rPr>
                <w:rFonts w:ascii="Arial" w:hAnsi="Arial" w:cs="Arial"/>
                <w:bCs/>
                <w:sz w:val="16"/>
                <w:szCs w:val="16"/>
              </w:rPr>
            </w:pPr>
            <w:r>
              <w:rPr>
                <w:rFonts w:ascii="Arial" w:hAnsi="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D06AB" w:rsidRDefault="00AD06AB" w:rsidP="00AD06AB">
            <w:pPr>
              <w:widowControl w:val="0"/>
              <w:jc w:val="center"/>
              <w:rPr>
                <w:rFonts w:ascii="Arial" w:hAnsi="Arial" w:cs="Arial"/>
                <w:bCs/>
                <w:sz w:val="16"/>
                <w:szCs w:val="16"/>
              </w:rPr>
            </w:pPr>
            <w:r>
              <w:rPr>
                <w:rFonts w:ascii="Arial" w:hAnsi="Arial"/>
                <w:bCs/>
                <w:sz w:val="16"/>
                <w:szCs w:val="16"/>
              </w:rPr>
              <w:t>“</w:t>
            </w:r>
            <w:proofErr w:type="spellStart"/>
            <w:r>
              <w:rPr>
                <w:rFonts w:ascii="Arial" w:hAnsi="Arial"/>
                <w:bCs/>
                <w:sz w:val="16"/>
                <w:szCs w:val="16"/>
              </w:rPr>
              <w:t>denk.mal</w:t>
            </w:r>
            <w:proofErr w:type="spellEnd"/>
            <w:r>
              <w:rPr>
                <w:rFonts w:ascii="Arial" w:hAnsi="Arial"/>
                <w:bCs/>
                <w:sz w:val="16"/>
                <w:szCs w:val="16"/>
              </w:rPr>
              <w:t xml:space="preserve"> </w:t>
            </w:r>
            <w:proofErr w:type="spellStart"/>
            <w:r>
              <w:rPr>
                <w:rFonts w:ascii="Arial" w:hAnsi="Arial"/>
                <w:bCs/>
                <w:sz w:val="16"/>
                <w:szCs w:val="16"/>
              </w:rPr>
              <w:t>Hannoverscher</w:t>
            </w:r>
            <w:proofErr w:type="spellEnd"/>
            <w:r>
              <w:rPr>
                <w:rFonts w:ascii="Arial" w:hAnsi="Arial"/>
                <w:bCs/>
                <w:sz w:val="16"/>
                <w:szCs w:val="16"/>
              </w:rPr>
              <w:t xml:space="preserve"> </w:t>
            </w:r>
            <w:proofErr w:type="spellStart"/>
            <w:r>
              <w:rPr>
                <w:rFonts w:ascii="Arial" w:hAnsi="Arial"/>
                <w:bCs/>
                <w:sz w:val="16"/>
                <w:szCs w:val="16"/>
              </w:rPr>
              <w:t>Bahnhof</w:t>
            </w:r>
            <w:proofErr w:type="spellEnd"/>
            <w:r>
              <w:rPr>
                <w:rFonts w:ascii="Arial" w:hAnsi="Arial"/>
                <w:bCs/>
                <w:sz w:val="16"/>
                <w:szCs w:val="16"/>
              </w:rPr>
              <w:t>”,</w:t>
            </w:r>
            <w:r>
              <w:rPr>
                <w:rFonts w:ascii="Arial" w:hAnsi="Arial"/>
                <w:bCs/>
                <w:sz w:val="16"/>
                <w:szCs w:val="16"/>
              </w:rPr>
              <w:br/>
              <w:t xml:space="preserve">Am </w:t>
            </w:r>
            <w:proofErr w:type="spellStart"/>
            <w:r>
              <w:rPr>
                <w:rFonts w:ascii="Arial" w:hAnsi="Arial"/>
                <w:bCs/>
                <w:sz w:val="16"/>
                <w:szCs w:val="16"/>
              </w:rPr>
              <w:t>Lohsepark</w:t>
            </w:r>
            <w:proofErr w:type="spellEnd"/>
            <w:r>
              <w:rPr>
                <w:rFonts w:ascii="Arial" w:hAnsi="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D06AB" w:rsidRDefault="00AD06AB" w:rsidP="00AD06AB">
            <w:pPr>
              <w:widowControl w:val="0"/>
              <w:jc w:val="center"/>
              <w:rPr>
                <w:rFonts w:ascii="Arial" w:hAnsi="Arial" w:cs="Arial"/>
                <w:bCs/>
                <w:sz w:val="16"/>
                <w:szCs w:val="16"/>
              </w:rPr>
            </w:pPr>
            <w:proofErr w:type="spellStart"/>
            <w:r>
              <w:rPr>
                <w:rFonts w:ascii="Arial" w:hAnsi="Arial"/>
                <w:bCs/>
                <w:sz w:val="16"/>
                <w:szCs w:val="16"/>
              </w:rPr>
              <w:t>Wintershall</w:t>
            </w:r>
            <w:proofErr w:type="spellEnd"/>
            <w:r>
              <w:rPr>
                <w:rFonts w:ascii="Arial" w:hAnsi="Arial"/>
                <w:bCs/>
                <w:sz w:val="16"/>
                <w:szCs w:val="16"/>
              </w:rPr>
              <w:t xml:space="preserve"> </w:t>
            </w:r>
            <w:proofErr w:type="spellStart"/>
            <w:r>
              <w:rPr>
                <w:rFonts w:ascii="Arial" w:hAnsi="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B2974AD" w:rsidR="00AD06AB" w:rsidRDefault="00A2402E" w:rsidP="00AD06AB">
            <w:pPr>
              <w:widowControl w:val="0"/>
              <w:jc w:val="center"/>
              <w:rPr>
                <w:rFonts w:ascii="Arial" w:hAnsi="Arial" w:cs="Arial"/>
                <w:bCs/>
                <w:sz w:val="16"/>
                <w:szCs w:val="16"/>
              </w:rPr>
            </w:pPr>
            <w:r>
              <w:rPr>
                <w:rFonts w:ascii="Arial" w:hAnsi="Arial"/>
                <w:bCs/>
                <w:sz w:val="16"/>
                <w:szCs w:val="16"/>
              </w:rPr>
              <w:t>11,400</w:t>
            </w:r>
          </w:p>
        </w:tc>
      </w:tr>
      <w:tr w:rsidR="00AD06AB"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AD06AB" w:rsidRDefault="00AD06AB" w:rsidP="00AD06AB">
            <w:pPr>
              <w:widowControl w:val="0"/>
              <w:jc w:val="center"/>
              <w:rPr>
                <w:rFonts w:ascii="Arial" w:hAnsi="Arial" w:cs="Arial"/>
                <w:bCs/>
                <w:sz w:val="16"/>
                <w:szCs w:val="16"/>
              </w:rPr>
            </w:pPr>
            <w:r>
              <w:rPr>
                <w:rFonts w:ascii="Arial" w:hAnsi="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AD06AB" w:rsidRDefault="00AD06AB" w:rsidP="00AD06AB">
            <w:pPr>
              <w:widowControl w:val="0"/>
              <w:jc w:val="center"/>
              <w:rPr>
                <w:rFonts w:ascii="Arial" w:hAnsi="Arial" w:cs="Arial"/>
                <w:bCs/>
                <w:sz w:val="16"/>
                <w:szCs w:val="16"/>
              </w:rPr>
            </w:pPr>
            <w:proofErr w:type="spellStart"/>
            <w:r>
              <w:rPr>
                <w:rFonts w:ascii="Arial" w:hAnsi="Arial"/>
                <w:bCs/>
                <w:sz w:val="16"/>
                <w:szCs w:val="16"/>
              </w:rPr>
              <w:t>Rohrdamm</w:t>
            </w:r>
            <w:proofErr w:type="spellEnd"/>
            <w:r>
              <w:rPr>
                <w:rFonts w:ascii="Arial" w:hAnsi="Arial"/>
                <w:bCs/>
                <w:sz w:val="16"/>
                <w:szCs w:val="16"/>
              </w:rPr>
              <w:t xml:space="preserve">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AD06AB" w:rsidRDefault="00AD06AB" w:rsidP="00AD06AB">
            <w:pPr>
              <w:widowControl w:val="0"/>
              <w:jc w:val="center"/>
              <w:rPr>
                <w:rFonts w:ascii="Arial" w:hAnsi="Arial" w:cs="Arial"/>
                <w:bCs/>
                <w:sz w:val="16"/>
                <w:szCs w:val="16"/>
              </w:rPr>
            </w:pPr>
            <w:proofErr w:type="spellStart"/>
            <w:r>
              <w:rPr>
                <w:rFonts w:ascii="Arial" w:hAnsi="Arial"/>
                <w:bCs/>
                <w:sz w:val="16"/>
                <w:szCs w:val="16"/>
              </w:rPr>
              <w:t>Hochschule</w:t>
            </w:r>
            <w:proofErr w:type="spellEnd"/>
            <w:r>
              <w:rPr>
                <w:rFonts w:ascii="Arial" w:hAnsi="Arial"/>
                <w:bCs/>
                <w:sz w:val="16"/>
                <w:szCs w:val="16"/>
              </w:rPr>
              <w:t xml:space="preserve"> der </w:t>
            </w:r>
            <w:proofErr w:type="spellStart"/>
            <w:r>
              <w:rPr>
                <w:rFonts w:ascii="Arial" w:hAnsi="Arial"/>
                <w:bCs/>
                <w:sz w:val="16"/>
                <w:szCs w:val="16"/>
              </w:rPr>
              <w:t>Bundesrentenanstalt</w:t>
            </w:r>
            <w:proofErr w:type="spellEnd"/>
            <w:r>
              <w:rPr>
                <w:rFonts w:ascii="Arial" w:hAnsi="Arial"/>
                <w:bCs/>
                <w:sz w:val="16"/>
                <w:szCs w:val="16"/>
              </w:rPr>
              <w:t xml:space="preserve"> (Fed. </w:t>
            </w:r>
            <w:proofErr w:type="spellStart"/>
            <w:r>
              <w:rPr>
                <w:rFonts w:ascii="Arial" w:hAnsi="Arial"/>
                <w:bCs/>
                <w:sz w:val="16"/>
                <w:szCs w:val="16"/>
              </w:rPr>
              <w:t>univ.</w:t>
            </w:r>
            <w:proofErr w:type="spellEnd"/>
            <w:r>
              <w:rPr>
                <w:rFonts w:ascii="Arial" w:hAnsi="Arial"/>
                <w:bCs/>
                <w:sz w:val="16"/>
                <w:szCs w:val="16"/>
              </w:rPr>
              <w: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279785F5" w:rsidR="00AD06AB" w:rsidRDefault="00A2402E" w:rsidP="00AD06AB">
            <w:pPr>
              <w:widowControl w:val="0"/>
              <w:jc w:val="center"/>
              <w:rPr>
                <w:rFonts w:ascii="Arial" w:hAnsi="Arial" w:cs="Arial"/>
                <w:bCs/>
                <w:sz w:val="16"/>
                <w:szCs w:val="16"/>
              </w:rPr>
            </w:pPr>
            <w:r>
              <w:rPr>
                <w:rFonts w:ascii="Arial" w:hAnsi="Arial"/>
                <w:bCs/>
                <w:sz w:val="16"/>
                <w:szCs w:val="16"/>
              </w:rPr>
              <w:t>10,300</w:t>
            </w:r>
          </w:p>
        </w:tc>
      </w:tr>
    </w:tbl>
    <w:p w14:paraId="005F449C" w14:textId="76DDFBBF" w:rsidR="005D5FA2" w:rsidRDefault="00916397" w:rsidP="00270DA3">
      <w:pPr>
        <w:widowControl w:val="0"/>
        <w:spacing w:after="0"/>
        <w:rPr>
          <w:rFonts w:ascii="Arial" w:hAnsi="Arial" w:cs="Arial"/>
          <w:sz w:val="16"/>
          <w:szCs w:val="16"/>
        </w:rPr>
      </w:pPr>
      <w:r>
        <w:rPr>
          <w:rFonts w:ascii="Arial" w:hAnsi="Arial"/>
          <w:sz w:val="16"/>
          <w:szCs w:val="16"/>
        </w:rPr>
        <w:t xml:space="preserve">Transactions occurring in the quarter covered </w:t>
      </w:r>
      <w:r>
        <w:rPr>
          <w:rFonts w:ascii="Arial" w:hAnsi="Arial"/>
          <w:sz w:val="16"/>
          <w:szCs w:val="16"/>
        </w:rPr>
        <w:t xml:space="preserve">by this report are highlighted. </w:t>
      </w:r>
      <w:r w:rsidR="003A0BD4">
        <w:rPr>
          <w:rFonts w:ascii="Arial" w:hAnsi="Arial"/>
          <w:sz w:val="16"/>
          <w:szCs w:val="16"/>
        </w:rPr>
        <w:t>Source: German Property Partners (GPP)</w:t>
      </w:r>
    </w:p>
    <w:p w14:paraId="0089D118" w14:textId="77777777" w:rsidR="001619A9" w:rsidRPr="00270DA3" w:rsidRDefault="001619A9" w:rsidP="00270DA3">
      <w:pPr>
        <w:widowControl w:val="0"/>
        <w:spacing w:after="0"/>
        <w:rPr>
          <w:rFonts w:ascii="Arial" w:hAnsi="Arial" w:cs="Arial"/>
          <w:sz w:val="16"/>
          <w:szCs w:val="16"/>
        </w:rPr>
      </w:pPr>
    </w:p>
    <w:p w14:paraId="5E5A1042" w14:textId="3026CCFB" w:rsidR="00C65127" w:rsidRPr="00DD4941" w:rsidRDefault="00C65127" w:rsidP="0021443F">
      <w:pPr>
        <w:spacing w:after="0" w:line="240" w:lineRule="auto"/>
        <w:rPr>
          <w:rFonts w:ascii="Arial" w:hAnsi="Arial" w:cs="Arial"/>
          <w:sz w:val="16"/>
          <w:szCs w:val="16"/>
        </w:rPr>
      </w:pPr>
      <w:r>
        <w:rPr>
          <w:rFonts w:ascii="Arial" w:hAnsi="Arial"/>
          <w:b/>
          <w:sz w:val="20"/>
          <w:szCs w:val="20"/>
        </w:rPr>
        <w:t>Top 7 cities | 1st-2nd quarters of 2021</w:t>
      </w:r>
    </w:p>
    <w:tbl>
      <w:tblPr>
        <w:tblStyle w:val="Tabellenraster"/>
        <w:tblW w:w="5000" w:type="pct"/>
        <w:tblLook w:val="04A0" w:firstRow="1" w:lastRow="0" w:firstColumn="1" w:lastColumn="0" w:noHBand="0" w:noVBand="1"/>
      </w:tblPr>
      <w:tblGrid>
        <w:gridCol w:w="1779"/>
        <w:gridCol w:w="904"/>
        <w:gridCol w:w="928"/>
        <w:gridCol w:w="904"/>
        <w:gridCol w:w="904"/>
        <w:gridCol w:w="905"/>
        <w:gridCol w:w="905"/>
        <w:gridCol w:w="905"/>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Pr>
                <w:rFonts w:ascii="Arial" w:hAnsi="Arial"/>
                <w:b/>
                <w:sz w:val="16"/>
                <w:szCs w:val="16"/>
              </w:rPr>
              <w:t>Top 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Pr>
                <w:rFonts w:ascii="Arial" w:hAnsi="Arial"/>
                <w:b/>
                <w:sz w:val="16"/>
                <w:szCs w:val="16"/>
              </w:rPr>
              <w:t>Take-up of space</w:t>
            </w:r>
          </w:p>
          <w:p w14:paraId="318DB722" w14:textId="77777777" w:rsidR="00C65127" w:rsidRPr="004D02F0" w:rsidRDefault="00C65127" w:rsidP="00422A01">
            <w:pPr>
              <w:widowControl w:val="0"/>
              <w:rPr>
                <w:rFonts w:ascii="Arial" w:hAnsi="Arial" w:cs="Arial"/>
                <w:b/>
                <w:sz w:val="16"/>
                <w:szCs w:val="16"/>
              </w:rPr>
            </w:pPr>
            <w:r>
              <w:rPr>
                <w:rFonts w:ascii="Arial" w:hAnsi="Arial"/>
                <w:sz w:val="16"/>
                <w:szCs w:val="16"/>
              </w:rPr>
              <w:t>in m²</w:t>
            </w:r>
          </w:p>
        </w:tc>
        <w:tc>
          <w:tcPr>
            <w:tcW w:w="502" w:type="pct"/>
            <w:vAlign w:val="center"/>
          </w:tcPr>
          <w:p w14:paraId="24B76314" w14:textId="22A65B33" w:rsidR="00C65127" w:rsidRPr="004D02F0" w:rsidRDefault="007A4516" w:rsidP="00422A01">
            <w:pPr>
              <w:jc w:val="center"/>
              <w:rPr>
                <w:rFonts w:ascii="Arial" w:hAnsi="Arial" w:cs="Arial"/>
                <w:sz w:val="16"/>
                <w:szCs w:val="16"/>
              </w:rPr>
            </w:pPr>
            <w:r>
              <w:rPr>
                <w:rFonts w:ascii="Arial" w:hAnsi="Arial"/>
                <w:sz w:val="16"/>
                <w:szCs w:val="16"/>
              </w:rPr>
              <w:t>225,000</w:t>
            </w:r>
          </w:p>
        </w:tc>
        <w:tc>
          <w:tcPr>
            <w:tcW w:w="502" w:type="pct"/>
            <w:vAlign w:val="center"/>
          </w:tcPr>
          <w:p w14:paraId="2A60B3EF" w14:textId="335A0656" w:rsidR="00C65127" w:rsidRPr="00CF3114" w:rsidRDefault="00625479" w:rsidP="00422A01">
            <w:pPr>
              <w:jc w:val="center"/>
              <w:rPr>
                <w:rFonts w:ascii="Arial" w:hAnsi="Arial" w:cs="Arial"/>
                <w:sz w:val="16"/>
                <w:szCs w:val="16"/>
                <w:u w:val="single"/>
              </w:rPr>
            </w:pPr>
            <w:r>
              <w:rPr>
                <w:rFonts w:ascii="Arial" w:hAnsi="Arial"/>
                <w:sz w:val="16"/>
                <w:szCs w:val="16"/>
                <w:u w:val="single"/>
              </w:rPr>
              <w:t>305,000</w:t>
            </w:r>
          </w:p>
        </w:tc>
        <w:tc>
          <w:tcPr>
            <w:tcW w:w="502" w:type="pct"/>
            <w:vAlign w:val="center"/>
          </w:tcPr>
          <w:p w14:paraId="5AE39E1B" w14:textId="04356592" w:rsidR="00C65127" w:rsidRPr="004D02F0" w:rsidRDefault="007A4516" w:rsidP="00422A01">
            <w:pPr>
              <w:jc w:val="center"/>
              <w:rPr>
                <w:rFonts w:ascii="Arial" w:hAnsi="Arial" w:cs="Arial"/>
                <w:sz w:val="16"/>
                <w:szCs w:val="16"/>
              </w:rPr>
            </w:pPr>
            <w:r>
              <w:rPr>
                <w:rFonts w:ascii="Arial" w:hAnsi="Arial"/>
                <w:sz w:val="16"/>
                <w:szCs w:val="16"/>
              </w:rPr>
              <w:t>98,200</w:t>
            </w:r>
          </w:p>
        </w:tc>
        <w:tc>
          <w:tcPr>
            <w:tcW w:w="502" w:type="pct"/>
            <w:vAlign w:val="center"/>
          </w:tcPr>
          <w:p w14:paraId="69355A2E" w14:textId="0435DF90" w:rsidR="00C65127" w:rsidRPr="004D02F0" w:rsidRDefault="007A4516" w:rsidP="00422A01">
            <w:pPr>
              <w:jc w:val="center"/>
              <w:rPr>
                <w:rFonts w:ascii="Arial" w:hAnsi="Arial" w:cs="Arial"/>
                <w:sz w:val="16"/>
                <w:szCs w:val="16"/>
              </w:rPr>
            </w:pPr>
            <w:r>
              <w:rPr>
                <w:rFonts w:ascii="Arial" w:hAnsi="Arial"/>
                <w:sz w:val="16"/>
                <w:szCs w:val="16"/>
              </w:rPr>
              <w:t>140,000</w:t>
            </w:r>
          </w:p>
        </w:tc>
        <w:tc>
          <w:tcPr>
            <w:tcW w:w="502" w:type="pct"/>
            <w:vAlign w:val="center"/>
          </w:tcPr>
          <w:p w14:paraId="3ED197E3" w14:textId="45594048" w:rsidR="00C65127" w:rsidRPr="004D02F0" w:rsidRDefault="007A4516" w:rsidP="00422A01">
            <w:pPr>
              <w:jc w:val="center"/>
              <w:rPr>
                <w:rFonts w:ascii="Arial" w:hAnsi="Arial" w:cs="Arial"/>
                <w:sz w:val="16"/>
                <w:szCs w:val="16"/>
              </w:rPr>
            </w:pPr>
            <w:r>
              <w:rPr>
                <w:rFonts w:ascii="Arial" w:hAnsi="Arial"/>
                <w:sz w:val="16"/>
                <w:szCs w:val="16"/>
              </w:rPr>
              <w:t>187,200</w:t>
            </w:r>
          </w:p>
        </w:tc>
        <w:tc>
          <w:tcPr>
            <w:tcW w:w="502" w:type="pct"/>
            <w:vAlign w:val="center"/>
          </w:tcPr>
          <w:p w14:paraId="09BCBF01" w14:textId="2C5D0179" w:rsidR="00C65127" w:rsidRPr="004D02F0" w:rsidRDefault="007A4516" w:rsidP="00422A01">
            <w:pPr>
              <w:jc w:val="center"/>
              <w:rPr>
                <w:rFonts w:ascii="Arial" w:hAnsi="Arial" w:cs="Arial"/>
                <w:sz w:val="16"/>
                <w:szCs w:val="16"/>
              </w:rPr>
            </w:pPr>
            <w:r>
              <w:rPr>
                <w:rFonts w:ascii="Arial" w:hAnsi="Arial"/>
                <w:sz w:val="16"/>
                <w:szCs w:val="16"/>
              </w:rPr>
              <w:t>51,400</w:t>
            </w:r>
          </w:p>
        </w:tc>
        <w:tc>
          <w:tcPr>
            <w:tcW w:w="502" w:type="pct"/>
            <w:vAlign w:val="center"/>
          </w:tcPr>
          <w:p w14:paraId="28F82D2E" w14:textId="7C4A3A8E" w:rsidR="00C65127" w:rsidRPr="00CC4940" w:rsidRDefault="007A4516" w:rsidP="00422A01">
            <w:pPr>
              <w:jc w:val="center"/>
              <w:rPr>
                <w:rFonts w:ascii="Arial" w:hAnsi="Arial" w:cs="Arial"/>
                <w:sz w:val="16"/>
                <w:szCs w:val="16"/>
              </w:rPr>
            </w:pPr>
            <w:r>
              <w:rPr>
                <w:rFonts w:ascii="Arial" w:hAnsi="Arial"/>
                <w:sz w:val="16"/>
                <w:szCs w:val="16"/>
              </w:rPr>
              <w:t>205,500</w:t>
            </w:r>
          </w:p>
        </w:tc>
        <w:tc>
          <w:tcPr>
            <w:tcW w:w="502" w:type="pct"/>
            <w:vAlign w:val="center"/>
          </w:tcPr>
          <w:p w14:paraId="53EA10CE" w14:textId="083ADA8F" w:rsidR="00C65127" w:rsidRPr="00CC4940" w:rsidRDefault="00625479" w:rsidP="00422A01">
            <w:pPr>
              <w:jc w:val="center"/>
              <w:rPr>
                <w:rFonts w:ascii="Arial" w:hAnsi="Arial" w:cs="Arial"/>
                <w:b/>
                <w:sz w:val="16"/>
                <w:szCs w:val="16"/>
              </w:rPr>
            </w:pPr>
            <w:r>
              <w:rPr>
                <w:rFonts w:ascii="Arial" w:hAnsi="Arial"/>
                <w:b/>
                <w:bCs/>
                <w:sz w:val="16"/>
                <w:szCs w:val="16"/>
              </w:rPr>
              <w:t>1,212,300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Pr>
                <w:rFonts w:ascii="Arial" w:hAnsi="Arial"/>
                <w:b/>
                <w:sz w:val="16"/>
                <w:szCs w:val="16"/>
              </w:rPr>
              <w:t>Change</w:t>
            </w:r>
          </w:p>
          <w:p w14:paraId="3888A71B" w14:textId="77777777" w:rsidR="00C65127" w:rsidRPr="004D02F0" w:rsidRDefault="00C65127" w:rsidP="00422A01">
            <w:pPr>
              <w:widowControl w:val="0"/>
              <w:rPr>
                <w:rFonts w:ascii="Arial" w:hAnsi="Arial" w:cs="Arial"/>
                <w:b/>
                <w:sz w:val="16"/>
                <w:szCs w:val="16"/>
              </w:rPr>
            </w:pPr>
            <w:r>
              <w:rPr>
                <w:rFonts w:ascii="Arial" w:hAnsi="Arial"/>
                <w:sz w:val="16"/>
                <w:szCs w:val="16"/>
              </w:rPr>
              <w:t xml:space="preserve">against prior </w:t>
            </w:r>
            <w:proofErr w:type="spellStart"/>
            <w:r>
              <w:rPr>
                <w:rFonts w:ascii="Arial" w:hAnsi="Arial"/>
                <w:sz w:val="16"/>
                <w:szCs w:val="16"/>
              </w:rPr>
              <w:t>yr</w:t>
            </w:r>
            <w:proofErr w:type="spellEnd"/>
            <w:r>
              <w:rPr>
                <w:rFonts w:ascii="Arial" w:hAnsi="Arial"/>
                <w:sz w:val="16"/>
                <w:szCs w:val="16"/>
              </w:rPr>
              <w:t xml:space="preserve"> in %</w:t>
            </w:r>
          </w:p>
        </w:tc>
        <w:tc>
          <w:tcPr>
            <w:tcW w:w="502" w:type="pct"/>
            <w:vAlign w:val="center"/>
          </w:tcPr>
          <w:p w14:paraId="6D7F8C99" w14:textId="0FEC5458" w:rsidR="00C65127" w:rsidRPr="004D02F0" w:rsidRDefault="007A4516" w:rsidP="00CF1C01">
            <w:pPr>
              <w:jc w:val="center"/>
              <w:rPr>
                <w:rFonts w:ascii="Arial" w:hAnsi="Arial" w:cs="Arial"/>
                <w:sz w:val="16"/>
                <w:szCs w:val="16"/>
              </w:rPr>
            </w:pPr>
            <w:r>
              <w:rPr>
                <w:rFonts w:ascii="Arial" w:hAnsi="Arial"/>
                <w:sz w:val="16"/>
                <w:szCs w:val="16"/>
              </w:rPr>
              <w:t>+36</w:t>
            </w:r>
          </w:p>
        </w:tc>
        <w:tc>
          <w:tcPr>
            <w:tcW w:w="502" w:type="pct"/>
            <w:vAlign w:val="center"/>
          </w:tcPr>
          <w:p w14:paraId="5141C8F6" w14:textId="0ABB2794" w:rsidR="00C65127" w:rsidRPr="004D02F0" w:rsidRDefault="00625479" w:rsidP="00CF1C01">
            <w:pPr>
              <w:jc w:val="center"/>
              <w:rPr>
                <w:rFonts w:ascii="Arial" w:hAnsi="Arial" w:cs="Arial"/>
                <w:sz w:val="16"/>
                <w:szCs w:val="16"/>
              </w:rPr>
            </w:pPr>
            <w:r>
              <w:rPr>
                <w:rFonts w:ascii="Arial" w:hAnsi="Arial"/>
                <w:sz w:val="16"/>
                <w:szCs w:val="16"/>
              </w:rPr>
              <w:t>+5</w:t>
            </w:r>
          </w:p>
        </w:tc>
        <w:tc>
          <w:tcPr>
            <w:tcW w:w="502" w:type="pct"/>
            <w:vAlign w:val="center"/>
          </w:tcPr>
          <w:p w14:paraId="63C7571D" w14:textId="201EE46B" w:rsidR="00C65127" w:rsidRPr="004D02F0" w:rsidRDefault="007A4516" w:rsidP="00CF1C01">
            <w:pPr>
              <w:jc w:val="center"/>
              <w:rPr>
                <w:rFonts w:ascii="Arial" w:hAnsi="Arial" w:cs="Arial"/>
                <w:sz w:val="16"/>
                <w:szCs w:val="16"/>
              </w:rPr>
            </w:pPr>
            <w:r>
              <w:rPr>
                <w:rFonts w:ascii="Arial" w:hAnsi="Arial"/>
                <w:sz w:val="16"/>
                <w:szCs w:val="16"/>
              </w:rPr>
              <w:t>-30</w:t>
            </w:r>
          </w:p>
        </w:tc>
        <w:tc>
          <w:tcPr>
            <w:tcW w:w="502" w:type="pct"/>
            <w:vAlign w:val="center"/>
          </w:tcPr>
          <w:p w14:paraId="7165D3E4" w14:textId="328247D6" w:rsidR="00C65127" w:rsidRPr="00A2402E" w:rsidRDefault="007A4516" w:rsidP="00CF1C01">
            <w:pPr>
              <w:jc w:val="center"/>
              <w:rPr>
                <w:rFonts w:ascii="Arial" w:hAnsi="Arial" w:cs="Arial"/>
                <w:sz w:val="16"/>
                <w:szCs w:val="16"/>
                <w:u w:val="single"/>
              </w:rPr>
            </w:pPr>
            <w:r>
              <w:rPr>
                <w:rFonts w:ascii="Arial" w:hAnsi="Arial"/>
                <w:sz w:val="16"/>
                <w:szCs w:val="16"/>
                <w:u w:val="single"/>
              </w:rPr>
              <w:t>+47</w:t>
            </w:r>
          </w:p>
        </w:tc>
        <w:tc>
          <w:tcPr>
            <w:tcW w:w="502" w:type="pct"/>
            <w:vAlign w:val="center"/>
          </w:tcPr>
          <w:p w14:paraId="6A7EC24B" w14:textId="4C0EE29B" w:rsidR="00C65127" w:rsidRPr="004D02F0" w:rsidRDefault="007A4516" w:rsidP="00CF1C01">
            <w:pPr>
              <w:jc w:val="center"/>
              <w:rPr>
                <w:rFonts w:ascii="Arial" w:hAnsi="Arial" w:cs="Arial"/>
                <w:sz w:val="16"/>
                <w:szCs w:val="16"/>
              </w:rPr>
            </w:pPr>
            <w:r>
              <w:rPr>
                <w:rFonts w:ascii="Arial" w:hAnsi="Arial"/>
                <w:sz w:val="16"/>
                <w:szCs w:val="16"/>
              </w:rPr>
              <w:t>+49</w:t>
            </w:r>
          </w:p>
        </w:tc>
        <w:tc>
          <w:tcPr>
            <w:tcW w:w="502" w:type="pct"/>
            <w:vAlign w:val="center"/>
          </w:tcPr>
          <w:p w14:paraId="1BF0A9D0" w14:textId="0AEDCD6A" w:rsidR="00C65127" w:rsidRPr="005A1563" w:rsidRDefault="007A4516" w:rsidP="00CF1C01">
            <w:pPr>
              <w:jc w:val="center"/>
              <w:rPr>
                <w:rFonts w:ascii="Arial" w:hAnsi="Arial" w:cs="Arial"/>
                <w:sz w:val="16"/>
                <w:szCs w:val="16"/>
              </w:rPr>
            </w:pPr>
            <w:r>
              <w:rPr>
                <w:rFonts w:ascii="Arial" w:hAnsi="Arial"/>
                <w:sz w:val="16"/>
                <w:szCs w:val="16"/>
              </w:rPr>
              <w:t>-35</w:t>
            </w:r>
          </w:p>
        </w:tc>
        <w:tc>
          <w:tcPr>
            <w:tcW w:w="502" w:type="pct"/>
            <w:vAlign w:val="center"/>
          </w:tcPr>
          <w:p w14:paraId="7AAF5FFC" w14:textId="528023E4" w:rsidR="00C65127" w:rsidRPr="00CC4940" w:rsidRDefault="007A4516" w:rsidP="00CF1C01">
            <w:pPr>
              <w:jc w:val="center"/>
              <w:rPr>
                <w:rFonts w:ascii="Arial" w:hAnsi="Arial" w:cs="Arial"/>
                <w:sz w:val="16"/>
                <w:szCs w:val="16"/>
              </w:rPr>
            </w:pPr>
            <w:r>
              <w:rPr>
                <w:rFonts w:ascii="Arial" w:hAnsi="Arial"/>
                <w:sz w:val="16"/>
                <w:szCs w:val="16"/>
              </w:rPr>
              <w:t>-34</w:t>
            </w:r>
          </w:p>
        </w:tc>
        <w:tc>
          <w:tcPr>
            <w:tcW w:w="502" w:type="pct"/>
            <w:vAlign w:val="center"/>
          </w:tcPr>
          <w:p w14:paraId="35023511" w14:textId="77787BFE" w:rsidR="00C65127" w:rsidRPr="00CC4940" w:rsidRDefault="009F7830" w:rsidP="00C73546">
            <w:pPr>
              <w:jc w:val="center"/>
              <w:rPr>
                <w:rFonts w:ascii="Arial" w:hAnsi="Arial" w:cs="Arial"/>
                <w:b/>
                <w:sz w:val="16"/>
                <w:szCs w:val="16"/>
              </w:rPr>
            </w:pPr>
            <w:r>
              <w:rPr>
                <w:rFonts w:ascii="Arial" w:hAnsi="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Pr>
                <w:rFonts w:ascii="Arial" w:hAnsi="Arial"/>
                <w:b/>
                <w:sz w:val="16"/>
                <w:szCs w:val="16"/>
              </w:rPr>
              <w:t>Premium rent</w:t>
            </w:r>
          </w:p>
          <w:p w14:paraId="5AAB1763" w14:textId="77777777" w:rsidR="00C65127" w:rsidRPr="004D02F0" w:rsidRDefault="00C65127" w:rsidP="00422A01">
            <w:pPr>
              <w:widowControl w:val="0"/>
              <w:rPr>
                <w:rFonts w:ascii="Arial" w:hAnsi="Arial" w:cs="Arial"/>
                <w:b/>
                <w:sz w:val="16"/>
                <w:szCs w:val="16"/>
              </w:rPr>
            </w:pPr>
            <w:r>
              <w:rPr>
                <w:rFonts w:ascii="Arial" w:hAnsi="Arial"/>
                <w:sz w:val="16"/>
                <w:szCs w:val="16"/>
              </w:rPr>
              <w:t>in €/m²/month</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sz w:val="16"/>
                <w:szCs w:val="16"/>
              </w:rPr>
              <w:t>31.00</w:t>
            </w:r>
          </w:p>
        </w:tc>
        <w:tc>
          <w:tcPr>
            <w:tcW w:w="502" w:type="pct"/>
            <w:vAlign w:val="center"/>
          </w:tcPr>
          <w:p w14:paraId="3B47B535" w14:textId="3114A2C7" w:rsidR="00C65127" w:rsidRPr="004D02F0" w:rsidRDefault="007A4516" w:rsidP="00422A01">
            <w:pPr>
              <w:jc w:val="center"/>
              <w:rPr>
                <w:rFonts w:ascii="Arial" w:hAnsi="Arial" w:cs="Arial"/>
                <w:sz w:val="16"/>
                <w:szCs w:val="16"/>
              </w:rPr>
            </w:pPr>
            <w:r>
              <w:rPr>
                <w:rFonts w:ascii="Arial" w:hAnsi="Arial"/>
                <w:sz w:val="16"/>
                <w:szCs w:val="16"/>
              </w:rPr>
              <w:t>38.50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Pr>
                <w:rFonts w:ascii="Arial" w:hAnsi="Arial"/>
                <w:sz w:val="16"/>
                <w:szCs w:val="16"/>
              </w:rPr>
              <w:t>26.00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Pr>
                <w:rFonts w:ascii="Arial" w:hAnsi="Arial"/>
                <w:sz w:val="16"/>
                <w:szCs w:val="16"/>
                <w:u w:val="single"/>
              </w:rPr>
              <w:t>45.00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sz w:val="16"/>
                <w:szCs w:val="16"/>
              </w:rPr>
              <w:t>25.00</w:t>
            </w:r>
          </w:p>
        </w:tc>
        <w:tc>
          <w:tcPr>
            <w:tcW w:w="502" w:type="pct"/>
            <w:vAlign w:val="center"/>
          </w:tcPr>
          <w:p w14:paraId="662439A0" w14:textId="441ED0E2" w:rsidR="00C65127" w:rsidRPr="004D02F0" w:rsidRDefault="007A4516" w:rsidP="00422A01">
            <w:pPr>
              <w:jc w:val="center"/>
              <w:rPr>
                <w:rFonts w:ascii="Arial" w:hAnsi="Arial" w:cs="Arial"/>
                <w:sz w:val="16"/>
                <w:szCs w:val="16"/>
              </w:rPr>
            </w:pPr>
            <w:r>
              <w:rPr>
                <w:rFonts w:ascii="Arial" w:hAnsi="Arial"/>
                <w:sz w:val="16"/>
                <w:szCs w:val="16"/>
              </w:rPr>
              <w:t>39.00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Pr>
                <w:rFonts w:ascii="Arial" w:hAnsi="Arial"/>
                <w:b/>
                <w:sz w:val="16"/>
                <w:szCs w:val="16"/>
              </w:rPr>
              <w:t xml:space="preserve">Average rent </w:t>
            </w:r>
            <w:r>
              <w:rPr>
                <w:rFonts w:ascii="Arial" w:hAnsi="Arial"/>
                <w:sz w:val="16"/>
                <w:szCs w:val="16"/>
              </w:rPr>
              <w:t>[€/m²/month]</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Pr>
                <w:rFonts w:ascii="Arial" w:hAnsi="Arial"/>
                <w:sz w:val="16"/>
                <w:szCs w:val="16"/>
              </w:rPr>
              <w:t>17.90</w:t>
            </w:r>
          </w:p>
        </w:tc>
        <w:tc>
          <w:tcPr>
            <w:tcW w:w="502" w:type="pct"/>
            <w:vAlign w:val="center"/>
          </w:tcPr>
          <w:p w14:paraId="250741C6" w14:textId="35E2BD79" w:rsidR="00C65127" w:rsidRPr="00A2402E" w:rsidRDefault="007A4516" w:rsidP="00422A01">
            <w:pPr>
              <w:jc w:val="center"/>
              <w:rPr>
                <w:rFonts w:ascii="Arial" w:hAnsi="Arial" w:cs="Arial"/>
                <w:sz w:val="16"/>
                <w:szCs w:val="16"/>
                <w:u w:val="single"/>
              </w:rPr>
            </w:pPr>
            <w:r>
              <w:rPr>
                <w:rFonts w:ascii="Arial" w:hAnsi="Arial"/>
                <w:sz w:val="16"/>
                <w:szCs w:val="16"/>
                <w:u w:val="single"/>
              </w:rPr>
              <w:t>27.40</w:t>
            </w:r>
          </w:p>
        </w:tc>
        <w:tc>
          <w:tcPr>
            <w:tcW w:w="502" w:type="pct"/>
            <w:vAlign w:val="center"/>
          </w:tcPr>
          <w:p w14:paraId="22731057" w14:textId="50260C74" w:rsidR="00C65127" w:rsidRPr="004D02F0" w:rsidRDefault="007A4516" w:rsidP="00CF1C01">
            <w:pPr>
              <w:jc w:val="center"/>
              <w:rPr>
                <w:rFonts w:ascii="Arial" w:hAnsi="Arial" w:cs="Arial"/>
                <w:sz w:val="16"/>
                <w:szCs w:val="16"/>
              </w:rPr>
            </w:pPr>
            <w:r>
              <w:rPr>
                <w:rFonts w:ascii="Arial" w:hAnsi="Arial"/>
                <w:sz w:val="16"/>
                <w:szCs w:val="16"/>
              </w:rPr>
              <w:t>16.50</w:t>
            </w:r>
          </w:p>
        </w:tc>
        <w:tc>
          <w:tcPr>
            <w:tcW w:w="502" w:type="pct"/>
            <w:vAlign w:val="center"/>
          </w:tcPr>
          <w:p w14:paraId="3346910E" w14:textId="2D220C34" w:rsidR="00C65127" w:rsidRPr="004D02F0" w:rsidRDefault="007A4516" w:rsidP="00422A01">
            <w:pPr>
              <w:jc w:val="center"/>
              <w:rPr>
                <w:rFonts w:ascii="Arial" w:hAnsi="Arial" w:cs="Arial"/>
                <w:sz w:val="16"/>
                <w:szCs w:val="16"/>
              </w:rPr>
            </w:pPr>
            <w:r>
              <w:rPr>
                <w:rFonts w:ascii="Arial" w:hAnsi="Arial"/>
                <w:sz w:val="16"/>
                <w:szCs w:val="16"/>
              </w:rPr>
              <w:t>17.30</w:t>
            </w:r>
          </w:p>
        </w:tc>
        <w:tc>
          <w:tcPr>
            <w:tcW w:w="502" w:type="pct"/>
            <w:vAlign w:val="center"/>
          </w:tcPr>
          <w:p w14:paraId="35378973" w14:textId="22DF835A" w:rsidR="00C65127" w:rsidRPr="004D02F0" w:rsidRDefault="007A4516" w:rsidP="00422A01">
            <w:pPr>
              <w:jc w:val="center"/>
              <w:rPr>
                <w:rFonts w:ascii="Arial" w:hAnsi="Arial" w:cs="Arial"/>
                <w:sz w:val="16"/>
                <w:szCs w:val="16"/>
              </w:rPr>
            </w:pPr>
            <w:r>
              <w:rPr>
                <w:rFonts w:ascii="Arial" w:hAnsi="Arial"/>
                <w:sz w:val="16"/>
                <w:szCs w:val="16"/>
              </w:rPr>
              <w:t>21.90</w:t>
            </w:r>
          </w:p>
        </w:tc>
        <w:tc>
          <w:tcPr>
            <w:tcW w:w="502" w:type="pct"/>
            <w:vAlign w:val="center"/>
          </w:tcPr>
          <w:p w14:paraId="2EA0BF92" w14:textId="389A7754" w:rsidR="00C65127" w:rsidRPr="004D02F0" w:rsidRDefault="006958D9" w:rsidP="00422A01">
            <w:pPr>
              <w:jc w:val="center"/>
              <w:rPr>
                <w:rFonts w:ascii="Arial" w:hAnsi="Arial" w:cs="Arial"/>
                <w:sz w:val="16"/>
                <w:szCs w:val="16"/>
              </w:rPr>
            </w:pPr>
            <w:r>
              <w:rPr>
                <w:rFonts w:ascii="Arial" w:hAnsi="Arial"/>
                <w:sz w:val="16"/>
                <w:szCs w:val="16"/>
              </w:rPr>
              <w:t>16.30</w:t>
            </w:r>
          </w:p>
        </w:tc>
        <w:tc>
          <w:tcPr>
            <w:tcW w:w="502" w:type="pct"/>
            <w:vAlign w:val="center"/>
          </w:tcPr>
          <w:p w14:paraId="67E1FFC1" w14:textId="61A4736B" w:rsidR="00C65127" w:rsidRPr="004D02F0" w:rsidRDefault="007A4516" w:rsidP="00422A01">
            <w:pPr>
              <w:jc w:val="center"/>
              <w:rPr>
                <w:rFonts w:ascii="Arial" w:hAnsi="Arial" w:cs="Arial"/>
                <w:sz w:val="16"/>
                <w:szCs w:val="16"/>
              </w:rPr>
            </w:pPr>
            <w:r>
              <w:rPr>
                <w:rFonts w:ascii="Arial" w:hAnsi="Arial"/>
                <w:sz w:val="16"/>
                <w:szCs w:val="16"/>
              </w:rPr>
              <w:t>22.30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Pr>
                <w:rFonts w:ascii="Arial" w:hAnsi="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Pr>
                <w:rFonts w:ascii="Arial" w:hAnsi="Arial"/>
                <w:b/>
                <w:sz w:val="16"/>
                <w:szCs w:val="16"/>
              </w:rPr>
              <w:t>Stock of office space</w:t>
            </w:r>
            <w:r>
              <w:rPr>
                <w:rFonts w:ascii="Arial" w:hAnsi="Arial"/>
                <w:sz w:val="16"/>
                <w:szCs w:val="16"/>
              </w:rPr>
              <w:t xml:space="preserve"> in millions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Pr>
                <w:rFonts w:ascii="Arial" w:hAnsi="Arial"/>
                <w:sz w:val="16"/>
                <w:szCs w:val="16"/>
              </w:rPr>
              <w:t>13.95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sz w:val="16"/>
                <w:szCs w:val="16"/>
              </w:rPr>
              <w:t>20.15</w:t>
            </w:r>
          </w:p>
        </w:tc>
        <w:tc>
          <w:tcPr>
            <w:tcW w:w="502" w:type="pct"/>
            <w:vAlign w:val="center"/>
          </w:tcPr>
          <w:p w14:paraId="147E0521" w14:textId="4B9E2289" w:rsidR="00C65127" w:rsidRPr="004D02F0" w:rsidRDefault="4A6EE254" w:rsidP="00CF1C01">
            <w:pPr>
              <w:jc w:val="center"/>
              <w:rPr>
                <w:rFonts w:ascii="Arial" w:hAnsi="Arial" w:cs="Arial"/>
                <w:sz w:val="16"/>
                <w:szCs w:val="16"/>
              </w:rPr>
            </w:pPr>
            <w:r>
              <w:rPr>
                <w:rFonts w:ascii="Arial" w:hAnsi="Arial"/>
                <w:sz w:val="16"/>
                <w:szCs w:val="16"/>
              </w:rPr>
              <w:t>7.33</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sz w:val="16"/>
                <w:szCs w:val="16"/>
              </w:rPr>
              <w:t>8.00</w:t>
            </w:r>
          </w:p>
        </w:tc>
        <w:tc>
          <w:tcPr>
            <w:tcW w:w="502" w:type="pct"/>
            <w:vAlign w:val="center"/>
          </w:tcPr>
          <w:p w14:paraId="6CCD8C33" w14:textId="152E0D0F" w:rsidR="00C65127" w:rsidRPr="004D02F0" w:rsidRDefault="001122BE" w:rsidP="00CF1C01">
            <w:pPr>
              <w:jc w:val="center"/>
              <w:rPr>
                <w:rFonts w:ascii="Arial" w:hAnsi="Arial" w:cs="Arial"/>
                <w:sz w:val="16"/>
                <w:szCs w:val="16"/>
              </w:rPr>
            </w:pPr>
            <w:r>
              <w:rPr>
                <w:rFonts w:ascii="Arial" w:hAnsi="Arial"/>
                <w:sz w:val="16"/>
                <w:szCs w:val="16"/>
              </w:rPr>
              <w:t>11.69</w:t>
            </w:r>
          </w:p>
        </w:tc>
        <w:tc>
          <w:tcPr>
            <w:tcW w:w="502" w:type="pct"/>
            <w:vAlign w:val="center"/>
          </w:tcPr>
          <w:p w14:paraId="24886C6D" w14:textId="6851C673" w:rsidR="00C65127" w:rsidRPr="004D02F0" w:rsidRDefault="001122BE" w:rsidP="0050541B">
            <w:pPr>
              <w:jc w:val="center"/>
              <w:rPr>
                <w:rFonts w:ascii="Arial" w:hAnsi="Arial" w:cs="Arial"/>
                <w:sz w:val="16"/>
                <w:szCs w:val="16"/>
              </w:rPr>
            </w:pPr>
            <w:r>
              <w:rPr>
                <w:rFonts w:ascii="Arial" w:hAnsi="Arial"/>
                <w:sz w:val="16"/>
                <w:szCs w:val="16"/>
              </w:rPr>
              <w:t>8.23</w:t>
            </w:r>
          </w:p>
        </w:tc>
        <w:tc>
          <w:tcPr>
            <w:tcW w:w="502" w:type="pct"/>
            <w:vAlign w:val="center"/>
          </w:tcPr>
          <w:p w14:paraId="20B45AA8" w14:textId="03A7EC80" w:rsidR="00C65127" w:rsidRPr="00A2402E" w:rsidRDefault="001122BE" w:rsidP="0050541B">
            <w:pPr>
              <w:jc w:val="center"/>
              <w:rPr>
                <w:rFonts w:ascii="Arial" w:hAnsi="Arial" w:cs="Arial"/>
                <w:sz w:val="16"/>
                <w:szCs w:val="16"/>
                <w:u w:val="single"/>
              </w:rPr>
            </w:pPr>
            <w:r>
              <w:rPr>
                <w:rFonts w:ascii="Arial" w:hAnsi="Arial"/>
                <w:sz w:val="16"/>
                <w:szCs w:val="16"/>
                <w:u w:val="single"/>
              </w:rPr>
              <w:t>23.37</w:t>
            </w:r>
          </w:p>
        </w:tc>
        <w:tc>
          <w:tcPr>
            <w:tcW w:w="502" w:type="pct"/>
            <w:vAlign w:val="center"/>
          </w:tcPr>
          <w:p w14:paraId="42069654" w14:textId="2DF16BD9" w:rsidR="00C65127" w:rsidRPr="004D02F0" w:rsidRDefault="001122BE" w:rsidP="0050541B">
            <w:pPr>
              <w:jc w:val="center"/>
              <w:rPr>
                <w:rFonts w:ascii="Arial" w:hAnsi="Arial" w:cs="Arial"/>
                <w:b/>
                <w:sz w:val="16"/>
                <w:szCs w:val="16"/>
              </w:rPr>
            </w:pPr>
            <w:r>
              <w:rPr>
                <w:rFonts w:ascii="Arial" w:hAnsi="Arial"/>
                <w:b/>
                <w:sz w:val="16"/>
                <w:szCs w:val="16"/>
              </w:rPr>
              <w:t>92.71</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Pr>
                <w:rFonts w:ascii="Arial" w:hAnsi="Arial"/>
                <w:b/>
                <w:sz w:val="16"/>
                <w:szCs w:val="16"/>
              </w:rPr>
              <w:t>Vacant space</w:t>
            </w:r>
            <w:r>
              <w:rPr>
                <w:rFonts w:ascii="Arial" w:hAnsi="Arial"/>
                <w:sz w:val="16"/>
                <w:szCs w:val="16"/>
              </w:rPr>
              <w:t xml:space="preserve"> incl. sub-let space [m²]</w:t>
            </w:r>
          </w:p>
        </w:tc>
        <w:tc>
          <w:tcPr>
            <w:tcW w:w="502" w:type="pct"/>
            <w:vAlign w:val="center"/>
          </w:tcPr>
          <w:p w14:paraId="3FEF20A6" w14:textId="2617F1FF" w:rsidR="00C65127" w:rsidRPr="004D02F0" w:rsidRDefault="009870E8" w:rsidP="00422A01">
            <w:pPr>
              <w:jc w:val="center"/>
              <w:rPr>
                <w:rFonts w:ascii="Arial" w:hAnsi="Arial" w:cs="Arial"/>
                <w:sz w:val="16"/>
                <w:szCs w:val="16"/>
              </w:rPr>
            </w:pPr>
            <w:r>
              <w:rPr>
                <w:rFonts w:ascii="Arial" w:hAnsi="Arial"/>
                <w:sz w:val="16"/>
                <w:szCs w:val="16"/>
              </w:rPr>
              <w:t>535,100</w:t>
            </w:r>
          </w:p>
        </w:tc>
        <w:tc>
          <w:tcPr>
            <w:tcW w:w="502" w:type="pct"/>
            <w:vAlign w:val="center"/>
          </w:tcPr>
          <w:p w14:paraId="53C46395" w14:textId="6FC1BC9D" w:rsidR="00C65127" w:rsidRPr="004D02F0" w:rsidRDefault="009870E8" w:rsidP="00422A01">
            <w:pPr>
              <w:jc w:val="center"/>
              <w:rPr>
                <w:rFonts w:ascii="Arial" w:hAnsi="Arial" w:cs="Arial"/>
                <w:sz w:val="16"/>
                <w:szCs w:val="16"/>
              </w:rPr>
            </w:pPr>
            <w:r>
              <w:rPr>
                <w:rFonts w:ascii="Arial" w:hAnsi="Arial"/>
                <w:sz w:val="16"/>
                <w:szCs w:val="16"/>
              </w:rPr>
              <w:t>510,000</w:t>
            </w:r>
          </w:p>
        </w:tc>
        <w:tc>
          <w:tcPr>
            <w:tcW w:w="502" w:type="pct"/>
            <w:vAlign w:val="center"/>
          </w:tcPr>
          <w:p w14:paraId="302D3ED2" w14:textId="05594DC8" w:rsidR="00C65127" w:rsidRPr="004D02F0" w:rsidRDefault="009870E8" w:rsidP="00422A01">
            <w:pPr>
              <w:jc w:val="center"/>
              <w:rPr>
                <w:rFonts w:ascii="Arial" w:hAnsi="Arial" w:cs="Arial"/>
                <w:sz w:val="16"/>
                <w:szCs w:val="16"/>
              </w:rPr>
            </w:pPr>
            <w:r>
              <w:rPr>
                <w:rFonts w:ascii="Arial" w:hAnsi="Arial"/>
                <w:sz w:val="16"/>
                <w:szCs w:val="16"/>
              </w:rPr>
              <w:t>540,000</w:t>
            </w:r>
          </w:p>
        </w:tc>
        <w:tc>
          <w:tcPr>
            <w:tcW w:w="502" w:type="pct"/>
            <w:vAlign w:val="center"/>
          </w:tcPr>
          <w:p w14:paraId="52CFC326" w14:textId="5065D150" w:rsidR="00C65127" w:rsidRPr="004D02F0" w:rsidRDefault="009870E8" w:rsidP="00422A01">
            <w:pPr>
              <w:jc w:val="center"/>
              <w:rPr>
                <w:rFonts w:ascii="Arial" w:hAnsi="Arial" w:cs="Arial"/>
                <w:sz w:val="16"/>
                <w:szCs w:val="16"/>
              </w:rPr>
            </w:pPr>
            <w:r>
              <w:rPr>
                <w:rFonts w:ascii="Arial" w:hAnsi="Arial"/>
                <w:sz w:val="16"/>
                <w:szCs w:val="16"/>
              </w:rPr>
              <w:t>260,000</w:t>
            </w:r>
          </w:p>
        </w:tc>
        <w:tc>
          <w:tcPr>
            <w:tcW w:w="502" w:type="pct"/>
            <w:vAlign w:val="center"/>
          </w:tcPr>
          <w:p w14:paraId="077E5FE0" w14:textId="60EBABA6" w:rsidR="00C65127" w:rsidRPr="00A2402E" w:rsidRDefault="009870E8" w:rsidP="00422A01">
            <w:pPr>
              <w:jc w:val="center"/>
              <w:rPr>
                <w:rFonts w:ascii="Arial" w:hAnsi="Arial" w:cs="Arial"/>
                <w:sz w:val="16"/>
                <w:szCs w:val="16"/>
                <w:u w:val="single"/>
              </w:rPr>
            </w:pPr>
            <w:r>
              <w:rPr>
                <w:rFonts w:ascii="Arial" w:hAnsi="Arial"/>
                <w:sz w:val="16"/>
                <w:szCs w:val="16"/>
                <w:u w:val="single"/>
              </w:rPr>
              <w:t>993,500</w:t>
            </w:r>
          </w:p>
        </w:tc>
        <w:tc>
          <w:tcPr>
            <w:tcW w:w="502" w:type="pct"/>
            <w:vAlign w:val="center"/>
          </w:tcPr>
          <w:p w14:paraId="1630CA67" w14:textId="3CD6B472" w:rsidR="00C65127" w:rsidRPr="00514C7B" w:rsidRDefault="009870E8" w:rsidP="00422A01">
            <w:pPr>
              <w:jc w:val="center"/>
              <w:rPr>
                <w:rFonts w:ascii="Arial" w:hAnsi="Arial" w:cs="Arial"/>
                <w:sz w:val="16"/>
                <w:szCs w:val="16"/>
              </w:rPr>
            </w:pPr>
            <w:r>
              <w:rPr>
                <w:rFonts w:ascii="Arial" w:hAnsi="Arial"/>
                <w:sz w:val="16"/>
                <w:szCs w:val="16"/>
              </w:rPr>
              <w:t>256,000</w:t>
            </w:r>
          </w:p>
        </w:tc>
        <w:tc>
          <w:tcPr>
            <w:tcW w:w="502" w:type="pct"/>
            <w:vAlign w:val="center"/>
          </w:tcPr>
          <w:p w14:paraId="68D18378" w14:textId="35657C36" w:rsidR="00C65127" w:rsidRPr="004D02F0" w:rsidRDefault="009870E8" w:rsidP="00422A01">
            <w:pPr>
              <w:jc w:val="center"/>
              <w:rPr>
                <w:rFonts w:ascii="Arial" w:hAnsi="Arial" w:cs="Arial"/>
                <w:sz w:val="16"/>
                <w:szCs w:val="16"/>
              </w:rPr>
            </w:pPr>
            <w:r>
              <w:rPr>
                <w:rFonts w:ascii="Arial" w:hAnsi="Arial"/>
                <w:sz w:val="16"/>
                <w:szCs w:val="16"/>
              </w:rPr>
              <w:t>790,000</w:t>
            </w:r>
          </w:p>
        </w:tc>
        <w:tc>
          <w:tcPr>
            <w:tcW w:w="502" w:type="pct"/>
            <w:vAlign w:val="center"/>
          </w:tcPr>
          <w:p w14:paraId="48AD7952" w14:textId="64748662" w:rsidR="00C65127" w:rsidRPr="004D02F0" w:rsidRDefault="009870E8" w:rsidP="00B523C3">
            <w:pPr>
              <w:jc w:val="center"/>
              <w:rPr>
                <w:rFonts w:ascii="Arial" w:hAnsi="Arial" w:cs="Arial"/>
                <w:b/>
                <w:sz w:val="16"/>
                <w:szCs w:val="16"/>
              </w:rPr>
            </w:pPr>
            <w:r>
              <w:rPr>
                <w:rFonts w:ascii="Arial" w:hAnsi="Arial"/>
                <w:b/>
                <w:bCs/>
                <w:sz w:val="16"/>
                <w:szCs w:val="16"/>
              </w:rPr>
              <w:t>3,884,600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r>
              <w:rPr>
                <w:rFonts w:ascii="Arial" w:hAnsi="Arial"/>
                <w:b/>
                <w:sz w:val="16"/>
                <w:szCs w:val="16"/>
              </w:rPr>
              <w:t>Vacancy rate</w:t>
            </w:r>
            <w:r>
              <w:rPr>
                <w:rFonts w:ascii="Arial" w:hAnsi="Arial"/>
                <w:sz w:val="16"/>
                <w:szCs w:val="16"/>
              </w:rPr>
              <w:t xml:space="preserve"> incl. sub-let space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sz w:val="16"/>
                <w:szCs w:val="16"/>
              </w:rPr>
              <w:t>3.8</w:t>
            </w:r>
          </w:p>
        </w:tc>
        <w:tc>
          <w:tcPr>
            <w:tcW w:w="502" w:type="pct"/>
            <w:vAlign w:val="center"/>
          </w:tcPr>
          <w:p w14:paraId="08B1CFAE" w14:textId="0CF57E65" w:rsidR="00C65127" w:rsidRPr="004D02F0" w:rsidRDefault="001122BE" w:rsidP="00422A01">
            <w:pPr>
              <w:jc w:val="center"/>
              <w:rPr>
                <w:rFonts w:ascii="Arial" w:hAnsi="Arial" w:cs="Arial"/>
                <w:sz w:val="16"/>
                <w:szCs w:val="16"/>
              </w:rPr>
            </w:pPr>
            <w:r>
              <w:rPr>
                <w:rFonts w:ascii="Arial" w:hAnsi="Arial"/>
                <w:sz w:val="16"/>
                <w:szCs w:val="16"/>
              </w:rPr>
              <w:t>2.5</w:t>
            </w:r>
          </w:p>
        </w:tc>
        <w:tc>
          <w:tcPr>
            <w:tcW w:w="502" w:type="pct"/>
            <w:vAlign w:val="center"/>
          </w:tcPr>
          <w:p w14:paraId="2878E9A7" w14:textId="685AE6CF" w:rsidR="00C65127" w:rsidRPr="004D02F0" w:rsidRDefault="001122BE" w:rsidP="00422A01">
            <w:pPr>
              <w:jc w:val="center"/>
              <w:rPr>
                <w:rFonts w:ascii="Arial" w:hAnsi="Arial" w:cs="Arial"/>
                <w:sz w:val="16"/>
                <w:szCs w:val="16"/>
              </w:rPr>
            </w:pPr>
            <w:r>
              <w:rPr>
                <w:rFonts w:ascii="Arial" w:hAnsi="Arial"/>
                <w:sz w:val="16"/>
                <w:szCs w:val="16"/>
              </w:rPr>
              <w:t>7.4</w:t>
            </w:r>
          </w:p>
        </w:tc>
        <w:tc>
          <w:tcPr>
            <w:tcW w:w="502" w:type="pct"/>
            <w:vAlign w:val="center"/>
          </w:tcPr>
          <w:p w14:paraId="41A88249" w14:textId="263C5432" w:rsidR="00C65127" w:rsidRPr="004D02F0" w:rsidRDefault="001122BE" w:rsidP="00422A01">
            <w:pPr>
              <w:jc w:val="center"/>
              <w:rPr>
                <w:rFonts w:ascii="Arial" w:hAnsi="Arial" w:cs="Arial"/>
                <w:sz w:val="16"/>
                <w:szCs w:val="16"/>
              </w:rPr>
            </w:pPr>
            <w:r>
              <w:rPr>
                <w:rFonts w:ascii="Arial" w:hAnsi="Arial"/>
                <w:sz w:val="16"/>
                <w:szCs w:val="16"/>
              </w:rPr>
              <w:t>3.3</w:t>
            </w:r>
          </w:p>
        </w:tc>
        <w:tc>
          <w:tcPr>
            <w:tcW w:w="502" w:type="pct"/>
            <w:vAlign w:val="center"/>
          </w:tcPr>
          <w:p w14:paraId="789B0375" w14:textId="72EBD932" w:rsidR="00C65127" w:rsidRPr="00A2402E" w:rsidRDefault="001122BE" w:rsidP="00422A01">
            <w:pPr>
              <w:jc w:val="center"/>
              <w:rPr>
                <w:rFonts w:ascii="Arial" w:hAnsi="Arial" w:cs="Arial"/>
                <w:sz w:val="16"/>
                <w:szCs w:val="16"/>
                <w:u w:val="single"/>
              </w:rPr>
            </w:pPr>
            <w:r>
              <w:rPr>
                <w:rFonts w:ascii="Arial" w:hAnsi="Arial"/>
                <w:sz w:val="16"/>
                <w:szCs w:val="16"/>
                <w:u w:val="single"/>
              </w:rPr>
              <w:t>8.5</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sz w:val="16"/>
                <w:szCs w:val="16"/>
              </w:rPr>
              <w:t>3.1</w:t>
            </w:r>
          </w:p>
        </w:tc>
        <w:tc>
          <w:tcPr>
            <w:tcW w:w="502" w:type="pct"/>
            <w:vAlign w:val="center"/>
          </w:tcPr>
          <w:p w14:paraId="5B19EE92" w14:textId="16D0A9C3" w:rsidR="00C65127" w:rsidRPr="004D02F0" w:rsidRDefault="001122BE" w:rsidP="003210E3">
            <w:pPr>
              <w:jc w:val="center"/>
              <w:rPr>
                <w:rFonts w:ascii="Arial" w:hAnsi="Arial" w:cs="Arial"/>
                <w:sz w:val="16"/>
                <w:szCs w:val="16"/>
              </w:rPr>
            </w:pPr>
            <w:r>
              <w:rPr>
                <w:rFonts w:ascii="Arial" w:hAnsi="Arial"/>
                <w:sz w:val="16"/>
                <w:szCs w:val="16"/>
              </w:rPr>
              <w:t>3.4</w:t>
            </w:r>
          </w:p>
        </w:tc>
        <w:tc>
          <w:tcPr>
            <w:tcW w:w="502" w:type="pct"/>
            <w:vAlign w:val="center"/>
          </w:tcPr>
          <w:p w14:paraId="0CE22EC9" w14:textId="0D6A21C1" w:rsidR="00C65127" w:rsidRPr="004D02F0" w:rsidRDefault="001122BE" w:rsidP="00422A01">
            <w:pPr>
              <w:jc w:val="center"/>
              <w:rPr>
                <w:rFonts w:ascii="Arial" w:hAnsi="Arial" w:cs="Arial"/>
                <w:b/>
                <w:sz w:val="16"/>
                <w:szCs w:val="16"/>
              </w:rPr>
            </w:pPr>
            <w:r>
              <w:rPr>
                <w:rFonts w:ascii="Arial" w:hAnsi="Arial"/>
                <w:b/>
                <w:sz w:val="16"/>
                <w:szCs w:val="16"/>
              </w:rPr>
              <w:t>4.2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b/>
                <w:sz w:val="16"/>
                <w:szCs w:val="16"/>
              </w:rPr>
              <w:t>Completions</w:t>
            </w:r>
          </w:p>
          <w:p w14:paraId="3EAE7599" w14:textId="3AF25A4D" w:rsidR="00C65127" w:rsidRPr="004D02F0" w:rsidRDefault="00C65127" w:rsidP="00422A01">
            <w:pPr>
              <w:widowControl w:val="0"/>
              <w:rPr>
                <w:rFonts w:ascii="Arial" w:hAnsi="Arial" w:cs="Arial"/>
                <w:b/>
                <w:sz w:val="16"/>
                <w:szCs w:val="16"/>
              </w:rPr>
            </w:pPr>
            <w:r>
              <w:rPr>
                <w:rFonts w:ascii="Arial" w:hAnsi="Arial"/>
                <w:b/>
                <w:bCs/>
                <w:sz w:val="16"/>
                <w:szCs w:val="16"/>
              </w:rPr>
              <w:t>2021 + 2022</w:t>
            </w:r>
            <w:r>
              <w:rPr>
                <w:rFonts w:ascii="Arial" w:hAnsi="Arial"/>
                <w:bCs/>
                <w:sz w:val="16"/>
                <w:szCs w:val="16"/>
              </w:rPr>
              <w:t xml:space="preserve"> </w:t>
            </w:r>
            <w:r>
              <w:rPr>
                <w:rFonts w:ascii="Arial" w:hAnsi="Arial"/>
                <w:sz w:val="16"/>
                <w:szCs w:val="16"/>
              </w:rPr>
              <w:t>in m²</w:t>
            </w:r>
          </w:p>
        </w:tc>
        <w:tc>
          <w:tcPr>
            <w:tcW w:w="502" w:type="pct"/>
            <w:vAlign w:val="center"/>
          </w:tcPr>
          <w:p w14:paraId="45E23251" w14:textId="4EA08C13" w:rsidR="00C65127" w:rsidRPr="004D02F0" w:rsidRDefault="001122BE" w:rsidP="00422A01">
            <w:pPr>
              <w:jc w:val="center"/>
              <w:rPr>
                <w:rFonts w:ascii="Arial" w:hAnsi="Arial" w:cs="Arial"/>
                <w:sz w:val="16"/>
                <w:szCs w:val="16"/>
              </w:rPr>
            </w:pPr>
            <w:r>
              <w:rPr>
                <w:rFonts w:ascii="Arial" w:hAnsi="Arial"/>
                <w:sz w:val="16"/>
                <w:szCs w:val="16"/>
              </w:rPr>
              <w:t>331,000</w:t>
            </w:r>
          </w:p>
        </w:tc>
        <w:tc>
          <w:tcPr>
            <w:tcW w:w="502" w:type="pct"/>
            <w:vAlign w:val="center"/>
          </w:tcPr>
          <w:p w14:paraId="11B12F0F" w14:textId="2EDB09E7" w:rsidR="00C65127" w:rsidRPr="00CF3114" w:rsidRDefault="001122BE" w:rsidP="00422A01">
            <w:pPr>
              <w:jc w:val="center"/>
              <w:rPr>
                <w:rFonts w:ascii="Arial" w:hAnsi="Arial" w:cs="Arial"/>
                <w:sz w:val="16"/>
                <w:szCs w:val="16"/>
                <w:u w:val="single"/>
              </w:rPr>
            </w:pPr>
            <w:r>
              <w:rPr>
                <w:rFonts w:ascii="Arial" w:hAnsi="Arial"/>
                <w:sz w:val="16"/>
                <w:szCs w:val="16"/>
                <w:u w:val="single"/>
              </w:rPr>
              <w:t>1,196,100</w:t>
            </w:r>
          </w:p>
        </w:tc>
        <w:tc>
          <w:tcPr>
            <w:tcW w:w="502" w:type="pct"/>
            <w:vAlign w:val="center"/>
          </w:tcPr>
          <w:p w14:paraId="55671FED" w14:textId="51C987CA" w:rsidR="00C65127" w:rsidRPr="004D02F0" w:rsidRDefault="001122BE" w:rsidP="00422A01">
            <w:pPr>
              <w:jc w:val="center"/>
              <w:rPr>
                <w:rFonts w:ascii="Arial" w:hAnsi="Arial" w:cs="Arial"/>
                <w:sz w:val="16"/>
                <w:szCs w:val="16"/>
              </w:rPr>
            </w:pPr>
            <w:r>
              <w:rPr>
                <w:rFonts w:ascii="Arial" w:hAnsi="Arial"/>
                <w:sz w:val="16"/>
                <w:szCs w:val="16"/>
              </w:rPr>
              <w:t>240,700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sz w:val="16"/>
                <w:szCs w:val="16"/>
              </w:rPr>
              <w:t>200,000</w:t>
            </w:r>
          </w:p>
        </w:tc>
        <w:tc>
          <w:tcPr>
            <w:tcW w:w="502" w:type="pct"/>
            <w:vAlign w:val="center"/>
          </w:tcPr>
          <w:p w14:paraId="795CB503" w14:textId="51189234" w:rsidR="00C65127" w:rsidRPr="004D02F0" w:rsidRDefault="001122BE" w:rsidP="00422A01">
            <w:pPr>
              <w:jc w:val="center"/>
              <w:rPr>
                <w:rFonts w:ascii="Arial" w:hAnsi="Arial" w:cs="Arial"/>
                <w:sz w:val="16"/>
                <w:szCs w:val="16"/>
              </w:rPr>
            </w:pPr>
            <w:r>
              <w:rPr>
                <w:rFonts w:ascii="Arial" w:hAnsi="Arial"/>
                <w:sz w:val="16"/>
                <w:szCs w:val="16"/>
              </w:rPr>
              <w:t>468,200</w:t>
            </w:r>
          </w:p>
        </w:tc>
        <w:tc>
          <w:tcPr>
            <w:tcW w:w="502" w:type="pct"/>
            <w:vAlign w:val="center"/>
          </w:tcPr>
          <w:p w14:paraId="74993796" w14:textId="5835D787" w:rsidR="00C65127" w:rsidRPr="004D02F0" w:rsidRDefault="001122BE" w:rsidP="00422A01">
            <w:pPr>
              <w:jc w:val="center"/>
              <w:rPr>
                <w:rFonts w:ascii="Arial" w:hAnsi="Arial" w:cs="Arial"/>
                <w:sz w:val="16"/>
                <w:szCs w:val="16"/>
              </w:rPr>
            </w:pPr>
            <w:r>
              <w:rPr>
                <w:rFonts w:ascii="Arial" w:hAnsi="Arial"/>
                <w:sz w:val="16"/>
                <w:szCs w:val="16"/>
              </w:rPr>
              <w:t>241,700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sz w:val="16"/>
                <w:szCs w:val="16"/>
              </w:rPr>
              <w:t>645,000</w:t>
            </w:r>
          </w:p>
        </w:tc>
        <w:tc>
          <w:tcPr>
            <w:tcW w:w="502" w:type="pct"/>
            <w:vAlign w:val="center"/>
          </w:tcPr>
          <w:p w14:paraId="6CCC0DE5" w14:textId="75670F77" w:rsidR="00C65127" w:rsidRPr="004D02F0" w:rsidRDefault="001122BE" w:rsidP="00C005A2">
            <w:pPr>
              <w:jc w:val="center"/>
              <w:rPr>
                <w:rFonts w:ascii="Arial" w:hAnsi="Arial" w:cs="Arial"/>
                <w:b/>
                <w:sz w:val="16"/>
                <w:szCs w:val="16"/>
              </w:rPr>
            </w:pPr>
            <w:r>
              <w:rPr>
                <w:rFonts w:ascii="Arial" w:hAnsi="Arial"/>
                <w:b/>
                <w:bCs/>
                <w:sz w:val="16"/>
                <w:szCs w:val="16"/>
              </w:rPr>
              <w:t>3,323,000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Pr>
                <w:rFonts w:ascii="Arial" w:hAnsi="Arial"/>
                <w:sz w:val="16"/>
                <w:szCs w:val="16"/>
              </w:rPr>
              <w:t>Pre-let ratios 2021 + 2022 in %</w:t>
            </w:r>
          </w:p>
        </w:tc>
        <w:tc>
          <w:tcPr>
            <w:tcW w:w="502" w:type="pct"/>
            <w:vAlign w:val="center"/>
          </w:tcPr>
          <w:p w14:paraId="5B815624" w14:textId="754669B0" w:rsidR="001C65C1" w:rsidRPr="004D02F0" w:rsidRDefault="001122BE" w:rsidP="00422A01">
            <w:pPr>
              <w:jc w:val="center"/>
              <w:rPr>
                <w:rFonts w:ascii="Arial" w:hAnsi="Arial" w:cs="Arial"/>
                <w:sz w:val="16"/>
                <w:szCs w:val="16"/>
              </w:rPr>
            </w:pPr>
            <w:r>
              <w:rPr>
                <w:rFonts w:ascii="Arial" w:hAnsi="Arial"/>
                <w:sz w:val="16"/>
                <w:szCs w:val="16"/>
              </w:rPr>
              <w:t>74</w:t>
            </w:r>
          </w:p>
        </w:tc>
        <w:tc>
          <w:tcPr>
            <w:tcW w:w="502" w:type="pct"/>
            <w:vAlign w:val="center"/>
          </w:tcPr>
          <w:p w14:paraId="0BD28CCE" w14:textId="35514151" w:rsidR="001C65C1" w:rsidRPr="004D02F0" w:rsidRDefault="001122BE" w:rsidP="00422A01">
            <w:pPr>
              <w:jc w:val="center"/>
              <w:rPr>
                <w:rFonts w:ascii="Arial" w:hAnsi="Arial" w:cs="Arial"/>
                <w:sz w:val="16"/>
                <w:szCs w:val="16"/>
              </w:rPr>
            </w:pPr>
            <w:r>
              <w:rPr>
                <w:rFonts w:ascii="Arial" w:hAnsi="Arial"/>
                <w:sz w:val="16"/>
                <w:szCs w:val="16"/>
              </w:rPr>
              <w:t>49</w:t>
            </w:r>
          </w:p>
        </w:tc>
        <w:tc>
          <w:tcPr>
            <w:tcW w:w="502" w:type="pct"/>
            <w:vAlign w:val="center"/>
          </w:tcPr>
          <w:p w14:paraId="277079A1" w14:textId="6D90CE2A" w:rsidR="001C65C1" w:rsidRPr="004D02F0" w:rsidRDefault="001122BE" w:rsidP="00422A01">
            <w:pPr>
              <w:jc w:val="center"/>
              <w:rPr>
                <w:rFonts w:ascii="Arial" w:hAnsi="Arial" w:cs="Arial"/>
                <w:sz w:val="16"/>
                <w:szCs w:val="16"/>
              </w:rPr>
            </w:pPr>
            <w:r>
              <w:rPr>
                <w:rFonts w:ascii="Arial" w:hAnsi="Arial"/>
                <w:sz w:val="16"/>
                <w:szCs w:val="16"/>
              </w:rPr>
              <w:t>65</w:t>
            </w:r>
          </w:p>
        </w:tc>
        <w:tc>
          <w:tcPr>
            <w:tcW w:w="502" w:type="pct"/>
            <w:vAlign w:val="center"/>
          </w:tcPr>
          <w:p w14:paraId="20F6D135" w14:textId="0A991C4B" w:rsidR="001C65C1" w:rsidRPr="004D02F0" w:rsidRDefault="001122BE" w:rsidP="00422A01">
            <w:pPr>
              <w:jc w:val="center"/>
              <w:rPr>
                <w:rFonts w:ascii="Arial" w:hAnsi="Arial" w:cs="Arial"/>
                <w:sz w:val="16"/>
                <w:szCs w:val="16"/>
              </w:rPr>
            </w:pPr>
            <w:r>
              <w:rPr>
                <w:rFonts w:ascii="Arial" w:hAnsi="Arial"/>
                <w:sz w:val="16"/>
                <w:szCs w:val="16"/>
              </w:rPr>
              <w:t>55</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sz w:val="16"/>
                <w:szCs w:val="16"/>
              </w:rPr>
              <w:t>52</w:t>
            </w:r>
          </w:p>
        </w:tc>
        <w:tc>
          <w:tcPr>
            <w:tcW w:w="502" w:type="pct"/>
            <w:vAlign w:val="center"/>
          </w:tcPr>
          <w:p w14:paraId="0F8131C9" w14:textId="50F80B23" w:rsidR="001C65C1" w:rsidRPr="00CF3114" w:rsidRDefault="001122BE" w:rsidP="00422A01">
            <w:pPr>
              <w:jc w:val="center"/>
              <w:rPr>
                <w:rFonts w:ascii="Arial" w:hAnsi="Arial" w:cs="Arial"/>
                <w:sz w:val="16"/>
                <w:szCs w:val="16"/>
                <w:u w:val="single"/>
              </w:rPr>
            </w:pPr>
            <w:r>
              <w:rPr>
                <w:rFonts w:ascii="Arial" w:hAnsi="Arial"/>
                <w:sz w:val="16"/>
                <w:szCs w:val="16"/>
                <w:u w:val="single"/>
              </w:rPr>
              <w:t>74</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sz w:val="16"/>
                <w:szCs w:val="16"/>
              </w:rPr>
              <w:t>62</w:t>
            </w:r>
          </w:p>
        </w:tc>
        <w:tc>
          <w:tcPr>
            <w:tcW w:w="502" w:type="pct"/>
            <w:vAlign w:val="center"/>
          </w:tcPr>
          <w:p w14:paraId="70264BF0" w14:textId="70DE3338" w:rsidR="001C65C1" w:rsidRPr="004D02F0" w:rsidRDefault="001122BE" w:rsidP="00422A01">
            <w:pPr>
              <w:jc w:val="center"/>
              <w:rPr>
                <w:rFonts w:ascii="Arial" w:hAnsi="Arial" w:cs="Arial"/>
                <w:b/>
                <w:sz w:val="16"/>
                <w:szCs w:val="16"/>
              </w:rPr>
            </w:pPr>
            <w:r>
              <w:rPr>
                <w:rFonts w:ascii="Arial" w:hAnsi="Arial"/>
                <w:b/>
                <w:sz w:val="16"/>
                <w:szCs w:val="16"/>
              </w:rPr>
              <w:t>58</w:t>
            </w:r>
          </w:p>
        </w:tc>
      </w:tr>
    </w:tbl>
    <w:p w14:paraId="4189EB68" w14:textId="440ECFB4" w:rsidR="00C65127" w:rsidRPr="004D02F0" w:rsidRDefault="00B47474" w:rsidP="004C416A">
      <w:pPr>
        <w:widowControl w:val="0"/>
        <w:spacing w:after="0"/>
        <w:rPr>
          <w:rFonts w:ascii="Arial" w:hAnsi="Arial" w:cs="Arial"/>
          <w:sz w:val="16"/>
          <w:szCs w:val="16"/>
        </w:rPr>
      </w:pPr>
      <w:r>
        <w:rPr>
          <w:rFonts w:ascii="Arial" w:hAnsi="Arial"/>
          <w:sz w:val="16"/>
          <w:szCs w:val="16"/>
        </w:rPr>
        <w:t xml:space="preserve"> Source: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1"/>
    <w:p w14:paraId="4AAB2CD2" w14:textId="7320BF91" w:rsidR="32E3C701" w:rsidRPr="00487ECE" w:rsidRDefault="32E3C701" w:rsidP="00BF5272">
      <w:pPr>
        <w:spacing w:after="0"/>
        <w:jc w:val="both"/>
        <w:rPr>
          <w:b/>
          <w:iCs/>
          <w:sz w:val="16"/>
          <w:szCs w:val="16"/>
        </w:rPr>
      </w:pPr>
      <w:r>
        <w:rPr>
          <w:rFonts w:ascii="Arial" w:hAnsi="Arial"/>
          <w:b/>
          <w:iCs/>
          <w:caps/>
          <w:sz w:val="16"/>
          <w:szCs w:val="16"/>
        </w:rPr>
        <w:t>ABOUT GERMAN PROPERTY PARTNERS</w:t>
      </w:r>
    </w:p>
    <w:p w14:paraId="5A406D95" w14:textId="7F3174BF" w:rsidR="00F446B8" w:rsidRPr="00F446B8" w:rsidRDefault="00625479" w:rsidP="00BF5272">
      <w:pPr>
        <w:jc w:val="both"/>
        <w:rPr>
          <w:rFonts w:ascii="Arial" w:eastAsia="Arial" w:hAnsi="Arial" w:cs="Arial"/>
          <w:iCs/>
          <w:sz w:val="16"/>
          <w:szCs w:val="16"/>
        </w:rPr>
      </w:pPr>
      <w:r w:rsidRPr="00415EA7">
        <w:rPr>
          <w:rFonts w:ascii="Arial" w:hAnsi="Arial" w:cs="Arial"/>
          <w:sz w:val="16"/>
          <w:szCs w:val="16"/>
        </w:rPr>
        <w:t>German Property Partners is a national network of property service providers; they are all leaders in their local markets.</w:t>
      </w:r>
      <w:r w:rsidRPr="00415EA7">
        <w:rPr>
          <w:rFonts w:ascii="Arial" w:hAnsi="Arial" w:cs="Arial"/>
          <w:iCs/>
          <w:sz w:val="16"/>
          <w:szCs w:val="16"/>
        </w:rPr>
        <w:t xml:space="preserve"> Membership now consists of Grossmann &amp; Berger, Anteon </w:t>
      </w:r>
      <w:proofErr w:type="spellStart"/>
      <w:r w:rsidRPr="00415EA7">
        <w:rPr>
          <w:rFonts w:ascii="Arial" w:hAnsi="Arial" w:cs="Arial"/>
          <w:iCs/>
          <w:sz w:val="16"/>
          <w:szCs w:val="16"/>
        </w:rPr>
        <w:t>Immobilien</w:t>
      </w:r>
      <w:proofErr w:type="spellEnd"/>
      <w:r w:rsidRPr="00415EA7">
        <w:rPr>
          <w:rFonts w:ascii="Arial" w:hAnsi="Arial" w:cs="Arial"/>
          <w:iCs/>
          <w:sz w:val="16"/>
          <w:szCs w:val="16"/>
        </w:rPr>
        <w:t>, GREIF &amp; CONTZEN</w:t>
      </w:r>
      <w:r>
        <w:rPr>
          <w:rFonts w:ascii="Arial" w:hAnsi="Arial"/>
          <w:iCs/>
          <w:sz w:val="16"/>
          <w:szCs w:val="16"/>
        </w:rPr>
        <w:t xml:space="preserve"> </w:t>
      </w:r>
      <w:proofErr w:type="spellStart"/>
      <w:r>
        <w:rPr>
          <w:rFonts w:ascii="Arial" w:hAnsi="Arial"/>
          <w:iCs/>
          <w:sz w:val="16"/>
          <w:szCs w:val="16"/>
        </w:rPr>
        <w:t>Immobilien</w:t>
      </w:r>
      <w:proofErr w:type="spellEnd"/>
      <w:r>
        <w:rPr>
          <w:rFonts w:ascii="Arial" w:hAnsi="Arial"/>
          <w:iCs/>
          <w:sz w:val="16"/>
          <w:szCs w:val="16"/>
        </w:rPr>
        <w:t xml:space="preserve">, </w:t>
      </w:r>
      <w:proofErr w:type="spellStart"/>
      <w:r>
        <w:rPr>
          <w:rFonts w:ascii="Arial" w:hAnsi="Arial"/>
          <w:iCs/>
          <w:sz w:val="16"/>
          <w:szCs w:val="16"/>
        </w:rPr>
        <w:t>blackolive</w:t>
      </w:r>
      <w:proofErr w:type="spellEnd"/>
      <w:r>
        <w:rPr>
          <w:rFonts w:ascii="Arial" w:hAnsi="Arial"/>
          <w:iCs/>
          <w:sz w:val="16"/>
          <w:szCs w:val="16"/>
        </w:rPr>
        <w:t xml:space="preserve"> and E &amp; G Real Estate. The network is remarkable for the members’ intimate knowledge of local markets, the experience of the partner firms’ long-standing property consultants and the personal dedication of the owners and directors. 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Currently, more than 410 property specialists work for the network. Nationwide, German Property Partners brokered lets in </w:t>
      </w:r>
      <w:r>
        <w:rPr>
          <w:rFonts w:ascii="Arial" w:hAnsi="Arial"/>
          <w:b/>
          <w:iCs/>
          <w:sz w:val="16"/>
          <w:szCs w:val="16"/>
        </w:rPr>
        <w:t>2020</w:t>
      </w:r>
      <w:r>
        <w:rPr>
          <w:rFonts w:ascii="Arial" w:hAnsi="Arial"/>
          <w:iCs/>
          <w:sz w:val="16"/>
          <w:szCs w:val="16"/>
        </w:rPr>
        <w:t xml:space="preserve"> involving 462,800 m² of commercial property, and managed investment transactions totalling €2.45bn.</w:t>
      </w:r>
    </w:p>
    <w:sectPr w:rsidR="00F446B8" w:rsidRPr="00F446B8"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6DBB" w14:textId="77777777" w:rsidR="00411D36" w:rsidRDefault="00411D36" w:rsidP="0055466B">
      <w:pPr>
        <w:spacing w:after="0" w:line="240" w:lineRule="auto"/>
      </w:pPr>
      <w:r>
        <w:separator/>
      </w:r>
    </w:p>
  </w:endnote>
  <w:endnote w:type="continuationSeparator" w:id="0">
    <w:p w14:paraId="16E28EE1" w14:textId="77777777" w:rsidR="00411D36" w:rsidRDefault="00411D36" w:rsidP="0055466B">
      <w:pPr>
        <w:spacing w:after="0" w:line="240" w:lineRule="auto"/>
      </w:pPr>
      <w:r>
        <w:continuationSeparator/>
      </w:r>
    </w:p>
  </w:endnote>
  <w:endnote w:type="continuationNotice" w:id="1">
    <w:p w14:paraId="0DDB9204" w14:textId="77777777" w:rsidR="00411D36" w:rsidRDefault="00411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A899E3A" w:rsidR="00422A01" w:rsidRPr="00DC19BC" w:rsidRDefault="00422A01">
    <w:pPr>
      <w:pStyle w:val="Fuzeile"/>
      <w:rPr>
        <w:rFonts w:ascii="Arial" w:hAnsi="Arial" w:cs="Arial"/>
        <w:sz w:val="18"/>
        <w:szCs w:val="18"/>
      </w:rPr>
    </w:pPr>
    <w:r>
      <w:rPr>
        <w:rFonts w:ascii="Arial" w:hAnsi="Arial"/>
        <w:noProof/>
        <w:sz w:val="18"/>
        <w:szCs w:val="18"/>
        <w:lang w:val="de-DE"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b/>
                        <w:bCs/>
                        <w:color w:val="FFFFFF" w:themeColor="background1"/>
                        <w:sz w:val="15"/>
                        <w:szCs w:val="15"/>
                      </w:rPr>
                      <w:t>WWW.GERMANPROPERTYPARTNERS.DE</w:t>
                    </w:r>
                  </w:p>
                </w:txbxContent>
              </v:textbox>
            </v:shape>
          </w:pict>
        </mc:Fallback>
      </mc:AlternateContent>
    </w:r>
    <w:r>
      <w:rPr>
        <w:rFonts w:ascii="Arial" w:hAnsi="Arial"/>
        <w:noProof/>
        <w:sz w:val="18"/>
        <w:szCs w:val="18"/>
        <w:lang w:val="de-DE"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A20FE05"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rFonts w:ascii="Arial" w:hAnsi="Arial"/>
        <w:sz w:val="18"/>
        <w:szCs w:val="18"/>
      </w:rPr>
      <w:t xml:space="preserve">Page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851E43">
      <w:rPr>
        <w:rFonts w:ascii="Arial" w:hAnsi="Arial" w:cs="Arial"/>
        <w:b/>
        <w:noProof/>
        <w:sz w:val="18"/>
        <w:szCs w:val="18"/>
      </w:rPr>
      <w:t>3</w:t>
    </w:r>
    <w:r w:rsidRPr="00DC19BC">
      <w:rPr>
        <w:rFonts w:ascii="Arial" w:hAnsi="Arial" w:cs="Arial"/>
        <w:b/>
        <w:sz w:val="18"/>
        <w:szCs w:val="18"/>
      </w:rPr>
      <w:fldChar w:fldCharType="end"/>
    </w:r>
    <w:r>
      <w:rPr>
        <w:rFonts w:ascii="Arial" w:hAnsi="Arial"/>
        <w:sz w:val="18"/>
        <w:szCs w:val="18"/>
      </w:rPr>
      <w:t xml:space="preserve"> of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851E43">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0B888" w14:textId="77777777" w:rsidR="00411D36" w:rsidRDefault="00411D36" w:rsidP="0055466B">
      <w:pPr>
        <w:spacing w:after="0" w:line="240" w:lineRule="auto"/>
      </w:pPr>
      <w:r>
        <w:separator/>
      </w:r>
    </w:p>
  </w:footnote>
  <w:footnote w:type="continuationSeparator" w:id="0">
    <w:p w14:paraId="615C819D" w14:textId="77777777" w:rsidR="00411D36" w:rsidRDefault="00411D36" w:rsidP="0055466B">
      <w:pPr>
        <w:spacing w:after="0" w:line="240" w:lineRule="auto"/>
      </w:pPr>
      <w:r>
        <w:continuationSeparator/>
      </w:r>
    </w:p>
  </w:footnote>
  <w:footnote w:type="continuationNotice" w:id="1">
    <w:p w14:paraId="59558E1D" w14:textId="77777777" w:rsidR="00411D36" w:rsidRDefault="00411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Pr>
        <w:noProof/>
        <w:lang w:val="de-DE"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rPr>
                    </w:pPr>
                    <w:r>
                      <w:rPr>
                        <w:rFonts w:ascii="Arial" w:hAnsi="Arial"/>
                        <w:b/>
                        <w:bCs/>
                        <w:color w:val="FFFFFF" w:themeColor="background1"/>
                        <w:sz w:val="14"/>
                        <w:szCs w:val="14"/>
                      </w:rPr>
                      <w:t>Local expertise across Germany</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E29EE83"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val="de-DE"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D013"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val="de-DE"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4CD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08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2BE"/>
    <w:rsid w:val="00112814"/>
    <w:rsid w:val="00112B48"/>
    <w:rsid w:val="00113518"/>
    <w:rsid w:val="00113DFE"/>
    <w:rsid w:val="00113F5A"/>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6FFA"/>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44"/>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07D79"/>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0D5"/>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1D36"/>
    <w:rsid w:val="004127B1"/>
    <w:rsid w:val="00412845"/>
    <w:rsid w:val="00412C04"/>
    <w:rsid w:val="004130E8"/>
    <w:rsid w:val="004133C0"/>
    <w:rsid w:val="00413510"/>
    <w:rsid w:val="0041380B"/>
    <w:rsid w:val="00413A42"/>
    <w:rsid w:val="00413B61"/>
    <w:rsid w:val="00414058"/>
    <w:rsid w:val="00414813"/>
    <w:rsid w:val="00415232"/>
    <w:rsid w:val="00415EA7"/>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4ECD"/>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1D"/>
    <w:rsid w:val="005957A1"/>
    <w:rsid w:val="005961E6"/>
    <w:rsid w:val="005968D2"/>
    <w:rsid w:val="00596A21"/>
    <w:rsid w:val="00596DEF"/>
    <w:rsid w:val="00597235"/>
    <w:rsid w:val="005974F3"/>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DB4"/>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479"/>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37796"/>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376F5"/>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516"/>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4D1E"/>
    <w:rsid w:val="00845C9E"/>
    <w:rsid w:val="00845D1E"/>
    <w:rsid w:val="0084603A"/>
    <w:rsid w:val="00846D95"/>
    <w:rsid w:val="00847709"/>
    <w:rsid w:val="008506D2"/>
    <w:rsid w:val="008506D7"/>
    <w:rsid w:val="0085117B"/>
    <w:rsid w:val="00851E43"/>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397"/>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C7A"/>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0E8"/>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7BE"/>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02E"/>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ABC"/>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099A"/>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6AB"/>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46B"/>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B4C"/>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37A07"/>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35"/>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57B"/>
    <w:rsid w:val="00E7076A"/>
    <w:rsid w:val="00E70A7C"/>
    <w:rsid w:val="00E70E1D"/>
    <w:rsid w:val="00E7109A"/>
    <w:rsid w:val="00E71302"/>
    <w:rsid w:val="00E71335"/>
    <w:rsid w:val="00E713F6"/>
    <w:rsid w:val="00E71A34"/>
    <w:rsid w:val="00E71B6D"/>
    <w:rsid w:val="00E72267"/>
    <w:rsid w:val="00E7227E"/>
    <w:rsid w:val="00E72EA8"/>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9FA"/>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6B8"/>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A6E"/>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2DD5"/>
  <w15:docId w15:val="{68F5EE4E-E856-468B-955B-36F3535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26406955">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4aed6d6-a926-4909-ae89-377442fd3b88"/>
    <ds:schemaRef ds:uri="http://www.w3.org/XML/1998/namespace"/>
    <ds:schemaRef ds:uri="http://purl.org/dc/dcmityp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8A1A24AB-BC91-4CDA-AE79-B9D033CD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6</cp:revision>
  <cp:lastPrinted>2021-07-05T07:27:00Z</cp:lastPrinted>
  <dcterms:created xsi:type="dcterms:W3CDTF">2021-07-05T11:29:00Z</dcterms:created>
  <dcterms:modified xsi:type="dcterms:W3CDTF">2021-07-05T12:47:00Z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