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36E9" w14:textId="4B50445A" w:rsidR="000B1E51" w:rsidRPr="004D02F0" w:rsidRDefault="00436816" w:rsidP="00462FC6">
      <w:pPr>
        <w:widowControl w:val="0"/>
        <w:spacing w:after="40"/>
        <w:rPr>
          <w:rFonts w:ascii="Arial" w:hAnsi="Arial" w:cs="Arial"/>
          <w:b/>
          <w:color w:val="000000" w:themeColor="text1"/>
          <w:sz w:val="40"/>
          <w:szCs w:val="40"/>
        </w:rPr>
      </w:pPr>
      <w:r>
        <w:rPr>
          <w:noProof/>
          <w:color w:val="000000" w:themeColor="text1"/>
          <w:lang w:val="de-DE" w:eastAsia="de-DE"/>
        </w:rPr>
        <mc:AlternateContent>
          <mc:Choice Requires="wps">
            <w:drawing>
              <wp:anchor distT="0" distB="0" distL="114300" distR="114300" simplePos="0" relativeHeight="251658242" behindDoc="0" locked="0" layoutInCell="1" allowOverlap="1" wp14:anchorId="2CFA8A02" wp14:editId="36EEA717">
                <wp:simplePos x="0" y="0"/>
                <wp:positionH relativeFrom="column">
                  <wp:posOffset>3745865</wp:posOffset>
                </wp:positionH>
                <wp:positionV relativeFrom="paragraph">
                  <wp:posOffset>-900430</wp:posOffset>
                </wp:positionV>
                <wp:extent cx="2392878" cy="6159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878" cy="615950"/>
                        </a:xfrm>
                        <a:prstGeom prst="rect">
                          <a:avLst/>
                        </a:prstGeom>
                        <a:noFill/>
                        <a:ln w="9525">
                          <a:noFill/>
                          <a:miter lim="800000"/>
                          <a:headEnd/>
                          <a:tailEnd/>
                        </a:ln>
                      </wps:spPr>
                      <wps:txb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 xml:space="preserve">PRESS CONTACT </w:t>
                            </w:r>
                          </w:p>
                          <w:p w14:paraId="149868A3" w14:textId="2B6FE846"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 xml:space="preserve">Ms Corinna </w:t>
                            </w:r>
                            <w:proofErr w:type="spellStart"/>
                            <w:r>
                              <w:rPr>
                                <w:rFonts w:ascii="Arial" w:hAnsi="Arial"/>
                                <w:color w:val="808080" w:themeColor="background1" w:themeShade="80"/>
                                <w:sz w:val="16"/>
                                <w:szCs w:val="16"/>
                              </w:rPr>
                              <w:t>Fühner</w:t>
                            </w:r>
                            <w:proofErr w:type="spellEnd"/>
                          </w:p>
                          <w:p w14:paraId="35F2F7FA" w14:textId="74F53775"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Telephone: +49 (0)40 / 350 80 2-588</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rPr>
                            </w:pPr>
                            <w:r>
                              <w:rPr>
                                <w:rFonts w:ascii="Arial" w:hAnsi="Arial"/>
                                <w:color w:val="808080" w:themeColor="background1" w:themeShade="80"/>
                                <w:sz w:val="16"/>
                                <w:szCs w:val="16"/>
                              </w:rPr>
                              <w:t>E-Mail: presse@germanpropertypartners.de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A8A02" id="_x0000_t202" coordsize="21600,21600" o:spt="202" path="m,l,21600r21600,l21600,xe">
                <v:stroke joinstyle="miter"/>
                <v:path gradientshapeok="t" o:connecttype="rect"/>
              </v:shapetype>
              <v:shape id="Textfeld 2" o:spid="_x0000_s1026" type="#_x0000_t202" style="position:absolute;margin-left:294.95pt;margin-top:-70.9pt;width:188.4pt;height:4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EDAIAAPIDAAAOAAAAZHJzL2Uyb0RvYy54bWysU9tuGyEQfa/Uf0C812tv7cReGUdp0lSV&#10;0ouU9AMwsF5UYChg76Zfn4F1HKt9q7oPCHZmDnPOHNZXgzXkoELU4BidTaaUKCdAardj9Mfj3bsl&#10;JTFxJ7kBpxh9UpFebd6+Wfe+UTV0YKQKBEFcbHrPaJeSb6oqik5ZHifglcNgC8HyhMewq2TgPaJb&#10;U9XT6UXVQ5A+gFAx4t/bMUg3Bb9tlUjf2jaqRAyj2FsqayjrNq/VZs2bXeC+0+LYBv+HLizXDi89&#10;Qd3yxMk+6L+grBYBIrRpIsBW0LZaqMIB2cymf7B56LhXhQuKE/1Jpvj/YMXXw/dAtGS0psRxiyN6&#10;VENqlZGkzur0PjaY9OAxLQ0fYMApF6bR34P4GYmDm467nboOAfpOcYndzXJldVY64sQMsu2/gMRr&#10;+D5BARraYLN0KAZBdJzS02ky2AoR+LN+v6qXl+glgbGL2WK1KKOrePNS7UNMnxRYkjeMBpx8QeeH&#10;+5hyN7x5ScmXObjTxpTpG0d6RleLelEKziJWJzSn0ZbR5TR/o10yyY9OluLEtRn3eIFxR9aZ6Eg5&#10;DdsBE7MUW5BPyD/AaEJ8NLjpIPympEcDMhp/7XlQlJjPDjVczebz7NhymC8uazyE88j2PMKdQChG&#10;EyXj9iYVl49cr1HrVhcZXjs59orGKuocH0F27vm5ZL0+1c0zAAAA//8DAFBLAwQUAAYACAAAACEA&#10;oVuE/+AAAAAMAQAADwAAAGRycy9kb3ducmV2LnhtbEyPTU/DMAyG70j8h8hI3LakqCttaTohEFcQ&#10;40PiljVeW9E4VZOt5d9jTuxo+9Hr5622ixvECafQe9KQrBUIpMbbnloN729PqxxEiIasGTyhhh8M&#10;sK0vLypTWj/TK552sRUcQqE0GroYx1LK0HToTFj7EYlvBz85E3mcWmknM3O4G+SNUpl0pif+0JkR&#10;HzpsvndHp+Hj+fD1maqX9tFtxtkvSpIrpNbXV8v9HYiIS/yH4U+f1aFmp70/kg1i0LDJi4JRDask&#10;TbgEI0WW3YLY8ypNc5B1Jc9L1L8AAAD//wMAUEsBAi0AFAAGAAgAAAAhALaDOJL+AAAA4QEAABMA&#10;AAAAAAAAAAAAAAAAAAAAAFtDb250ZW50X1R5cGVzXS54bWxQSwECLQAUAAYACAAAACEAOP0h/9YA&#10;AACUAQAACwAAAAAAAAAAAAAAAAAvAQAAX3JlbHMvLnJlbHNQSwECLQAUAAYACAAAACEA2/oFhAwC&#10;AADyAwAADgAAAAAAAAAAAAAAAAAuAgAAZHJzL2Uyb0RvYy54bWxQSwECLQAUAAYACAAAACEAoVuE&#10;/+AAAAAMAQAADwAAAAAAAAAAAAAAAABmBAAAZHJzL2Rvd25yZXYueG1sUEsFBgAAAAAEAAQA8wAA&#10;AHMFAAAAAA==&#10;" filled="f" stroked="f">
                <v:textbo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 xml:space="preserve">PRESS CONTACT </w:t>
                      </w:r>
                    </w:p>
                    <w:p w14:paraId="149868A3" w14:textId="2B6FE846"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Ms Corinna Fühner</w:t>
                      </w:r>
                    </w:p>
                    <w:p w14:paraId="35F2F7FA" w14:textId="74F53775"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Telephone: +49 (0)40 / 350 80 2-588</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rPr>
                      </w:pPr>
                      <w:r>
                        <w:rPr>
                          <w:rFonts w:ascii="Arial" w:hAnsi="Arial"/>
                          <w:color w:val="808080" w:themeColor="background1" w:themeShade="80"/>
                          <w:sz w:val="16"/>
                          <w:szCs w:val="16"/>
                        </w:rPr>
                        <w:t>E-Mail: presse@germanpropertypartners.de</w:t>
                      </w:r>
                    </w:p>
                  </w:txbxContent>
                </v:textbox>
              </v:shape>
            </w:pict>
          </mc:Fallback>
        </mc:AlternateContent>
      </w:r>
      <w:r>
        <w:rPr>
          <w:noProof/>
          <w:color w:val="000000" w:themeColor="text1"/>
          <w:lang w:val="de-DE" w:eastAsia="de-DE"/>
        </w:rPr>
        <mc:AlternateContent>
          <mc:Choice Requires="wps">
            <w:drawing>
              <wp:anchor distT="0" distB="0" distL="114300" distR="114300" simplePos="0" relativeHeight="251658241" behindDoc="0" locked="0" layoutInCell="1" allowOverlap="1" wp14:anchorId="205F5D46" wp14:editId="058A0945">
                <wp:simplePos x="0" y="0"/>
                <wp:positionH relativeFrom="column">
                  <wp:posOffset>3737610</wp:posOffset>
                </wp:positionH>
                <wp:positionV relativeFrom="paragraph">
                  <wp:posOffset>-1261745</wp:posOffset>
                </wp:positionV>
                <wp:extent cx="2296795" cy="30670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306705"/>
                        </a:xfrm>
                        <a:prstGeom prst="rect">
                          <a:avLst/>
                        </a:prstGeom>
                        <a:noFill/>
                        <a:ln w="9525">
                          <a:noFill/>
                          <a:miter lim="800000"/>
                          <a:headEnd/>
                          <a:tailEnd/>
                        </a:ln>
                      </wps:spPr>
                      <wps:txbx>
                        <w:txbxContent>
                          <w:p w14:paraId="6068F86B" w14:textId="77777777" w:rsidR="00422A01" w:rsidRPr="000B1E51" w:rsidRDefault="00422A01" w:rsidP="000B1E51">
                            <w:pPr>
                              <w:rPr>
                                <w:rFonts w:ascii="Arial" w:hAnsi="Arial" w:cs="Arial"/>
                                <w:color w:val="808080" w:themeColor="background1" w:themeShade="80"/>
                                <w:sz w:val="30"/>
                                <w:szCs w:val="30"/>
                              </w:rPr>
                            </w:pPr>
                            <w:r>
                              <w:rPr>
                                <w:rFonts w:ascii="Arial" w:hAnsi="Arial"/>
                                <w:color w:val="808080" w:themeColor="background1" w:themeShade="80"/>
                                <w:sz w:val="30"/>
                                <w:szCs w:val="30"/>
                              </w:rP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F5D46" id="_x0000_s1027" type="#_x0000_t202" style="position:absolute;margin-left:294.3pt;margin-top:-99.35pt;width:180.85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diDgIAAPoDAAAOAAAAZHJzL2Uyb0RvYy54bWysU9tu2zAMfR+wfxD0vtjxcmmMOEXXrsOA&#10;7gK0+wBFkmNhkqhJSuzs60fJSRZsb8P8IIgmechzSK1vB6PJQfqgwDZ0OikpkZaDUHbX0G8vj29u&#10;KAmRWcE0WNnQowz0dvP61bp3taygAy2kJwhiQ927hnYxurooAu+kYWECTlp0tuANi2j6XSE86xHd&#10;6KIqy0XRgxfOA5ch4N+H0Uk3Gb9tJY9f2jbISHRDsbeYT5/PbTqLzZrVO89cp/ipDfYPXRimLBa9&#10;QD2wyMjeq7+gjOIeArRxwsEU0LaKy8wB2UzLP9g8d8zJzAXFCe4iU/h/sPzz4asnSuDsKkosMzij&#10;FznEVmpBqiRP70KNUc8O4+LwDgYMzVSDewL+PRAL9x2zO3nnPfSdZALbm6bM4ip1xAkJZNt/AoFl&#10;2D5CBhpab5J2qAZBdBzT8TIabIVw/FlVq8VyNaeEo+9tuViW81yC1eds50P8IMGQdGmox9FndHZ4&#10;CjF1w+pzSCpm4VFpncevLekbuppX85xw5TEq4nZqZRp6U6Zv3JdE8r0VOTkypcc7FtD2xDoRHSnH&#10;YTuM+p7F3II4ogwexmXEx4OXDvxPSnpcxIaGH3vmJSX6o0UpV9PZLG1uNmbzZYWGv/Zsrz3McoRq&#10;aKRkvN7HvO0j5TuUvFVZjTSbsZNTy7hgWaTTY0gbfG3nqN9PdvMLAAD//wMAUEsDBBQABgAIAAAA&#10;IQBimfsu4AAAAA0BAAAPAAAAZHJzL2Rvd25yZXYueG1sTI/BTsMwDIbvSLxDZCRumzNYR1uaTgjE&#10;FbTBJnHLGq+taJyqydby9mQnONr+9Pv7i/VkO3GmwbeOFSzmEgRx5UzLtYLPj9dZCsIHzUZ3jknB&#10;D3lYl9dXhc6NG3lD522oRQxhn2sFTQh9juirhqz2c9cTx9vRDVaHOA41mkGPMdx2eCflCq1uOX5o&#10;dE/PDVXf25NVsHs7fu2X8r1+sUk/ukki2wyVur2Znh5BBJrCHwwX/agOZXQ6uBMbLzoFSZquIqpg&#10;tsjSBxARyRJ5D+JwWSVyCVgW+L9F+QsAAP//AwBQSwECLQAUAAYACAAAACEAtoM4kv4AAADhAQAA&#10;EwAAAAAAAAAAAAAAAAAAAAAAW0NvbnRlbnRfVHlwZXNdLnhtbFBLAQItABQABgAIAAAAIQA4/SH/&#10;1gAAAJQBAAALAAAAAAAAAAAAAAAAAC8BAABfcmVscy8ucmVsc1BLAQItABQABgAIAAAAIQDJRCdi&#10;DgIAAPoDAAAOAAAAAAAAAAAAAAAAAC4CAABkcnMvZTJvRG9jLnhtbFBLAQItABQABgAIAAAAIQBi&#10;mfsu4AAAAA0BAAAPAAAAAAAAAAAAAAAAAGgEAABkcnMvZG93bnJldi54bWxQSwUGAAAAAAQABADz&#10;AAAAdQUAAAAA&#10;" filled="f" stroked="f">
                <v:textbox>
                  <w:txbxContent>
                    <w:p w14:paraId="6068F86B" w14:textId="77777777" w:rsidR="00422A01" w:rsidRPr="000B1E51" w:rsidRDefault="00422A01" w:rsidP="000B1E51">
                      <w:pPr>
                        <w:rPr>
                          <w:rFonts w:ascii="Arial" w:hAnsi="Arial" w:cs="Arial"/>
                          <w:color w:val="808080" w:themeColor="background1" w:themeShade="80"/>
                          <w:sz w:val="30"/>
                          <w:szCs w:val="30"/>
                        </w:rPr>
                      </w:pPr>
                      <w:r>
                        <w:rPr>
                          <w:rFonts w:ascii="Arial" w:hAnsi="Arial"/>
                          <w:color w:val="808080" w:themeColor="background1" w:themeShade="80"/>
                          <w:sz w:val="30"/>
                          <w:szCs w:val="30"/>
                        </w:rPr>
                        <w:t>PRESS RELEASE</w:t>
                      </w:r>
                    </w:p>
                  </w:txbxContent>
                </v:textbox>
              </v:shape>
            </w:pict>
          </mc:Fallback>
        </mc:AlternateContent>
      </w:r>
      <w:bookmarkStart w:id="0" w:name="_Hlk526105421"/>
      <w:r>
        <w:rPr>
          <w:rFonts w:ascii="Arial" w:hAnsi="Arial"/>
          <w:color w:val="000000" w:themeColor="text1"/>
          <w:sz w:val="40"/>
          <w:szCs w:val="40"/>
        </w:rPr>
        <w:t xml:space="preserve">TOP </w:t>
      </w:r>
      <w:proofErr w:type="gramStart"/>
      <w:r>
        <w:rPr>
          <w:rFonts w:ascii="Arial" w:hAnsi="Arial"/>
          <w:color w:val="000000" w:themeColor="text1"/>
          <w:sz w:val="40"/>
          <w:szCs w:val="40"/>
        </w:rPr>
        <w:t>7</w:t>
      </w:r>
      <w:proofErr w:type="gramEnd"/>
      <w:r>
        <w:rPr>
          <w:rFonts w:ascii="Arial" w:hAnsi="Arial"/>
          <w:color w:val="000000" w:themeColor="text1"/>
          <w:sz w:val="40"/>
          <w:szCs w:val="40"/>
        </w:rPr>
        <w:t xml:space="preserve"> OFFICE MARKETS Q3/20</w:t>
      </w:r>
      <w:bookmarkEnd w:id="0"/>
      <w:r>
        <w:rPr>
          <w:rFonts w:ascii="Arial" w:hAnsi="Arial"/>
          <w:color w:val="000000" w:themeColor="text1"/>
          <w:sz w:val="40"/>
          <w:szCs w:val="40"/>
        </w:rPr>
        <w:t>20</w:t>
      </w:r>
    </w:p>
    <w:p w14:paraId="3B735A9E" w14:textId="4150115C" w:rsidR="00073A8E" w:rsidRPr="004D02F0" w:rsidRDefault="00270DA3" w:rsidP="00462FC6">
      <w:pPr>
        <w:widowControl w:val="0"/>
        <w:spacing w:after="120"/>
        <w:rPr>
          <w:rFonts w:ascii="Arial" w:hAnsi="Arial" w:cs="Arial"/>
          <w:b/>
          <w:caps/>
          <w:color w:val="000000" w:themeColor="text1"/>
          <w:sz w:val="40"/>
          <w:szCs w:val="40"/>
        </w:rPr>
      </w:pPr>
      <w:r>
        <w:rPr>
          <w:rFonts w:ascii="Arial" w:hAnsi="Arial"/>
          <w:b/>
          <w:caps/>
          <w:color w:val="000000" w:themeColor="text1"/>
          <w:sz w:val="40"/>
          <w:szCs w:val="40"/>
        </w:rPr>
        <w:t xml:space="preserve">OFFICE </w:t>
      </w:r>
      <w:proofErr w:type="gramStart"/>
      <w:r>
        <w:rPr>
          <w:rFonts w:ascii="Arial" w:hAnsi="Arial"/>
          <w:b/>
          <w:caps/>
          <w:color w:val="000000" w:themeColor="text1"/>
          <w:sz w:val="40"/>
          <w:szCs w:val="40"/>
        </w:rPr>
        <w:t>LETS</w:t>
      </w:r>
      <w:proofErr w:type="gramEnd"/>
      <w:r>
        <w:rPr>
          <w:rFonts w:ascii="Arial" w:hAnsi="Arial"/>
          <w:b/>
          <w:caps/>
          <w:color w:val="000000" w:themeColor="text1"/>
          <w:sz w:val="40"/>
          <w:szCs w:val="40"/>
        </w:rPr>
        <w:t xml:space="preserve"> STILL SUFFERING FROM AFTERMATH OF LOCKDOWN</w:t>
      </w:r>
    </w:p>
    <w:p w14:paraId="28BEC29F" w14:textId="05A770CF" w:rsidR="007D3839" w:rsidRDefault="00B5621B" w:rsidP="004C416A">
      <w:pPr>
        <w:widowControl w:val="0"/>
        <w:spacing w:after="120"/>
        <w:jc w:val="center"/>
        <w:rPr>
          <w:rFonts w:ascii="Arial" w:hAnsi="Arial" w:cs="Arial"/>
          <w:b/>
          <w:noProof/>
          <w:sz w:val="20"/>
          <w:szCs w:val="20"/>
        </w:rPr>
      </w:pPr>
      <w:r>
        <w:rPr>
          <w:noProof/>
          <w:color w:val="000000" w:themeColor="text1"/>
          <w:lang w:val="de-DE" w:eastAsia="de-DE"/>
        </w:rPr>
        <mc:AlternateContent>
          <mc:Choice Requires="wps">
            <w:drawing>
              <wp:anchor distT="0" distB="0" distL="114300" distR="114300" simplePos="0" relativeHeight="251658240" behindDoc="0" locked="0" layoutInCell="1" allowOverlap="1" wp14:anchorId="1B925072" wp14:editId="73251535">
                <wp:simplePos x="0" y="0"/>
                <wp:positionH relativeFrom="column">
                  <wp:posOffset>-966</wp:posOffset>
                </wp:positionH>
                <wp:positionV relativeFrom="paragraph">
                  <wp:posOffset>60325</wp:posOffset>
                </wp:positionV>
                <wp:extent cx="5772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D80A5A" id="Gerade Verbindung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75pt" to="4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Q39gEAAEcEAAAOAAAAZHJzL2Uyb0RvYy54bWysU01vGyEQvVfqf0Dc6127ctysvM4hUXLp&#10;h9WP3DEMNhJfAuy1/30HsNdJe0rVC7sM8+bNewzLu6PR5AAhKmd7Op20lIDlTii77emvn48fPlES&#10;E7OCaWehpyeI9G71/t1y8B3M3M5pAYFgERu7wfd0l5LvmibyHRgWJ86DxUPpgmEJt2HbiMAGrG50&#10;M2vbm2ZwQfjgOMSI0Yd6SFelvpTA0zcpIySie4q9pbKGsm7y2qyWrNsG5neKn9tg/9CFYcoi6Vjq&#10;gSVG9kH9VcooHlx0Mk24M42TUnEoGlDNtP1DzY8d81C0oDnRjzbF/1eWfz2sA1Gip7eUWGbwip4g&#10;MAHkGcJGWbG3W3KbbRp87DD73q7DeRf9OmTNRxlM/qIacizWnkZr4ZgIx+B8sZhN53gD/HLWXIE+&#10;xPQEzpD801OtbFbNOnb4HBOSYeolJYe1JQPO2mzRtiUtOq3Eo9I6H5bJgXsdyIHhnafjtOTovfni&#10;RI3dzFtElpvHMM5HDX+8hJFurFLIXxDgmbYYzG5U/eUvnTTU1r6DRDtRceUdC1UOxjnYNM3kpRJm&#10;Z5jE5kfgWVR+AVcdr4Hn/AyFMuRvAY+IwuxsGsFGWReqpa/Zs4u1ZVnzLw5U3dmCjROnMhnFGpzW&#10;ovD8svJzeLkv8Ov7X/0GAAD//wMAUEsDBBQABgAIAAAAIQBBq6R82gAAAAUBAAAPAAAAZHJzL2Rv&#10;d25yZXYueG1sTI/BTsMwEETvSPyDtUjcWodKoDSNU1URcKEXAhIc3XgbR7XXIXbb9O9ZuMBxNKOZ&#10;N+V68k6ccIx9IAV38wwEUhtMT52C97enWQ4iJk1Gu0Co4IIR1tX1VakLE870iqcmdYJLKBZagU1p&#10;KKSMrUWv4zwMSOztw+h1Yjl20oz6zOXeyUWWPUive+IFqwesLbaH5ugV+C09bp8P9cZ9fkxfL3l9&#10;sXlqlLq9mTYrEAmn9BeGH3xGh4qZduFIJgqnYLbgoILlPQh2l1nOR3a/Wlal/E9ffQMAAP//AwBQ&#10;SwECLQAUAAYACAAAACEAtoM4kv4AAADhAQAAEwAAAAAAAAAAAAAAAAAAAAAAW0NvbnRlbnRfVHlw&#10;ZXNdLnhtbFBLAQItABQABgAIAAAAIQA4/SH/1gAAAJQBAAALAAAAAAAAAAAAAAAAAC8BAABfcmVs&#10;cy8ucmVsc1BLAQItABQABgAIAAAAIQCmecQ39gEAAEcEAAAOAAAAAAAAAAAAAAAAAC4CAABkcnMv&#10;ZTJvRG9jLnhtbFBLAQItABQABgAIAAAAIQBBq6R82gAAAAUBAAAPAAAAAAAAAAAAAAAAAFAEAABk&#10;cnMvZG93bnJldi54bWxQSwUGAAAAAAQABADzAAAAVwUAAAAA&#10;" strokecolor="#5a5a5a [2109]" strokeweight="1pt"/>
            </w:pict>
          </mc:Fallback>
        </mc:AlternateContent>
      </w:r>
      <w:bookmarkStart w:id="1" w:name="_Hlk486831603"/>
      <w:bookmarkStart w:id="2" w:name="_Hlk526105468"/>
      <w:r>
        <w:rPr>
          <w:rFonts w:ascii="Arial" w:hAnsi="Arial"/>
          <w:b/>
          <w:sz w:val="20"/>
          <w:szCs w:val="20"/>
        </w:rPr>
        <w:br/>
      </w:r>
      <w:r w:rsidR="00433AB9">
        <w:rPr>
          <w:noProof/>
          <w:lang w:val="de-DE" w:eastAsia="de-DE"/>
        </w:rPr>
        <w:drawing>
          <wp:inline distT="0" distB="0" distL="0" distR="0" wp14:anchorId="039F6934" wp14:editId="0B1C4286">
            <wp:extent cx="5760720" cy="33604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360420"/>
                    </a:xfrm>
                    <a:prstGeom prst="rect">
                      <a:avLst/>
                    </a:prstGeom>
                  </pic:spPr>
                </pic:pic>
              </a:graphicData>
            </a:graphic>
          </wp:inline>
        </w:drawing>
      </w:r>
      <w:bookmarkStart w:id="3" w:name="_GoBack"/>
      <w:bookmarkEnd w:id="3"/>
    </w:p>
    <w:p w14:paraId="01ECFAA3" w14:textId="39E088EE" w:rsidR="004E304A" w:rsidRDefault="00F34E5B" w:rsidP="000855B9">
      <w:pPr>
        <w:widowControl w:val="0"/>
        <w:spacing w:after="120"/>
        <w:rPr>
          <w:rFonts w:ascii="Arial" w:hAnsi="Arial" w:cs="Arial"/>
          <w:bCs/>
          <w:color w:val="000000" w:themeColor="text1"/>
          <w:sz w:val="20"/>
          <w:szCs w:val="20"/>
        </w:rPr>
      </w:pPr>
      <w:r>
        <w:rPr>
          <w:rFonts w:ascii="Arial" w:hAnsi="Arial"/>
          <w:b/>
          <w:sz w:val="20"/>
          <w:szCs w:val="20"/>
        </w:rPr>
        <w:t xml:space="preserve">1st October 2020, </w:t>
      </w:r>
      <w:bookmarkStart w:id="4" w:name="_Hlk486831588"/>
      <w:r>
        <w:rPr>
          <w:rFonts w:ascii="Arial" w:hAnsi="Arial"/>
          <w:b/>
          <w:sz w:val="20"/>
          <w:szCs w:val="20"/>
        </w:rPr>
        <w:t>Hamburg.</w:t>
      </w:r>
      <w:r>
        <w:rPr>
          <w:rFonts w:ascii="Arial" w:hAnsi="Arial"/>
          <w:bCs/>
          <w:sz w:val="20"/>
          <w:szCs w:val="20"/>
        </w:rPr>
        <w:t xml:space="preserve"> The office-letting market is still in the grips of the coronavirus pandemic. Year on year, take-up of office space in Germany’s top 7 pr</w:t>
      </w:r>
      <w:r w:rsidR="00DC54B9">
        <w:rPr>
          <w:rFonts w:ascii="Arial" w:hAnsi="Arial"/>
          <w:bCs/>
          <w:sz w:val="20"/>
          <w:szCs w:val="20"/>
        </w:rPr>
        <w:t xml:space="preserve">operty markets in both the 1st </w:t>
      </w:r>
      <w:r>
        <w:rPr>
          <w:rFonts w:ascii="Arial" w:hAnsi="Arial"/>
          <w:bCs/>
          <w:sz w:val="20"/>
          <w:szCs w:val="20"/>
        </w:rPr>
        <w:t xml:space="preserve">(-25 %) and the </w:t>
      </w:r>
      <w:proofErr w:type="gramStart"/>
      <w:r>
        <w:rPr>
          <w:rFonts w:ascii="Arial" w:hAnsi="Arial"/>
          <w:bCs/>
          <w:sz w:val="20"/>
          <w:szCs w:val="20"/>
        </w:rPr>
        <w:t>2nd</w:t>
      </w:r>
      <w:proofErr w:type="gramEnd"/>
      <w:r>
        <w:rPr>
          <w:rFonts w:ascii="Arial" w:hAnsi="Arial"/>
          <w:bCs/>
          <w:sz w:val="20"/>
          <w:szCs w:val="20"/>
        </w:rPr>
        <w:t xml:space="preserve"> quarters (-35 %) was already appreciably lower</w:t>
      </w:r>
      <w:r w:rsidR="00356CA0">
        <w:rPr>
          <w:rFonts w:ascii="Arial" w:hAnsi="Arial"/>
          <w:bCs/>
          <w:sz w:val="20"/>
          <w:szCs w:val="20"/>
        </w:rPr>
        <w:t>,</w:t>
      </w:r>
      <w:r>
        <w:rPr>
          <w:rFonts w:ascii="Arial" w:hAnsi="Arial"/>
          <w:bCs/>
          <w:sz w:val="20"/>
          <w:szCs w:val="20"/>
        </w:rPr>
        <w:t xml:space="preserve"> and by the end of the 3rd quarter of 2020 it was down by 41 %. Take-up in Hamburg, Berlin, Düsseldorf, Cologne, Frankfurt, Stuttgart and Munich totalled 1.73m square metres. This </w:t>
      </w:r>
      <w:proofErr w:type="gramStart"/>
      <w:r>
        <w:rPr>
          <w:rFonts w:ascii="Arial" w:hAnsi="Arial"/>
          <w:bCs/>
          <w:sz w:val="20"/>
          <w:szCs w:val="20"/>
        </w:rPr>
        <w:t>is based</w:t>
      </w:r>
      <w:proofErr w:type="gramEnd"/>
      <w:r>
        <w:rPr>
          <w:rFonts w:ascii="Arial" w:hAnsi="Arial"/>
          <w:bCs/>
          <w:sz w:val="20"/>
          <w:szCs w:val="20"/>
        </w:rPr>
        <w:t xml:space="preserve"> on the latest figures compiled by </w:t>
      </w:r>
      <w:r>
        <w:rPr>
          <w:rFonts w:ascii="Arial" w:hAnsi="Arial"/>
          <w:sz w:val="20"/>
          <w:szCs w:val="20"/>
        </w:rPr>
        <w:t>German Property Partners (GPP)</w:t>
      </w:r>
      <w:r>
        <w:rPr>
          <w:rFonts w:ascii="Arial" w:hAnsi="Arial"/>
          <w:bCs/>
          <w:sz w:val="20"/>
          <w:szCs w:val="20"/>
        </w:rPr>
        <w:t>.</w:t>
      </w:r>
      <w:r>
        <w:rPr>
          <w:rFonts w:ascii="Arial" w:hAnsi="Arial"/>
          <w:bCs/>
          <w:color w:val="000000" w:themeColor="text1"/>
          <w:sz w:val="20"/>
          <w:szCs w:val="20"/>
        </w:rPr>
        <w:t xml:space="preserve"> </w:t>
      </w:r>
    </w:p>
    <w:p w14:paraId="44B95318" w14:textId="59267CB4" w:rsidR="00C87011" w:rsidRDefault="00C87011" w:rsidP="00C87011">
      <w:pPr>
        <w:widowControl w:val="0"/>
        <w:spacing w:after="0" w:line="240" w:lineRule="auto"/>
        <w:rPr>
          <w:rFonts w:ascii="Arial" w:hAnsi="Arial" w:cs="Arial"/>
          <w:bCs/>
          <w:color w:val="000000" w:themeColor="text1"/>
          <w:sz w:val="20"/>
          <w:szCs w:val="20"/>
        </w:rPr>
      </w:pPr>
    </w:p>
    <w:p w14:paraId="035D3C6D" w14:textId="3B890FE2" w:rsidR="004C1EFC" w:rsidRPr="00487ECE" w:rsidRDefault="005B6EC5" w:rsidP="00C87011">
      <w:pPr>
        <w:widowControl w:val="0"/>
        <w:spacing w:after="0" w:line="240" w:lineRule="auto"/>
        <w:jc w:val="center"/>
        <w:rPr>
          <w:rFonts w:ascii="Arial" w:hAnsi="Arial" w:cs="Arial"/>
          <w:b/>
          <w:bCs/>
          <w:caps/>
          <w:sz w:val="20"/>
          <w:szCs w:val="20"/>
        </w:rPr>
      </w:pPr>
      <w:r>
        <w:rPr>
          <w:rFonts w:ascii="Arial" w:hAnsi="Arial"/>
          <w:b/>
          <w:bCs/>
          <w:caps/>
          <w:sz w:val="20"/>
          <w:szCs w:val="20"/>
        </w:rPr>
        <w:t>Revived activity is not yet leading to rental agreements</w:t>
      </w:r>
    </w:p>
    <w:p w14:paraId="465237C3" w14:textId="77777777" w:rsidR="00A035D3" w:rsidRDefault="00A035D3" w:rsidP="00487ECE">
      <w:pPr>
        <w:widowControl w:val="0"/>
        <w:spacing w:after="0"/>
        <w:rPr>
          <w:rFonts w:ascii="Arial" w:hAnsi="Arial" w:cs="Arial"/>
          <w:sz w:val="20"/>
          <w:szCs w:val="20"/>
        </w:rPr>
      </w:pPr>
    </w:p>
    <w:p w14:paraId="7D7D1515" w14:textId="75F1D538" w:rsidR="00A043D5" w:rsidRDefault="00166385" w:rsidP="00487ECE">
      <w:pPr>
        <w:widowControl w:val="0"/>
        <w:spacing w:after="0"/>
        <w:rPr>
          <w:rFonts w:ascii="Arial" w:hAnsi="Arial" w:cs="Arial"/>
          <w:sz w:val="20"/>
          <w:szCs w:val="20"/>
        </w:rPr>
      </w:pPr>
      <w:r>
        <w:rPr>
          <w:rFonts w:ascii="Arial" w:hAnsi="Arial"/>
          <w:sz w:val="20"/>
          <w:szCs w:val="20"/>
        </w:rPr>
        <w:t xml:space="preserve">Slowly, the market started to revive in the 3rd quarter, although greater activity has not yet translated into greater take-up. In many </w:t>
      </w:r>
      <w:proofErr w:type="gramStart"/>
      <w:r>
        <w:rPr>
          <w:rFonts w:ascii="Arial" w:hAnsi="Arial"/>
          <w:sz w:val="20"/>
          <w:szCs w:val="20"/>
        </w:rPr>
        <w:t>cases</w:t>
      </w:r>
      <w:proofErr w:type="gramEnd"/>
      <w:r>
        <w:rPr>
          <w:rFonts w:ascii="Arial" w:hAnsi="Arial"/>
          <w:sz w:val="20"/>
          <w:szCs w:val="20"/>
        </w:rPr>
        <w:t xml:space="preserve"> the rental process is subject to delays. All seven cities posted a considerable decline in take-up of space. </w:t>
      </w:r>
      <w:r>
        <w:rPr>
          <w:rFonts w:ascii="Arial" w:hAnsi="Arial"/>
          <w:b/>
          <w:bCs/>
          <w:sz w:val="20"/>
          <w:szCs w:val="20"/>
        </w:rPr>
        <w:t xml:space="preserve">Oliver </w:t>
      </w:r>
      <w:proofErr w:type="spellStart"/>
      <w:r>
        <w:rPr>
          <w:rFonts w:ascii="Arial" w:hAnsi="Arial"/>
          <w:b/>
          <w:bCs/>
          <w:sz w:val="20"/>
          <w:szCs w:val="20"/>
        </w:rPr>
        <w:t>Schön</w:t>
      </w:r>
      <w:proofErr w:type="spellEnd"/>
      <w:r>
        <w:rPr>
          <w:rFonts w:ascii="Arial" w:hAnsi="Arial"/>
          <w:b/>
          <w:bCs/>
          <w:sz w:val="20"/>
          <w:szCs w:val="20"/>
        </w:rPr>
        <w:t xml:space="preserve">, </w:t>
      </w:r>
      <w:proofErr w:type="gramStart"/>
      <w:r>
        <w:rPr>
          <w:rFonts w:ascii="Arial" w:hAnsi="Arial"/>
          <w:b/>
          <w:bCs/>
          <w:sz w:val="20"/>
          <w:szCs w:val="20"/>
        </w:rPr>
        <w:t>spokesman</w:t>
      </w:r>
      <w:proofErr w:type="gramEnd"/>
      <w:r>
        <w:rPr>
          <w:rFonts w:ascii="Arial" w:hAnsi="Arial"/>
          <w:b/>
          <w:bCs/>
          <w:sz w:val="20"/>
          <w:szCs w:val="20"/>
        </w:rPr>
        <w:t xml:space="preserve"> for German Property Partners (GPP)</w:t>
      </w:r>
      <w:r w:rsidR="00356CA0">
        <w:rPr>
          <w:rFonts w:ascii="Arial" w:hAnsi="Arial"/>
          <w:b/>
          <w:bCs/>
          <w:sz w:val="20"/>
          <w:szCs w:val="20"/>
        </w:rPr>
        <w:t xml:space="preserve"> </w:t>
      </w:r>
      <w:r>
        <w:rPr>
          <w:rFonts w:ascii="Arial" w:hAnsi="Arial"/>
          <w:sz w:val="20"/>
          <w:szCs w:val="20"/>
        </w:rPr>
        <w:t xml:space="preserve">says, </w:t>
      </w:r>
      <w:r>
        <w:rPr>
          <w:rFonts w:ascii="Arial" w:hAnsi="Arial"/>
          <w:i/>
          <w:sz w:val="20"/>
          <w:szCs w:val="20"/>
        </w:rPr>
        <w:t>“At present, many firms are very worried about the future. Company bosses in the industrial and technical sectors are especially likely to postpone rental decisions or are thinking about reducing their office space.”</w:t>
      </w:r>
      <w:r>
        <w:rPr>
          <w:rFonts w:ascii="Arial" w:hAnsi="Arial"/>
          <w:sz w:val="20"/>
          <w:szCs w:val="20"/>
        </w:rPr>
        <w:t xml:space="preserve"> </w:t>
      </w:r>
    </w:p>
    <w:p w14:paraId="441E0ACC" w14:textId="48379694" w:rsidR="00487ECE" w:rsidRPr="00487ECE" w:rsidRDefault="00CE1476" w:rsidP="00487ECE">
      <w:pPr>
        <w:widowControl w:val="0"/>
        <w:spacing w:after="0"/>
        <w:jc w:val="center"/>
        <w:rPr>
          <w:rFonts w:ascii="Arial" w:hAnsi="Arial" w:cs="Arial"/>
          <w:b/>
          <w:bCs/>
          <w:caps/>
          <w:sz w:val="20"/>
          <w:szCs w:val="20"/>
        </w:rPr>
      </w:pPr>
      <w:r>
        <w:rPr>
          <w:rFonts w:ascii="Arial" w:hAnsi="Arial"/>
          <w:b/>
          <w:bCs/>
          <w:caps/>
          <w:sz w:val="20"/>
          <w:szCs w:val="20"/>
        </w:rPr>
        <w:lastRenderedPageBreak/>
        <w:t>LOW VACANCY RATES AND STAGNATING RENTS</w:t>
      </w:r>
    </w:p>
    <w:p w14:paraId="1FB7C3C1" w14:textId="77777777" w:rsidR="006B7430" w:rsidRDefault="006B7430" w:rsidP="00487ECE">
      <w:pPr>
        <w:widowControl w:val="0"/>
        <w:spacing w:after="0"/>
        <w:rPr>
          <w:rFonts w:ascii="Arial" w:hAnsi="Arial" w:cs="Arial"/>
          <w:sz w:val="20"/>
          <w:szCs w:val="20"/>
        </w:rPr>
      </w:pPr>
    </w:p>
    <w:p w14:paraId="527FCC9D" w14:textId="3EF82F15" w:rsidR="007C5B23" w:rsidRDefault="007C5B23" w:rsidP="0071679E">
      <w:pPr>
        <w:widowControl w:val="0"/>
        <w:spacing w:after="0"/>
        <w:rPr>
          <w:rFonts w:ascii="Arial" w:hAnsi="Arial" w:cs="Arial"/>
          <w:sz w:val="20"/>
          <w:szCs w:val="20"/>
        </w:rPr>
      </w:pPr>
      <w:r>
        <w:rPr>
          <w:rFonts w:ascii="Arial" w:hAnsi="Arial"/>
          <w:sz w:val="20"/>
          <w:szCs w:val="20"/>
        </w:rPr>
        <w:t xml:space="preserve">To date, the pandemic has not made much difference to the amount of space standing empty. The vacancy rate in the top </w:t>
      </w:r>
      <w:proofErr w:type="gramStart"/>
      <w:r>
        <w:rPr>
          <w:rFonts w:ascii="Arial" w:hAnsi="Arial"/>
          <w:sz w:val="20"/>
          <w:szCs w:val="20"/>
        </w:rPr>
        <w:t>7</w:t>
      </w:r>
      <w:proofErr w:type="gramEnd"/>
      <w:r>
        <w:rPr>
          <w:rFonts w:ascii="Arial" w:hAnsi="Arial"/>
          <w:sz w:val="20"/>
          <w:szCs w:val="20"/>
        </w:rPr>
        <w:t xml:space="preserve"> markets was 3.2 %, slightly higher than the prior year’s 3.0 %. Only Düsseldorf posted a declining rate, from 7.3 to 6.8 %. </w:t>
      </w:r>
      <w:r>
        <w:rPr>
          <w:rFonts w:ascii="Arial" w:hAnsi="Arial"/>
          <w:b/>
          <w:bCs/>
          <w:sz w:val="20"/>
          <w:szCs w:val="20"/>
        </w:rPr>
        <w:t xml:space="preserve">GPP </w:t>
      </w:r>
      <w:proofErr w:type="gramStart"/>
      <w:r>
        <w:rPr>
          <w:rFonts w:ascii="Arial" w:hAnsi="Arial"/>
          <w:b/>
          <w:bCs/>
          <w:sz w:val="20"/>
          <w:szCs w:val="20"/>
        </w:rPr>
        <w:t>spokesman</w:t>
      </w:r>
      <w:proofErr w:type="gramEnd"/>
      <w:r>
        <w:rPr>
          <w:rFonts w:ascii="Arial" w:hAnsi="Arial"/>
          <w:b/>
          <w:bCs/>
          <w:sz w:val="20"/>
          <w:szCs w:val="20"/>
        </w:rPr>
        <w:t xml:space="preserve"> Oliver </w:t>
      </w:r>
      <w:proofErr w:type="spellStart"/>
      <w:r>
        <w:rPr>
          <w:rFonts w:ascii="Arial" w:hAnsi="Arial"/>
          <w:b/>
          <w:bCs/>
          <w:sz w:val="20"/>
          <w:szCs w:val="20"/>
        </w:rPr>
        <w:t>Schön</w:t>
      </w:r>
      <w:proofErr w:type="spellEnd"/>
      <w:r>
        <w:rPr>
          <w:rFonts w:ascii="Arial" w:hAnsi="Arial"/>
          <w:bCs/>
          <w:sz w:val="20"/>
          <w:szCs w:val="20"/>
        </w:rPr>
        <w:t xml:space="preserve"> comments, </w:t>
      </w:r>
      <w:r>
        <w:rPr>
          <w:rFonts w:ascii="Arial" w:hAnsi="Arial"/>
          <w:i/>
          <w:sz w:val="20"/>
          <w:szCs w:val="20"/>
        </w:rPr>
        <w:t xml:space="preserve">“It remains to be seen whether vacancies will rise in the coming months. In many </w:t>
      </w:r>
      <w:proofErr w:type="gramStart"/>
      <w:r>
        <w:rPr>
          <w:rFonts w:ascii="Arial" w:hAnsi="Arial"/>
          <w:i/>
          <w:sz w:val="20"/>
          <w:szCs w:val="20"/>
        </w:rPr>
        <w:t>places</w:t>
      </w:r>
      <w:proofErr w:type="gramEnd"/>
      <w:r>
        <w:rPr>
          <w:rFonts w:ascii="Arial" w:hAnsi="Arial"/>
          <w:i/>
          <w:sz w:val="20"/>
          <w:szCs w:val="20"/>
        </w:rPr>
        <w:t xml:space="preserve"> it will depend on what effects, if any, the pandemic has on various sectors of the economy. Companies with many employees able to work from home, or those more badly hit by the pandemic, are now more inclined to consider reducing their office space. This will continue to be an issue in coming months. Having recently reached an all-time low, the vacancy rate will rise and thus offer more options to potential tenants.”</w:t>
      </w:r>
      <w:r>
        <w:rPr>
          <w:rFonts w:ascii="Arial" w:hAnsi="Arial"/>
          <w:sz w:val="20"/>
          <w:szCs w:val="20"/>
        </w:rPr>
        <w:t xml:space="preserve"> </w:t>
      </w:r>
    </w:p>
    <w:p w14:paraId="772CD341" w14:textId="77777777" w:rsidR="007C5B23" w:rsidRDefault="007C5B23" w:rsidP="0071679E">
      <w:pPr>
        <w:widowControl w:val="0"/>
        <w:spacing w:after="0"/>
        <w:rPr>
          <w:rFonts w:ascii="Arial" w:hAnsi="Arial" w:cs="Arial"/>
          <w:sz w:val="20"/>
          <w:szCs w:val="20"/>
        </w:rPr>
      </w:pPr>
    </w:p>
    <w:p w14:paraId="31277D0B" w14:textId="562D7C99" w:rsidR="000F1FCB" w:rsidRDefault="00ED6656" w:rsidP="00487ECE">
      <w:pPr>
        <w:widowControl w:val="0"/>
        <w:spacing w:after="0"/>
        <w:rPr>
          <w:rFonts w:ascii="Arial" w:hAnsi="Arial" w:cs="Arial"/>
          <w:sz w:val="20"/>
          <w:szCs w:val="20"/>
        </w:rPr>
      </w:pPr>
      <w:proofErr w:type="gramStart"/>
      <w:r>
        <w:rPr>
          <w:rFonts w:ascii="Arial" w:hAnsi="Arial"/>
          <w:sz w:val="20"/>
          <w:szCs w:val="20"/>
        </w:rPr>
        <w:t>As a result</w:t>
      </w:r>
      <w:proofErr w:type="gramEnd"/>
      <w:r>
        <w:rPr>
          <w:rFonts w:ascii="Arial" w:hAnsi="Arial"/>
          <w:sz w:val="20"/>
          <w:szCs w:val="20"/>
        </w:rPr>
        <w:t xml:space="preserve"> of several 1st-quarter agreements to rent large office suites in expensive properties or off-plan in new builds, office rents remain very high. With few exceptions, premium and average rents in the top </w:t>
      </w:r>
      <w:proofErr w:type="gramStart"/>
      <w:r>
        <w:rPr>
          <w:rFonts w:ascii="Arial" w:hAnsi="Arial"/>
          <w:sz w:val="20"/>
          <w:szCs w:val="20"/>
        </w:rPr>
        <w:t>7</w:t>
      </w:r>
      <w:proofErr w:type="gramEnd"/>
      <w:r>
        <w:rPr>
          <w:rFonts w:ascii="Arial" w:hAnsi="Arial"/>
          <w:sz w:val="20"/>
          <w:szCs w:val="20"/>
        </w:rPr>
        <w:t xml:space="preserve"> cities were in fact higher than in the same period of 2019. However, if the 3rd quarter of 2020 </w:t>
      </w:r>
      <w:proofErr w:type="gramStart"/>
      <w:r>
        <w:rPr>
          <w:rFonts w:ascii="Arial" w:hAnsi="Arial"/>
          <w:sz w:val="20"/>
          <w:szCs w:val="20"/>
        </w:rPr>
        <w:t>is compared</w:t>
      </w:r>
      <w:proofErr w:type="gramEnd"/>
      <w:r>
        <w:rPr>
          <w:rFonts w:ascii="Arial" w:hAnsi="Arial"/>
          <w:sz w:val="20"/>
          <w:szCs w:val="20"/>
        </w:rPr>
        <w:t xml:space="preserve"> with the first two quarters of the year, it is apparent that in all the cities premium and average rents are practically stagnant. </w:t>
      </w:r>
    </w:p>
    <w:p w14:paraId="54972A9C" w14:textId="77777777" w:rsidR="000F1FCB" w:rsidRDefault="000F1FCB" w:rsidP="00487ECE">
      <w:pPr>
        <w:widowControl w:val="0"/>
        <w:spacing w:after="0"/>
        <w:rPr>
          <w:rFonts w:ascii="Arial" w:hAnsi="Arial" w:cs="Arial"/>
          <w:sz w:val="20"/>
          <w:szCs w:val="20"/>
        </w:rPr>
      </w:pPr>
    </w:p>
    <w:p w14:paraId="5BB2BD37" w14:textId="6AF0FB7D" w:rsidR="00D6747B" w:rsidRPr="00487ECE" w:rsidRDefault="006B097F" w:rsidP="00487ECE">
      <w:pPr>
        <w:widowControl w:val="0"/>
        <w:spacing w:after="0"/>
        <w:jc w:val="center"/>
        <w:rPr>
          <w:rFonts w:ascii="Arial" w:hAnsi="Arial" w:cs="Arial"/>
          <w:b/>
          <w:bCs/>
          <w:caps/>
          <w:sz w:val="20"/>
          <w:szCs w:val="20"/>
        </w:rPr>
      </w:pPr>
      <w:r>
        <w:rPr>
          <w:rFonts w:ascii="Arial" w:hAnsi="Arial"/>
          <w:b/>
          <w:bCs/>
          <w:caps/>
          <w:sz w:val="20"/>
          <w:szCs w:val="20"/>
        </w:rPr>
        <w:t>Forecast: Sluggish demand with take-up at all-time low</w:t>
      </w:r>
    </w:p>
    <w:p w14:paraId="0B4A2806" w14:textId="77777777" w:rsidR="00D6747B" w:rsidRDefault="00D6747B" w:rsidP="00487ECE">
      <w:pPr>
        <w:widowControl w:val="0"/>
        <w:spacing w:after="0"/>
        <w:rPr>
          <w:rFonts w:ascii="Arial" w:eastAsiaTheme="minorEastAsia" w:hAnsi="Arial" w:cs="Arial"/>
          <w:sz w:val="20"/>
          <w:szCs w:val="20"/>
          <w:lang w:eastAsia="de-DE"/>
        </w:rPr>
      </w:pPr>
    </w:p>
    <w:bookmarkEnd w:id="1"/>
    <w:bookmarkEnd w:id="4"/>
    <w:p w14:paraId="32FF8DF1" w14:textId="0C12EAB2" w:rsidR="0071679E" w:rsidRDefault="00CE1476" w:rsidP="0071679E">
      <w:pPr>
        <w:widowControl w:val="0"/>
        <w:spacing w:after="0"/>
        <w:rPr>
          <w:rFonts w:ascii="Arial" w:hAnsi="Arial" w:cs="Arial"/>
          <w:sz w:val="20"/>
          <w:szCs w:val="20"/>
        </w:rPr>
      </w:pPr>
      <w:r>
        <w:rPr>
          <w:rFonts w:ascii="Arial" w:hAnsi="Arial"/>
          <w:sz w:val="20"/>
          <w:szCs w:val="20"/>
        </w:rPr>
        <w:t xml:space="preserve">For 2020 and </w:t>
      </w:r>
      <w:proofErr w:type="gramStart"/>
      <w:r>
        <w:rPr>
          <w:rFonts w:ascii="Arial" w:hAnsi="Arial"/>
          <w:sz w:val="20"/>
          <w:szCs w:val="20"/>
        </w:rPr>
        <w:t>2021</w:t>
      </w:r>
      <w:proofErr w:type="gramEnd"/>
      <w:r>
        <w:rPr>
          <w:rFonts w:ascii="Arial" w:hAnsi="Arial"/>
          <w:sz w:val="20"/>
          <w:szCs w:val="20"/>
        </w:rPr>
        <w:t xml:space="preserve"> GPP estimates that 250 developments will deliver 3.22m m²</w:t>
      </w:r>
      <w:r w:rsidR="00356CA0">
        <w:rPr>
          <w:rFonts w:ascii="Arial" w:hAnsi="Arial"/>
          <w:sz w:val="20"/>
          <w:szCs w:val="20"/>
        </w:rPr>
        <w:t xml:space="preserve"> of new office space</w:t>
      </w:r>
      <w:r>
        <w:rPr>
          <w:rFonts w:ascii="Arial" w:hAnsi="Arial"/>
          <w:sz w:val="20"/>
          <w:szCs w:val="20"/>
        </w:rPr>
        <w:t xml:space="preserve">. In view of how the coronavirus pandemic is affecting certain sectors of the economy, take-up of office space this year will be far below previous levels. </w:t>
      </w:r>
      <w:r>
        <w:rPr>
          <w:rFonts w:ascii="Arial" w:hAnsi="Arial"/>
          <w:b/>
          <w:bCs/>
          <w:sz w:val="20"/>
          <w:szCs w:val="20"/>
        </w:rPr>
        <w:t xml:space="preserve">Oliver </w:t>
      </w:r>
      <w:proofErr w:type="spellStart"/>
      <w:r>
        <w:rPr>
          <w:rFonts w:ascii="Arial" w:hAnsi="Arial"/>
          <w:b/>
          <w:bCs/>
          <w:sz w:val="20"/>
          <w:szCs w:val="20"/>
        </w:rPr>
        <w:t>Schön</w:t>
      </w:r>
      <w:proofErr w:type="spellEnd"/>
      <w:r>
        <w:rPr>
          <w:rFonts w:ascii="Arial" w:hAnsi="Arial"/>
          <w:sz w:val="20"/>
          <w:szCs w:val="20"/>
        </w:rPr>
        <w:t xml:space="preserve"> remarks, </w:t>
      </w:r>
      <w:r>
        <w:rPr>
          <w:rFonts w:ascii="Arial" w:hAnsi="Arial"/>
          <w:i/>
          <w:sz w:val="20"/>
          <w:szCs w:val="20"/>
        </w:rPr>
        <w:t>“We expect take-up of space in the top 7 cities to total some 2.5 million square metres by the end of the year. This is the second-lowest figure since the financial crisis of 2009. Demand for office space will continue to be slow during the next few months.”</w:t>
      </w:r>
      <w:r>
        <w:rPr>
          <w:rFonts w:ascii="Arial" w:hAnsi="Arial"/>
          <w:sz w:val="20"/>
          <w:szCs w:val="20"/>
        </w:rPr>
        <w:t xml:space="preserve"> </w:t>
      </w:r>
    </w:p>
    <w:p w14:paraId="35477533" w14:textId="77777777" w:rsidR="001823AA" w:rsidRPr="004D02F0" w:rsidRDefault="001823AA" w:rsidP="00487ECE">
      <w:pPr>
        <w:spacing w:after="0" w:line="240" w:lineRule="auto"/>
        <w:rPr>
          <w:rFonts w:ascii="Arial" w:hAnsi="Arial" w:cs="Arial"/>
          <w:b/>
          <w:sz w:val="20"/>
          <w:szCs w:val="20"/>
        </w:rPr>
      </w:pPr>
    </w:p>
    <w:p w14:paraId="2820E23F" w14:textId="0DCB7185" w:rsidR="003A0BD4" w:rsidRDefault="003A0BD4" w:rsidP="003A0BD4">
      <w:pPr>
        <w:spacing w:after="0" w:line="240" w:lineRule="auto"/>
        <w:jc w:val="both"/>
        <w:rPr>
          <w:rFonts w:ascii="Arial" w:hAnsi="Arial" w:cs="Arial"/>
          <w:sz w:val="20"/>
          <w:szCs w:val="20"/>
        </w:rPr>
      </w:pPr>
      <w:r>
        <w:rPr>
          <w:rFonts w:ascii="Arial" w:hAnsi="Arial"/>
          <w:b/>
          <w:sz w:val="20"/>
          <w:szCs w:val="20"/>
        </w:rPr>
        <w:t>Major known agreements for 10,000 m² or more | Top 7 locations | Q1-3 2020</w:t>
      </w:r>
    </w:p>
    <w:tbl>
      <w:tblPr>
        <w:tblStyle w:val="Tabellenraster"/>
        <w:tblW w:w="5000" w:type="pct"/>
        <w:tblLook w:val="04A0" w:firstRow="1" w:lastRow="0" w:firstColumn="1" w:lastColumn="0" w:noHBand="0" w:noVBand="1"/>
      </w:tblPr>
      <w:tblGrid>
        <w:gridCol w:w="823"/>
        <w:gridCol w:w="3623"/>
        <w:gridCol w:w="3483"/>
        <w:gridCol w:w="1133"/>
      </w:tblGrid>
      <w:tr w:rsidR="003A0BD4" w14:paraId="2227A3DF"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hideMark/>
          </w:tcPr>
          <w:p w14:paraId="10944316" w14:textId="77777777" w:rsidR="003A0BD4" w:rsidRDefault="003A0BD4">
            <w:pPr>
              <w:widowControl w:val="0"/>
              <w:jc w:val="center"/>
              <w:rPr>
                <w:rFonts w:ascii="Arial" w:hAnsi="Arial" w:cs="Arial"/>
                <w:b/>
                <w:sz w:val="16"/>
                <w:szCs w:val="16"/>
              </w:rPr>
            </w:pPr>
            <w:r>
              <w:rPr>
                <w:rFonts w:ascii="Arial" w:hAnsi="Arial"/>
                <w:b/>
                <w:sz w:val="16"/>
                <w:szCs w:val="16"/>
              </w:rPr>
              <w:t>City</w:t>
            </w:r>
          </w:p>
        </w:tc>
        <w:tc>
          <w:tcPr>
            <w:tcW w:w="1999" w:type="pct"/>
            <w:tcBorders>
              <w:top w:val="single" w:sz="4" w:space="0" w:color="auto"/>
              <w:left w:val="single" w:sz="4" w:space="0" w:color="auto"/>
              <w:bottom w:val="single" w:sz="4" w:space="0" w:color="auto"/>
              <w:right w:val="single" w:sz="4" w:space="0" w:color="auto"/>
            </w:tcBorders>
            <w:vAlign w:val="center"/>
            <w:hideMark/>
          </w:tcPr>
          <w:p w14:paraId="22DE5F50" w14:textId="77777777" w:rsidR="003A0BD4" w:rsidRDefault="003A0BD4">
            <w:pPr>
              <w:widowControl w:val="0"/>
              <w:jc w:val="center"/>
              <w:rPr>
                <w:rFonts w:ascii="Arial" w:hAnsi="Arial" w:cs="Arial"/>
                <w:b/>
                <w:sz w:val="16"/>
                <w:szCs w:val="16"/>
              </w:rPr>
            </w:pPr>
            <w:r>
              <w:rPr>
                <w:rFonts w:ascii="Arial" w:hAnsi="Arial"/>
                <w:b/>
                <w:sz w:val="16"/>
                <w:szCs w:val="16"/>
              </w:rPr>
              <w:t>Project/property</w:t>
            </w:r>
          </w:p>
        </w:tc>
        <w:tc>
          <w:tcPr>
            <w:tcW w:w="1922" w:type="pct"/>
            <w:tcBorders>
              <w:top w:val="single" w:sz="4" w:space="0" w:color="auto"/>
              <w:left w:val="single" w:sz="4" w:space="0" w:color="auto"/>
              <w:bottom w:val="single" w:sz="4" w:space="0" w:color="auto"/>
              <w:right w:val="single" w:sz="4" w:space="0" w:color="auto"/>
            </w:tcBorders>
            <w:vAlign w:val="center"/>
            <w:hideMark/>
          </w:tcPr>
          <w:p w14:paraId="47FB3C01" w14:textId="77777777" w:rsidR="003A0BD4" w:rsidRDefault="003A0BD4">
            <w:pPr>
              <w:widowControl w:val="0"/>
              <w:jc w:val="center"/>
              <w:rPr>
                <w:rFonts w:ascii="Arial" w:hAnsi="Arial" w:cs="Arial"/>
                <w:b/>
                <w:sz w:val="16"/>
                <w:szCs w:val="16"/>
              </w:rPr>
            </w:pPr>
            <w:r>
              <w:rPr>
                <w:rFonts w:ascii="Arial" w:hAnsi="Arial"/>
                <w:b/>
                <w:sz w:val="16"/>
                <w:szCs w:val="16"/>
              </w:rPr>
              <w:t>Tenant/owner-occupier</w:t>
            </w:r>
          </w:p>
        </w:tc>
        <w:tc>
          <w:tcPr>
            <w:tcW w:w="625" w:type="pct"/>
            <w:tcBorders>
              <w:top w:val="single" w:sz="4" w:space="0" w:color="auto"/>
              <w:left w:val="single" w:sz="4" w:space="0" w:color="auto"/>
              <w:bottom w:val="single" w:sz="4" w:space="0" w:color="auto"/>
              <w:right w:val="single" w:sz="4" w:space="0" w:color="auto"/>
            </w:tcBorders>
            <w:vAlign w:val="center"/>
            <w:hideMark/>
          </w:tcPr>
          <w:p w14:paraId="0C39D832" w14:textId="77777777" w:rsidR="003A0BD4" w:rsidRDefault="003A0BD4">
            <w:pPr>
              <w:widowControl w:val="0"/>
              <w:jc w:val="center"/>
              <w:rPr>
                <w:rFonts w:ascii="Arial" w:hAnsi="Arial" w:cs="Arial"/>
                <w:b/>
                <w:sz w:val="16"/>
                <w:szCs w:val="16"/>
              </w:rPr>
            </w:pPr>
            <w:r>
              <w:rPr>
                <w:rFonts w:ascii="Arial" w:hAnsi="Arial"/>
                <w:b/>
                <w:sz w:val="16"/>
                <w:szCs w:val="16"/>
              </w:rPr>
              <w:t xml:space="preserve">Rental area </w:t>
            </w:r>
            <w:r>
              <w:rPr>
                <w:rFonts w:ascii="Arial" w:hAnsi="Arial"/>
                <w:sz w:val="16"/>
                <w:szCs w:val="16"/>
              </w:rPr>
              <w:t>(ca. m²)</w:t>
            </w:r>
          </w:p>
        </w:tc>
      </w:tr>
      <w:tr w:rsidR="00A4078F" w14:paraId="6B113FF8"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tcPr>
          <w:p w14:paraId="2A077193" w14:textId="76D6F3EC" w:rsidR="00A4078F" w:rsidRPr="001D6864" w:rsidRDefault="00781941">
            <w:pPr>
              <w:widowControl w:val="0"/>
              <w:jc w:val="center"/>
              <w:rPr>
                <w:rFonts w:ascii="Arial" w:hAnsi="Arial" w:cs="Arial"/>
                <w:bCs/>
                <w:sz w:val="16"/>
                <w:szCs w:val="16"/>
              </w:rPr>
            </w:pPr>
            <w:r>
              <w:rPr>
                <w:rFonts w:ascii="Arial" w:hAnsi="Arial"/>
                <w:bCs/>
                <w:sz w:val="16"/>
                <w:szCs w:val="16"/>
              </w:rPr>
              <w:t>BER</w:t>
            </w:r>
          </w:p>
        </w:tc>
        <w:tc>
          <w:tcPr>
            <w:tcW w:w="1999" w:type="pct"/>
            <w:tcBorders>
              <w:top w:val="single" w:sz="4" w:space="0" w:color="auto"/>
              <w:left w:val="single" w:sz="4" w:space="0" w:color="auto"/>
              <w:bottom w:val="single" w:sz="4" w:space="0" w:color="auto"/>
              <w:right w:val="single" w:sz="4" w:space="0" w:color="auto"/>
            </w:tcBorders>
            <w:vAlign w:val="center"/>
          </w:tcPr>
          <w:p w14:paraId="7A9CE758" w14:textId="4B0F6BCE" w:rsidR="00A4078F" w:rsidRPr="001D6864" w:rsidRDefault="00A4078F">
            <w:pPr>
              <w:widowControl w:val="0"/>
              <w:jc w:val="center"/>
              <w:rPr>
                <w:rFonts w:ascii="Arial" w:hAnsi="Arial" w:cs="Arial"/>
                <w:bCs/>
                <w:sz w:val="16"/>
                <w:szCs w:val="16"/>
              </w:rPr>
            </w:pPr>
            <w:r>
              <w:rPr>
                <w:rFonts w:ascii="Arial" w:hAnsi="Arial"/>
                <w:bCs/>
                <w:sz w:val="16"/>
                <w:szCs w:val="16"/>
              </w:rPr>
              <w:t>“</w:t>
            </w:r>
            <w:proofErr w:type="spellStart"/>
            <w:r>
              <w:rPr>
                <w:rFonts w:ascii="Arial" w:hAnsi="Arial"/>
                <w:bCs/>
                <w:sz w:val="16"/>
                <w:szCs w:val="16"/>
              </w:rPr>
              <w:t>Cule</w:t>
            </w:r>
            <w:proofErr w:type="spellEnd"/>
            <w:r>
              <w:rPr>
                <w:rFonts w:ascii="Arial" w:hAnsi="Arial"/>
                <w:bCs/>
                <w:sz w:val="16"/>
                <w:szCs w:val="16"/>
              </w:rPr>
              <w:t xml:space="preserve">”, An den </w:t>
            </w:r>
            <w:proofErr w:type="spellStart"/>
            <w:r>
              <w:rPr>
                <w:rFonts w:ascii="Arial" w:hAnsi="Arial"/>
                <w:bCs/>
                <w:sz w:val="16"/>
                <w:szCs w:val="16"/>
              </w:rPr>
              <w:t>Treptowers</w:t>
            </w:r>
            <w:proofErr w:type="spellEnd"/>
            <w:r>
              <w:rPr>
                <w:rFonts w:ascii="Arial" w:hAnsi="Arial"/>
                <w:bCs/>
                <w:sz w:val="16"/>
                <w:szCs w:val="16"/>
              </w:rPr>
              <w:t xml:space="preserve"> 3</w:t>
            </w:r>
          </w:p>
        </w:tc>
        <w:tc>
          <w:tcPr>
            <w:tcW w:w="1922" w:type="pct"/>
            <w:tcBorders>
              <w:top w:val="single" w:sz="4" w:space="0" w:color="auto"/>
              <w:left w:val="single" w:sz="4" w:space="0" w:color="auto"/>
              <w:bottom w:val="single" w:sz="4" w:space="0" w:color="auto"/>
              <w:right w:val="single" w:sz="4" w:space="0" w:color="auto"/>
            </w:tcBorders>
            <w:vAlign w:val="center"/>
          </w:tcPr>
          <w:p w14:paraId="70641E17" w14:textId="6F1F7AC9" w:rsidR="00A4078F" w:rsidRPr="001D6864" w:rsidRDefault="00A4078F">
            <w:pPr>
              <w:widowControl w:val="0"/>
              <w:jc w:val="center"/>
              <w:rPr>
                <w:rFonts w:ascii="Arial" w:hAnsi="Arial" w:cs="Arial"/>
                <w:bCs/>
                <w:sz w:val="16"/>
                <w:szCs w:val="16"/>
              </w:rPr>
            </w:pPr>
            <w:r>
              <w:rPr>
                <w:rFonts w:ascii="Arial" w:hAnsi="Arial"/>
                <w:bCs/>
                <w:sz w:val="16"/>
                <w:szCs w:val="16"/>
              </w:rPr>
              <w:t xml:space="preserve">Deutsche </w:t>
            </w:r>
            <w:proofErr w:type="spellStart"/>
            <w:r>
              <w:rPr>
                <w:rFonts w:ascii="Arial" w:hAnsi="Arial"/>
                <w:bCs/>
                <w:sz w:val="16"/>
                <w:szCs w:val="16"/>
              </w:rPr>
              <w:t>Rentenversicherung</w:t>
            </w:r>
            <w:proofErr w:type="spellEnd"/>
            <w:r>
              <w:rPr>
                <w:rFonts w:ascii="Arial" w:hAnsi="Arial"/>
                <w:bCs/>
                <w:sz w:val="16"/>
                <w:szCs w:val="16"/>
              </w:rPr>
              <w:t xml:space="preserve"> Bund (state pensions)</w:t>
            </w:r>
          </w:p>
        </w:tc>
        <w:tc>
          <w:tcPr>
            <w:tcW w:w="625" w:type="pct"/>
            <w:tcBorders>
              <w:top w:val="single" w:sz="4" w:space="0" w:color="auto"/>
              <w:left w:val="single" w:sz="4" w:space="0" w:color="auto"/>
              <w:bottom w:val="single" w:sz="4" w:space="0" w:color="auto"/>
              <w:right w:val="single" w:sz="4" w:space="0" w:color="auto"/>
            </w:tcBorders>
            <w:vAlign w:val="center"/>
          </w:tcPr>
          <w:p w14:paraId="4BE353C3" w14:textId="29C7A5BE" w:rsidR="00A4078F" w:rsidRPr="001D6864" w:rsidRDefault="00A4078F">
            <w:pPr>
              <w:widowControl w:val="0"/>
              <w:jc w:val="center"/>
              <w:rPr>
                <w:rFonts w:ascii="Arial" w:hAnsi="Arial" w:cs="Arial"/>
                <w:bCs/>
                <w:sz w:val="16"/>
                <w:szCs w:val="16"/>
              </w:rPr>
            </w:pPr>
            <w:r>
              <w:rPr>
                <w:rFonts w:ascii="Arial" w:hAnsi="Arial"/>
                <w:bCs/>
                <w:sz w:val="16"/>
                <w:szCs w:val="16"/>
              </w:rPr>
              <w:t>84,300</w:t>
            </w:r>
          </w:p>
        </w:tc>
      </w:tr>
      <w:tr w:rsidR="001D6864" w14:paraId="4026BA19"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tcPr>
          <w:p w14:paraId="1EF82A7B" w14:textId="092828A4" w:rsidR="001D6864" w:rsidRPr="001D6864" w:rsidRDefault="00781941">
            <w:pPr>
              <w:widowControl w:val="0"/>
              <w:jc w:val="center"/>
              <w:rPr>
                <w:rFonts w:ascii="Arial" w:hAnsi="Arial" w:cs="Arial"/>
                <w:bCs/>
                <w:sz w:val="16"/>
                <w:szCs w:val="16"/>
              </w:rPr>
            </w:pPr>
            <w:r>
              <w:rPr>
                <w:rFonts w:ascii="Arial" w:hAnsi="Arial"/>
                <w:bCs/>
                <w:sz w:val="16"/>
                <w:szCs w:val="16"/>
              </w:rPr>
              <w:t>MUC</w:t>
            </w:r>
          </w:p>
        </w:tc>
        <w:tc>
          <w:tcPr>
            <w:tcW w:w="1999" w:type="pct"/>
            <w:tcBorders>
              <w:top w:val="single" w:sz="4" w:space="0" w:color="auto"/>
              <w:left w:val="single" w:sz="4" w:space="0" w:color="auto"/>
              <w:bottom w:val="single" w:sz="4" w:space="0" w:color="auto"/>
              <w:right w:val="single" w:sz="4" w:space="0" w:color="auto"/>
            </w:tcBorders>
            <w:vAlign w:val="center"/>
          </w:tcPr>
          <w:p w14:paraId="318264C3" w14:textId="21C4D5D0" w:rsidR="001D6864" w:rsidRPr="001D6864" w:rsidRDefault="001D6864">
            <w:pPr>
              <w:widowControl w:val="0"/>
              <w:jc w:val="center"/>
              <w:rPr>
                <w:rFonts w:ascii="Arial" w:hAnsi="Arial" w:cs="Arial"/>
                <w:bCs/>
                <w:sz w:val="16"/>
                <w:szCs w:val="16"/>
              </w:rPr>
            </w:pPr>
            <w:proofErr w:type="spellStart"/>
            <w:r>
              <w:rPr>
                <w:rFonts w:ascii="Arial" w:hAnsi="Arial"/>
                <w:bCs/>
                <w:sz w:val="16"/>
                <w:szCs w:val="16"/>
              </w:rPr>
              <w:t>Lyonel</w:t>
            </w:r>
            <w:proofErr w:type="spellEnd"/>
            <w:r>
              <w:rPr>
                <w:rFonts w:ascii="Arial" w:hAnsi="Arial"/>
                <w:bCs/>
                <w:sz w:val="16"/>
                <w:szCs w:val="16"/>
              </w:rPr>
              <w:t>-Feininger-</w:t>
            </w:r>
            <w:proofErr w:type="spellStart"/>
            <w:r>
              <w:rPr>
                <w:rFonts w:ascii="Arial" w:hAnsi="Arial"/>
                <w:bCs/>
                <w:sz w:val="16"/>
                <w:szCs w:val="16"/>
              </w:rPr>
              <w:t>Strasse</w:t>
            </w:r>
            <w:proofErr w:type="spellEnd"/>
            <w:r>
              <w:rPr>
                <w:rFonts w:ascii="Arial" w:hAnsi="Arial"/>
                <w:bCs/>
                <w:sz w:val="16"/>
                <w:szCs w:val="16"/>
              </w:rPr>
              <w:t>/</w:t>
            </w:r>
            <w:proofErr w:type="spellStart"/>
            <w:r>
              <w:rPr>
                <w:rFonts w:ascii="Arial" w:hAnsi="Arial"/>
                <w:bCs/>
                <w:sz w:val="16"/>
                <w:szCs w:val="16"/>
              </w:rPr>
              <w:t>Anni</w:t>
            </w:r>
            <w:proofErr w:type="spellEnd"/>
            <w:r>
              <w:rPr>
                <w:rFonts w:ascii="Arial" w:hAnsi="Arial"/>
                <w:bCs/>
                <w:sz w:val="16"/>
                <w:szCs w:val="16"/>
              </w:rPr>
              <w:t>-Albers-</w:t>
            </w:r>
            <w:proofErr w:type="spellStart"/>
            <w:r>
              <w:rPr>
                <w:rFonts w:ascii="Arial" w:hAnsi="Arial"/>
                <w:bCs/>
                <w:sz w:val="16"/>
                <w:szCs w:val="16"/>
              </w:rPr>
              <w:t>Strasse</w:t>
            </w:r>
            <w:proofErr w:type="spellEnd"/>
          </w:p>
        </w:tc>
        <w:tc>
          <w:tcPr>
            <w:tcW w:w="1922" w:type="pct"/>
            <w:tcBorders>
              <w:top w:val="single" w:sz="4" w:space="0" w:color="auto"/>
              <w:left w:val="single" w:sz="4" w:space="0" w:color="auto"/>
              <w:bottom w:val="single" w:sz="4" w:space="0" w:color="auto"/>
              <w:right w:val="single" w:sz="4" w:space="0" w:color="auto"/>
            </w:tcBorders>
            <w:vAlign w:val="center"/>
          </w:tcPr>
          <w:p w14:paraId="72604987" w14:textId="0EFFE491" w:rsidR="001D6864" w:rsidRPr="001D6864" w:rsidRDefault="001D6864">
            <w:pPr>
              <w:widowControl w:val="0"/>
              <w:jc w:val="center"/>
              <w:rPr>
                <w:rFonts w:ascii="Arial" w:hAnsi="Arial" w:cs="Arial"/>
                <w:bCs/>
                <w:sz w:val="16"/>
                <w:szCs w:val="16"/>
              </w:rPr>
            </w:pPr>
            <w:r>
              <w:rPr>
                <w:rFonts w:ascii="Arial" w:hAnsi="Arial"/>
                <w:bCs/>
                <w:sz w:val="16"/>
                <w:szCs w:val="16"/>
              </w:rPr>
              <w:t>Amazon</w:t>
            </w:r>
          </w:p>
        </w:tc>
        <w:tc>
          <w:tcPr>
            <w:tcW w:w="625" w:type="pct"/>
            <w:tcBorders>
              <w:top w:val="single" w:sz="4" w:space="0" w:color="auto"/>
              <w:left w:val="single" w:sz="4" w:space="0" w:color="auto"/>
              <w:bottom w:val="single" w:sz="4" w:space="0" w:color="auto"/>
              <w:right w:val="single" w:sz="4" w:space="0" w:color="auto"/>
            </w:tcBorders>
            <w:vAlign w:val="center"/>
          </w:tcPr>
          <w:p w14:paraId="72F1C530" w14:textId="7E8CFD4C" w:rsidR="001D6864" w:rsidRPr="001D6864" w:rsidRDefault="001D6864">
            <w:pPr>
              <w:widowControl w:val="0"/>
              <w:jc w:val="center"/>
              <w:rPr>
                <w:rFonts w:ascii="Arial" w:hAnsi="Arial" w:cs="Arial"/>
                <w:bCs/>
                <w:sz w:val="16"/>
                <w:szCs w:val="16"/>
              </w:rPr>
            </w:pPr>
            <w:r>
              <w:rPr>
                <w:rFonts w:ascii="Arial" w:hAnsi="Arial"/>
                <w:bCs/>
                <w:sz w:val="16"/>
                <w:szCs w:val="16"/>
              </w:rPr>
              <w:t>34,000</w:t>
            </w:r>
          </w:p>
        </w:tc>
      </w:tr>
      <w:tr w:rsidR="0064195A" w14:paraId="0211064F"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tcPr>
          <w:p w14:paraId="10D8B762" w14:textId="7DBBB5B0" w:rsidR="0064195A" w:rsidRPr="001D6864" w:rsidRDefault="00781941" w:rsidP="0064195A">
            <w:pPr>
              <w:widowControl w:val="0"/>
              <w:jc w:val="center"/>
              <w:rPr>
                <w:rFonts w:ascii="Arial" w:hAnsi="Arial" w:cs="Arial"/>
                <w:bCs/>
                <w:sz w:val="16"/>
                <w:szCs w:val="16"/>
              </w:rPr>
            </w:pPr>
            <w:r>
              <w:rPr>
                <w:rFonts w:ascii="Arial" w:hAnsi="Arial"/>
                <w:bCs/>
                <w:sz w:val="16"/>
                <w:szCs w:val="16"/>
              </w:rPr>
              <w:t>MUC</w:t>
            </w:r>
          </w:p>
        </w:tc>
        <w:tc>
          <w:tcPr>
            <w:tcW w:w="1999" w:type="pct"/>
            <w:tcBorders>
              <w:top w:val="single" w:sz="4" w:space="0" w:color="auto"/>
              <w:left w:val="single" w:sz="4" w:space="0" w:color="auto"/>
              <w:bottom w:val="single" w:sz="4" w:space="0" w:color="auto"/>
              <w:right w:val="single" w:sz="4" w:space="0" w:color="auto"/>
            </w:tcBorders>
            <w:vAlign w:val="center"/>
          </w:tcPr>
          <w:p w14:paraId="64FFF168" w14:textId="7F47DA85" w:rsidR="0064195A" w:rsidRPr="001D6864" w:rsidRDefault="0064195A" w:rsidP="0064195A">
            <w:pPr>
              <w:widowControl w:val="0"/>
              <w:jc w:val="center"/>
              <w:rPr>
                <w:rFonts w:ascii="Arial" w:hAnsi="Arial" w:cs="Arial"/>
                <w:bCs/>
                <w:sz w:val="16"/>
                <w:szCs w:val="16"/>
              </w:rPr>
            </w:pPr>
            <w:r>
              <w:rPr>
                <w:rFonts w:ascii="Arial" w:hAnsi="Arial"/>
                <w:bCs/>
                <w:sz w:val="16"/>
                <w:szCs w:val="16"/>
              </w:rPr>
              <w:t>“</w:t>
            </w:r>
            <w:proofErr w:type="spellStart"/>
            <w:r>
              <w:rPr>
                <w:rFonts w:ascii="Arial" w:hAnsi="Arial"/>
                <w:bCs/>
                <w:sz w:val="16"/>
                <w:szCs w:val="16"/>
              </w:rPr>
              <w:t>Optineo</w:t>
            </w:r>
            <w:proofErr w:type="spellEnd"/>
            <w:r>
              <w:rPr>
                <w:rFonts w:ascii="Arial" w:hAnsi="Arial"/>
                <w:bCs/>
                <w:sz w:val="16"/>
                <w:szCs w:val="16"/>
              </w:rPr>
              <w:t xml:space="preserve">”, </w:t>
            </w:r>
            <w:proofErr w:type="spellStart"/>
            <w:r>
              <w:rPr>
                <w:rFonts w:ascii="Arial" w:hAnsi="Arial"/>
                <w:bCs/>
                <w:sz w:val="16"/>
                <w:szCs w:val="16"/>
              </w:rPr>
              <w:t>Friedenstrasse</w:t>
            </w:r>
            <w:proofErr w:type="spellEnd"/>
            <w:r>
              <w:rPr>
                <w:rFonts w:ascii="Arial" w:hAnsi="Arial"/>
                <w:bCs/>
                <w:sz w:val="16"/>
                <w:szCs w:val="16"/>
              </w:rPr>
              <w:t xml:space="preserve"> 10</w:t>
            </w:r>
          </w:p>
        </w:tc>
        <w:tc>
          <w:tcPr>
            <w:tcW w:w="1922" w:type="pct"/>
            <w:tcBorders>
              <w:top w:val="single" w:sz="4" w:space="0" w:color="auto"/>
              <w:left w:val="single" w:sz="4" w:space="0" w:color="auto"/>
              <w:bottom w:val="single" w:sz="4" w:space="0" w:color="auto"/>
              <w:right w:val="single" w:sz="4" w:space="0" w:color="auto"/>
            </w:tcBorders>
            <w:vAlign w:val="center"/>
          </w:tcPr>
          <w:p w14:paraId="49DD1592" w14:textId="02970E8A" w:rsidR="0064195A" w:rsidRPr="001D6864" w:rsidRDefault="0064195A" w:rsidP="0064195A">
            <w:pPr>
              <w:widowControl w:val="0"/>
              <w:jc w:val="center"/>
              <w:rPr>
                <w:rFonts w:ascii="Arial" w:hAnsi="Arial" w:cs="Arial"/>
                <w:bCs/>
                <w:sz w:val="16"/>
                <w:szCs w:val="16"/>
              </w:rPr>
            </w:pPr>
            <w:r>
              <w:rPr>
                <w:rFonts w:ascii="Arial" w:hAnsi="Arial"/>
                <w:bCs/>
                <w:sz w:val="16"/>
                <w:szCs w:val="16"/>
              </w:rPr>
              <w:t>KPMG</w:t>
            </w:r>
          </w:p>
        </w:tc>
        <w:tc>
          <w:tcPr>
            <w:tcW w:w="625" w:type="pct"/>
            <w:tcBorders>
              <w:top w:val="single" w:sz="4" w:space="0" w:color="auto"/>
              <w:left w:val="single" w:sz="4" w:space="0" w:color="auto"/>
              <w:bottom w:val="single" w:sz="4" w:space="0" w:color="auto"/>
              <w:right w:val="single" w:sz="4" w:space="0" w:color="auto"/>
            </w:tcBorders>
            <w:vAlign w:val="center"/>
          </w:tcPr>
          <w:p w14:paraId="4191665E" w14:textId="78157F19" w:rsidR="0064195A" w:rsidRPr="001D6864" w:rsidRDefault="0064195A" w:rsidP="0064195A">
            <w:pPr>
              <w:widowControl w:val="0"/>
              <w:jc w:val="center"/>
              <w:rPr>
                <w:rFonts w:ascii="Arial" w:hAnsi="Arial" w:cs="Arial"/>
                <w:bCs/>
                <w:sz w:val="16"/>
                <w:szCs w:val="16"/>
              </w:rPr>
            </w:pPr>
            <w:r>
              <w:rPr>
                <w:rFonts w:ascii="Arial" w:hAnsi="Arial"/>
                <w:bCs/>
                <w:sz w:val="16"/>
                <w:szCs w:val="16"/>
              </w:rPr>
              <w:t>32,000</w:t>
            </w:r>
          </w:p>
        </w:tc>
      </w:tr>
      <w:tr w:rsidR="0064195A" w14:paraId="4C96267E"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tcPr>
          <w:p w14:paraId="142345A5" w14:textId="4F6B4067" w:rsidR="0064195A" w:rsidRPr="007D3839" w:rsidRDefault="00781941" w:rsidP="0064195A">
            <w:pPr>
              <w:widowControl w:val="0"/>
              <w:jc w:val="center"/>
              <w:rPr>
                <w:rFonts w:ascii="Arial" w:hAnsi="Arial" w:cs="Arial"/>
                <w:bCs/>
                <w:sz w:val="16"/>
                <w:szCs w:val="16"/>
              </w:rPr>
            </w:pPr>
            <w:r>
              <w:rPr>
                <w:rFonts w:ascii="Arial" w:hAnsi="Arial"/>
                <w:bCs/>
                <w:sz w:val="16"/>
                <w:szCs w:val="16"/>
              </w:rPr>
              <w:t>DUS</w:t>
            </w:r>
          </w:p>
        </w:tc>
        <w:tc>
          <w:tcPr>
            <w:tcW w:w="1999" w:type="pct"/>
            <w:tcBorders>
              <w:top w:val="single" w:sz="4" w:space="0" w:color="auto"/>
              <w:left w:val="single" w:sz="4" w:space="0" w:color="auto"/>
              <w:bottom w:val="single" w:sz="4" w:space="0" w:color="auto"/>
              <w:right w:val="single" w:sz="4" w:space="0" w:color="auto"/>
            </w:tcBorders>
            <w:vAlign w:val="center"/>
          </w:tcPr>
          <w:p w14:paraId="28339426" w14:textId="7DABB36A" w:rsidR="0064195A" w:rsidRPr="007D3839" w:rsidRDefault="0064195A" w:rsidP="0064195A">
            <w:pPr>
              <w:widowControl w:val="0"/>
              <w:jc w:val="center"/>
              <w:rPr>
                <w:rFonts w:ascii="Arial" w:hAnsi="Arial" w:cs="Arial"/>
                <w:bCs/>
                <w:sz w:val="16"/>
                <w:szCs w:val="16"/>
              </w:rPr>
            </w:pPr>
            <w:proofErr w:type="spellStart"/>
            <w:r>
              <w:rPr>
                <w:rFonts w:ascii="Arial" w:hAnsi="Arial"/>
                <w:bCs/>
                <w:sz w:val="16"/>
                <w:szCs w:val="16"/>
              </w:rPr>
              <w:t>Neuenfelder</w:t>
            </w:r>
            <w:proofErr w:type="spellEnd"/>
            <w:r>
              <w:rPr>
                <w:rFonts w:ascii="Arial" w:hAnsi="Arial"/>
                <w:bCs/>
                <w:sz w:val="16"/>
                <w:szCs w:val="16"/>
              </w:rPr>
              <w:t xml:space="preserve"> </w:t>
            </w:r>
            <w:proofErr w:type="spellStart"/>
            <w:r>
              <w:rPr>
                <w:rFonts w:ascii="Arial" w:hAnsi="Arial"/>
                <w:bCs/>
                <w:sz w:val="16"/>
                <w:szCs w:val="16"/>
              </w:rPr>
              <w:t>Strasse</w:t>
            </w:r>
            <w:proofErr w:type="spellEnd"/>
            <w:r>
              <w:rPr>
                <w:rFonts w:ascii="Arial" w:hAnsi="Arial"/>
                <w:bCs/>
                <w:sz w:val="16"/>
                <w:szCs w:val="16"/>
              </w:rPr>
              <w:t xml:space="preserve"> 19</w:t>
            </w:r>
          </w:p>
        </w:tc>
        <w:tc>
          <w:tcPr>
            <w:tcW w:w="1922" w:type="pct"/>
            <w:tcBorders>
              <w:top w:val="single" w:sz="4" w:space="0" w:color="auto"/>
              <w:left w:val="single" w:sz="4" w:space="0" w:color="auto"/>
              <w:bottom w:val="single" w:sz="4" w:space="0" w:color="auto"/>
              <w:right w:val="single" w:sz="4" w:space="0" w:color="auto"/>
            </w:tcBorders>
            <w:vAlign w:val="center"/>
          </w:tcPr>
          <w:p w14:paraId="5DC73B09" w14:textId="32840C93" w:rsidR="0064195A" w:rsidRPr="007D3839" w:rsidRDefault="0064195A" w:rsidP="0064195A">
            <w:pPr>
              <w:widowControl w:val="0"/>
              <w:jc w:val="center"/>
              <w:rPr>
                <w:rFonts w:ascii="Arial" w:hAnsi="Arial" w:cs="Arial"/>
                <w:bCs/>
                <w:sz w:val="16"/>
                <w:szCs w:val="16"/>
              </w:rPr>
            </w:pPr>
            <w:proofErr w:type="spellStart"/>
            <w:r>
              <w:rPr>
                <w:rFonts w:ascii="Arial" w:hAnsi="Arial"/>
                <w:bCs/>
                <w:sz w:val="16"/>
                <w:szCs w:val="16"/>
              </w:rPr>
              <w:t>Oberfinanzdirektion</w:t>
            </w:r>
            <w:proofErr w:type="spellEnd"/>
            <w:r>
              <w:rPr>
                <w:rFonts w:ascii="Arial" w:hAnsi="Arial"/>
                <w:bCs/>
                <w:sz w:val="16"/>
                <w:szCs w:val="16"/>
              </w:rPr>
              <w:t xml:space="preserve"> (tax &amp; finance office)</w:t>
            </w:r>
          </w:p>
        </w:tc>
        <w:tc>
          <w:tcPr>
            <w:tcW w:w="625" w:type="pct"/>
            <w:tcBorders>
              <w:top w:val="single" w:sz="4" w:space="0" w:color="auto"/>
              <w:left w:val="single" w:sz="4" w:space="0" w:color="auto"/>
              <w:bottom w:val="single" w:sz="4" w:space="0" w:color="auto"/>
              <w:right w:val="single" w:sz="4" w:space="0" w:color="auto"/>
            </w:tcBorders>
            <w:vAlign w:val="center"/>
          </w:tcPr>
          <w:p w14:paraId="3F30C22E" w14:textId="50FD1A29" w:rsidR="0064195A" w:rsidRPr="007D3839" w:rsidRDefault="0064195A" w:rsidP="0064195A">
            <w:pPr>
              <w:widowControl w:val="0"/>
              <w:jc w:val="center"/>
              <w:rPr>
                <w:rFonts w:ascii="Arial" w:hAnsi="Arial" w:cs="Arial"/>
                <w:bCs/>
                <w:sz w:val="16"/>
                <w:szCs w:val="16"/>
              </w:rPr>
            </w:pPr>
            <w:r>
              <w:rPr>
                <w:rFonts w:ascii="Arial" w:hAnsi="Arial"/>
                <w:bCs/>
                <w:sz w:val="16"/>
                <w:szCs w:val="16"/>
              </w:rPr>
              <w:t>29,810</w:t>
            </w:r>
          </w:p>
        </w:tc>
      </w:tr>
      <w:tr w:rsidR="0064195A" w14:paraId="72202694"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tcPr>
          <w:p w14:paraId="134BE444" w14:textId="15851150" w:rsidR="0064195A" w:rsidRDefault="00781941" w:rsidP="0064195A">
            <w:pPr>
              <w:widowControl w:val="0"/>
              <w:jc w:val="center"/>
              <w:rPr>
                <w:rFonts w:ascii="Arial" w:hAnsi="Arial" w:cs="Arial"/>
                <w:bCs/>
                <w:sz w:val="16"/>
                <w:szCs w:val="16"/>
              </w:rPr>
            </w:pPr>
            <w:r>
              <w:rPr>
                <w:rFonts w:ascii="Arial" w:hAnsi="Arial"/>
                <w:bCs/>
                <w:sz w:val="16"/>
                <w:szCs w:val="16"/>
              </w:rPr>
              <w:t>CGN</w:t>
            </w:r>
          </w:p>
        </w:tc>
        <w:tc>
          <w:tcPr>
            <w:tcW w:w="1999" w:type="pct"/>
            <w:tcBorders>
              <w:top w:val="single" w:sz="4" w:space="0" w:color="auto"/>
              <w:left w:val="single" w:sz="4" w:space="0" w:color="auto"/>
              <w:bottom w:val="single" w:sz="4" w:space="0" w:color="auto"/>
              <w:right w:val="single" w:sz="4" w:space="0" w:color="auto"/>
            </w:tcBorders>
            <w:vAlign w:val="center"/>
          </w:tcPr>
          <w:p w14:paraId="6180CAAF" w14:textId="5520FBDD" w:rsidR="0064195A" w:rsidRDefault="00270603" w:rsidP="0064195A">
            <w:pPr>
              <w:widowControl w:val="0"/>
              <w:jc w:val="center"/>
              <w:rPr>
                <w:rFonts w:ascii="Arial" w:hAnsi="Arial" w:cs="Arial"/>
                <w:bCs/>
                <w:sz w:val="16"/>
                <w:szCs w:val="16"/>
              </w:rPr>
            </w:pPr>
            <w:r>
              <w:rPr>
                <w:rFonts w:ascii="Arial" w:hAnsi="Arial"/>
                <w:bCs/>
                <w:sz w:val="16"/>
                <w:szCs w:val="16"/>
              </w:rPr>
              <w:t>“QUADRA”, Lina-</w:t>
            </w:r>
            <w:proofErr w:type="spellStart"/>
            <w:r>
              <w:rPr>
                <w:rFonts w:ascii="Arial" w:hAnsi="Arial"/>
                <w:bCs/>
                <w:sz w:val="16"/>
                <w:szCs w:val="16"/>
              </w:rPr>
              <w:t>Bommer</w:t>
            </w:r>
            <w:proofErr w:type="spellEnd"/>
            <w:r>
              <w:rPr>
                <w:rFonts w:ascii="Arial" w:hAnsi="Arial"/>
                <w:bCs/>
                <w:sz w:val="16"/>
                <w:szCs w:val="16"/>
              </w:rPr>
              <w:t>-</w:t>
            </w:r>
            <w:proofErr w:type="spellStart"/>
            <w:r>
              <w:rPr>
                <w:rFonts w:ascii="Arial" w:hAnsi="Arial"/>
                <w:bCs/>
                <w:sz w:val="16"/>
                <w:szCs w:val="16"/>
              </w:rPr>
              <w:t>Weg</w:t>
            </w:r>
            <w:proofErr w:type="spellEnd"/>
            <w:r>
              <w:rPr>
                <w:rFonts w:ascii="Arial" w:hAnsi="Arial"/>
                <w:bCs/>
                <w:sz w:val="16"/>
                <w:szCs w:val="16"/>
              </w:rPr>
              <w:t xml:space="preserve"> 9-11 </w:t>
            </w:r>
          </w:p>
        </w:tc>
        <w:tc>
          <w:tcPr>
            <w:tcW w:w="1922" w:type="pct"/>
            <w:tcBorders>
              <w:top w:val="single" w:sz="4" w:space="0" w:color="auto"/>
              <w:left w:val="single" w:sz="4" w:space="0" w:color="auto"/>
              <w:bottom w:val="single" w:sz="4" w:space="0" w:color="auto"/>
              <w:right w:val="single" w:sz="4" w:space="0" w:color="auto"/>
            </w:tcBorders>
            <w:vAlign w:val="center"/>
          </w:tcPr>
          <w:p w14:paraId="24EC8E71" w14:textId="2952564B" w:rsidR="0064195A" w:rsidRDefault="00270603" w:rsidP="0064195A">
            <w:pPr>
              <w:widowControl w:val="0"/>
              <w:jc w:val="center"/>
              <w:rPr>
                <w:rFonts w:ascii="Arial" w:hAnsi="Arial" w:cs="Arial"/>
                <w:bCs/>
                <w:sz w:val="16"/>
                <w:szCs w:val="16"/>
              </w:rPr>
            </w:pPr>
            <w:r>
              <w:rPr>
                <w:rFonts w:ascii="Arial" w:hAnsi="Arial"/>
                <w:bCs/>
                <w:sz w:val="16"/>
                <w:szCs w:val="16"/>
              </w:rPr>
              <w:t xml:space="preserve">AOK </w:t>
            </w:r>
            <w:proofErr w:type="spellStart"/>
            <w:r>
              <w:rPr>
                <w:rFonts w:ascii="Arial" w:hAnsi="Arial"/>
                <w:bCs/>
                <w:sz w:val="16"/>
                <w:szCs w:val="16"/>
              </w:rPr>
              <w:t>Rheinland</w:t>
            </w:r>
            <w:proofErr w:type="spellEnd"/>
            <w:r>
              <w:rPr>
                <w:rFonts w:ascii="Arial" w:hAnsi="Arial"/>
                <w:bCs/>
                <w:sz w:val="16"/>
                <w:szCs w:val="16"/>
              </w:rPr>
              <w:t xml:space="preserve"> / Hamburg (health insurance)</w:t>
            </w:r>
          </w:p>
        </w:tc>
        <w:tc>
          <w:tcPr>
            <w:tcW w:w="625" w:type="pct"/>
            <w:tcBorders>
              <w:top w:val="single" w:sz="4" w:space="0" w:color="auto"/>
              <w:left w:val="single" w:sz="4" w:space="0" w:color="auto"/>
              <w:bottom w:val="single" w:sz="4" w:space="0" w:color="auto"/>
              <w:right w:val="single" w:sz="4" w:space="0" w:color="auto"/>
            </w:tcBorders>
            <w:vAlign w:val="center"/>
          </w:tcPr>
          <w:p w14:paraId="222149FD" w14:textId="002D3C69" w:rsidR="0064195A" w:rsidRDefault="0064195A" w:rsidP="0064195A">
            <w:pPr>
              <w:widowControl w:val="0"/>
              <w:jc w:val="center"/>
              <w:rPr>
                <w:rFonts w:ascii="Arial" w:hAnsi="Arial" w:cs="Arial"/>
                <w:bCs/>
                <w:sz w:val="16"/>
                <w:szCs w:val="16"/>
              </w:rPr>
            </w:pPr>
            <w:r>
              <w:rPr>
                <w:rFonts w:ascii="Arial" w:hAnsi="Arial"/>
                <w:bCs/>
                <w:sz w:val="16"/>
                <w:szCs w:val="16"/>
              </w:rPr>
              <w:t>18,000</w:t>
            </w:r>
          </w:p>
        </w:tc>
      </w:tr>
      <w:tr w:rsidR="00781941" w14:paraId="59AB7ADE"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4FAD95" w14:textId="4C562B73" w:rsidR="00781941" w:rsidRDefault="00781941" w:rsidP="00781941">
            <w:pPr>
              <w:widowControl w:val="0"/>
              <w:jc w:val="center"/>
              <w:rPr>
                <w:rFonts w:ascii="Arial" w:hAnsi="Arial" w:cs="Arial"/>
                <w:bCs/>
                <w:sz w:val="16"/>
                <w:szCs w:val="16"/>
              </w:rPr>
            </w:pPr>
            <w:r>
              <w:rPr>
                <w:rFonts w:ascii="Arial" w:hAnsi="Arial"/>
                <w:bCs/>
                <w:sz w:val="16"/>
                <w:szCs w:val="16"/>
              </w:rPr>
              <w:t>FFM</w:t>
            </w:r>
          </w:p>
        </w:tc>
        <w:tc>
          <w:tcPr>
            <w:tcW w:w="19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C31D4C" w14:textId="69C5B8E0" w:rsidR="00781941" w:rsidRDefault="00781941" w:rsidP="00781941">
            <w:pPr>
              <w:widowControl w:val="0"/>
              <w:jc w:val="center"/>
              <w:rPr>
                <w:rFonts w:ascii="Arial" w:hAnsi="Arial" w:cs="Arial"/>
                <w:bCs/>
                <w:sz w:val="16"/>
                <w:szCs w:val="16"/>
              </w:rPr>
            </w:pPr>
            <w:r>
              <w:rPr>
                <w:rFonts w:ascii="Arial" w:hAnsi="Arial"/>
                <w:bCs/>
                <w:sz w:val="16"/>
                <w:szCs w:val="16"/>
              </w:rPr>
              <w:t>“</w:t>
            </w:r>
            <w:proofErr w:type="spellStart"/>
            <w:r>
              <w:rPr>
                <w:rFonts w:ascii="Arial" w:hAnsi="Arial"/>
                <w:bCs/>
                <w:sz w:val="16"/>
                <w:szCs w:val="16"/>
              </w:rPr>
              <w:t>Omniturm</w:t>
            </w:r>
            <w:proofErr w:type="spellEnd"/>
            <w:r>
              <w:rPr>
                <w:rFonts w:ascii="Arial" w:hAnsi="Arial"/>
                <w:bCs/>
                <w:sz w:val="16"/>
                <w:szCs w:val="16"/>
              </w:rPr>
              <w:t xml:space="preserve">”, Grosse </w:t>
            </w:r>
            <w:proofErr w:type="spellStart"/>
            <w:r>
              <w:rPr>
                <w:rFonts w:ascii="Arial" w:hAnsi="Arial"/>
                <w:bCs/>
                <w:sz w:val="16"/>
                <w:szCs w:val="16"/>
              </w:rPr>
              <w:t>Gallusstrasse</w:t>
            </w:r>
            <w:proofErr w:type="spellEnd"/>
            <w:r>
              <w:rPr>
                <w:rFonts w:ascii="Arial" w:hAnsi="Arial"/>
                <w:bCs/>
                <w:sz w:val="16"/>
                <w:szCs w:val="16"/>
              </w:rPr>
              <w:t xml:space="preserve"> 10-14</w:t>
            </w:r>
          </w:p>
        </w:tc>
        <w:tc>
          <w:tcPr>
            <w:tcW w:w="192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47C33A" w14:textId="4075AE03" w:rsidR="00781941" w:rsidRDefault="00781941" w:rsidP="00781941">
            <w:pPr>
              <w:widowControl w:val="0"/>
              <w:jc w:val="center"/>
              <w:rPr>
                <w:rFonts w:ascii="Arial" w:hAnsi="Arial" w:cs="Arial"/>
                <w:bCs/>
                <w:sz w:val="16"/>
                <w:szCs w:val="16"/>
              </w:rPr>
            </w:pPr>
            <w:proofErr w:type="spellStart"/>
            <w:r>
              <w:rPr>
                <w:rFonts w:ascii="Arial" w:hAnsi="Arial"/>
                <w:bCs/>
                <w:sz w:val="16"/>
                <w:szCs w:val="16"/>
              </w:rPr>
              <w:t>DekaBank</w:t>
            </w:r>
            <w:proofErr w:type="spellEnd"/>
            <w:r>
              <w:rPr>
                <w:rFonts w:ascii="Arial" w:hAnsi="Arial"/>
                <w:bCs/>
                <w:sz w:val="16"/>
                <w:szCs w:val="16"/>
              </w:rPr>
              <w:t>.</w:t>
            </w:r>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196103" w14:textId="4312B5E8" w:rsidR="00781941" w:rsidRDefault="00781941" w:rsidP="00781941">
            <w:pPr>
              <w:widowControl w:val="0"/>
              <w:jc w:val="center"/>
              <w:rPr>
                <w:rFonts w:ascii="Arial" w:hAnsi="Arial" w:cs="Arial"/>
                <w:bCs/>
                <w:sz w:val="16"/>
                <w:szCs w:val="16"/>
              </w:rPr>
            </w:pPr>
            <w:r>
              <w:rPr>
                <w:rFonts w:ascii="Arial" w:hAnsi="Arial"/>
                <w:bCs/>
                <w:sz w:val="16"/>
                <w:szCs w:val="16"/>
              </w:rPr>
              <w:t>16,000</w:t>
            </w:r>
          </w:p>
        </w:tc>
      </w:tr>
      <w:tr w:rsidR="00781941" w14:paraId="22BF0BEA"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hideMark/>
          </w:tcPr>
          <w:p w14:paraId="087E2460" w14:textId="3790A542" w:rsidR="00781941" w:rsidRDefault="00781941" w:rsidP="00781941">
            <w:pPr>
              <w:widowControl w:val="0"/>
              <w:jc w:val="center"/>
              <w:rPr>
                <w:rFonts w:ascii="Arial" w:hAnsi="Arial" w:cs="Arial"/>
                <w:bCs/>
                <w:sz w:val="16"/>
                <w:szCs w:val="16"/>
              </w:rPr>
            </w:pPr>
            <w:r>
              <w:rPr>
                <w:rFonts w:ascii="Arial" w:hAnsi="Arial"/>
                <w:bCs/>
                <w:sz w:val="16"/>
                <w:szCs w:val="16"/>
              </w:rPr>
              <w:t>FFM</w:t>
            </w:r>
          </w:p>
        </w:tc>
        <w:tc>
          <w:tcPr>
            <w:tcW w:w="1999" w:type="pct"/>
            <w:tcBorders>
              <w:top w:val="single" w:sz="4" w:space="0" w:color="auto"/>
              <w:left w:val="single" w:sz="4" w:space="0" w:color="auto"/>
              <w:bottom w:val="single" w:sz="4" w:space="0" w:color="auto"/>
              <w:right w:val="single" w:sz="4" w:space="0" w:color="auto"/>
            </w:tcBorders>
            <w:vAlign w:val="center"/>
            <w:hideMark/>
          </w:tcPr>
          <w:p w14:paraId="6A462913" w14:textId="2BA9149C" w:rsidR="00781941" w:rsidRDefault="00781941" w:rsidP="00781941">
            <w:pPr>
              <w:widowControl w:val="0"/>
              <w:jc w:val="center"/>
              <w:rPr>
                <w:rFonts w:ascii="Arial" w:hAnsi="Arial" w:cs="Arial"/>
                <w:bCs/>
                <w:sz w:val="16"/>
                <w:szCs w:val="16"/>
              </w:rPr>
            </w:pPr>
            <w:r>
              <w:rPr>
                <w:rFonts w:ascii="Arial" w:hAnsi="Arial"/>
                <w:bCs/>
                <w:sz w:val="16"/>
                <w:szCs w:val="16"/>
              </w:rPr>
              <w:t>“</w:t>
            </w:r>
            <w:proofErr w:type="spellStart"/>
            <w:r>
              <w:rPr>
                <w:rFonts w:ascii="Arial" w:hAnsi="Arial"/>
                <w:bCs/>
                <w:sz w:val="16"/>
                <w:szCs w:val="16"/>
              </w:rPr>
              <w:t>Omniturm</w:t>
            </w:r>
            <w:proofErr w:type="spellEnd"/>
            <w:r>
              <w:rPr>
                <w:rFonts w:ascii="Arial" w:hAnsi="Arial"/>
                <w:bCs/>
                <w:sz w:val="16"/>
                <w:szCs w:val="16"/>
              </w:rPr>
              <w:t xml:space="preserve">”, Grosse </w:t>
            </w:r>
            <w:proofErr w:type="spellStart"/>
            <w:r>
              <w:rPr>
                <w:rFonts w:ascii="Arial" w:hAnsi="Arial"/>
                <w:bCs/>
                <w:sz w:val="16"/>
                <w:szCs w:val="16"/>
              </w:rPr>
              <w:t>Gallusstrasse</w:t>
            </w:r>
            <w:proofErr w:type="spellEnd"/>
            <w:r>
              <w:rPr>
                <w:rFonts w:ascii="Arial" w:hAnsi="Arial"/>
                <w:bCs/>
                <w:sz w:val="16"/>
                <w:szCs w:val="16"/>
              </w:rPr>
              <w:t xml:space="preserve"> 10-14</w:t>
            </w:r>
          </w:p>
        </w:tc>
        <w:tc>
          <w:tcPr>
            <w:tcW w:w="1922" w:type="pct"/>
            <w:tcBorders>
              <w:top w:val="single" w:sz="4" w:space="0" w:color="auto"/>
              <w:left w:val="single" w:sz="4" w:space="0" w:color="auto"/>
              <w:bottom w:val="single" w:sz="4" w:space="0" w:color="auto"/>
              <w:right w:val="single" w:sz="4" w:space="0" w:color="auto"/>
            </w:tcBorders>
            <w:vAlign w:val="center"/>
            <w:hideMark/>
          </w:tcPr>
          <w:p w14:paraId="20A2B291" w14:textId="5ABD2C9E" w:rsidR="00781941" w:rsidRDefault="00781941" w:rsidP="00781941">
            <w:pPr>
              <w:widowControl w:val="0"/>
              <w:jc w:val="center"/>
              <w:rPr>
                <w:rFonts w:ascii="Arial" w:hAnsi="Arial" w:cs="Arial"/>
                <w:bCs/>
                <w:sz w:val="16"/>
                <w:szCs w:val="16"/>
              </w:rPr>
            </w:pPr>
            <w:proofErr w:type="spellStart"/>
            <w:r>
              <w:rPr>
                <w:rFonts w:ascii="Arial" w:hAnsi="Arial"/>
                <w:bCs/>
                <w:sz w:val="16"/>
                <w:szCs w:val="16"/>
              </w:rPr>
              <w:t>Freshfields</w:t>
            </w:r>
            <w:proofErr w:type="spellEnd"/>
            <w:r>
              <w:rPr>
                <w:rFonts w:ascii="Arial" w:hAnsi="Arial"/>
                <w:bCs/>
                <w:sz w:val="16"/>
                <w:szCs w:val="16"/>
              </w:rPr>
              <w:t xml:space="preserve"> Bruckhaus </w:t>
            </w:r>
            <w:proofErr w:type="spellStart"/>
            <w:r>
              <w:rPr>
                <w:rFonts w:ascii="Arial" w:hAnsi="Arial"/>
                <w:bCs/>
                <w:sz w:val="16"/>
                <w:szCs w:val="16"/>
              </w:rPr>
              <w:t>Deringer</w:t>
            </w:r>
            <w:proofErr w:type="spellEnd"/>
          </w:p>
        </w:tc>
        <w:tc>
          <w:tcPr>
            <w:tcW w:w="625" w:type="pct"/>
            <w:tcBorders>
              <w:top w:val="single" w:sz="4" w:space="0" w:color="auto"/>
              <w:left w:val="single" w:sz="4" w:space="0" w:color="auto"/>
              <w:bottom w:val="single" w:sz="4" w:space="0" w:color="auto"/>
              <w:right w:val="single" w:sz="4" w:space="0" w:color="auto"/>
            </w:tcBorders>
            <w:vAlign w:val="center"/>
            <w:hideMark/>
          </w:tcPr>
          <w:p w14:paraId="1CA93766" w14:textId="276FF18C" w:rsidR="00781941" w:rsidRDefault="00781941" w:rsidP="00781941">
            <w:pPr>
              <w:widowControl w:val="0"/>
              <w:jc w:val="center"/>
              <w:rPr>
                <w:rFonts w:ascii="Arial" w:hAnsi="Arial" w:cs="Arial"/>
                <w:bCs/>
                <w:sz w:val="16"/>
                <w:szCs w:val="16"/>
              </w:rPr>
            </w:pPr>
            <w:r>
              <w:rPr>
                <w:rFonts w:ascii="Arial" w:hAnsi="Arial"/>
                <w:bCs/>
                <w:sz w:val="16"/>
                <w:szCs w:val="16"/>
              </w:rPr>
              <w:t>14,595</w:t>
            </w:r>
          </w:p>
        </w:tc>
      </w:tr>
      <w:tr w:rsidR="00781941" w14:paraId="21C50847"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tcPr>
          <w:p w14:paraId="26C31E7D" w14:textId="7E3830BD" w:rsidR="00781941" w:rsidRDefault="009B1F41" w:rsidP="00781941">
            <w:pPr>
              <w:widowControl w:val="0"/>
              <w:jc w:val="center"/>
              <w:rPr>
                <w:rFonts w:ascii="Arial" w:hAnsi="Arial" w:cs="Arial"/>
                <w:bCs/>
                <w:sz w:val="16"/>
                <w:szCs w:val="16"/>
              </w:rPr>
            </w:pPr>
            <w:r>
              <w:rPr>
                <w:rFonts w:ascii="Arial" w:hAnsi="Arial"/>
                <w:bCs/>
                <w:sz w:val="16"/>
                <w:szCs w:val="16"/>
              </w:rPr>
              <w:t>STU</w:t>
            </w:r>
          </w:p>
        </w:tc>
        <w:tc>
          <w:tcPr>
            <w:tcW w:w="1999" w:type="pct"/>
            <w:tcBorders>
              <w:top w:val="single" w:sz="4" w:space="0" w:color="auto"/>
              <w:left w:val="single" w:sz="4" w:space="0" w:color="auto"/>
              <w:bottom w:val="single" w:sz="4" w:space="0" w:color="auto"/>
              <w:right w:val="single" w:sz="4" w:space="0" w:color="auto"/>
            </w:tcBorders>
            <w:vAlign w:val="center"/>
          </w:tcPr>
          <w:p w14:paraId="26755962" w14:textId="24FD4E9C" w:rsidR="00781941" w:rsidRDefault="005D5FA2" w:rsidP="00781941">
            <w:pPr>
              <w:widowControl w:val="0"/>
              <w:jc w:val="center"/>
              <w:rPr>
                <w:rFonts w:ascii="Arial" w:hAnsi="Arial" w:cs="Arial"/>
                <w:bCs/>
                <w:sz w:val="16"/>
                <w:szCs w:val="16"/>
              </w:rPr>
            </w:pPr>
            <w:proofErr w:type="spellStart"/>
            <w:r>
              <w:rPr>
                <w:rFonts w:ascii="Arial" w:hAnsi="Arial"/>
                <w:bCs/>
                <w:sz w:val="16"/>
                <w:szCs w:val="16"/>
              </w:rPr>
              <w:t>Neuenfelder</w:t>
            </w:r>
            <w:proofErr w:type="spellEnd"/>
            <w:r>
              <w:rPr>
                <w:rFonts w:ascii="Arial" w:hAnsi="Arial"/>
                <w:bCs/>
                <w:sz w:val="16"/>
                <w:szCs w:val="16"/>
              </w:rPr>
              <w:t xml:space="preserve"> </w:t>
            </w:r>
            <w:proofErr w:type="spellStart"/>
            <w:r>
              <w:rPr>
                <w:rFonts w:ascii="Arial" w:hAnsi="Arial"/>
                <w:bCs/>
                <w:sz w:val="16"/>
                <w:szCs w:val="16"/>
              </w:rPr>
              <w:t>Strasse</w:t>
            </w:r>
            <w:proofErr w:type="spellEnd"/>
            <w:r>
              <w:rPr>
                <w:rFonts w:ascii="Arial" w:hAnsi="Arial"/>
                <w:bCs/>
                <w:sz w:val="16"/>
                <w:szCs w:val="16"/>
              </w:rPr>
              <w:t xml:space="preserve"> 98</w:t>
            </w:r>
          </w:p>
        </w:tc>
        <w:tc>
          <w:tcPr>
            <w:tcW w:w="1922" w:type="pct"/>
            <w:tcBorders>
              <w:top w:val="single" w:sz="4" w:space="0" w:color="auto"/>
              <w:left w:val="single" w:sz="4" w:space="0" w:color="auto"/>
              <w:bottom w:val="single" w:sz="4" w:space="0" w:color="auto"/>
              <w:right w:val="single" w:sz="4" w:space="0" w:color="auto"/>
            </w:tcBorders>
            <w:vAlign w:val="center"/>
          </w:tcPr>
          <w:p w14:paraId="7EF2D260" w14:textId="6632C86E" w:rsidR="00781941" w:rsidRDefault="00781941" w:rsidP="00781941">
            <w:pPr>
              <w:widowControl w:val="0"/>
              <w:jc w:val="center"/>
              <w:rPr>
                <w:rFonts w:ascii="Arial" w:hAnsi="Arial" w:cs="Arial"/>
                <w:bCs/>
                <w:sz w:val="16"/>
                <w:szCs w:val="16"/>
              </w:rPr>
            </w:pPr>
            <w:proofErr w:type="spellStart"/>
            <w:r>
              <w:rPr>
                <w:rFonts w:ascii="Arial" w:hAnsi="Arial"/>
                <w:bCs/>
                <w:sz w:val="16"/>
                <w:szCs w:val="16"/>
              </w:rPr>
              <w:t>Bundesanstalt</w:t>
            </w:r>
            <w:proofErr w:type="spellEnd"/>
            <w:r>
              <w:rPr>
                <w:rFonts w:ascii="Arial" w:hAnsi="Arial"/>
                <w:bCs/>
                <w:sz w:val="16"/>
                <w:szCs w:val="16"/>
              </w:rPr>
              <w:t xml:space="preserve"> </w:t>
            </w:r>
            <w:proofErr w:type="spellStart"/>
            <w:r>
              <w:rPr>
                <w:rFonts w:ascii="Arial" w:hAnsi="Arial"/>
                <w:bCs/>
                <w:sz w:val="16"/>
                <w:szCs w:val="16"/>
              </w:rPr>
              <w:t>für</w:t>
            </w:r>
            <w:proofErr w:type="spellEnd"/>
            <w:r>
              <w:rPr>
                <w:rFonts w:ascii="Arial" w:hAnsi="Arial"/>
                <w:bCs/>
                <w:sz w:val="16"/>
                <w:szCs w:val="16"/>
              </w:rPr>
              <w:t xml:space="preserve"> Post &amp; </w:t>
            </w:r>
            <w:proofErr w:type="spellStart"/>
            <w:r>
              <w:rPr>
                <w:rFonts w:ascii="Arial" w:hAnsi="Arial"/>
                <w:bCs/>
                <w:sz w:val="16"/>
                <w:szCs w:val="16"/>
              </w:rPr>
              <w:t>Telekommunikation</w:t>
            </w:r>
            <w:proofErr w:type="spellEnd"/>
            <w:r>
              <w:rPr>
                <w:rFonts w:ascii="Arial" w:hAnsi="Arial"/>
                <w:bCs/>
                <w:sz w:val="16"/>
                <w:szCs w:val="16"/>
              </w:rPr>
              <w:t xml:space="preserve"> (Fed. post &amp; telecom)</w:t>
            </w:r>
          </w:p>
        </w:tc>
        <w:tc>
          <w:tcPr>
            <w:tcW w:w="625" w:type="pct"/>
            <w:tcBorders>
              <w:top w:val="single" w:sz="4" w:space="0" w:color="auto"/>
              <w:left w:val="single" w:sz="4" w:space="0" w:color="auto"/>
              <w:bottom w:val="single" w:sz="4" w:space="0" w:color="auto"/>
              <w:right w:val="single" w:sz="4" w:space="0" w:color="auto"/>
            </w:tcBorders>
            <w:vAlign w:val="center"/>
          </w:tcPr>
          <w:p w14:paraId="447D9B8B" w14:textId="7ED9AAE5" w:rsidR="00781941" w:rsidRDefault="00781941" w:rsidP="00781941">
            <w:pPr>
              <w:widowControl w:val="0"/>
              <w:jc w:val="center"/>
              <w:rPr>
                <w:rFonts w:ascii="Arial" w:hAnsi="Arial" w:cs="Arial"/>
                <w:bCs/>
                <w:sz w:val="16"/>
                <w:szCs w:val="16"/>
              </w:rPr>
            </w:pPr>
            <w:r>
              <w:rPr>
                <w:rFonts w:ascii="Arial" w:hAnsi="Arial"/>
                <w:bCs/>
                <w:sz w:val="16"/>
                <w:szCs w:val="16"/>
              </w:rPr>
              <w:t>14,545</w:t>
            </w:r>
          </w:p>
        </w:tc>
      </w:tr>
      <w:tr w:rsidR="00781941" w14:paraId="79061476"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hideMark/>
          </w:tcPr>
          <w:p w14:paraId="1638CAE8" w14:textId="74C16E47" w:rsidR="00781941" w:rsidRDefault="009B1F41" w:rsidP="00781941">
            <w:pPr>
              <w:widowControl w:val="0"/>
              <w:jc w:val="center"/>
              <w:rPr>
                <w:rFonts w:ascii="Arial" w:hAnsi="Arial" w:cs="Arial"/>
                <w:bCs/>
                <w:sz w:val="16"/>
                <w:szCs w:val="16"/>
              </w:rPr>
            </w:pPr>
            <w:r>
              <w:rPr>
                <w:rFonts w:ascii="Arial" w:hAnsi="Arial"/>
                <w:bCs/>
                <w:sz w:val="16"/>
                <w:szCs w:val="16"/>
              </w:rPr>
              <w:t>BER</w:t>
            </w:r>
          </w:p>
        </w:tc>
        <w:tc>
          <w:tcPr>
            <w:tcW w:w="1999" w:type="pct"/>
            <w:tcBorders>
              <w:top w:val="single" w:sz="4" w:space="0" w:color="auto"/>
              <w:left w:val="single" w:sz="4" w:space="0" w:color="auto"/>
              <w:bottom w:val="single" w:sz="4" w:space="0" w:color="auto"/>
              <w:right w:val="single" w:sz="4" w:space="0" w:color="auto"/>
            </w:tcBorders>
            <w:vAlign w:val="center"/>
            <w:hideMark/>
          </w:tcPr>
          <w:p w14:paraId="1BCCD0EB" w14:textId="480E659E" w:rsidR="00781941" w:rsidRDefault="00781941" w:rsidP="00781941">
            <w:pPr>
              <w:widowControl w:val="0"/>
              <w:jc w:val="center"/>
              <w:rPr>
                <w:rFonts w:ascii="Arial" w:hAnsi="Arial" w:cs="Arial"/>
                <w:bCs/>
                <w:sz w:val="16"/>
                <w:szCs w:val="16"/>
              </w:rPr>
            </w:pPr>
            <w:r>
              <w:rPr>
                <w:rFonts w:ascii="Arial" w:hAnsi="Arial"/>
                <w:bCs/>
                <w:sz w:val="16"/>
                <w:szCs w:val="16"/>
              </w:rPr>
              <w:t xml:space="preserve">“BHQ Z”, </w:t>
            </w:r>
            <w:proofErr w:type="spellStart"/>
            <w:r>
              <w:rPr>
                <w:rFonts w:ascii="Arial" w:hAnsi="Arial"/>
                <w:bCs/>
                <w:sz w:val="16"/>
                <w:szCs w:val="16"/>
              </w:rPr>
              <w:t>Valeska-Gert-Straße</w:t>
            </w:r>
            <w:proofErr w:type="spellEnd"/>
            <w:r>
              <w:rPr>
                <w:rFonts w:ascii="Arial" w:hAnsi="Arial"/>
                <w:bCs/>
                <w:sz w:val="16"/>
                <w:szCs w:val="16"/>
              </w:rPr>
              <w:t xml:space="preserve"> 4</w:t>
            </w:r>
          </w:p>
        </w:tc>
        <w:tc>
          <w:tcPr>
            <w:tcW w:w="1922" w:type="pct"/>
            <w:tcBorders>
              <w:top w:val="single" w:sz="4" w:space="0" w:color="auto"/>
              <w:left w:val="single" w:sz="4" w:space="0" w:color="auto"/>
              <w:bottom w:val="single" w:sz="4" w:space="0" w:color="auto"/>
              <w:right w:val="single" w:sz="4" w:space="0" w:color="auto"/>
            </w:tcBorders>
            <w:vAlign w:val="center"/>
            <w:hideMark/>
          </w:tcPr>
          <w:p w14:paraId="1B778869" w14:textId="04469D0F" w:rsidR="00781941" w:rsidRDefault="00781941" w:rsidP="00781941">
            <w:pPr>
              <w:widowControl w:val="0"/>
              <w:jc w:val="center"/>
              <w:rPr>
                <w:rFonts w:ascii="Arial" w:hAnsi="Arial" w:cs="Arial"/>
                <w:bCs/>
                <w:sz w:val="16"/>
                <w:szCs w:val="16"/>
              </w:rPr>
            </w:pPr>
            <w:proofErr w:type="spellStart"/>
            <w:r>
              <w:rPr>
                <w:rFonts w:ascii="Arial" w:hAnsi="Arial"/>
                <w:bCs/>
                <w:sz w:val="16"/>
                <w:szCs w:val="16"/>
              </w:rPr>
              <w:t>Zalando</w:t>
            </w:r>
            <w:proofErr w:type="spellEnd"/>
          </w:p>
        </w:tc>
        <w:tc>
          <w:tcPr>
            <w:tcW w:w="625" w:type="pct"/>
            <w:tcBorders>
              <w:top w:val="single" w:sz="4" w:space="0" w:color="auto"/>
              <w:left w:val="single" w:sz="4" w:space="0" w:color="auto"/>
              <w:bottom w:val="single" w:sz="4" w:space="0" w:color="auto"/>
              <w:right w:val="single" w:sz="4" w:space="0" w:color="auto"/>
            </w:tcBorders>
            <w:vAlign w:val="center"/>
            <w:hideMark/>
          </w:tcPr>
          <w:p w14:paraId="53B8F118" w14:textId="43D790A5" w:rsidR="00781941" w:rsidRDefault="00781941" w:rsidP="00781941">
            <w:pPr>
              <w:widowControl w:val="0"/>
              <w:jc w:val="center"/>
              <w:rPr>
                <w:rFonts w:ascii="Arial" w:hAnsi="Arial" w:cs="Arial"/>
                <w:bCs/>
                <w:sz w:val="16"/>
                <w:szCs w:val="16"/>
              </w:rPr>
            </w:pPr>
            <w:r>
              <w:rPr>
                <w:rFonts w:ascii="Arial" w:hAnsi="Arial"/>
                <w:bCs/>
                <w:sz w:val="16"/>
                <w:szCs w:val="16"/>
              </w:rPr>
              <w:t>12,900</w:t>
            </w:r>
          </w:p>
        </w:tc>
      </w:tr>
      <w:tr w:rsidR="00781941" w14:paraId="2AD11541"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BDE89" w14:textId="12371C3E" w:rsidR="00781941" w:rsidRDefault="009B1F41" w:rsidP="00781941">
            <w:pPr>
              <w:widowControl w:val="0"/>
              <w:jc w:val="center"/>
              <w:rPr>
                <w:rFonts w:ascii="Arial" w:hAnsi="Arial" w:cs="Arial"/>
                <w:bCs/>
                <w:sz w:val="16"/>
                <w:szCs w:val="16"/>
              </w:rPr>
            </w:pPr>
            <w:r>
              <w:rPr>
                <w:rFonts w:ascii="Arial" w:hAnsi="Arial"/>
                <w:bCs/>
                <w:sz w:val="16"/>
                <w:szCs w:val="16"/>
              </w:rPr>
              <w:t>BER</w:t>
            </w:r>
          </w:p>
        </w:tc>
        <w:tc>
          <w:tcPr>
            <w:tcW w:w="1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52EB8" w14:textId="13FD132B" w:rsidR="00781941" w:rsidRDefault="00781941" w:rsidP="00781941">
            <w:pPr>
              <w:widowControl w:val="0"/>
              <w:jc w:val="center"/>
              <w:rPr>
                <w:rFonts w:ascii="Arial" w:hAnsi="Arial" w:cs="Arial"/>
                <w:bCs/>
                <w:sz w:val="16"/>
                <w:szCs w:val="16"/>
              </w:rPr>
            </w:pPr>
            <w:r>
              <w:rPr>
                <w:rFonts w:ascii="Arial" w:hAnsi="Arial"/>
                <w:bCs/>
                <w:sz w:val="16"/>
                <w:szCs w:val="16"/>
              </w:rPr>
              <w:t xml:space="preserve">“Pulse”, </w:t>
            </w:r>
            <w:proofErr w:type="spellStart"/>
            <w:r>
              <w:rPr>
                <w:rFonts w:ascii="Arial" w:hAnsi="Arial"/>
                <w:bCs/>
                <w:sz w:val="16"/>
                <w:szCs w:val="16"/>
              </w:rPr>
              <w:t>Stresemannstrasse</w:t>
            </w:r>
            <w:proofErr w:type="spellEnd"/>
            <w:r>
              <w:rPr>
                <w:rFonts w:ascii="Arial" w:hAnsi="Arial"/>
                <w:bCs/>
                <w:sz w:val="16"/>
                <w:szCs w:val="16"/>
              </w:rPr>
              <w:t xml:space="preserve"> 69-71</w:t>
            </w:r>
          </w:p>
        </w:tc>
        <w:tc>
          <w:tcPr>
            <w:tcW w:w="19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E39E9" w14:textId="2F2C47AD" w:rsidR="00781941" w:rsidRDefault="00781941" w:rsidP="00781941">
            <w:pPr>
              <w:widowControl w:val="0"/>
              <w:jc w:val="center"/>
              <w:rPr>
                <w:rFonts w:ascii="Arial" w:hAnsi="Arial" w:cs="Arial"/>
                <w:bCs/>
                <w:sz w:val="16"/>
                <w:szCs w:val="16"/>
              </w:rPr>
            </w:pPr>
            <w:proofErr w:type="spellStart"/>
            <w:r>
              <w:rPr>
                <w:rFonts w:ascii="Arial" w:hAnsi="Arial"/>
                <w:bCs/>
                <w:sz w:val="16"/>
                <w:szCs w:val="16"/>
              </w:rPr>
              <w:t>Zukunft</w:t>
            </w:r>
            <w:proofErr w:type="spellEnd"/>
            <w:r>
              <w:rPr>
                <w:rFonts w:ascii="Arial" w:hAnsi="Arial"/>
                <w:bCs/>
                <w:sz w:val="16"/>
                <w:szCs w:val="16"/>
              </w:rPr>
              <w:t>-Umwelt-</w:t>
            </w:r>
            <w:proofErr w:type="spellStart"/>
            <w:r>
              <w:rPr>
                <w:rFonts w:ascii="Arial" w:hAnsi="Arial"/>
                <w:bCs/>
                <w:sz w:val="16"/>
                <w:szCs w:val="16"/>
              </w:rPr>
              <w:t>Gesellschaft</w:t>
            </w:r>
            <w:proofErr w:type="spellEnd"/>
            <w:r>
              <w:rPr>
                <w:rFonts w:ascii="Arial" w:hAnsi="Arial"/>
                <w:bCs/>
                <w:sz w:val="16"/>
                <w:szCs w:val="16"/>
              </w:rPr>
              <w:t xml:space="preserve"> (ZUG)</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07D3B" w14:textId="459F4776" w:rsidR="00781941" w:rsidRDefault="00781941" w:rsidP="00781941">
            <w:pPr>
              <w:widowControl w:val="0"/>
              <w:jc w:val="center"/>
              <w:rPr>
                <w:rFonts w:ascii="Arial" w:hAnsi="Arial" w:cs="Arial"/>
                <w:bCs/>
                <w:sz w:val="16"/>
                <w:szCs w:val="16"/>
              </w:rPr>
            </w:pPr>
            <w:r>
              <w:rPr>
                <w:rFonts w:ascii="Arial" w:hAnsi="Arial"/>
                <w:bCs/>
                <w:sz w:val="16"/>
                <w:szCs w:val="16"/>
              </w:rPr>
              <w:t>12,000</w:t>
            </w:r>
          </w:p>
        </w:tc>
      </w:tr>
    </w:tbl>
    <w:p w14:paraId="005F449C" w14:textId="50C6B20B" w:rsidR="005D5FA2" w:rsidRPr="00270DA3" w:rsidRDefault="0071679E" w:rsidP="00270DA3">
      <w:pPr>
        <w:widowControl w:val="0"/>
        <w:spacing w:after="0"/>
        <w:rPr>
          <w:rFonts w:ascii="Arial" w:hAnsi="Arial" w:cs="Arial"/>
          <w:sz w:val="16"/>
          <w:szCs w:val="16"/>
        </w:rPr>
      </w:pPr>
      <w:r>
        <w:rPr>
          <w:rFonts w:ascii="Arial" w:hAnsi="Arial"/>
          <w:sz w:val="16"/>
          <w:szCs w:val="16"/>
        </w:rPr>
        <w:t xml:space="preserve">Transactions occurring in the quarter covered by this report </w:t>
      </w:r>
      <w:proofErr w:type="gramStart"/>
      <w:r>
        <w:rPr>
          <w:rFonts w:ascii="Arial" w:hAnsi="Arial"/>
          <w:sz w:val="16"/>
          <w:szCs w:val="16"/>
        </w:rPr>
        <w:t>are highlighted</w:t>
      </w:r>
      <w:proofErr w:type="gramEnd"/>
      <w:r>
        <w:rPr>
          <w:rFonts w:ascii="Arial" w:hAnsi="Arial"/>
          <w:sz w:val="16"/>
          <w:szCs w:val="16"/>
        </w:rPr>
        <w:t>. Source: German Property Partners (GPP)</w:t>
      </w:r>
    </w:p>
    <w:p w14:paraId="089374C0" w14:textId="77777777" w:rsidR="000B5EA0" w:rsidRDefault="000B5EA0">
      <w:pPr>
        <w:rPr>
          <w:rFonts w:ascii="Arial" w:hAnsi="Arial" w:cs="Arial"/>
          <w:b/>
          <w:sz w:val="20"/>
          <w:szCs w:val="20"/>
        </w:rPr>
      </w:pPr>
      <w:r>
        <w:br w:type="page"/>
      </w:r>
    </w:p>
    <w:p w14:paraId="5E5A1042" w14:textId="4B68A51F" w:rsidR="00C65127" w:rsidRPr="00DD4941" w:rsidRDefault="00C65127" w:rsidP="00DD4941">
      <w:pPr>
        <w:widowControl w:val="0"/>
        <w:spacing w:after="0"/>
        <w:rPr>
          <w:rFonts w:ascii="Arial" w:hAnsi="Arial" w:cs="Arial"/>
          <w:sz w:val="16"/>
          <w:szCs w:val="16"/>
        </w:rPr>
      </w:pPr>
      <w:r>
        <w:rPr>
          <w:rFonts w:ascii="Arial" w:hAnsi="Arial"/>
          <w:b/>
          <w:sz w:val="20"/>
          <w:szCs w:val="20"/>
        </w:rPr>
        <w:lastRenderedPageBreak/>
        <w:t>Top 7 cities | 1st-3rd quarters of 2020</w:t>
      </w:r>
    </w:p>
    <w:tbl>
      <w:tblPr>
        <w:tblStyle w:val="Tabellenraster"/>
        <w:tblW w:w="5000" w:type="pct"/>
        <w:tblLook w:val="04A0" w:firstRow="1" w:lastRow="0" w:firstColumn="1" w:lastColumn="0" w:noHBand="0" w:noVBand="1"/>
      </w:tblPr>
      <w:tblGrid>
        <w:gridCol w:w="1782"/>
        <w:gridCol w:w="907"/>
        <w:gridCol w:w="907"/>
        <w:gridCol w:w="907"/>
        <w:gridCol w:w="907"/>
        <w:gridCol w:w="908"/>
        <w:gridCol w:w="908"/>
        <w:gridCol w:w="908"/>
        <w:gridCol w:w="928"/>
      </w:tblGrid>
      <w:tr w:rsidR="00C65127" w:rsidRPr="004D02F0" w14:paraId="0DF4DE6F" w14:textId="77777777" w:rsidTr="00422A01">
        <w:trPr>
          <w:trHeight w:val="283"/>
        </w:trPr>
        <w:tc>
          <w:tcPr>
            <w:tcW w:w="985" w:type="pct"/>
            <w:vAlign w:val="center"/>
          </w:tcPr>
          <w:p w14:paraId="402EA591" w14:textId="77777777" w:rsidR="00C65127" w:rsidRPr="00487ECE" w:rsidRDefault="00C65127" w:rsidP="00422A01">
            <w:pPr>
              <w:widowControl w:val="0"/>
              <w:rPr>
                <w:rFonts w:ascii="Arial" w:hAnsi="Arial" w:cs="Arial"/>
                <w:b/>
                <w:sz w:val="16"/>
                <w:szCs w:val="16"/>
              </w:rPr>
            </w:pPr>
          </w:p>
        </w:tc>
        <w:tc>
          <w:tcPr>
            <w:tcW w:w="502" w:type="pct"/>
            <w:vAlign w:val="center"/>
          </w:tcPr>
          <w:p w14:paraId="5892939A" w14:textId="77777777" w:rsidR="00C65127" w:rsidRPr="00487ECE" w:rsidRDefault="00C65127" w:rsidP="00422A01">
            <w:pPr>
              <w:widowControl w:val="0"/>
              <w:jc w:val="center"/>
              <w:rPr>
                <w:rFonts w:ascii="Arial" w:hAnsi="Arial" w:cs="Arial"/>
                <w:b/>
                <w:sz w:val="16"/>
                <w:szCs w:val="16"/>
              </w:rPr>
            </w:pPr>
            <w:r>
              <w:rPr>
                <w:rFonts w:ascii="Arial" w:hAnsi="Arial"/>
                <w:b/>
                <w:sz w:val="16"/>
                <w:szCs w:val="16"/>
              </w:rPr>
              <w:t>HAM</w:t>
            </w:r>
          </w:p>
        </w:tc>
        <w:tc>
          <w:tcPr>
            <w:tcW w:w="502" w:type="pct"/>
            <w:vAlign w:val="center"/>
          </w:tcPr>
          <w:p w14:paraId="0A355251" w14:textId="77777777" w:rsidR="00C65127" w:rsidRPr="00487ECE" w:rsidRDefault="00C65127" w:rsidP="00422A01">
            <w:pPr>
              <w:widowControl w:val="0"/>
              <w:jc w:val="center"/>
              <w:rPr>
                <w:rFonts w:ascii="Arial" w:hAnsi="Arial" w:cs="Arial"/>
                <w:b/>
                <w:sz w:val="16"/>
                <w:szCs w:val="16"/>
              </w:rPr>
            </w:pPr>
            <w:r>
              <w:rPr>
                <w:rFonts w:ascii="Arial" w:hAnsi="Arial"/>
                <w:b/>
                <w:sz w:val="16"/>
                <w:szCs w:val="16"/>
              </w:rPr>
              <w:t>BER</w:t>
            </w:r>
          </w:p>
        </w:tc>
        <w:tc>
          <w:tcPr>
            <w:tcW w:w="502" w:type="pct"/>
            <w:vAlign w:val="center"/>
          </w:tcPr>
          <w:p w14:paraId="3AA398F6" w14:textId="77777777" w:rsidR="00C65127" w:rsidRPr="00487ECE" w:rsidRDefault="00C65127" w:rsidP="00422A01">
            <w:pPr>
              <w:widowControl w:val="0"/>
              <w:jc w:val="center"/>
              <w:rPr>
                <w:rFonts w:ascii="Arial" w:hAnsi="Arial" w:cs="Arial"/>
                <w:b/>
                <w:sz w:val="16"/>
                <w:szCs w:val="16"/>
              </w:rPr>
            </w:pPr>
            <w:r>
              <w:rPr>
                <w:rFonts w:ascii="Arial" w:hAnsi="Arial"/>
                <w:b/>
                <w:sz w:val="16"/>
                <w:szCs w:val="16"/>
              </w:rPr>
              <w:t>DUS</w:t>
            </w:r>
          </w:p>
        </w:tc>
        <w:tc>
          <w:tcPr>
            <w:tcW w:w="502" w:type="pct"/>
            <w:vAlign w:val="center"/>
          </w:tcPr>
          <w:p w14:paraId="312FDD4D" w14:textId="77777777" w:rsidR="00C65127" w:rsidRPr="00487ECE" w:rsidRDefault="00C65127" w:rsidP="00422A01">
            <w:pPr>
              <w:widowControl w:val="0"/>
              <w:jc w:val="center"/>
              <w:rPr>
                <w:rFonts w:ascii="Arial" w:hAnsi="Arial" w:cs="Arial"/>
                <w:b/>
                <w:sz w:val="16"/>
                <w:szCs w:val="16"/>
              </w:rPr>
            </w:pPr>
            <w:r>
              <w:rPr>
                <w:rFonts w:ascii="Arial" w:hAnsi="Arial"/>
                <w:b/>
                <w:sz w:val="16"/>
                <w:szCs w:val="16"/>
              </w:rPr>
              <w:t>CGN</w:t>
            </w:r>
          </w:p>
        </w:tc>
        <w:tc>
          <w:tcPr>
            <w:tcW w:w="502" w:type="pct"/>
            <w:vAlign w:val="center"/>
          </w:tcPr>
          <w:p w14:paraId="144994D6" w14:textId="77777777" w:rsidR="00C65127" w:rsidRPr="00487ECE" w:rsidRDefault="00C65127" w:rsidP="00422A01">
            <w:pPr>
              <w:widowControl w:val="0"/>
              <w:jc w:val="center"/>
              <w:rPr>
                <w:rFonts w:ascii="Arial" w:hAnsi="Arial" w:cs="Arial"/>
                <w:b/>
                <w:sz w:val="16"/>
                <w:szCs w:val="16"/>
              </w:rPr>
            </w:pPr>
            <w:r>
              <w:rPr>
                <w:rFonts w:ascii="Arial" w:hAnsi="Arial"/>
                <w:b/>
                <w:sz w:val="16"/>
                <w:szCs w:val="16"/>
              </w:rPr>
              <w:t>FFM</w:t>
            </w:r>
          </w:p>
        </w:tc>
        <w:tc>
          <w:tcPr>
            <w:tcW w:w="502" w:type="pct"/>
            <w:vAlign w:val="center"/>
          </w:tcPr>
          <w:p w14:paraId="65DFA29E" w14:textId="77777777" w:rsidR="00C65127" w:rsidRPr="00487ECE" w:rsidRDefault="00C65127" w:rsidP="00422A01">
            <w:pPr>
              <w:widowControl w:val="0"/>
              <w:jc w:val="center"/>
              <w:rPr>
                <w:rFonts w:ascii="Arial" w:hAnsi="Arial" w:cs="Arial"/>
                <w:b/>
                <w:sz w:val="16"/>
                <w:szCs w:val="16"/>
              </w:rPr>
            </w:pPr>
            <w:r>
              <w:rPr>
                <w:rFonts w:ascii="Arial" w:hAnsi="Arial"/>
                <w:b/>
                <w:sz w:val="16"/>
                <w:szCs w:val="16"/>
              </w:rPr>
              <w:t>STU</w:t>
            </w:r>
          </w:p>
        </w:tc>
        <w:tc>
          <w:tcPr>
            <w:tcW w:w="502" w:type="pct"/>
            <w:vAlign w:val="center"/>
          </w:tcPr>
          <w:p w14:paraId="4F6E6F2C" w14:textId="77777777" w:rsidR="00C65127" w:rsidRPr="00487ECE" w:rsidRDefault="00C65127" w:rsidP="00422A01">
            <w:pPr>
              <w:widowControl w:val="0"/>
              <w:jc w:val="center"/>
              <w:rPr>
                <w:rFonts w:ascii="Arial" w:hAnsi="Arial" w:cs="Arial"/>
                <w:b/>
                <w:sz w:val="16"/>
                <w:szCs w:val="16"/>
              </w:rPr>
            </w:pPr>
            <w:r>
              <w:rPr>
                <w:rFonts w:ascii="Arial" w:hAnsi="Arial"/>
                <w:b/>
                <w:sz w:val="16"/>
                <w:szCs w:val="16"/>
              </w:rPr>
              <w:t>MUC</w:t>
            </w:r>
          </w:p>
        </w:tc>
        <w:tc>
          <w:tcPr>
            <w:tcW w:w="502" w:type="pct"/>
            <w:vAlign w:val="center"/>
          </w:tcPr>
          <w:p w14:paraId="5AABDAC7" w14:textId="77777777" w:rsidR="00C65127" w:rsidRPr="00487ECE" w:rsidRDefault="00C65127" w:rsidP="00422A01">
            <w:pPr>
              <w:widowControl w:val="0"/>
              <w:jc w:val="center"/>
              <w:rPr>
                <w:rFonts w:ascii="Arial" w:hAnsi="Arial" w:cs="Arial"/>
                <w:b/>
                <w:sz w:val="16"/>
                <w:szCs w:val="16"/>
              </w:rPr>
            </w:pPr>
            <w:r>
              <w:rPr>
                <w:rFonts w:ascii="Arial" w:hAnsi="Arial"/>
                <w:b/>
                <w:sz w:val="16"/>
                <w:szCs w:val="16"/>
              </w:rPr>
              <w:t>Top 7</w:t>
            </w:r>
          </w:p>
        </w:tc>
      </w:tr>
      <w:tr w:rsidR="00154A48" w:rsidRPr="004D02F0" w14:paraId="55939988" w14:textId="77777777" w:rsidTr="00422A01">
        <w:trPr>
          <w:trHeight w:val="283"/>
        </w:trPr>
        <w:tc>
          <w:tcPr>
            <w:tcW w:w="985" w:type="pct"/>
            <w:vAlign w:val="center"/>
          </w:tcPr>
          <w:p w14:paraId="06060F83" w14:textId="77777777" w:rsidR="00C65127" w:rsidRPr="004D02F0" w:rsidRDefault="00C65127" w:rsidP="00422A01">
            <w:pPr>
              <w:widowControl w:val="0"/>
              <w:rPr>
                <w:rFonts w:ascii="Arial" w:hAnsi="Arial" w:cs="Arial"/>
                <w:b/>
                <w:sz w:val="16"/>
                <w:szCs w:val="16"/>
              </w:rPr>
            </w:pPr>
            <w:r>
              <w:rPr>
                <w:rFonts w:ascii="Arial" w:hAnsi="Arial"/>
                <w:b/>
                <w:sz w:val="16"/>
                <w:szCs w:val="16"/>
              </w:rPr>
              <w:t>Take-up of space</w:t>
            </w:r>
          </w:p>
          <w:p w14:paraId="318DB722" w14:textId="77777777" w:rsidR="00C65127" w:rsidRPr="004D02F0" w:rsidRDefault="00C65127" w:rsidP="00422A01">
            <w:pPr>
              <w:widowControl w:val="0"/>
              <w:rPr>
                <w:rFonts w:ascii="Arial" w:hAnsi="Arial" w:cs="Arial"/>
                <w:b/>
                <w:sz w:val="16"/>
                <w:szCs w:val="16"/>
              </w:rPr>
            </w:pPr>
            <w:r>
              <w:rPr>
                <w:rFonts w:ascii="Arial" w:hAnsi="Arial"/>
                <w:sz w:val="16"/>
                <w:szCs w:val="16"/>
              </w:rPr>
              <w:t>in m²</w:t>
            </w:r>
          </w:p>
        </w:tc>
        <w:tc>
          <w:tcPr>
            <w:tcW w:w="502" w:type="pct"/>
            <w:vAlign w:val="center"/>
          </w:tcPr>
          <w:p w14:paraId="24B76314" w14:textId="667F0547" w:rsidR="00C65127" w:rsidRPr="004D02F0" w:rsidRDefault="00692469" w:rsidP="00422A01">
            <w:pPr>
              <w:jc w:val="center"/>
              <w:rPr>
                <w:rFonts w:ascii="Arial" w:hAnsi="Arial" w:cs="Arial"/>
                <w:sz w:val="16"/>
                <w:szCs w:val="16"/>
              </w:rPr>
            </w:pPr>
            <w:r>
              <w:rPr>
                <w:rFonts w:ascii="Arial" w:hAnsi="Arial"/>
                <w:sz w:val="16"/>
                <w:szCs w:val="16"/>
              </w:rPr>
              <w:t>250,000</w:t>
            </w:r>
          </w:p>
        </w:tc>
        <w:tc>
          <w:tcPr>
            <w:tcW w:w="502" w:type="pct"/>
            <w:vAlign w:val="center"/>
          </w:tcPr>
          <w:p w14:paraId="2A60B3EF" w14:textId="06CAD7F6" w:rsidR="00C65127" w:rsidRPr="004D02F0" w:rsidRDefault="002A35C4" w:rsidP="00422A01">
            <w:pPr>
              <w:jc w:val="center"/>
              <w:rPr>
                <w:rFonts w:ascii="Arial" w:hAnsi="Arial" w:cs="Arial"/>
                <w:sz w:val="16"/>
                <w:szCs w:val="16"/>
              </w:rPr>
            </w:pPr>
            <w:r>
              <w:rPr>
                <w:rFonts w:ascii="Arial" w:hAnsi="Arial"/>
                <w:sz w:val="16"/>
                <w:szCs w:val="16"/>
              </w:rPr>
              <w:t>409,000</w:t>
            </w:r>
          </w:p>
        </w:tc>
        <w:tc>
          <w:tcPr>
            <w:tcW w:w="502" w:type="pct"/>
            <w:vAlign w:val="center"/>
          </w:tcPr>
          <w:p w14:paraId="5AE39E1B" w14:textId="36AD08E6" w:rsidR="00C65127" w:rsidRPr="004D02F0" w:rsidRDefault="002A35C4" w:rsidP="00422A01">
            <w:pPr>
              <w:jc w:val="center"/>
              <w:rPr>
                <w:rFonts w:ascii="Arial" w:hAnsi="Arial" w:cs="Arial"/>
                <w:sz w:val="16"/>
                <w:szCs w:val="16"/>
              </w:rPr>
            </w:pPr>
            <w:r>
              <w:rPr>
                <w:rFonts w:ascii="Arial" w:hAnsi="Arial"/>
                <w:sz w:val="16"/>
                <w:szCs w:val="16"/>
              </w:rPr>
              <w:t>195,700</w:t>
            </w:r>
          </w:p>
        </w:tc>
        <w:tc>
          <w:tcPr>
            <w:tcW w:w="502" w:type="pct"/>
            <w:vAlign w:val="center"/>
          </w:tcPr>
          <w:p w14:paraId="69355A2E" w14:textId="4A7446F1" w:rsidR="00C65127" w:rsidRPr="004D02F0" w:rsidRDefault="002A35C4" w:rsidP="00422A01">
            <w:pPr>
              <w:jc w:val="center"/>
              <w:rPr>
                <w:rFonts w:ascii="Arial" w:hAnsi="Arial" w:cs="Arial"/>
                <w:sz w:val="16"/>
                <w:szCs w:val="16"/>
              </w:rPr>
            </w:pPr>
            <w:r>
              <w:rPr>
                <w:rFonts w:ascii="Arial" w:hAnsi="Arial"/>
                <w:sz w:val="16"/>
                <w:szCs w:val="16"/>
              </w:rPr>
              <w:t>145,000</w:t>
            </w:r>
          </w:p>
        </w:tc>
        <w:tc>
          <w:tcPr>
            <w:tcW w:w="502" w:type="pct"/>
            <w:vAlign w:val="center"/>
          </w:tcPr>
          <w:p w14:paraId="3ED197E3" w14:textId="6E356466" w:rsidR="00C65127" w:rsidRPr="004D02F0" w:rsidRDefault="002A35C4" w:rsidP="00422A01">
            <w:pPr>
              <w:jc w:val="center"/>
              <w:rPr>
                <w:rFonts w:ascii="Arial" w:hAnsi="Arial" w:cs="Arial"/>
                <w:sz w:val="16"/>
                <w:szCs w:val="16"/>
              </w:rPr>
            </w:pPr>
            <w:r>
              <w:rPr>
                <w:rFonts w:ascii="Arial" w:hAnsi="Arial"/>
                <w:sz w:val="16"/>
                <w:szCs w:val="16"/>
              </w:rPr>
              <w:t>221,000</w:t>
            </w:r>
          </w:p>
        </w:tc>
        <w:tc>
          <w:tcPr>
            <w:tcW w:w="502" w:type="pct"/>
            <w:vAlign w:val="center"/>
          </w:tcPr>
          <w:p w14:paraId="09BCBF01" w14:textId="7198C8BC" w:rsidR="00C65127" w:rsidRPr="004D02F0" w:rsidRDefault="002A35C4" w:rsidP="00422A01">
            <w:pPr>
              <w:jc w:val="center"/>
              <w:rPr>
                <w:rFonts w:ascii="Arial" w:hAnsi="Arial" w:cs="Arial"/>
                <w:sz w:val="16"/>
                <w:szCs w:val="16"/>
              </w:rPr>
            </w:pPr>
            <w:r>
              <w:rPr>
                <w:rFonts w:ascii="Arial" w:hAnsi="Arial"/>
                <w:sz w:val="16"/>
                <w:szCs w:val="16"/>
              </w:rPr>
              <w:t>98,000</w:t>
            </w:r>
          </w:p>
        </w:tc>
        <w:tc>
          <w:tcPr>
            <w:tcW w:w="502" w:type="pct"/>
            <w:vAlign w:val="center"/>
          </w:tcPr>
          <w:p w14:paraId="28F82D2E" w14:textId="0506EB3F" w:rsidR="00C65127" w:rsidRPr="004D02F0" w:rsidRDefault="002A35C4" w:rsidP="00422A01">
            <w:pPr>
              <w:jc w:val="center"/>
              <w:rPr>
                <w:rFonts w:ascii="Arial" w:hAnsi="Arial" w:cs="Arial"/>
                <w:sz w:val="16"/>
                <w:szCs w:val="16"/>
              </w:rPr>
            </w:pPr>
            <w:r>
              <w:rPr>
                <w:rFonts w:ascii="Arial" w:hAnsi="Arial"/>
                <w:sz w:val="16"/>
                <w:szCs w:val="16"/>
              </w:rPr>
              <w:t>413,500</w:t>
            </w:r>
          </w:p>
        </w:tc>
        <w:tc>
          <w:tcPr>
            <w:tcW w:w="502" w:type="pct"/>
            <w:vAlign w:val="center"/>
          </w:tcPr>
          <w:p w14:paraId="53EA10CE" w14:textId="46F757D8" w:rsidR="00C65127" w:rsidRPr="004D02F0" w:rsidRDefault="00351CB2" w:rsidP="00422A01">
            <w:pPr>
              <w:jc w:val="center"/>
              <w:rPr>
                <w:rFonts w:ascii="Arial" w:hAnsi="Arial" w:cs="Arial"/>
                <w:b/>
                <w:sz w:val="16"/>
                <w:szCs w:val="16"/>
              </w:rPr>
            </w:pPr>
            <w:r>
              <w:rPr>
                <w:rFonts w:ascii="Arial" w:hAnsi="Arial"/>
                <w:b/>
                <w:bCs/>
                <w:sz w:val="16"/>
                <w:szCs w:val="16"/>
              </w:rPr>
              <w:t>1,732,200</w:t>
            </w:r>
          </w:p>
        </w:tc>
      </w:tr>
      <w:tr w:rsidR="00154A48" w:rsidRPr="004D02F0" w14:paraId="30BAA405" w14:textId="77777777" w:rsidTr="00422A01">
        <w:trPr>
          <w:trHeight w:val="283"/>
        </w:trPr>
        <w:tc>
          <w:tcPr>
            <w:tcW w:w="985" w:type="pct"/>
            <w:vAlign w:val="center"/>
          </w:tcPr>
          <w:p w14:paraId="1A75E96C" w14:textId="77777777" w:rsidR="00C65127" w:rsidRPr="004D02F0" w:rsidRDefault="00C65127" w:rsidP="00422A01">
            <w:pPr>
              <w:widowControl w:val="0"/>
              <w:rPr>
                <w:rFonts w:ascii="Arial" w:hAnsi="Arial" w:cs="Arial"/>
                <w:b/>
                <w:sz w:val="16"/>
                <w:szCs w:val="16"/>
              </w:rPr>
            </w:pPr>
            <w:r>
              <w:rPr>
                <w:rFonts w:ascii="Arial" w:hAnsi="Arial"/>
                <w:b/>
                <w:sz w:val="16"/>
                <w:szCs w:val="16"/>
              </w:rPr>
              <w:t>Change</w:t>
            </w:r>
          </w:p>
          <w:p w14:paraId="3888A71B" w14:textId="77777777" w:rsidR="00C65127" w:rsidRPr="004D02F0" w:rsidRDefault="00C65127" w:rsidP="00422A01">
            <w:pPr>
              <w:widowControl w:val="0"/>
              <w:rPr>
                <w:rFonts w:ascii="Arial" w:hAnsi="Arial" w:cs="Arial"/>
                <w:b/>
                <w:sz w:val="16"/>
                <w:szCs w:val="16"/>
              </w:rPr>
            </w:pPr>
            <w:r>
              <w:rPr>
                <w:rFonts w:ascii="Arial" w:hAnsi="Arial"/>
                <w:b/>
                <w:sz w:val="16"/>
                <w:szCs w:val="16"/>
              </w:rPr>
              <w:t xml:space="preserve">against prior </w:t>
            </w:r>
            <w:proofErr w:type="spellStart"/>
            <w:r>
              <w:rPr>
                <w:rFonts w:ascii="Arial" w:hAnsi="Arial"/>
                <w:b/>
                <w:sz w:val="16"/>
                <w:szCs w:val="16"/>
              </w:rPr>
              <w:t>yr</w:t>
            </w:r>
            <w:proofErr w:type="spellEnd"/>
            <w:r>
              <w:rPr>
                <w:rFonts w:ascii="Arial" w:hAnsi="Arial"/>
                <w:sz w:val="16"/>
                <w:szCs w:val="16"/>
              </w:rPr>
              <w:t xml:space="preserve"> in %</w:t>
            </w:r>
          </w:p>
        </w:tc>
        <w:tc>
          <w:tcPr>
            <w:tcW w:w="502" w:type="pct"/>
            <w:vAlign w:val="center"/>
          </w:tcPr>
          <w:p w14:paraId="6D7F8C99" w14:textId="08635F81" w:rsidR="00C65127" w:rsidRPr="004D02F0" w:rsidRDefault="00530208" w:rsidP="00422A01">
            <w:pPr>
              <w:jc w:val="center"/>
              <w:rPr>
                <w:rFonts w:ascii="Arial" w:hAnsi="Arial" w:cs="Arial"/>
                <w:sz w:val="16"/>
                <w:szCs w:val="16"/>
              </w:rPr>
            </w:pPr>
            <w:r>
              <w:rPr>
                <w:rFonts w:ascii="Arial" w:hAnsi="Arial"/>
                <w:sz w:val="16"/>
                <w:szCs w:val="16"/>
              </w:rPr>
              <w:t>-43</w:t>
            </w:r>
          </w:p>
        </w:tc>
        <w:tc>
          <w:tcPr>
            <w:tcW w:w="502" w:type="pct"/>
            <w:vAlign w:val="center"/>
          </w:tcPr>
          <w:p w14:paraId="5141C8F6" w14:textId="1E15991D" w:rsidR="00C65127" w:rsidRPr="004D02F0" w:rsidRDefault="00264158" w:rsidP="00422A01">
            <w:pPr>
              <w:jc w:val="center"/>
              <w:rPr>
                <w:rFonts w:ascii="Arial" w:hAnsi="Arial" w:cs="Arial"/>
                <w:sz w:val="16"/>
                <w:szCs w:val="16"/>
              </w:rPr>
            </w:pPr>
            <w:r>
              <w:rPr>
                <w:rFonts w:ascii="Arial" w:hAnsi="Arial"/>
                <w:sz w:val="16"/>
                <w:szCs w:val="16"/>
              </w:rPr>
              <w:t>-45</w:t>
            </w:r>
          </w:p>
        </w:tc>
        <w:tc>
          <w:tcPr>
            <w:tcW w:w="502" w:type="pct"/>
            <w:vAlign w:val="center"/>
          </w:tcPr>
          <w:p w14:paraId="63C7571D" w14:textId="4CD02555" w:rsidR="00C65127" w:rsidRPr="004D02F0" w:rsidRDefault="002A35C4" w:rsidP="00422A01">
            <w:pPr>
              <w:jc w:val="center"/>
              <w:rPr>
                <w:rFonts w:ascii="Arial" w:hAnsi="Arial" w:cs="Arial"/>
                <w:sz w:val="16"/>
                <w:szCs w:val="16"/>
              </w:rPr>
            </w:pPr>
            <w:r>
              <w:rPr>
                <w:rFonts w:ascii="Arial" w:hAnsi="Arial"/>
                <w:sz w:val="16"/>
                <w:szCs w:val="16"/>
              </w:rPr>
              <w:t>-44</w:t>
            </w:r>
          </w:p>
        </w:tc>
        <w:tc>
          <w:tcPr>
            <w:tcW w:w="502" w:type="pct"/>
            <w:vAlign w:val="center"/>
          </w:tcPr>
          <w:p w14:paraId="7165D3E4" w14:textId="35FFBE97" w:rsidR="00C65127" w:rsidRPr="004D02F0" w:rsidRDefault="00264158" w:rsidP="00422A01">
            <w:pPr>
              <w:jc w:val="center"/>
              <w:rPr>
                <w:rFonts w:ascii="Arial" w:hAnsi="Arial" w:cs="Arial"/>
                <w:sz w:val="16"/>
                <w:szCs w:val="16"/>
              </w:rPr>
            </w:pPr>
            <w:r>
              <w:rPr>
                <w:rFonts w:ascii="Arial" w:hAnsi="Arial"/>
                <w:sz w:val="16"/>
                <w:szCs w:val="16"/>
              </w:rPr>
              <w:t>-29</w:t>
            </w:r>
          </w:p>
        </w:tc>
        <w:tc>
          <w:tcPr>
            <w:tcW w:w="502" w:type="pct"/>
            <w:vAlign w:val="center"/>
          </w:tcPr>
          <w:p w14:paraId="6A7EC24B" w14:textId="7BDA8C0A" w:rsidR="00C65127" w:rsidRPr="004D02F0" w:rsidRDefault="009918A6" w:rsidP="00422A01">
            <w:pPr>
              <w:jc w:val="center"/>
              <w:rPr>
                <w:rFonts w:ascii="Arial" w:hAnsi="Arial" w:cs="Arial"/>
                <w:sz w:val="16"/>
                <w:szCs w:val="16"/>
              </w:rPr>
            </w:pPr>
            <w:r>
              <w:rPr>
                <w:rFonts w:ascii="Arial" w:hAnsi="Arial"/>
                <w:sz w:val="16"/>
                <w:szCs w:val="16"/>
              </w:rPr>
              <w:t>-41</w:t>
            </w:r>
          </w:p>
        </w:tc>
        <w:tc>
          <w:tcPr>
            <w:tcW w:w="502" w:type="pct"/>
            <w:vAlign w:val="center"/>
          </w:tcPr>
          <w:p w14:paraId="1BF0A9D0" w14:textId="2B462B54" w:rsidR="00C65127" w:rsidRPr="005A1563" w:rsidRDefault="00264158" w:rsidP="00422A01">
            <w:pPr>
              <w:jc w:val="center"/>
              <w:rPr>
                <w:rFonts w:ascii="Arial" w:hAnsi="Arial" w:cs="Arial"/>
                <w:sz w:val="16"/>
                <w:szCs w:val="16"/>
              </w:rPr>
            </w:pPr>
            <w:r>
              <w:rPr>
                <w:rFonts w:ascii="Arial" w:hAnsi="Arial"/>
                <w:sz w:val="16"/>
                <w:szCs w:val="16"/>
              </w:rPr>
              <w:t>-62</w:t>
            </w:r>
          </w:p>
        </w:tc>
        <w:tc>
          <w:tcPr>
            <w:tcW w:w="502" w:type="pct"/>
            <w:vAlign w:val="center"/>
          </w:tcPr>
          <w:p w14:paraId="7AAF5FFC" w14:textId="0E839D44" w:rsidR="00C65127" w:rsidRPr="004D02F0" w:rsidRDefault="002A35C4" w:rsidP="00422A01">
            <w:pPr>
              <w:jc w:val="center"/>
              <w:rPr>
                <w:rFonts w:ascii="Arial" w:hAnsi="Arial" w:cs="Arial"/>
                <w:sz w:val="16"/>
                <w:szCs w:val="16"/>
              </w:rPr>
            </w:pPr>
            <w:r>
              <w:rPr>
                <w:rFonts w:ascii="Arial" w:hAnsi="Arial"/>
                <w:sz w:val="16"/>
                <w:szCs w:val="16"/>
              </w:rPr>
              <w:t>-28</w:t>
            </w:r>
          </w:p>
        </w:tc>
        <w:tc>
          <w:tcPr>
            <w:tcW w:w="502" w:type="pct"/>
            <w:vAlign w:val="center"/>
          </w:tcPr>
          <w:p w14:paraId="35023511" w14:textId="1BF4DB03" w:rsidR="00C65127" w:rsidRPr="004D02F0" w:rsidRDefault="00264158" w:rsidP="00422A01">
            <w:pPr>
              <w:jc w:val="center"/>
              <w:rPr>
                <w:rFonts w:ascii="Arial" w:hAnsi="Arial" w:cs="Arial"/>
                <w:b/>
                <w:sz w:val="16"/>
                <w:szCs w:val="16"/>
              </w:rPr>
            </w:pPr>
            <w:r>
              <w:rPr>
                <w:rFonts w:ascii="Arial" w:hAnsi="Arial"/>
                <w:b/>
                <w:sz w:val="16"/>
                <w:szCs w:val="16"/>
              </w:rPr>
              <w:t>-41</w:t>
            </w:r>
          </w:p>
        </w:tc>
      </w:tr>
      <w:tr w:rsidR="00154A48" w:rsidRPr="004D02F0" w14:paraId="6A892DF0" w14:textId="77777777" w:rsidTr="00422A01">
        <w:trPr>
          <w:trHeight w:val="283"/>
        </w:trPr>
        <w:tc>
          <w:tcPr>
            <w:tcW w:w="985" w:type="pct"/>
            <w:vAlign w:val="center"/>
          </w:tcPr>
          <w:p w14:paraId="03331B4D" w14:textId="77777777" w:rsidR="00C65127" w:rsidRPr="004D02F0" w:rsidRDefault="00C65127" w:rsidP="00422A01">
            <w:pPr>
              <w:widowControl w:val="0"/>
              <w:rPr>
                <w:rFonts w:ascii="Arial" w:hAnsi="Arial" w:cs="Arial"/>
                <w:b/>
                <w:sz w:val="16"/>
                <w:szCs w:val="16"/>
              </w:rPr>
            </w:pPr>
            <w:r>
              <w:rPr>
                <w:rFonts w:ascii="Arial" w:hAnsi="Arial"/>
                <w:b/>
                <w:sz w:val="16"/>
                <w:szCs w:val="16"/>
              </w:rPr>
              <w:t>Premium rent</w:t>
            </w:r>
          </w:p>
          <w:p w14:paraId="5AAB1763" w14:textId="77777777" w:rsidR="00C65127" w:rsidRPr="004D02F0" w:rsidRDefault="00C65127" w:rsidP="00422A01">
            <w:pPr>
              <w:widowControl w:val="0"/>
              <w:rPr>
                <w:rFonts w:ascii="Arial" w:hAnsi="Arial" w:cs="Arial"/>
                <w:b/>
                <w:sz w:val="16"/>
                <w:szCs w:val="16"/>
              </w:rPr>
            </w:pPr>
            <w:r>
              <w:rPr>
                <w:rFonts w:ascii="Arial" w:hAnsi="Arial"/>
                <w:sz w:val="16"/>
                <w:szCs w:val="16"/>
              </w:rPr>
              <w:t>in €/m²/month</w:t>
            </w:r>
          </w:p>
        </w:tc>
        <w:tc>
          <w:tcPr>
            <w:tcW w:w="502" w:type="pct"/>
            <w:vAlign w:val="center"/>
          </w:tcPr>
          <w:p w14:paraId="70AD1691" w14:textId="7400128A" w:rsidR="00C65127" w:rsidRPr="004D02F0" w:rsidRDefault="00264158" w:rsidP="00422A01">
            <w:pPr>
              <w:jc w:val="center"/>
              <w:rPr>
                <w:rFonts w:ascii="Arial" w:hAnsi="Arial" w:cs="Arial"/>
                <w:sz w:val="16"/>
                <w:szCs w:val="16"/>
              </w:rPr>
            </w:pPr>
            <w:r>
              <w:rPr>
                <w:rFonts w:ascii="Arial" w:hAnsi="Arial"/>
                <w:sz w:val="16"/>
                <w:szCs w:val="16"/>
              </w:rPr>
              <w:t>30.50</w:t>
            </w:r>
          </w:p>
        </w:tc>
        <w:tc>
          <w:tcPr>
            <w:tcW w:w="502" w:type="pct"/>
            <w:vAlign w:val="center"/>
          </w:tcPr>
          <w:p w14:paraId="3B47B535" w14:textId="159A8FB0" w:rsidR="00C65127" w:rsidRPr="004D02F0" w:rsidRDefault="00264158" w:rsidP="00422A01">
            <w:pPr>
              <w:jc w:val="center"/>
              <w:rPr>
                <w:rFonts w:ascii="Arial" w:hAnsi="Arial" w:cs="Arial"/>
                <w:sz w:val="16"/>
                <w:szCs w:val="16"/>
              </w:rPr>
            </w:pPr>
            <w:r>
              <w:rPr>
                <w:rFonts w:ascii="Arial" w:hAnsi="Arial"/>
                <w:sz w:val="16"/>
                <w:szCs w:val="16"/>
              </w:rPr>
              <w:t>39.00</w:t>
            </w:r>
          </w:p>
        </w:tc>
        <w:tc>
          <w:tcPr>
            <w:tcW w:w="502" w:type="pct"/>
            <w:vAlign w:val="center"/>
          </w:tcPr>
          <w:p w14:paraId="48FF87E6" w14:textId="624B391E" w:rsidR="00C65127" w:rsidRPr="004D02F0" w:rsidRDefault="00264158" w:rsidP="00422A01">
            <w:pPr>
              <w:jc w:val="center"/>
              <w:rPr>
                <w:rFonts w:ascii="Arial" w:hAnsi="Arial" w:cs="Arial"/>
                <w:sz w:val="16"/>
                <w:szCs w:val="16"/>
              </w:rPr>
            </w:pPr>
            <w:r>
              <w:rPr>
                <w:rFonts w:ascii="Arial" w:hAnsi="Arial"/>
                <w:sz w:val="16"/>
                <w:szCs w:val="16"/>
              </w:rPr>
              <w:t>28.50</w:t>
            </w:r>
          </w:p>
        </w:tc>
        <w:tc>
          <w:tcPr>
            <w:tcW w:w="502" w:type="pct"/>
            <w:vAlign w:val="center"/>
          </w:tcPr>
          <w:p w14:paraId="0E0D4DA3" w14:textId="560D0C79" w:rsidR="00C65127" w:rsidRPr="004D02F0" w:rsidRDefault="4A6EE254" w:rsidP="00422A01">
            <w:pPr>
              <w:jc w:val="center"/>
              <w:rPr>
                <w:rFonts w:ascii="Arial" w:hAnsi="Arial" w:cs="Arial"/>
                <w:sz w:val="16"/>
                <w:szCs w:val="16"/>
              </w:rPr>
            </w:pPr>
            <w:r>
              <w:rPr>
                <w:rFonts w:ascii="Arial" w:hAnsi="Arial"/>
                <w:sz w:val="16"/>
                <w:szCs w:val="16"/>
              </w:rPr>
              <w:t>26.00</w:t>
            </w:r>
          </w:p>
        </w:tc>
        <w:tc>
          <w:tcPr>
            <w:tcW w:w="502" w:type="pct"/>
            <w:vAlign w:val="center"/>
          </w:tcPr>
          <w:p w14:paraId="2F6819D7" w14:textId="37F95A0E" w:rsidR="00C65127" w:rsidRPr="004D02F0" w:rsidRDefault="009918A6" w:rsidP="00422A01">
            <w:pPr>
              <w:jc w:val="center"/>
              <w:rPr>
                <w:rFonts w:ascii="Arial" w:hAnsi="Arial" w:cs="Arial"/>
                <w:sz w:val="16"/>
                <w:szCs w:val="16"/>
              </w:rPr>
            </w:pPr>
            <w:r>
              <w:rPr>
                <w:rFonts w:ascii="Arial" w:hAnsi="Arial"/>
                <w:sz w:val="16"/>
                <w:szCs w:val="16"/>
              </w:rPr>
              <w:t>45.00</w:t>
            </w:r>
          </w:p>
        </w:tc>
        <w:tc>
          <w:tcPr>
            <w:tcW w:w="502" w:type="pct"/>
            <w:vAlign w:val="center"/>
          </w:tcPr>
          <w:p w14:paraId="47B42CB7" w14:textId="4377E706" w:rsidR="00C65127" w:rsidRPr="004D02F0" w:rsidRDefault="4A6EE254" w:rsidP="00422A01">
            <w:pPr>
              <w:jc w:val="center"/>
              <w:rPr>
                <w:rFonts w:ascii="Arial" w:hAnsi="Arial" w:cs="Arial"/>
                <w:sz w:val="16"/>
                <w:szCs w:val="16"/>
              </w:rPr>
            </w:pPr>
            <w:r>
              <w:rPr>
                <w:rFonts w:ascii="Arial" w:hAnsi="Arial"/>
                <w:sz w:val="16"/>
                <w:szCs w:val="16"/>
              </w:rPr>
              <w:t>25.50</w:t>
            </w:r>
          </w:p>
        </w:tc>
        <w:tc>
          <w:tcPr>
            <w:tcW w:w="502" w:type="pct"/>
            <w:vAlign w:val="center"/>
          </w:tcPr>
          <w:p w14:paraId="662439A0" w14:textId="642F2CAD" w:rsidR="00C65127" w:rsidRPr="004D02F0" w:rsidRDefault="009918A6" w:rsidP="00422A01">
            <w:pPr>
              <w:jc w:val="center"/>
              <w:rPr>
                <w:rFonts w:ascii="Arial" w:hAnsi="Arial" w:cs="Arial"/>
                <w:sz w:val="16"/>
                <w:szCs w:val="16"/>
              </w:rPr>
            </w:pPr>
            <w:r>
              <w:rPr>
                <w:rFonts w:ascii="Arial" w:hAnsi="Arial"/>
                <w:sz w:val="16"/>
                <w:szCs w:val="16"/>
              </w:rPr>
              <w:t>38.50</w:t>
            </w:r>
          </w:p>
        </w:tc>
        <w:tc>
          <w:tcPr>
            <w:tcW w:w="502" w:type="pct"/>
            <w:vAlign w:val="center"/>
          </w:tcPr>
          <w:p w14:paraId="16C3A477" w14:textId="145F4DE1" w:rsidR="00C65127" w:rsidRPr="004D02F0" w:rsidRDefault="4A6EE254" w:rsidP="00422A01">
            <w:pPr>
              <w:widowControl w:val="0"/>
              <w:jc w:val="center"/>
              <w:rPr>
                <w:rFonts w:ascii="Arial" w:hAnsi="Arial" w:cs="Arial"/>
                <w:b/>
                <w:sz w:val="16"/>
                <w:szCs w:val="16"/>
              </w:rPr>
            </w:pPr>
            <w:r>
              <w:rPr>
                <w:rFonts w:ascii="Arial" w:hAnsi="Arial"/>
                <w:b/>
                <w:sz w:val="16"/>
                <w:szCs w:val="16"/>
              </w:rPr>
              <w:t>-</w:t>
            </w:r>
          </w:p>
        </w:tc>
      </w:tr>
      <w:tr w:rsidR="00154A48" w:rsidRPr="004D02F0" w14:paraId="5BB9D77C" w14:textId="77777777" w:rsidTr="00422A01">
        <w:trPr>
          <w:trHeight w:val="283"/>
        </w:trPr>
        <w:tc>
          <w:tcPr>
            <w:tcW w:w="985" w:type="pct"/>
            <w:vAlign w:val="center"/>
          </w:tcPr>
          <w:p w14:paraId="2BB43FAF" w14:textId="77777777" w:rsidR="00C65127" w:rsidRPr="004D02F0" w:rsidRDefault="00C65127" w:rsidP="00422A01">
            <w:pPr>
              <w:widowControl w:val="0"/>
              <w:rPr>
                <w:rFonts w:ascii="Arial" w:hAnsi="Arial" w:cs="Arial"/>
                <w:b/>
                <w:sz w:val="16"/>
                <w:szCs w:val="16"/>
              </w:rPr>
            </w:pPr>
            <w:r>
              <w:rPr>
                <w:rFonts w:ascii="Arial" w:hAnsi="Arial"/>
                <w:b/>
                <w:sz w:val="16"/>
                <w:szCs w:val="16"/>
              </w:rPr>
              <w:t xml:space="preserve">Average rent </w:t>
            </w:r>
            <w:r>
              <w:rPr>
                <w:rFonts w:ascii="Arial" w:hAnsi="Arial"/>
                <w:sz w:val="16"/>
                <w:szCs w:val="16"/>
              </w:rPr>
              <w:t>[€/m²/month]</w:t>
            </w:r>
          </w:p>
        </w:tc>
        <w:tc>
          <w:tcPr>
            <w:tcW w:w="502" w:type="pct"/>
            <w:vAlign w:val="center"/>
          </w:tcPr>
          <w:p w14:paraId="3CFBDAD7" w14:textId="4B62E9A2" w:rsidR="00C65127" w:rsidRPr="004D02F0" w:rsidRDefault="00163785" w:rsidP="00422A01">
            <w:pPr>
              <w:jc w:val="center"/>
              <w:rPr>
                <w:rFonts w:ascii="Arial" w:hAnsi="Arial" w:cs="Arial"/>
                <w:sz w:val="16"/>
                <w:szCs w:val="16"/>
              </w:rPr>
            </w:pPr>
            <w:r>
              <w:rPr>
                <w:rFonts w:ascii="Arial" w:hAnsi="Arial"/>
                <w:sz w:val="16"/>
                <w:szCs w:val="16"/>
              </w:rPr>
              <w:t>17.30</w:t>
            </w:r>
          </w:p>
        </w:tc>
        <w:tc>
          <w:tcPr>
            <w:tcW w:w="502" w:type="pct"/>
            <w:vAlign w:val="center"/>
          </w:tcPr>
          <w:p w14:paraId="250741C6" w14:textId="04710DB2" w:rsidR="00C65127" w:rsidRPr="004D02F0" w:rsidRDefault="00550AD1" w:rsidP="00422A01">
            <w:pPr>
              <w:jc w:val="center"/>
              <w:rPr>
                <w:rFonts w:ascii="Arial" w:hAnsi="Arial" w:cs="Arial"/>
                <w:sz w:val="16"/>
                <w:szCs w:val="16"/>
              </w:rPr>
            </w:pPr>
            <w:r>
              <w:rPr>
                <w:rFonts w:ascii="Arial" w:hAnsi="Arial"/>
                <w:sz w:val="16"/>
                <w:szCs w:val="16"/>
              </w:rPr>
              <w:t>29.00</w:t>
            </w:r>
          </w:p>
        </w:tc>
        <w:tc>
          <w:tcPr>
            <w:tcW w:w="502" w:type="pct"/>
            <w:vAlign w:val="center"/>
          </w:tcPr>
          <w:p w14:paraId="22731057" w14:textId="5B28233D" w:rsidR="00C65127" w:rsidRPr="004D02F0" w:rsidRDefault="4A6EE254" w:rsidP="00422A01">
            <w:pPr>
              <w:jc w:val="center"/>
              <w:rPr>
                <w:rFonts w:ascii="Arial" w:hAnsi="Arial" w:cs="Arial"/>
                <w:sz w:val="16"/>
                <w:szCs w:val="16"/>
              </w:rPr>
            </w:pPr>
            <w:r>
              <w:rPr>
                <w:rFonts w:ascii="Arial" w:hAnsi="Arial"/>
                <w:sz w:val="16"/>
                <w:szCs w:val="16"/>
              </w:rPr>
              <w:t>16.85</w:t>
            </w:r>
          </w:p>
        </w:tc>
        <w:tc>
          <w:tcPr>
            <w:tcW w:w="502" w:type="pct"/>
            <w:vAlign w:val="center"/>
          </w:tcPr>
          <w:p w14:paraId="3346910E" w14:textId="20365F1D" w:rsidR="00C65127" w:rsidRPr="004D02F0" w:rsidRDefault="00264158" w:rsidP="00422A01">
            <w:pPr>
              <w:jc w:val="center"/>
              <w:rPr>
                <w:rFonts w:ascii="Arial" w:hAnsi="Arial" w:cs="Arial"/>
                <w:sz w:val="16"/>
                <w:szCs w:val="16"/>
              </w:rPr>
            </w:pPr>
            <w:r>
              <w:rPr>
                <w:rFonts w:ascii="Arial" w:hAnsi="Arial"/>
                <w:sz w:val="16"/>
                <w:szCs w:val="16"/>
              </w:rPr>
              <w:t>15.00</w:t>
            </w:r>
          </w:p>
        </w:tc>
        <w:tc>
          <w:tcPr>
            <w:tcW w:w="502" w:type="pct"/>
            <w:vAlign w:val="center"/>
          </w:tcPr>
          <w:p w14:paraId="35378973" w14:textId="727DBB18" w:rsidR="00C65127" w:rsidRPr="004D02F0" w:rsidRDefault="00264158" w:rsidP="00422A01">
            <w:pPr>
              <w:jc w:val="center"/>
              <w:rPr>
                <w:rFonts w:ascii="Arial" w:hAnsi="Arial" w:cs="Arial"/>
                <w:sz w:val="16"/>
                <w:szCs w:val="16"/>
              </w:rPr>
            </w:pPr>
            <w:r>
              <w:rPr>
                <w:rFonts w:ascii="Arial" w:hAnsi="Arial"/>
                <w:sz w:val="16"/>
                <w:szCs w:val="16"/>
              </w:rPr>
              <w:t>21.60</w:t>
            </w:r>
          </w:p>
        </w:tc>
        <w:tc>
          <w:tcPr>
            <w:tcW w:w="502" w:type="pct"/>
            <w:vAlign w:val="center"/>
          </w:tcPr>
          <w:p w14:paraId="2EA0BF92" w14:textId="648B5C79" w:rsidR="00C65127" w:rsidRPr="004D02F0" w:rsidRDefault="006958D9" w:rsidP="00422A01">
            <w:pPr>
              <w:jc w:val="center"/>
              <w:rPr>
                <w:rFonts w:ascii="Arial" w:hAnsi="Arial" w:cs="Arial"/>
                <w:sz w:val="16"/>
                <w:szCs w:val="16"/>
              </w:rPr>
            </w:pPr>
            <w:r>
              <w:rPr>
                <w:rFonts w:ascii="Arial" w:hAnsi="Arial"/>
                <w:sz w:val="16"/>
                <w:szCs w:val="16"/>
              </w:rPr>
              <w:t>16.40</w:t>
            </w:r>
          </w:p>
        </w:tc>
        <w:tc>
          <w:tcPr>
            <w:tcW w:w="502" w:type="pct"/>
            <w:vAlign w:val="center"/>
          </w:tcPr>
          <w:p w14:paraId="67E1FFC1" w14:textId="469687C0" w:rsidR="00C65127" w:rsidRPr="004D02F0" w:rsidRDefault="00530208" w:rsidP="00422A01">
            <w:pPr>
              <w:jc w:val="center"/>
              <w:rPr>
                <w:rFonts w:ascii="Arial" w:hAnsi="Arial" w:cs="Arial"/>
                <w:sz w:val="16"/>
                <w:szCs w:val="16"/>
              </w:rPr>
            </w:pPr>
            <w:r>
              <w:rPr>
                <w:rFonts w:ascii="Arial" w:hAnsi="Arial"/>
                <w:sz w:val="16"/>
                <w:szCs w:val="16"/>
              </w:rPr>
              <w:t>22.50</w:t>
            </w:r>
          </w:p>
        </w:tc>
        <w:tc>
          <w:tcPr>
            <w:tcW w:w="502" w:type="pct"/>
            <w:vAlign w:val="center"/>
          </w:tcPr>
          <w:p w14:paraId="641D8666" w14:textId="25A47855" w:rsidR="00C65127" w:rsidRPr="004D02F0" w:rsidRDefault="4A6EE254" w:rsidP="00422A01">
            <w:pPr>
              <w:widowControl w:val="0"/>
              <w:jc w:val="center"/>
              <w:rPr>
                <w:rFonts w:ascii="Arial" w:hAnsi="Arial" w:cs="Arial"/>
                <w:b/>
                <w:sz w:val="16"/>
                <w:szCs w:val="16"/>
              </w:rPr>
            </w:pPr>
            <w:r>
              <w:rPr>
                <w:rFonts w:ascii="Arial" w:hAnsi="Arial"/>
                <w:b/>
                <w:sz w:val="16"/>
                <w:szCs w:val="16"/>
              </w:rPr>
              <w:t>-</w:t>
            </w:r>
          </w:p>
        </w:tc>
      </w:tr>
      <w:tr w:rsidR="00154A48" w:rsidRPr="004D02F0" w14:paraId="11C1F04E" w14:textId="77777777" w:rsidTr="00422A01">
        <w:trPr>
          <w:trHeight w:val="283"/>
        </w:trPr>
        <w:tc>
          <w:tcPr>
            <w:tcW w:w="985" w:type="pct"/>
            <w:vAlign w:val="center"/>
          </w:tcPr>
          <w:p w14:paraId="038CA77D" w14:textId="77777777" w:rsidR="00C65127" w:rsidRPr="004D02F0" w:rsidRDefault="00C65127" w:rsidP="00422A01">
            <w:pPr>
              <w:widowControl w:val="0"/>
              <w:rPr>
                <w:rFonts w:ascii="Arial" w:hAnsi="Arial" w:cs="Arial"/>
                <w:sz w:val="16"/>
                <w:szCs w:val="16"/>
              </w:rPr>
            </w:pPr>
            <w:r>
              <w:rPr>
                <w:rFonts w:ascii="Arial" w:hAnsi="Arial"/>
                <w:b/>
                <w:sz w:val="16"/>
                <w:szCs w:val="16"/>
              </w:rPr>
              <w:t>Stock of office space</w:t>
            </w:r>
            <w:r>
              <w:rPr>
                <w:rFonts w:ascii="Arial" w:hAnsi="Arial"/>
                <w:sz w:val="16"/>
                <w:szCs w:val="16"/>
              </w:rPr>
              <w:t xml:space="preserve"> in millions m²</w:t>
            </w:r>
          </w:p>
        </w:tc>
        <w:tc>
          <w:tcPr>
            <w:tcW w:w="502" w:type="pct"/>
            <w:vAlign w:val="center"/>
          </w:tcPr>
          <w:p w14:paraId="4602080E" w14:textId="6B08336F" w:rsidR="00C65127" w:rsidRPr="004D02F0" w:rsidRDefault="4A6EE254" w:rsidP="00422A01">
            <w:pPr>
              <w:jc w:val="center"/>
              <w:rPr>
                <w:rFonts w:ascii="Arial" w:hAnsi="Arial" w:cs="Arial"/>
                <w:sz w:val="16"/>
                <w:szCs w:val="16"/>
              </w:rPr>
            </w:pPr>
            <w:r>
              <w:rPr>
                <w:rFonts w:ascii="Arial" w:hAnsi="Arial"/>
                <w:sz w:val="16"/>
                <w:szCs w:val="16"/>
              </w:rPr>
              <w:t>13.87</w:t>
            </w:r>
          </w:p>
        </w:tc>
        <w:tc>
          <w:tcPr>
            <w:tcW w:w="502" w:type="pct"/>
            <w:vAlign w:val="center"/>
          </w:tcPr>
          <w:p w14:paraId="56FBC9EA" w14:textId="4EBEC724" w:rsidR="00C65127" w:rsidRPr="004D02F0" w:rsidRDefault="4A6EE254" w:rsidP="0050541B">
            <w:pPr>
              <w:jc w:val="center"/>
              <w:rPr>
                <w:rFonts w:ascii="Arial" w:hAnsi="Arial" w:cs="Arial"/>
                <w:sz w:val="16"/>
                <w:szCs w:val="16"/>
              </w:rPr>
            </w:pPr>
            <w:r>
              <w:rPr>
                <w:rFonts w:ascii="Arial" w:hAnsi="Arial"/>
                <w:sz w:val="16"/>
                <w:szCs w:val="16"/>
              </w:rPr>
              <w:t>19.82</w:t>
            </w:r>
          </w:p>
        </w:tc>
        <w:tc>
          <w:tcPr>
            <w:tcW w:w="502" w:type="pct"/>
            <w:vAlign w:val="center"/>
          </w:tcPr>
          <w:p w14:paraId="147E0521" w14:textId="5C4D7F61" w:rsidR="00C65127" w:rsidRPr="004D02F0" w:rsidRDefault="4A6EE254" w:rsidP="0050541B">
            <w:pPr>
              <w:jc w:val="center"/>
              <w:rPr>
                <w:rFonts w:ascii="Arial" w:hAnsi="Arial" w:cs="Arial"/>
                <w:sz w:val="16"/>
                <w:szCs w:val="16"/>
              </w:rPr>
            </w:pPr>
            <w:r>
              <w:rPr>
                <w:rFonts w:ascii="Arial" w:hAnsi="Arial"/>
                <w:sz w:val="16"/>
                <w:szCs w:val="16"/>
              </w:rPr>
              <w:t>7.24</w:t>
            </w:r>
          </w:p>
        </w:tc>
        <w:tc>
          <w:tcPr>
            <w:tcW w:w="502" w:type="pct"/>
            <w:vAlign w:val="center"/>
          </w:tcPr>
          <w:p w14:paraId="419784C7" w14:textId="139BEC27" w:rsidR="00C65127" w:rsidRPr="004D02F0" w:rsidRDefault="4A6EE254" w:rsidP="0050541B">
            <w:pPr>
              <w:jc w:val="center"/>
              <w:rPr>
                <w:rFonts w:ascii="Arial" w:hAnsi="Arial" w:cs="Arial"/>
                <w:sz w:val="16"/>
                <w:szCs w:val="16"/>
              </w:rPr>
            </w:pPr>
            <w:r>
              <w:rPr>
                <w:rFonts w:ascii="Arial" w:hAnsi="Arial"/>
                <w:sz w:val="16"/>
                <w:szCs w:val="16"/>
              </w:rPr>
              <w:t>7.92</w:t>
            </w:r>
          </w:p>
        </w:tc>
        <w:tc>
          <w:tcPr>
            <w:tcW w:w="502" w:type="pct"/>
            <w:vAlign w:val="center"/>
          </w:tcPr>
          <w:p w14:paraId="6CCD8C33" w14:textId="56C4036A" w:rsidR="00C65127" w:rsidRPr="004D02F0" w:rsidRDefault="4A6EE254" w:rsidP="0050541B">
            <w:pPr>
              <w:jc w:val="center"/>
              <w:rPr>
                <w:rFonts w:ascii="Arial" w:hAnsi="Arial" w:cs="Arial"/>
                <w:sz w:val="16"/>
                <w:szCs w:val="16"/>
              </w:rPr>
            </w:pPr>
            <w:r>
              <w:rPr>
                <w:rFonts w:ascii="Arial" w:hAnsi="Arial"/>
                <w:sz w:val="16"/>
                <w:szCs w:val="16"/>
              </w:rPr>
              <w:t>11.59</w:t>
            </w:r>
          </w:p>
        </w:tc>
        <w:tc>
          <w:tcPr>
            <w:tcW w:w="502" w:type="pct"/>
            <w:vAlign w:val="center"/>
          </w:tcPr>
          <w:p w14:paraId="24886C6D" w14:textId="42B6ABAF" w:rsidR="00C65127" w:rsidRPr="004D02F0" w:rsidRDefault="00AD3312" w:rsidP="0050541B">
            <w:pPr>
              <w:jc w:val="center"/>
              <w:rPr>
                <w:rFonts w:ascii="Arial" w:hAnsi="Arial" w:cs="Arial"/>
                <w:sz w:val="16"/>
                <w:szCs w:val="16"/>
              </w:rPr>
            </w:pPr>
            <w:r>
              <w:rPr>
                <w:rFonts w:ascii="Arial" w:hAnsi="Arial"/>
                <w:sz w:val="16"/>
                <w:szCs w:val="16"/>
              </w:rPr>
              <w:t>8.08</w:t>
            </w:r>
          </w:p>
        </w:tc>
        <w:tc>
          <w:tcPr>
            <w:tcW w:w="502" w:type="pct"/>
            <w:vAlign w:val="center"/>
          </w:tcPr>
          <w:p w14:paraId="20B45AA8" w14:textId="4E9C9291" w:rsidR="00C65127" w:rsidRPr="004D02F0" w:rsidRDefault="4A6EE254" w:rsidP="0050541B">
            <w:pPr>
              <w:jc w:val="center"/>
              <w:rPr>
                <w:rFonts w:ascii="Arial" w:hAnsi="Arial" w:cs="Arial"/>
                <w:sz w:val="16"/>
                <w:szCs w:val="16"/>
              </w:rPr>
            </w:pPr>
            <w:r>
              <w:rPr>
                <w:rFonts w:ascii="Arial" w:hAnsi="Arial"/>
                <w:sz w:val="16"/>
                <w:szCs w:val="16"/>
              </w:rPr>
              <w:t>23.30</w:t>
            </w:r>
          </w:p>
        </w:tc>
        <w:tc>
          <w:tcPr>
            <w:tcW w:w="502" w:type="pct"/>
            <w:vAlign w:val="center"/>
          </w:tcPr>
          <w:p w14:paraId="42069654" w14:textId="088938B8" w:rsidR="00C65127" w:rsidRPr="004D02F0" w:rsidRDefault="00565EF2" w:rsidP="0050541B">
            <w:pPr>
              <w:jc w:val="center"/>
              <w:rPr>
                <w:rFonts w:ascii="Arial" w:hAnsi="Arial" w:cs="Arial"/>
                <w:b/>
                <w:sz w:val="16"/>
                <w:szCs w:val="16"/>
              </w:rPr>
            </w:pPr>
            <w:r>
              <w:rPr>
                <w:rFonts w:ascii="Arial" w:hAnsi="Arial"/>
                <w:b/>
                <w:sz w:val="16"/>
                <w:szCs w:val="16"/>
              </w:rPr>
              <w:t>91.82</w:t>
            </w:r>
          </w:p>
        </w:tc>
      </w:tr>
      <w:tr w:rsidR="00154A48" w:rsidRPr="004D02F0" w14:paraId="421419C1" w14:textId="77777777" w:rsidTr="00422A01">
        <w:trPr>
          <w:trHeight w:val="283"/>
        </w:trPr>
        <w:tc>
          <w:tcPr>
            <w:tcW w:w="985" w:type="pct"/>
            <w:vAlign w:val="center"/>
          </w:tcPr>
          <w:p w14:paraId="582CA75E" w14:textId="77777777" w:rsidR="00C65127" w:rsidRPr="004D02F0" w:rsidRDefault="00C65127" w:rsidP="00422A01">
            <w:pPr>
              <w:widowControl w:val="0"/>
              <w:rPr>
                <w:rFonts w:ascii="Arial" w:hAnsi="Arial" w:cs="Arial"/>
                <w:b/>
                <w:sz w:val="16"/>
                <w:szCs w:val="16"/>
              </w:rPr>
            </w:pPr>
            <w:r>
              <w:rPr>
                <w:rFonts w:ascii="Arial" w:hAnsi="Arial"/>
                <w:b/>
                <w:sz w:val="16"/>
                <w:szCs w:val="16"/>
              </w:rPr>
              <w:t>Vacancies</w:t>
            </w:r>
          </w:p>
          <w:p w14:paraId="441DA27B" w14:textId="77777777" w:rsidR="00C65127" w:rsidRPr="004D02F0" w:rsidRDefault="00C65127" w:rsidP="00422A01">
            <w:pPr>
              <w:widowControl w:val="0"/>
              <w:rPr>
                <w:rFonts w:ascii="Arial" w:hAnsi="Arial" w:cs="Arial"/>
                <w:b/>
                <w:sz w:val="16"/>
                <w:szCs w:val="16"/>
              </w:rPr>
            </w:pPr>
            <w:r>
              <w:rPr>
                <w:rFonts w:ascii="Arial" w:hAnsi="Arial"/>
                <w:sz w:val="16"/>
                <w:szCs w:val="16"/>
              </w:rPr>
              <w:t>in m²</w:t>
            </w:r>
          </w:p>
        </w:tc>
        <w:tc>
          <w:tcPr>
            <w:tcW w:w="502" w:type="pct"/>
            <w:vAlign w:val="center"/>
          </w:tcPr>
          <w:p w14:paraId="3FEF20A6" w14:textId="1D8813DA" w:rsidR="00C65127" w:rsidRPr="004D02F0" w:rsidRDefault="009C5FCC" w:rsidP="00422A01">
            <w:pPr>
              <w:jc w:val="center"/>
              <w:rPr>
                <w:rFonts w:ascii="Arial" w:hAnsi="Arial" w:cs="Arial"/>
                <w:sz w:val="16"/>
                <w:szCs w:val="16"/>
              </w:rPr>
            </w:pPr>
            <w:r>
              <w:rPr>
                <w:rFonts w:ascii="Arial" w:hAnsi="Arial"/>
                <w:sz w:val="16"/>
                <w:szCs w:val="16"/>
              </w:rPr>
              <w:t>463,500</w:t>
            </w:r>
          </w:p>
        </w:tc>
        <w:tc>
          <w:tcPr>
            <w:tcW w:w="502" w:type="pct"/>
            <w:vAlign w:val="center"/>
          </w:tcPr>
          <w:p w14:paraId="53C46395" w14:textId="76845226" w:rsidR="00C65127" w:rsidRPr="004D02F0" w:rsidRDefault="009918A6" w:rsidP="00422A01">
            <w:pPr>
              <w:jc w:val="center"/>
              <w:rPr>
                <w:rFonts w:ascii="Arial" w:hAnsi="Arial" w:cs="Arial"/>
                <w:sz w:val="16"/>
                <w:szCs w:val="16"/>
              </w:rPr>
            </w:pPr>
            <w:r>
              <w:rPr>
                <w:rFonts w:ascii="Arial" w:hAnsi="Arial"/>
                <w:sz w:val="16"/>
                <w:szCs w:val="16"/>
              </w:rPr>
              <w:t>290,000</w:t>
            </w:r>
          </w:p>
        </w:tc>
        <w:tc>
          <w:tcPr>
            <w:tcW w:w="502" w:type="pct"/>
            <w:vAlign w:val="center"/>
          </w:tcPr>
          <w:p w14:paraId="302D3ED2" w14:textId="6987515E" w:rsidR="00C65127" w:rsidRPr="004D02F0" w:rsidRDefault="00550AD1" w:rsidP="00422A01">
            <w:pPr>
              <w:jc w:val="center"/>
              <w:rPr>
                <w:rFonts w:ascii="Arial" w:hAnsi="Arial" w:cs="Arial"/>
                <w:sz w:val="16"/>
                <w:szCs w:val="16"/>
              </w:rPr>
            </w:pPr>
            <w:r>
              <w:rPr>
                <w:rFonts w:ascii="Arial" w:hAnsi="Arial"/>
                <w:sz w:val="16"/>
                <w:szCs w:val="16"/>
              </w:rPr>
              <w:t>489,400</w:t>
            </w:r>
          </w:p>
        </w:tc>
        <w:tc>
          <w:tcPr>
            <w:tcW w:w="502" w:type="pct"/>
            <w:vAlign w:val="center"/>
          </w:tcPr>
          <w:p w14:paraId="52CFC326" w14:textId="44D1F894" w:rsidR="00C65127" w:rsidRPr="004D02F0" w:rsidRDefault="00550AD1" w:rsidP="00422A01">
            <w:pPr>
              <w:jc w:val="center"/>
              <w:rPr>
                <w:rFonts w:ascii="Arial" w:hAnsi="Arial" w:cs="Arial"/>
                <w:sz w:val="16"/>
                <w:szCs w:val="16"/>
              </w:rPr>
            </w:pPr>
            <w:r>
              <w:rPr>
                <w:rFonts w:ascii="Arial" w:hAnsi="Arial"/>
                <w:sz w:val="16"/>
                <w:szCs w:val="16"/>
              </w:rPr>
              <w:t>210,000</w:t>
            </w:r>
          </w:p>
        </w:tc>
        <w:tc>
          <w:tcPr>
            <w:tcW w:w="502" w:type="pct"/>
            <w:vAlign w:val="center"/>
          </w:tcPr>
          <w:p w14:paraId="077E5FE0" w14:textId="5F477BEB" w:rsidR="00C65127" w:rsidRPr="004D02F0" w:rsidRDefault="00550AD1" w:rsidP="00422A01">
            <w:pPr>
              <w:jc w:val="center"/>
              <w:rPr>
                <w:rFonts w:ascii="Arial" w:hAnsi="Arial" w:cs="Arial"/>
                <w:sz w:val="16"/>
                <w:szCs w:val="16"/>
              </w:rPr>
            </w:pPr>
            <w:r>
              <w:rPr>
                <w:rFonts w:ascii="Arial" w:hAnsi="Arial"/>
                <w:sz w:val="16"/>
                <w:szCs w:val="16"/>
              </w:rPr>
              <w:t>881,600</w:t>
            </w:r>
          </w:p>
        </w:tc>
        <w:tc>
          <w:tcPr>
            <w:tcW w:w="502" w:type="pct"/>
            <w:vAlign w:val="center"/>
          </w:tcPr>
          <w:p w14:paraId="1630CA67" w14:textId="76BDCA3F" w:rsidR="00C65127" w:rsidRPr="004D02F0" w:rsidRDefault="4A6EE254" w:rsidP="00422A01">
            <w:pPr>
              <w:jc w:val="center"/>
              <w:rPr>
                <w:rFonts w:ascii="Arial" w:hAnsi="Arial" w:cs="Arial"/>
                <w:sz w:val="16"/>
                <w:szCs w:val="16"/>
              </w:rPr>
            </w:pPr>
            <w:r>
              <w:rPr>
                <w:rFonts w:ascii="Arial" w:hAnsi="Arial"/>
                <w:sz w:val="16"/>
                <w:szCs w:val="16"/>
              </w:rPr>
              <w:t>166,000</w:t>
            </w:r>
          </w:p>
        </w:tc>
        <w:tc>
          <w:tcPr>
            <w:tcW w:w="502" w:type="pct"/>
            <w:vAlign w:val="center"/>
          </w:tcPr>
          <w:p w14:paraId="68D18378" w14:textId="68A536DE" w:rsidR="00C65127" w:rsidRPr="004D02F0" w:rsidRDefault="00550AD1" w:rsidP="00422A01">
            <w:pPr>
              <w:jc w:val="center"/>
              <w:rPr>
                <w:rFonts w:ascii="Arial" w:hAnsi="Arial" w:cs="Arial"/>
                <w:sz w:val="16"/>
                <w:szCs w:val="16"/>
              </w:rPr>
            </w:pPr>
            <w:r>
              <w:rPr>
                <w:rFonts w:ascii="Arial" w:hAnsi="Arial"/>
                <w:sz w:val="16"/>
                <w:szCs w:val="16"/>
              </w:rPr>
              <w:t>420,000</w:t>
            </w:r>
          </w:p>
        </w:tc>
        <w:tc>
          <w:tcPr>
            <w:tcW w:w="502" w:type="pct"/>
            <w:vAlign w:val="center"/>
          </w:tcPr>
          <w:p w14:paraId="48AD7952" w14:textId="27BF6041" w:rsidR="00C65127" w:rsidRPr="004D02F0" w:rsidRDefault="00550AD1" w:rsidP="00422A01">
            <w:pPr>
              <w:jc w:val="center"/>
              <w:rPr>
                <w:rFonts w:ascii="Arial" w:hAnsi="Arial" w:cs="Arial"/>
                <w:b/>
                <w:sz w:val="16"/>
                <w:szCs w:val="16"/>
              </w:rPr>
            </w:pPr>
            <w:r>
              <w:rPr>
                <w:rFonts w:ascii="Arial" w:hAnsi="Arial"/>
                <w:b/>
                <w:bCs/>
                <w:sz w:val="16"/>
                <w:szCs w:val="16"/>
              </w:rPr>
              <w:t>2,920,500</w:t>
            </w:r>
          </w:p>
        </w:tc>
      </w:tr>
      <w:tr w:rsidR="00154A48" w:rsidRPr="004D02F0" w14:paraId="5C297D08" w14:textId="77777777" w:rsidTr="00422A01">
        <w:trPr>
          <w:trHeight w:val="283"/>
        </w:trPr>
        <w:tc>
          <w:tcPr>
            <w:tcW w:w="985" w:type="pct"/>
            <w:vAlign w:val="center"/>
          </w:tcPr>
          <w:p w14:paraId="182CC839" w14:textId="77777777" w:rsidR="00C65127" w:rsidRPr="004D02F0" w:rsidRDefault="00C65127" w:rsidP="00422A01">
            <w:pPr>
              <w:widowControl w:val="0"/>
              <w:rPr>
                <w:rFonts w:ascii="Arial" w:hAnsi="Arial" w:cs="Arial"/>
                <w:b/>
                <w:sz w:val="16"/>
                <w:szCs w:val="16"/>
              </w:rPr>
            </w:pPr>
            <w:r>
              <w:rPr>
                <w:rFonts w:ascii="Arial" w:hAnsi="Arial"/>
                <w:b/>
                <w:sz w:val="16"/>
                <w:szCs w:val="16"/>
              </w:rPr>
              <w:t>Vacancy rate</w:t>
            </w:r>
          </w:p>
          <w:p w14:paraId="0909F4A6" w14:textId="77777777" w:rsidR="00C65127" w:rsidRPr="004D02F0" w:rsidRDefault="00C65127" w:rsidP="00422A01">
            <w:pPr>
              <w:widowControl w:val="0"/>
              <w:rPr>
                <w:rFonts w:ascii="Arial" w:hAnsi="Arial" w:cs="Arial"/>
                <w:b/>
                <w:sz w:val="16"/>
                <w:szCs w:val="16"/>
              </w:rPr>
            </w:pPr>
            <w:r>
              <w:rPr>
                <w:rFonts w:ascii="Arial" w:hAnsi="Arial"/>
                <w:sz w:val="16"/>
                <w:szCs w:val="16"/>
              </w:rPr>
              <w:t>in %</w:t>
            </w:r>
          </w:p>
        </w:tc>
        <w:tc>
          <w:tcPr>
            <w:tcW w:w="502" w:type="pct"/>
            <w:vAlign w:val="center"/>
          </w:tcPr>
          <w:p w14:paraId="5DFB31C9" w14:textId="3C92A60D" w:rsidR="00C65127" w:rsidRPr="004D02F0" w:rsidRDefault="00264158" w:rsidP="00422A01">
            <w:pPr>
              <w:jc w:val="center"/>
              <w:rPr>
                <w:rFonts w:ascii="Arial" w:hAnsi="Arial" w:cs="Arial"/>
                <w:sz w:val="16"/>
                <w:szCs w:val="16"/>
              </w:rPr>
            </w:pPr>
            <w:r>
              <w:rPr>
                <w:rFonts w:ascii="Arial" w:hAnsi="Arial"/>
                <w:sz w:val="16"/>
                <w:szCs w:val="16"/>
              </w:rPr>
              <w:t>3.3</w:t>
            </w:r>
          </w:p>
        </w:tc>
        <w:tc>
          <w:tcPr>
            <w:tcW w:w="502" w:type="pct"/>
            <w:vAlign w:val="center"/>
          </w:tcPr>
          <w:p w14:paraId="08B1CFAE" w14:textId="18F67BEF" w:rsidR="00C65127" w:rsidRPr="004D02F0" w:rsidRDefault="4A6EE254" w:rsidP="00422A01">
            <w:pPr>
              <w:jc w:val="center"/>
              <w:rPr>
                <w:rFonts w:ascii="Arial" w:hAnsi="Arial" w:cs="Arial"/>
                <w:sz w:val="16"/>
                <w:szCs w:val="16"/>
              </w:rPr>
            </w:pPr>
            <w:r>
              <w:rPr>
                <w:rFonts w:ascii="Arial" w:hAnsi="Arial"/>
                <w:sz w:val="16"/>
                <w:szCs w:val="16"/>
              </w:rPr>
              <w:t>1.5</w:t>
            </w:r>
          </w:p>
        </w:tc>
        <w:tc>
          <w:tcPr>
            <w:tcW w:w="502" w:type="pct"/>
            <w:vAlign w:val="center"/>
          </w:tcPr>
          <w:p w14:paraId="2878E9A7" w14:textId="5176C139" w:rsidR="00C65127" w:rsidRPr="004D02F0" w:rsidRDefault="00264158" w:rsidP="00422A01">
            <w:pPr>
              <w:jc w:val="center"/>
              <w:rPr>
                <w:rFonts w:ascii="Arial" w:hAnsi="Arial" w:cs="Arial"/>
                <w:sz w:val="16"/>
                <w:szCs w:val="16"/>
              </w:rPr>
            </w:pPr>
            <w:r>
              <w:rPr>
                <w:rFonts w:ascii="Arial" w:hAnsi="Arial"/>
                <w:sz w:val="16"/>
                <w:szCs w:val="16"/>
              </w:rPr>
              <w:t>6.8</w:t>
            </w:r>
          </w:p>
        </w:tc>
        <w:tc>
          <w:tcPr>
            <w:tcW w:w="502" w:type="pct"/>
            <w:vAlign w:val="center"/>
          </w:tcPr>
          <w:p w14:paraId="41A88249" w14:textId="3B784570" w:rsidR="00C65127" w:rsidRPr="004D02F0" w:rsidRDefault="4A6EE254" w:rsidP="00422A01">
            <w:pPr>
              <w:jc w:val="center"/>
              <w:rPr>
                <w:rFonts w:ascii="Arial" w:hAnsi="Arial" w:cs="Arial"/>
                <w:sz w:val="16"/>
                <w:szCs w:val="16"/>
              </w:rPr>
            </w:pPr>
            <w:r>
              <w:rPr>
                <w:rFonts w:ascii="Arial" w:hAnsi="Arial"/>
                <w:sz w:val="16"/>
                <w:szCs w:val="16"/>
              </w:rPr>
              <w:t>2.7</w:t>
            </w:r>
          </w:p>
        </w:tc>
        <w:tc>
          <w:tcPr>
            <w:tcW w:w="502" w:type="pct"/>
            <w:vAlign w:val="center"/>
          </w:tcPr>
          <w:p w14:paraId="789B0375" w14:textId="19216E58" w:rsidR="00C65127" w:rsidRPr="004D02F0" w:rsidRDefault="00180A27" w:rsidP="00422A01">
            <w:pPr>
              <w:jc w:val="center"/>
              <w:rPr>
                <w:rFonts w:ascii="Arial" w:hAnsi="Arial" w:cs="Arial"/>
                <w:sz w:val="16"/>
                <w:szCs w:val="16"/>
              </w:rPr>
            </w:pPr>
            <w:r>
              <w:rPr>
                <w:rFonts w:ascii="Arial" w:hAnsi="Arial"/>
                <w:sz w:val="16"/>
                <w:szCs w:val="16"/>
              </w:rPr>
              <w:t>7.6</w:t>
            </w:r>
          </w:p>
        </w:tc>
        <w:tc>
          <w:tcPr>
            <w:tcW w:w="502" w:type="pct"/>
            <w:vAlign w:val="center"/>
          </w:tcPr>
          <w:p w14:paraId="6DE090A5" w14:textId="5D7918C4" w:rsidR="00C65127" w:rsidRPr="004D02F0" w:rsidRDefault="00264158" w:rsidP="00422A01">
            <w:pPr>
              <w:jc w:val="center"/>
              <w:rPr>
                <w:rFonts w:ascii="Arial" w:hAnsi="Arial" w:cs="Arial"/>
                <w:sz w:val="16"/>
                <w:szCs w:val="16"/>
              </w:rPr>
            </w:pPr>
            <w:r>
              <w:rPr>
                <w:rFonts w:ascii="Arial" w:hAnsi="Arial"/>
                <w:sz w:val="16"/>
                <w:szCs w:val="16"/>
              </w:rPr>
              <w:t>2.1</w:t>
            </w:r>
          </w:p>
        </w:tc>
        <w:tc>
          <w:tcPr>
            <w:tcW w:w="502" w:type="pct"/>
            <w:vAlign w:val="center"/>
          </w:tcPr>
          <w:p w14:paraId="5B19EE92" w14:textId="3888BB3E" w:rsidR="00C65127" w:rsidRPr="004D02F0" w:rsidRDefault="00180A27" w:rsidP="003210E3">
            <w:pPr>
              <w:jc w:val="center"/>
              <w:rPr>
                <w:rFonts w:ascii="Arial" w:hAnsi="Arial" w:cs="Arial"/>
                <w:sz w:val="16"/>
                <w:szCs w:val="16"/>
              </w:rPr>
            </w:pPr>
            <w:r>
              <w:rPr>
                <w:rFonts w:ascii="Arial" w:hAnsi="Arial"/>
                <w:sz w:val="16"/>
                <w:szCs w:val="16"/>
              </w:rPr>
              <w:t>1.8</w:t>
            </w:r>
          </w:p>
        </w:tc>
        <w:tc>
          <w:tcPr>
            <w:tcW w:w="502" w:type="pct"/>
            <w:vAlign w:val="center"/>
          </w:tcPr>
          <w:p w14:paraId="0CE22EC9" w14:textId="02B1FD20" w:rsidR="00C65127" w:rsidRPr="004D02F0" w:rsidRDefault="00180A27" w:rsidP="00422A01">
            <w:pPr>
              <w:jc w:val="center"/>
              <w:rPr>
                <w:rFonts w:ascii="Arial" w:hAnsi="Arial" w:cs="Arial"/>
                <w:b/>
                <w:sz w:val="16"/>
                <w:szCs w:val="16"/>
              </w:rPr>
            </w:pPr>
            <w:r>
              <w:rPr>
                <w:rFonts w:ascii="Arial" w:hAnsi="Arial"/>
                <w:b/>
                <w:sz w:val="16"/>
                <w:szCs w:val="16"/>
              </w:rPr>
              <w:t>3.2</w:t>
            </w:r>
          </w:p>
        </w:tc>
      </w:tr>
      <w:tr w:rsidR="00154A48" w:rsidRPr="004D02F0" w14:paraId="6B3DEBBF" w14:textId="77777777" w:rsidTr="00422A01">
        <w:trPr>
          <w:trHeight w:val="283"/>
        </w:trPr>
        <w:tc>
          <w:tcPr>
            <w:tcW w:w="985" w:type="pct"/>
            <w:vAlign w:val="center"/>
          </w:tcPr>
          <w:p w14:paraId="3819F4D5" w14:textId="77777777" w:rsidR="00487ECE" w:rsidRDefault="00487ECE" w:rsidP="00422A01">
            <w:pPr>
              <w:widowControl w:val="0"/>
              <w:rPr>
                <w:rFonts w:ascii="Arial" w:hAnsi="Arial" w:cs="Arial"/>
                <w:b/>
                <w:sz w:val="16"/>
                <w:szCs w:val="16"/>
              </w:rPr>
            </w:pPr>
            <w:r>
              <w:rPr>
                <w:rFonts w:ascii="Arial" w:hAnsi="Arial"/>
                <w:b/>
                <w:sz w:val="16"/>
                <w:szCs w:val="16"/>
              </w:rPr>
              <w:t>Completions</w:t>
            </w:r>
          </w:p>
          <w:p w14:paraId="3EAE7599" w14:textId="651029A1" w:rsidR="00C65127" w:rsidRPr="004D02F0" w:rsidRDefault="00C65127" w:rsidP="00422A01">
            <w:pPr>
              <w:widowControl w:val="0"/>
              <w:rPr>
                <w:rFonts w:ascii="Arial" w:hAnsi="Arial" w:cs="Arial"/>
                <w:b/>
                <w:sz w:val="16"/>
                <w:szCs w:val="16"/>
              </w:rPr>
            </w:pPr>
            <w:r>
              <w:rPr>
                <w:rFonts w:ascii="Arial" w:hAnsi="Arial"/>
                <w:b/>
                <w:bCs/>
                <w:sz w:val="16"/>
                <w:szCs w:val="16"/>
              </w:rPr>
              <w:t>2020 + 2021</w:t>
            </w:r>
            <w:r>
              <w:rPr>
                <w:rFonts w:ascii="Arial" w:hAnsi="Arial"/>
                <w:bCs/>
                <w:sz w:val="16"/>
                <w:szCs w:val="16"/>
              </w:rPr>
              <w:t xml:space="preserve"> </w:t>
            </w:r>
            <w:r>
              <w:rPr>
                <w:rFonts w:ascii="Arial" w:hAnsi="Arial"/>
                <w:sz w:val="16"/>
                <w:szCs w:val="16"/>
              </w:rPr>
              <w:t>in m²</w:t>
            </w:r>
          </w:p>
        </w:tc>
        <w:tc>
          <w:tcPr>
            <w:tcW w:w="502" w:type="pct"/>
            <w:vAlign w:val="center"/>
          </w:tcPr>
          <w:p w14:paraId="45E23251" w14:textId="238005A5" w:rsidR="00C65127" w:rsidRPr="004D02F0" w:rsidRDefault="00180A27" w:rsidP="00422A01">
            <w:pPr>
              <w:jc w:val="center"/>
              <w:rPr>
                <w:rFonts w:ascii="Arial" w:hAnsi="Arial" w:cs="Arial"/>
                <w:sz w:val="16"/>
                <w:szCs w:val="16"/>
              </w:rPr>
            </w:pPr>
            <w:r>
              <w:rPr>
                <w:rFonts w:ascii="Arial" w:hAnsi="Arial"/>
                <w:sz w:val="16"/>
                <w:szCs w:val="16"/>
              </w:rPr>
              <w:t>261,000</w:t>
            </w:r>
          </w:p>
        </w:tc>
        <w:tc>
          <w:tcPr>
            <w:tcW w:w="502" w:type="pct"/>
            <w:vAlign w:val="center"/>
          </w:tcPr>
          <w:p w14:paraId="11B12F0F" w14:textId="30B0C218" w:rsidR="00C65127" w:rsidRPr="004D02F0" w:rsidRDefault="00180A27" w:rsidP="00422A01">
            <w:pPr>
              <w:jc w:val="center"/>
              <w:rPr>
                <w:rFonts w:ascii="Arial" w:hAnsi="Arial" w:cs="Arial"/>
                <w:sz w:val="16"/>
                <w:szCs w:val="16"/>
              </w:rPr>
            </w:pPr>
            <w:r>
              <w:rPr>
                <w:rFonts w:ascii="Arial" w:hAnsi="Arial"/>
                <w:sz w:val="16"/>
                <w:szCs w:val="16"/>
              </w:rPr>
              <w:t>999,500</w:t>
            </w:r>
          </w:p>
        </w:tc>
        <w:tc>
          <w:tcPr>
            <w:tcW w:w="502" w:type="pct"/>
            <w:vAlign w:val="center"/>
          </w:tcPr>
          <w:p w14:paraId="55671FED" w14:textId="0628E583" w:rsidR="00C65127" w:rsidRPr="004D02F0" w:rsidRDefault="00264158" w:rsidP="00422A01">
            <w:pPr>
              <w:jc w:val="center"/>
              <w:rPr>
                <w:rFonts w:ascii="Arial" w:hAnsi="Arial" w:cs="Arial"/>
                <w:sz w:val="16"/>
                <w:szCs w:val="16"/>
              </w:rPr>
            </w:pPr>
            <w:r>
              <w:rPr>
                <w:rFonts w:ascii="Arial" w:hAnsi="Arial"/>
                <w:sz w:val="16"/>
                <w:szCs w:val="16"/>
              </w:rPr>
              <w:t>282,000</w:t>
            </w:r>
          </w:p>
        </w:tc>
        <w:tc>
          <w:tcPr>
            <w:tcW w:w="502" w:type="pct"/>
            <w:vAlign w:val="center"/>
          </w:tcPr>
          <w:p w14:paraId="704099E4" w14:textId="699C496D" w:rsidR="00C65127" w:rsidRPr="004D02F0" w:rsidRDefault="00264158" w:rsidP="00422A01">
            <w:pPr>
              <w:jc w:val="center"/>
              <w:rPr>
                <w:rFonts w:ascii="Arial" w:hAnsi="Arial" w:cs="Arial"/>
                <w:sz w:val="16"/>
                <w:szCs w:val="16"/>
              </w:rPr>
            </w:pPr>
            <w:r>
              <w:rPr>
                <w:rFonts w:ascii="Arial" w:hAnsi="Arial"/>
                <w:sz w:val="16"/>
                <w:szCs w:val="16"/>
              </w:rPr>
              <w:t>150,000</w:t>
            </w:r>
          </w:p>
        </w:tc>
        <w:tc>
          <w:tcPr>
            <w:tcW w:w="502" w:type="pct"/>
            <w:vAlign w:val="center"/>
          </w:tcPr>
          <w:p w14:paraId="795CB503" w14:textId="6359CB43" w:rsidR="00C65127" w:rsidRPr="004D02F0" w:rsidRDefault="009C5FCC" w:rsidP="00422A01">
            <w:pPr>
              <w:jc w:val="center"/>
              <w:rPr>
                <w:rFonts w:ascii="Arial" w:hAnsi="Arial" w:cs="Arial"/>
                <w:sz w:val="16"/>
                <w:szCs w:val="16"/>
              </w:rPr>
            </w:pPr>
            <w:r>
              <w:rPr>
                <w:rFonts w:ascii="Arial" w:hAnsi="Arial"/>
                <w:sz w:val="16"/>
                <w:szCs w:val="16"/>
              </w:rPr>
              <w:t>516,400</w:t>
            </w:r>
          </w:p>
        </w:tc>
        <w:tc>
          <w:tcPr>
            <w:tcW w:w="502" w:type="pct"/>
            <w:vAlign w:val="center"/>
          </w:tcPr>
          <w:p w14:paraId="74993796" w14:textId="44D6ACCB" w:rsidR="00C65127" w:rsidRPr="004D02F0" w:rsidRDefault="009C5FCC" w:rsidP="00422A01">
            <w:pPr>
              <w:jc w:val="center"/>
              <w:rPr>
                <w:rFonts w:ascii="Arial" w:hAnsi="Arial" w:cs="Arial"/>
                <w:sz w:val="16"/>
                <w:szCs w:val="16"/>
              </w:rPr>
            </w:pPr>
            <w:r>
              <w:rPr>
                <w:rFonts w:ascii="Arial" w:hAnsi="Arial"/>
                <w:sz w:val="16"/>
                <w:szCs w:val="16"/>
              </w:rPr>
              <w:t>310,900</w:t>
            </w:r>
          </w:p>
        </w:tc>
        <w:tc>
          <w:tcPr>
            <w:tcW w:w="502" w:type="pct"/>
            <w:vAlign w:val="center"/>
          </w:tcPr>
          <w:p w14:paraId="34F66D4E" w14:textId="2B7F010A" w:rsidR="00C65127" w:rsidRPr="004D02F0" w:rsidRDefault="00264158" w:rsidP="00422A01">
            <w:pPr>
              <w:jc w:val="center"/>
              <w:rPr>
                <w:rFonts w:ascii="Arial" w:hAnsi="Arial" w:cs="Arial"/>
                <w:sz w:val="16"/>
                <w:szCs w:val="16"/>
              </w:rPr>
            </w:pPr>
            <w:r>
              <w:rPr>
                <w:rFonts w:ascii="Arial" w:hAnsi="Arial"/>
                <w:sz w:val="16"/>
                <w:szCs w:val="16"/>
              </w:rPr>
              <w:t>700,000</w:t>
            </w:r>
          </w:p>
        </w:tc>
        <w:tc>
          <w:tcPr>
            <w:tcW w:w="502" w:type="pct"/>
            <w:vAlign w:val="center"/>
          </w:tcPr>
          <w:p w14:paraId="6CCC0DE5" w14:textId="34841712" w:rsidR="00C65127" w:rsidRPr="004D02F0" w:rsidRDefault="00264158" w:rsidP="00422A01">
            <w:pPr>
              <w:jc w:val="center"/>
              <w:rPr>
                <w:rFonts w:ascii="Arial" w:hAnsi="Arial" w:cs="Arial"/>
                <w:b/>
                <w:sz w:val="16"/>
                <w:szCs w:val="16"/>
              </w:rPr>
            </w:pPr>
            <w:r>
              <w:rPr>
                <w:rFonts w:ascii="Arial" w:hAnsi="Arial"/>
                <w:b/>
                <w:bCs/>
                <w:sz w:val="16"/>
                <w:szCs w:val="16"/>
              </w:rPr>
              <w:t>3,220,000</w:t>
            </w:r>
          </w:p>
        </w:tc>
      </w:tr>
      <w:tr w:rsidR="00154A48" w:rsidRPr="004D02F0" w14:paraId="083C2563" w14:textId="77777777" w:rsidTr="00422A01">
        <w:trPr>
          <w:trHeight w:val="283"/>
        </w:trPr>
        <w:tc>
          <w:tcPr>
            <w:tcW w:w="985" w:type="pct"/>
            <w:vAlign w:val="center"/>
          </w:tcPr>
          <w:p w14:paraId="0D0D8A5A" w14:textId="4CBADB45" w:rsidR="001C65C1" w:rsidRPr="004D02F0" w:rsidRDefault="001C65C1" w:rsidP="00422A01">
            <w:pPr>
              <w:widowControl w:val="0"/>
              <w:rPr>
                <w:rFonts w:ascii="Arial" w:hAnsi="Arial" w:cs="Arial"/>
                <w:b/>
                <w:sz w:val="16"/>
                <w:szCs w:val="16"/>
              </w:rPr>
            </w:pPr>
            <w:r>
              <w:rPr>
                <w:rFonts w:ascii="Arial" w:hAnsi="Arial"/>
                <w:b/>
                <w:sz w:val="16"/>
                <w:szCs w:val="16"/>
              </w:rPr>
              <w:t>Pre-letting ratios 2020 + 2021</w:t>
            </w:r>
            <w:r>
              <w:rPr>
                <w:rFonts w:ascii="Arial" w:hAnsi="Arial"/>
                <w:sz w:val="16"/>
                <w:szCs w:val="16"/>
              </w:rPr>
              <w:t xml:space="preserve"> in %</w:t>
            </w:r>
          </w:p>
        </w:tc>
        <w:tc>
          <w:tcPr>
            <w:tcW w:w="502" w:type="pct"/>
            <w:vAlign w:val="center"/>
          </w:tcPr>
          <w:p w14:paraId="5B815624" w14:textId="3098B747" w:rsidR="001C65C1" w:rsidRPr="004D02F0" w:rsidRDefault="00180A27" w:rsidP="00422A01">
            <w:pPr>
              <w:jc w:val="center"/>
              <w:rPr>
                <w:rFonts w:ascii="Arial" w:hAnsi="Arial" w:cs="Arial"/>
                <w:sz w:val="16"/>
                <w:szCs w:val="16"/>
              </w:rPr>
            </w:pPr>
            <w:r>
              <w:rPr>
                <w:rFonts w:ascii="Arial" w:hAnsi="Arial"/>
                <w:sz w:val="16"/>
                <w:szCs w:val="16"/>
              </w:rPr>
              <w:t>80</w:t>
            </w:r>
          </w:p>
        </w:tc>
        <w:tc>
          <w:tcPr>
            <w:tcW w:w="502" w:type="pct"/>
            <w:vAlign w:val="center"/>
          </w:tcPr>
          <w:p w14:paraId="0BD28CCE" w14:textId="38F57956" w:rsidR="001C65C1" w:rsidRPr="004D02F0" w:rsidRDefault="00264158" w:rsidP="00422A01">
            <w:pPr>
              <w:jc w:val="center"/>
              <w:rPr>
                <w:rFonts w:ascii="Arial" w:hAnsi="Arial" w:cs="Arial"/>
                <w:sz w:val="16"/>
                <w:szCs w:val="16"/>
              </w:rPr>
            </w:pPr>
            <w:r>
              <w:rPr>
                <w:rFonts w:ascii="Arial" w:hAnsi="Arial"/>
                <w:sz w:val="16"/>
                <w:szCs w:val="16"/>
              </w:rPr>
              <w:t>63</w:t>
            </w:r>
          </w:p>
        </w:tc>
        <w:tc>
          <w:tcPr>
            <w:tcW w:w="502" w:type="pct"/>
            <w:vAlign w:val="center"/>
          </w:tcPr>
          <w:p w14:paraId="277079A1" w14:textId="6882C3F5" w:rsidR="001C65C1" w:rsidRPr="004D02F0" w:rsidRDefault="00180A27" w:rsidP="00422A01">
            <w:pPr>
              <w:jc w:val="center"/>
              <w:rPr>
                <w:rFonts w:ascii="Arial" w:hAnsi="Arial" w:cs="Arial"/>
                <w:sz w:val="16"/>
                <w:szCs w:val="16"/>
              </w:rPr>
            </w:pPr>
            <w:r>
              <w:rPr>
                <w:rFonts w:ascii="Arial" w:hAnsi="Arial"/>
                <w:sz w:val="16"/>
                <w:szCs w:val="16"/>
              </w:rPr>
              <w:t>80</w:t>
            </w:r>
          </w:p>
        </w:tc>
        <w:tc>
          <w:tcPr>
            <w:tcW w:w="502" w:type="pct"/>
            <w:vAlign w:val="center"/>
          </w:tcPr>
          <w:p w14:paraId="20F6D135" w14:textId="30D0E3EA" w:rsidR="001C65C1" w:rsidRPr="004D02F0" w:rsidRDefault="00180A27" w:rsidP="00422A01">
            <w:pPr>
              <w:jc w:val="center"/>
              <w:rPr>
                <w:rFonts w:ascii="Arial" w:hAnsi="Arial" w:cs="Arial"/>
                <w:sz w:val="16"/>
                <w:szCs w:val="16"/>
              </w:rPr>
            </w:pPr>
            <w:r>
              <w:rPr>
                <w:rFonts w:ascii="Arial" w:hAnsi="Arial"/>
                <w:sz w:val="16"/>
                <w:szCs w:val="16"/>
              </w:rPr>
              <w:t>73</w:t>
            </w:r>
          </w:p>
        </w:tc>
        <w:tc>
          <w:tcPr>
            <w:tcW w:w="502" w:type="pct"/>
            <w:vAlign w:val="center"/>
          </w:tcPr>
          <w:p w14:paraId="37C4AF2D" w14:textId="015EA9A6" w:rsidR="001C65C1" w:rsidRPr="004D02F0" w:rsidRDefault="00264158" w:rsidP="00422A01">
            <w:pPr>
              <w:jc w:val="center"/>
              <w:rPr>
                <w:rFonts w:ascii="Arial" w:hAnsi="Arial" w:cs="Arial"/>
                <w:sz w:val="16"/>
                <w:szCs w:val="16"/>
              </w:rPr>
            </w:pPr>
            <w:r>
              <w:rPr>
                <w:rFonts w:ascii="Arial" w:hAnsi="Arial"/>
                <w:sz w:val="16"/>
                <w:szCs w:val="16"/>
              </w:rPr>
              <w:t>63</w:t>
            </w:r>
          </w:p>
        </w:tc>
        <w:tc>
          <w:tcPr>
            <w:tcW w:w="502" w:type="pct"/>
            <w:vAlign w:val="center"/>
          </w:tcPr>
          <w:p w14:paraId="0F8131C9" w14:textId="6063EED8" w:rsidR="001C65C1" w:rsidRPr="004D02F0" w:rsidRDefault="00D65EAE" w:rsidP="00422A01">
            <w:pPr>
              <w:jc w:val="center"/>
              <w:rPr>
                <w:rFonts w:ascii="Arial" w:hAnsi="Arial" w:cs="Arial"/>
                <w:sz w:val="16"/>
                <w:szCs w:val="16"/>
              </w:rPr>
            </w:pPr>
            <w:r>
              <w:rPr>
                <w:rFonts w:ascii="Arial" w:hAnsi="Arial"/>
                <w:sz w:val="16"/>
                <w:szCs w:val="16"/>
              </w:rPr>
              <w:t>78</w:t>
            </w:r>
          </w:p>
        </w:tc>
        <w:tc>
          <w:tcPr>
            <w:tcW w:w="502" w:type="pct"/>
            <w:vAlign w:val="center"/>
          </w:tcPr>
          <w:p w14:paraId="6A5F96BA" w14:textId="285FBA0B" w:rsidR="001C65C1" w:rsidRPr="004D02F0" w:rsidRDefault="00180A27" w:rsidP="00422A01">
            <w:pPr>
              <w:jc w:val="center"/>
              <w:rPr>
                <w:rFonts w:ascii="Arial" w:hAnsi="Arial" w:cs="Arial"/>
                <w:sz w:val="16"/>
                <w:szCs w:val="16"/>
              </w:rPr>
            </w:pPr>
            <w:r>
              <w:rPr>
                <w:rFonts w:ascii="Arial" w:hAnsi="Arial"/>
                <w:sz w:val="16"/>
                <w:szCs w:val="16"/>
              </w:rPr>
              <w:t>70</w:t>
            </w:r>
          </w:p>
        </w:tc>
        <w:tc>
          <w:tcPr>
            <w:tcW w:w="502" w:type="pct"/>
            <w:vAlign w:val="center"/>
          </w:tcPr>
          <w:p w14:paraId="70264BF0" w14:textId="58817D09" w:rsidR="001C65C1" w:rsidRPr="004D02F0" w:rsidRDefault="00264158" w:rsidP="00422A01">
            <w:pPr>
              <w:jc w:val="center"/>
              <w:rPr>
                <w:rFonts w:ascii="Arial" w:hAnsi="Arial" w:cs="Arial"/>
                <w:b/>
                <w:sz w:val="16"/>
                <w:szCs w:val="16"/>
              </w:rPr>
            </w:pPr>
            <w:r>
              <w:rPr>
                <w:rFonts w:ascii="Arial" w:hAnsi="Arial"/>
                <w:b/>
                <w:sz w:val="16"/>
                <w:szCs w:val="16"/>
              </w:rPr>
              <w:t>69</w:t>
            </w:r>
          </w:p>
        </w:tc>
      </w:tr>
    </w:tbl>
    <w:p w14:paraId="4189EB68" w14:textId="440ECFB4" w:rsidR="00C65127" w:rsidRPr="004D02F0" w:rsidRDefault="00B47474" w:rsidP="004C416A">
      <w:pPr>
        <w:widowControl w:val="0"/>
        <w:spacing w:after="0"/>
        <w:rPr>
          <w:rFonts w:ascii="Arial" w:hAnsi="Arial" w:cs="Arial"/>
          <w:sz w:val="16"/>
          <w:szCs w:val="16"/>
        </w:rPr>
      </w:pPr>
      <w:r>
        <w:rPr>
          <w:rFonts w:ascii="Arial" w:hAnsi="Arial"/>
          <w:sz w:val="16"/>
          <w:szCs w:val="16"/>
        </w:rPr>
        <w:t xml:space="preserve"> Source: German Property Partners (GPP)</w:t>
      </w:r>
    </w:p>
    <w:p w14:paraId="6E71A7B1" w14:textId="77777777" w:rsidR="008B57EF" w:rsidRPr="00487ECE" w:rsidRDefault="008B57EF" w:rsidP="00487ECE">
      <w:pPr>
        <w:spacing w:after="0" w:line="360" w:lineRule="auto"/>
        <w:jc w:val="center"/>
        <w:rPr>
          <w:rFonts w:ascii="Arial" w:hAnsi="Arial" w:cs="Arial"/>
          <w:caps/>
          <w:sz w:val="20"/>
          <w:szCs w:val="20"/>
        </w:rPr>
      </w:pPr>
    </w:p>
    <w:bookmarkEnd w:id="2"/>
    <w:p w14:paraId="4AAB2CD2" w14:textId="7320BF91" w:rsidR="32E3C701" w:rsidRPr="00487ECE" w:rsidRDefault="32E3C701" w:rsidP="0071679E">
      <w:pPr>
        <w:spacing w:after="0"/>
        <w:rPr>
          <w:b/>
          <w:iCs/>
          <w:sz w:val="16"/>
          <w:szCs w:val="16"/>
        </w:rPr>
      </w:pPr>
      <w:r>
        <w:rPr>
          <w:rFonts w:ascii="Arial" w:hAnsi="Arial"/>
          <w:b/>
          <w:iCs/>
          <w:caps/>
          <w:sz w:val="16"/>
          <w:szCs w:val="16"/>
        </w:rPr>
        <w:t>ABOUT GERMAN PROPERTY PARTNERS</w:t>
      </w:r>
    </w:p>
    <w:p w14:paraId="24D83185" w14:textId="53C7368D" w:rsidR="32E3C701" w:rsidRPr="00934090" w:rsidRDefault="00E85DCC" w:rsidP="0071679E">
      <w:pPr>
        <w:rPr>
          <w:rFonts w:ascii="Arial" w:hAnsi="Arial" w:cs="Arial"/>
          <w:i/>
          <w:iCs/>
          <w:sz w:val="20"/>
          <w:szCs w:val="20"/>
        </w:rPr>
      </w:pPr>
      <w:r w:rsidRPr="00DC54B9">
        <w:rPr>
          <w:rFonts w:ascii="Arial" w:hAnsi="Arial" w:cs="Arial"/>
          <w:sz w:val="16"/>
          <w:szCs w:val="16"/>
        </w:rPr>
        <w:t>German Property Partners is a national network of property service providers; they are all leaders in their local markets.</w:t>
      </w:r>
      <w:r w:rsidRPr="00DC54B9">
        <w:rPr>
          <w:rFonts w:ascii="Arial" w:hAnsi="Arial" w:cs="Arial"/>
          <w:iCs/>
          <w:sz w:val="16"/>
          <w:szCs w:val="16"/>
        </w:rPr>
        <w:t xml:space="preserve"> Membership now consists of Grossmann &amp; Berger, Anteon </w:t>
      </w:r>
      <w:proofErr w:type="spellStart"/>
      <w:r w:rsidRPr="00DC54B9">
        <w:rPr>
          <w:rFonts w:ascii="Arial" w:hAnsi="Arial" w:cs="Arial"/>
          <w:iCs/>
          <w:sz w:val="16"/>
          <w:szCs w:val="16"/>
        </w:rPr>
        <w:t>Immobilien</w:t>
      </w:r>
      <w:proofErr w:type="spellEnd"/>
      <w:r w:rsidRPr="00DC54B9">
        <w:rPr>
          <w:rFonts w:ascii="Arial" w:hAnsi="Arial" w:cs="Arial"/>
          <w:iCs/>
          <w:sz w:val="16"/>
          <w:szCs w:val="16"/>
        </w:rPr>
        <w:t>, GREIF &amp; CONTZEN</w:t>
      </w:r>
      <w:r>
        <w:rPr>
          <w:rFonts w:ascii="Arial" w:hAnsi="Arial"/>
          <w:iCs/>
          <w:sz w:val="16"/>
          <w:szCs w:val="16"/>
        </w:rPr>
        <w:t xml:space="preserve"> </w:t>
      </w:r>
      <w:proofErr w:type="spellStart"/>
      <w:r>
        <w:rPr>
          <w:rFonts w:ascii="Arial" w:hAnsi="Arial"/>
          <w:iCs/>
          <w:sz w:val="16"/>
          <w:szCs w:val="16"/>
        </w:rPr>
        <w:t>Immobilien</w:t>
      </w:r>
      <w:proofErr w:type="spellEnd"/>
      <w:r>
        <w:rPr>
          <w:rFonts w:ascii="Arial" w:hAnsi="Arial"/>
          <w:iCs/>
          <w:sz w:val="16"/>
          <w:szCs w:val="16"/>
        </w:rPr>
        <w:t xml:space="preserve">, </w:t>
      </w:r>
      <w:proofErr w:type="spellStart"/>
      <w:r>
        <w:rPr>
          <w:rFonts w:ascii="Arial" w:hAnsi="Arial"/>
          <w:iCs/>
          <w:sz w:val="16"/>
          <w:szCs w:val="16"/>
        </w:rPr>
        <w:t>blackolive</w:t>
      </w:r>
      <w:proofErr w:type="spellEnd"/>
      <w:r>
        <w:rPr>
          <w:rFonts w:ascii="Arial" w:hAnsi="Arial"/>
          <w:iCs/>
          <w:sz w:val="16"/>
          <w:szCs w:val="16"/>
        </w:rPr>
        <w:t xml:space="preserve"> and E &amp; G Real </w:t>
      </w:r>
      <w:proofErr w:type="gramStart"/>
      <w:r>
        <w:rPr>
          <w:rFonts w:ascii="Arial" w:hAnsi="Arial"/>
          <w:iCs/>
          <w:sz w:val="16"/>
          <w:szCs w:val="16"/>
        </w:rPr>
        <w:t>Estate .</w:t>
      </w:r>
      <w:proofErr w:type="gramEnd"/>
      <w:r>
        <w:rPr>
          <w:rFonts w:ascii="Arial" w:hAnsi="Arial"/>
          <w:iCs/>
          <w:sz w:val="16"/>
          <w:szCs w:val="16"/>
        </w:rPr>
        <w:t xml:space="preserve"> The network is remarkable for the members’ intimate knowledge of local markets, the experience of the partner firms’ long-standing property consultants and the personal dedication of the owners and directors. In Germany’s top 7 cities - Hamburg, Berlin, Düsseldorf, Cologne | Bonn, Frankfurt, Stuttgart and Munich - network partners have their own offices offering services in the field of property investment, commercial letting, corporate real estate management (CREM), property valuation and research. Rounding off the range of skills are banking, finance and administration services. Currently, more than 430 property specialists work for the network. Nationwide, German Property Partners brokered lets in </w:t>
      </w:r>
      <w:r>
        <w:rPr>
          <w:rFonts w:ascii="Arial" w:hAnsi="Arial"/>
          <w:b/>
          <w:iCs/>
          <w:sz w:val="16"/>
          <w:szCs w:val="16"/>
        </w:rPr>
        <w:t>2019</w:t>
      </w:r>
      <w:r>
        <w:rPr>
          <w:rFonts w:ascii="Arial" w:hAnsi="Arial"/>
          <w:iCs/>
          <w:sz w:val="16"/>
          <w:szCs w:val="16"/>
        </w:rPr>
        <w:t xml:space="preserve"> involving 452,800 m² of commercial property, and </w:t>
      </w:r>
      <w:proofErr w:type="gramStart"/>
      <w:r>
        <w:rPr>
          <w:rFonts w:ascii="Arial" w:hAnsi="Arial"/>
          <w:iCs/>
          <w:sz w:val="16"/>
          <w:szCs w:val="16"/>
        </w:rPr>
        <w:t>managed</w:t>
      </w:r>
      <w:proofErr w:type="gramEnd"/>
      <w:r>
        <w:rPr>
          <w:rFonts w:ascii="Arial" w:hAnsi="Arial"/>
          <w:iCs/>
          <w:sz w:val="16"/>
          <w:szCs w:val="16"/>
        </w:rPr>
        <w:t xml:space="preserve"> investment transactions totalling €2.14bn.</w:t>
      </w:r>
    </w:p>
    <w:sectPr w:rsidR="32E3C701" w:rsidRPr="00934090" w:rsidSect="00DC19BC">
      <w:headerReference w:type="default" r:id="rId12"/>
      <w:footerReference w:type="default" r:id="rId13"/>
      <w:pgSz w:w="11906" w:h="16838"/>
      <w:pgMar w:top="3828" w:right="1133" w:bottom="1134" w:left="1701" w:header="708" w:footer="1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2C797" w14:textId="77777777" w:rsidR="00380092" w:rsidRDefault="00380092" w:rsidP="0055466B">
      <w:pPr>
        <w:spacing w:after="0" w:line="240" w:lineRule="auto"/>
      </w:pPr>
      <w:r>
        <w:separator/>
      </w:r>
    </w:p>
  </w:endnote>
  <w:endnote w:type="continuationSeparator" w:id="0">
    <w:p w14:paraId="7AC992E6" w14:textId="77777777" w:rsidR="00380092" w:rsidRDefault="00380092" w:rsidP="0055466B">
      <w:pPr>
        <w:spacing w:after="0" w:line="240" w:lineRule="auto"/>
      </w:pPr>
      <w:r>
        <w:continuationSeparator/>
      </w:r>
    </w:p>
  </w:endnote>
  <w:endnote w:type="continuationNotice" w:id="1">
    <w:p w14:paraId="2B6B0078" w14:textId="77777777" w:rsidR="00380092" w:rsidRDefault="003800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C1D2" w14:textId="6364D7E0" w:rsidR="00422A01" w:rsidRPr="00DC19BC" w:rsidRDefault="00422A01">
    <w:pPr>
      <w:pStyle w:val="Fuzeile"/>
      <w:rPr>
        <w:rFonts w:ascii="Arial" w:hAnsi="Arial" w:cs="Arial"/>
        <w:sz w:val="18"/>
        <w:szCs w:val="18"/>
      </w:rPr>
    </w:pPr>
    <w:r>
      <w:rPr>
        <w:rFonts w:ascii="Arial" w:hAnsi="Arial"/>
        <w:noProof/>
        <w:sz w:val="18"/>
        <w:szCs w:val="18"/>
        <w:lang w:val="de-DE" w:eastAsia="de-DE"/>
      </w:rPr>
      <mc:AlternateContent>
        <mc:Choice Requires="wps">
          <w:drawing>
            <wp:anchor distT="0" distB="0" distL="114300" distR="114300" simplePos="0" relativeHeight="251659264" behindDoc="0" locked="0" layoutInCell="1" allowOverlap="1" wp14:anchorId="6CE6B235" wp14:editId="694F9AEE">
              <wp:simplePos x="0" y="0"/>
              <wp:positionH relativeFrom="column">
                <wp:posOffset>3819525</wp:posOffset>
              </wp:positionH>
              <wp:positionV relativeFrom="paragraph">
                <wp:posOffset>129540</wp:posOffset>
              </wp:positionV>
              <wp:extent cx="2152650" cy="271780"/>
              <wp:effectExtent l="0" t="0" r="0" b="0"/>
              <wp:wrapNone/>
              <wp:docPr id="49" name="Textfeld 48"/>
              <wp:cNvGraphicFramePr/>
              <a:graphic xmlns:a="http://schemas.openxmlformats.org/drawingml/2006/main">
                <a:graphicData uri="http://schemas.microsoft.com/office/word/2010/wordprocessingShape">
                  <wps:wsp>
                    <wps:cNvSpPr txBox="1"/>
                    <wps:spPr>
                      <a:xfrm>
                        <a:off x="0" y="0"/>
                        <a:ext cx="2152650" cy="271780"/>
                      </a:xfrm>
                      <a:prstGeom prst="rect">
                        <a:avLst/>
                      </a:prstGeom>
                      <a:noFill/>
                    </wps:spPr>
                    <wps:txbx>
                      <w:txbxContent>
                        <w:p w14:paraId="0EB7725F" w14:textId="77777777" w:rsidR="00422A01" w:rsidRDefault="00422A01" w:rsidP="009D7E5C">
                          <w:pPr>
                            <w:pStyle w:val="StandardWeb"/>
                            <w:spacing w:before="0" w:beforeAutospacing="0" w:after="0" w:afterAutospacing="0" w:line="280" w:lineRule="exact"/>
                          </w:pPr>
                          <w:r>
                            <w:rPr>
                              <w:rFonts w:ascii="Arial" w:hAnsi="Arial"/>
                              <w:b/>
                              <w:bCs/>
                              <w:color w:val="FFFFFF" w:themeColor="background1"/>
                              <w:sz w:val="15"/>
                              <w:szCs w:val="15"/>
                            </w:rPr>
                            <w:t>WWW.GERMANPROPERTYPARTNERS.DE</w:t>
                          </w:r>
                        </w:p>
                      </w:txbxContent>
                    </wps:txbx>
                    <wps:bodyPr wrap="square" rtlCol="0">
                      <a:spAutoFit/>
                    </wps:bodyPr>
                  </wps:wsp>
                </a:graphicData>
              </a:graphic>
            </wp:anchor>
          </w:drawing>
        </mc:Choice>
        <mc:Fallback>
          <w:pict>
            <v:shapetype w14:anchorId="6CE6B235" id="_x0000_t202" coordsize="21600,21600" o:spt="202" path="m,l,21600r21600,l21600,xe">
              <v:stroke joinstyle="miter"/>
              <v:path gradientshapeok="t" o:connecttype="rect"/>
            </v:shapetype>
            <v:shape id="Textfeld 48" o:spid="_x0000_s1029" type="#_x0000_t202" style="position:absolute;margin-left:300.75pt;margin-top:10.2pt;width:169.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1LmQEAABcDAAAOAAAAZHJzL2Uyb0RvYy54bWysUstOIzEQvK/EP1i+k0lGPLKjTBAPwQXt&#10;rgR8gOOxM5Zst3E7mcnf03ZCWMENcfGju11dVe3F1egs26qIBnzLZ5MpZ8pL6Ixft/zl+f50zhkm&#10;4TthwauW7xTyq+XJr8UQGlVDD7ZTkRGIx2YILe9TCk1VoeyVEziBoDwlNUQnEl3juuqiGAjd2aqe&#10;Ti+qAWIXIkiFSNG7fZIvC77WSqa/WqNKzLacuKWyxrKu8lotF6JZRxF6Iw80xDdYOGE8NT1C3Ykk&#10;2CaaL1DOyAgIOk0kuAq0NlIVDaRmNv2k5qkXQRUtZA6Go034c7Dyz/ZfZKZr+dlvzrxwNKNnNSat&#10;bMfO5tmfIWBDZU+BCtN4AyPN+T2OFMyyRx1d3kkQozw5vTu6S2hMUrCendcX55SSlKsvZ5fzYn/1&#10;8TpETA8KHMuHlkeaXjFVbB8xERMqfS/JzTzcG2tzPFPcU8mnNK7GIulIcwXdjtgPNOeW4+tGRMVZ&#10;TPYWyrfIYBiuN4kAS5+Msn9zACf3S/vDT8nj/f9eqj7+8/INAAD//wMAUEsDBBQABgAIAAAAIQAV&#10;Iqwq3AAAAAkBAAAPAAAAZHJzL2Rvd25yZXYueG1sTI/BTsMwDIbvSLxDZCRuLGnZJihNpwmYxIEL&#10;o9y9JjQVjVM12dq9/cwJjvb/6ffncjP7XpzsGLtAGrKFAmGpCaajVkP9ubt7ABETksE+kNVwthE2&#10;1fVViYUJE33Y0z61gksoFqjBpTQUUsbGWY9xEQZLnH2H0WPicWylGXHict/LXKm19NgRX3A42Gdn&#10;m5/90WtIyWyzc/3q49vX/P4yOdWssNb69mbePoFIdk5/MPzqszpU7HQIRzJR9BrWKlsxqiFXSxAM&#10;PC4VLw6c3Ocgq1L+/6C6AAAA//8DAFBLAQItABQABgAIAAAAIQC2gziS/gAAAOEBAAATAAAAAAAA&#10;AAAAAAAAAAAAAABbQ29udGVudF9UeXBlc10ueG1sUEsBAi0AFAAGAAgAAAAhADj9If/WAAAAlAEA&#10;AAsAAAAAAAAAAAAAAAAALwEAAF9yZWxzLy5yZWxzUEsBAi0AFAAGAAgAAAAhAPBZLUuZAQAAFwMA&#10;AA4AAAAAAAAAAAAAAAAALgIAAGRycy9lMm9Eb2MueG1sUEsBAi0AFAAGAAgAAAAhABUirCrcAAAA&#10;CQEAAA8AAAAAAAAAAAAAAAAA8wMAAGRycy9kb3ducmV2LnhtbFBLBQYAAAAABAAEAPMAAAD8BAAA&#10;AAA=&#10;" filled="f" stroked="f">
              <v:textbox style="mso-fit-shape-to-text:t">
                <w:txbxContent>
                  <w:p w14:paraId="0EB7725F" w14:textId="77777777" w:rsidR="00422A01" w:rsidRDefault="00422A01" w:rsidP="009D7E5C">
                    <w:pPr>
                      <w:pStyle w:val="StandardWeb"/>
                      <w:spacing w:before="0" w:beforeAutospacing="0" w:after="0" w:afterAutospacing="0" w:line="280" w:lineRule="exact"/>
                    </w:pPr>
                    <w:r>
                      <w:rPr>
                        <w:rFonts w:ascii="Arial" w:hAnsi="Arial"/>
                        <w:b/>
                        <w:bCs/>
                        <w:color w:val="FFFFFF" w:themeColor="background1"/>
                        <w:sz w:val="15"/>
                        <w:szCs w:val="15"/>
                      </w:rPr>
                      <w:t>WWW.GERMANPROPERTYPARTNERS.DE</w:t>
                    </w:r>
                  </w:p>
                </w:txbxContent>
              </v:textbox>
            </v:shape>
          </w:pict>
        </mc:Fallback>
      </mc:AlternateContent>
    </w:r>
    <w:r>
      <w:rPr>
        <w:rFonts w:ascii="Arial" w:hAnsi="Arial"/>
        <w:noProof/>
        <w:sz w:val="18"/>
        <w:szCs w:val="18"/>
        <w:lang w:val="de-DE" w:eastAsia="de-DE"/>
      </w:rPr>
      <mc:AlternateContent>
        <mc:Choice Requires="wps">
          <w:drawing>
            <wp:anchor distT="0" distB="0" distL="114300" distR="114300" simplePos="0" relativeHeight="251657216" behindDoc="0" locked="0" layoutInCell="1" allowOverlap="1" wp14:anchorId="2DF78A15" wp14:editId="0C791782">
              <wp:simplePos x="0" y="0"/>
              <wp:positionH relativeFrom="column">
                <wp:posOffset>-527685</wp:posOffset>
              </wp:positionH>
              <wp:positionV relativeFrom="paragraph">
                <wp:posOffset>167640</wp:posOffset>
              </wp:positionV>
              <wp:extent cx="6461125" cy="221615"/>
              <wp:effectExtent l="0" t="0" r="0" b="6985"/>
              <wp:wrapNone/>
              <wp:docPr id="44" name="Rechteck 43"/>
              <wp:cNvGraphicFramePr/>
              <a:graphic xmlns:a="http://schemas.openxmlformats.org/drawingml/2006/main">
                <a:graphicData uri="http://schemas.microsoft.com/office/word/2010/wordprocessingShape">
                  <wps:wsp>
                    <wps:cNvSpPr/>
                    <wps:spPr>
                      <a:xfrm>
                        <a:off x="0" y="0"/>
                        <a:ext cx="6461125" cy="22161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2E5408A" id="Rechteck 43" o:spid="_x0000_s1026" style="position:absolute;margin-left:-41.55pt;margin-top:13.2pt;width:508.75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drYwIAAIMFAAAOAAAAZHJzL2Uyb0RvYy54bWysVMtu2zAQvBfoPxC815Ic26gNyzkkSC99&#10;BEmKnmlqKRHlQyAZP/6+S1JW3NRIgaIXiiJ3hruzQ66vD1qRHTgvralpNSkpAcNtI01b0+9Pdx8+&#10;UuIDMw1T1kBNj+Dp9eb9u/W+X8HUdlY14AiSGL/a9zXtQuhXReF5B5r5ie3B4KawTrOAv64tGsf2&#10;yK5VMS3LRbG3rumd5eA9rt7mTbpJ/EIAD9+E8BCIqinmFtLo0riNY7FZs1XrWN9JPqTB/iELzaTB&#10;Q0eqWxYYeXbyDyotubPeijDhVhdWCMkh1YDVVOWrah471kOqBcXx/SiT/3+0/Ovu3hHZ1HQ2o8Qw&#10;jT16AN4F4D/J7Crqs+/9CsMe+3s3/HmcxmIPwun4xTLIIWl6HDWFQyAcFxezRVVN55Rw3JtOq0U1&#10;j6TFC7p3PnwCq0mc1NRhz5KUbPfZhxx6ChkUbu6kUkQoiYYxaCtKnA0/ZOiSYGjD3AqP+ITwpLeo&#10;2eyqLMu0lewFN8qRHUNjbNuMUM/6i23y2hxjkz0w0zE85d36c9IluvAiaThUQ6GvAMs3AJH5PItl&#10;CkYR0jJaOSdXvZUbJtyeSlfSEBavInrfc6YAGz2YPkgF2OlBYbwCSdV0komjsVHlrL9KK5Du09CU&#10;6IrsgzQLRwUZ+wAC/YSdn16SmnEOJmS5fcca+JvayiBhZBaYzcg9EMRX4qWNJ+6c8xAfoTnxEXyx&#10;Xb+DR0Q62ZowgrU01l2qTGFVw8k5Hs1yJk2cbm1zxNvmgrqx+T1ihncWnyMeXALHKLzp2Wf5VYpP&#10;yfl/on15Oze/AAAA//8DAFBLAwQUAAYACAAAACEA2q0goN8AAAAJAQAADwAAAGRycy9kb3ducmV2&#10;LnhtbEyPwU6DQBCG7ya+w2ZMvJh2oTSkRZam0XjxpKWX3hZ2BCI7S9htCz6948neZjJf/v+bfDfZ&#10;Xlxw9J0jBfEyAoFUO9NRo+BYvi02IHzQZHTvCBXM6GFX3N/lOjPuSp94OYRGcAj5TCtoQxgyKX3d&#10;otV+6QYkvn250erA69hIM+orh9terqIolVZ3xA2tHvClxfr7cLbcu6eP+TWeT6eyqt+f5HGL5Y9R&#10;6vFh2j+DCDiFfxj+9FkdCnaq3JmMF72CxSaJGVWwStcgGNgmax4qBWmcgCxyeftB8QsAAP//AwBQ&#10;SwECLQAUAAYACAAAACEAtoM4kv4AAADhAQAAEwAAAAAAAAAAAAAAAAAAAAAAW0NvbnRlbnRfVHlw&#10;ZXNdLnhtbFBLAQItABQABgAIAAAAIQA4/SH/1gAAAJQBAAALAAAAAAAAAAAAAAAAAC8BAABfcmVs&#10;cy8ucmVsc1BLAQItABQABgAIAAAAIQCkmwdrYwIAAIMFAAAOAAAAAAAAAAAAAAAAAC4CAABkcnMv&#10;ZTJvRG9jLnhtbFBLAQItABQABgAIAAAAIQDarSCg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rFonts w:ascii="Arial" w:hAnsi="Arial"/>
        <w:sz w:val="18"/>
        <w:szCs w:val="18"/>
      </w:rPr>
      <w:t xml:space="preserve">Page </w:t>
    </w:r>
    <w:r w:rsidRPr="00DC19BC">
      <w:rPr>
        <w:rFonts w:ascii="Arial" w:hAnsi="Arial" w:cs="Arial"/>
        <w:b/>
        <w:sz w:val="18"/>
        <w:szCs w:val="18"/>
      </w:rPr>
      <w:fldChar w:fldCharType="begin"/>
    </w:r>
    <w:r w:rsidRPr="00DC19BC">
      <w:rPr>
        <w:rFonts w:ascii="Arial" w:hAnsi="Arial" w:cs="Arial"/>
        <w:b/>
        <w:sz w:val="18"/>
        <w:szCs w:val="18"/>
      </w:rPr>
      <w:instrText>PAGE  \* Arabic  \* MERGEFORMAT</w:instrText>
    </w:r>
    <w:r w:rsidRPr="00DC19BC">
      <w:rPr>
        <w:rFonts w:ascii="Arial" w:hAnsi="Arial" w:cs="Arial"/>
        <w:b/>
        <w:sz w:val="18"/>
        <w:szCs w:val="18"/>
      </w:rPr>
      <w:fldChar w:fldCharType="separate"/>
    </w:r>
    <w:r w:rsidR="00433AB9">
      <w:rPr>
        <w:rFonts w:ascii="Arial" w:hAnsi="Arial" w:cs="Arial"/>
        <w:b/>
        <w:noProof/>
        <w:sz w:val="18"/>
        <w:szCs w:val="18"/>
      </w:rPr>
      <w:t>2</w:t>
    </w:r>
    <w:r w:rsidRPr="00DC19BC">
      <w:rPr>
        <w:rFonts w:ascii="Arial" w:hAnsi="Arial" w:cs="Arial"/>
        <w:b/>
        <w:sz w:val="18"/>
        <w:szCs w:val="18"/>
      </w:rPr>
      <w:fldChar w:fldCharType="end"/>
    </w:r>
    <w:r>
      <w:rPr>
        <w:rFonts w:ascii="Arial" w:hAnsi="Arial"/>
        <w:sz w:val="18"/>
        <w:szCs w:val="18"/>
      </w:rPr>
      <w:t xml:space="preserve"> of </w:t>
    </w:r>
    <w:r w:rsidRPr="00DC19BC">
      <w:rPr>
        <w:rFonts w:ascii="Arial" w:hAnsi="Arial" w:cs="Arial"/>
        <w:b/>
        <w:sz w:val="18"/>
        <w:szCs w:val="18"/>
      </w:rPr>
      <w:fldChar w:fldCharType="begin"/>
    </w:r>
    <w:r w:rsidRPr="00DC19BC">
      <w:rPr>
        <w:rFonts w:ascii="Arial" w:hAnsi="Arial" w:cs="Arial"/>
        <w:b/>
        <w:sz w:val="18"/>
        <w:szCs w:val="18"/>
      </w:rPr>
      <w:instrText>NUMPAGES  \* Arabic  \* MERGEFORMAT</w:instrText>
    </w:r>
    <w:r w:rsidRPr="00DC19BC">
      <w:rPr>
        <w:rFonts w:ascii="Arial" w:hAnsi="Arial" w:cs="Arial"/>
        <w:b/>
        <w:sz w:val="18"/>
        <w:szCs w:val="18"/>
      </w:rPr>
      <w:fldChar w:fldCharType="separate"/>
    </w:r>
    <w:r w:rsidR="00433AB9">
      <w:rPr>
        <w:rFonts w:ascii="Arial" w:hAnsi="Arial" w:cs="Arial"/>
        <w:b/>
        <w:noProof/>
        <w:sz w:val="18"/>
        <w:szCs w:val="18"/>
      </w:rPr>
      <w:t>3</w:t>
    </w:r>
    <w:r w:rsidRPr="00DC19B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2D48D" w14:textId="77777777" w:rsidR="00380092" w:rsidRDefault="00380092" w:rsidP="0055466B">
      <w:pPr>
        <w:spacing w:after="0" w:line="240" w:lineRule="auto"/>
      </w:pPr>
      <w:r>
        <w:separator/>
      </w:r>
    </w:p>
  </w:footnote>
  <w:footnote w:type="continuationSeparator" w:id="0">
    <w:p w14:paraId="11C3B25F" w14:textId="77777777" w:rsidR="00380092" w:rsidRDefault="00380092" w:rsidP="0055466B">
      <w:pPr>
        <w:spacing w:after="0" w:line="240" w:lineRule="auto"/>
      </w:pPr>
      <w:r>
        <w:continuationSeparator/>
      </w:r>
    </w:p>
  </w:footnote>
  <w:footnote w:type="continuationNotice" w:id="1">
    <w:p w14:paraId="2F862513" w14:textId="77777777" w:rsidR="00380092" w:rsidRDefault="003800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B0F9" w14:textId="77777777" w:rsidR="00422A01" w:rsidRDefault="00422A01">
    <w:pPr>
      <w:pStyle w:val="Kopfzeile"/>
    </w:pPr>
    <w:r>
      <w:rPr>
        <w:noProof/>
        <w:lang w:val="de-DE" w:eastAsia="de-DE"/>
      </w:rPr>
      <mc:AlternateContent>
        <mc:Choice Requires="wps">
          <w:drawing>
            <wp:anchor distT="0" distB="0" distL="114300" distR="114300" simplePos="0" relativeHeight="251658241" behindDoc="0" locked="0" layoutInCell="1" allowOverlap="1" wp14:anchorId="1BDD4D57" wp14:editId="13ECC31F">
              <wp:simplePos x="0" y="0"/>
              <wp:positionH relativeFrom="column">
                <wp:posOffset>963295</wp:posOffset>
              </wp:positionH>
              <wp:positionV relativeFrom="paragraph">
                <wp:posOffset>130810</wp:posOffset>
              </wp:positionV>
              <wp:extent cx="4248150" cy="271780"/>
              <wp:effectExtent l="0" t="0" r="0" b="0"/>
              <wp:wrapNone/>
              <wp:docPr id="48" name="Textfeld 47"/>
              <wp:cNvGraphicFramePr/>
              <a:graphic xmlns:a="http://schemas.openxmlformats.org/drawingml/2006/main">
                <a:graphicData uri="http://schemas.microsoft.com/office/word/2010/wordprocessingShape">
                  <wps:wsp>
                    <wps:cNvSpPr txBox="1"/>
                    <wps:spPr>
                      <a:xfrm>
                        <a:off x="0" y="0"/>
                        <a:ext cx="4248150" cy="271780"/>
                      </a:xfrm>
                      <a:prstGeom prst="rect">
                        <a:avLst/>
                      </a:prstGeom>
                      <a:noFill/>
                    </wps:spPr>
                    <wps:txbx>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rPr>
                          </w:pPr>
                          <w:r>
                            <w:rPr>
                              <w:rFonts w:ascii="Arial" w:hAnsi="Arial"/>
                              <w:b/>
                              <w:bCs/>
                              <w:color w:val="FFFFFF" w:themeColor="background1"/>
                              <w:sz w:val="14"/>
                              <w:szCs w:val="14"/>
                            </w:rPr>
                            <w:t>Local expertise across Germany</w:t>
                          </w:r>
                        </w:p>
                      </w:txbxContent>
                    </wps:txbx>
                    <wps:bodyPr wrap="square" rtlCol="0">
                      <a:spAutoFit/>
                    </wps:bodyPr>
                  </wps:wsp>
                </a:graphicData>
              </a:graphic>
            </wp:anchor>
          </w:drawing>
        </mc:Choice>
        <mc:Fallback>
          <w:pict>
            <v:shapetype w14:anchorId="1BDD4D57" id="_x0000_t202" coordsize="21600,21600" o:spt="202" path="m,l,21600r21600,l21600,xe">
              <v:stroke joinstyle="miter"/>
              <v:path gradientshapeok="t" o:connecttype="rect"/>
            </v:shapetype>
            <v:shape id="Textfeld 47" o:spid="_x0000_s1028" type="#_x0000_t202" style="position:absolute;margin-left:75.85pt;margin-top:10.3pt;width:334.5pt;height:21.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5jlwEAABADAAAOAAAAZHJzL2Uyb0RvYy54bWysUk2PEzEMvSPxH6Lc6bRVodWo0xWwWi4I&#10;kHb5AWkm6URK4mCnnem/x0m7XbTcEBcn8cfz83O2d1Pw4mSQHMROLmZzKUzU0Lt46OTPp4d3Gyko&#10;q9grD9F08mxI3u3evtmOqTVLGMD3BgWDRGrH1Mkh59Q2DenBBEUzSCZy0AIGlfmJh6ZHNTJ68M1y&#10;Pv/QjIB9QtCGiL33l6DcVXxrjc7frSWThe8kc8vVYrX7YpvdVrUHVGlw+kpD/QOLoFzkpjeoe5WV&#10;OKL7Cyo4jUBg80xDaMBap02dgadZzF9N8zioZOosLA6lm0z0/2D1t9MPFK7v5Io3FVXgHT2ZKVvj&#10;e7FaF33GRC2nPSZOzNMnmHjPz35iZxl7shjKyQMJjrPS55u6jCY0O1fL1WbxnkOaY8v1Yr2p8jcv&#10;1QkpfzEQRLl0Enl7VVR1+kqZmXDqc0ppFuHBeV/8heKFSrnlaT9dee+hPzPtkRfcSfp1VGikwOw/&#10;Q/0PBYXSx2NmpNqglF9qrqgse+17/SJlr3++a9bLR979BgAA//8DAFBLAwQUAAYACAAAACEAXjYp&#10;/NwAAAAJAQAADwAAAGRycy9kb3ducmV2LnhtbEyPTU/DMAyG70j8h8hI3FjSwspUmk4THxIHLoxy&#10;95rQVDRO1WRr9+8xJzi+9qPXj6vt4gdxslPsA2nIVgqEpTaYnjoNzcfLzQZETEgGh0BWw9lG2NaX&#10;FxWWJsz0bk/71AkuoViiBpfSWEoZW2c9xlUYLfHuK0weE8epk2bCmcv9IHOlCumxJ77gcLSPzrbf&#10;+6PXkJLZZefm2cfXz+XtaXaqXWOj9fXVsnsAkeyS/mD41Wd1qNnpEI5kohg4r7N7RjXkqgDBwCZX&#10;PDhoKG7vQNaV/P9B/QMAAP//AwBQSwECLQAUAAYACAAAACEAtoM4kv4AAADhAQAAEwAAAAAAAAAA&#10;AAAAAAAAAAAAW0NvbnRlbnRfVHlwZXNdLnhtbFBLAQItABQABgAIAAAAIQA4/SH/1gAAAJQBAAAL&#10;AAAAAAAAAAAAAAAAAC8BAABfcmVscy8ucmVsc1BLAQItABQABgAIAAAAIQBsyE5jlwEAABADAAAO&#10;AAAAAAAAAAAAAAAAAC4CAABkcnMvZTJvRG9jLnhtbFBLAQItABQABgAIAAAAIQBeNin83AAAAAkB&#10;AAAPAAAAAAAAAAAAAAAAAPEDAABkcnMvZG93bnJldi54bWxQSwUGAAAAAAQABADzAAAA+gQAAAAA&#10;" filled="f" stroked="f">
              <v:textbox style="mso-fit-shape-to-text:t">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rPr>
                    </w:pPr>
                    <w:r>
                      <w:rPr>
                        <w:rFonts w:ascii="Arial" w:hAnsi="Arial"/>
                        <w:b/>
                        <w:bCs/>
                        <w:color w:val="FFFFFF" w:themeColor="background1"/>
                        <w:sz w:val="14"/>
                        <w:szCs w:val="14"/>
                      </w:rPr>
                      <w:t>Local expertise across Germany</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7D063ECB" wp14:editId="73A3FD56">
              <wp:simplePos x="0" y="0"/>
              <wp:positionH relativeFrom="column">
                <wp:posOffset>-518160</wp:posOffset>
              </wp:positionH>
              <wp:positionV relativeFrom="paragraph">
                <wp:posOffset>98425</wp:posOffset>
              </wp:positionV>
              <wp:extent cx="6461125" cy="377825"/>
              <wp:effectExtent l="0" t="0" r="0" b="3175"/>
              <wp:wrapNone/>
              <wp:docPr id="45" name="Rechteck 44"/>
              <wp:cNvGraphicFramePr/>
              <a:graphic xmlns:a="http://schemas.openxmlformats.org/drawingml/2006/main">
                <a:graphicData uri="http://schemas.microsoft.com/office/word/2010/wordprocessingShape">
                  <wps:wsp>
                    <wps:cNvSpPr/>
                    <wps:spPr>
                      <a:xfrm>
                        <a:off x="0" y="0"/>
                        <a:ext cx="6461125" cy="37782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6E520EB4" id="Rechteck 44" o:spid="_x0000_s1026" style="position:absolute;margin-left:-40.8pt;margin-top:7.75pt;width:508.75pt;height:2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lYwIAAIMFAAAOAAAAZHJzL2Uyb0RvYy54bWysVMtu2zAQvBfoPxC815Icx4kNyzkkSC99&#10;BEmLnmlqKRHlQyAZP/6+S1KR3dRIgaIXiiJ3hruzQ65u9lqRLTgvralpNSkpAcNtI01b0+/f7j9c&#10;U+IDMw1T1kBND+Dpzfr9u9WuX8LUdlY14AiSGL/c9TXtQuiXReF5B5r5ie3B4KawTrOAv64tGsd2&#10;yK5VMS3LebGzrumd5eA9rt7lTbpO/EIAD1+F8BCIqinmFtLo0riJY7FesWXrWN9JPqTB/iELzaTB&#10;Q0eqOxYYeXbyDyotubPeijDhVhdWCMkh1YDVVOWrap461kOqBcXx/SiT/3+0/Mv2wRHZ1HR2SYlh&#10;Gnv0CLwLwH+S2Szqs+v9EsOe+gc3/HmcxmL3wun4xTLIPml6GDWFfSAcF+ezeVVNkZvj3sXV1TXO&#10;kaY4onvnw0ewmsRJTR32LEnJtp98yKEvIYPCzb1Uiggl0TAGbUWJs+GHDF0SDG2YW+ERnxCe9BY1&#10;m12UZZm2kr3gVjmyZWiMTZsR6ll/tk1eu8TYZA/MdAxPebf+lHSBLjxLGvbVUOgrwOINQGQ+zWKR&#10;glGEtIxWzslVb+WGCbcvpStpCItXEb3vOVOAjR5MH6QC7PSgMF6BpGo6ycTR2Khy1l+lFUj3aWhK&#10;dEX2QZqFg4KMfQSBfsLOT89JzTgHE7LcvmMN/E1tZZAwMgvMZuQeCOIrcWzjC3fOeYiP0Jz4CD7b&#10;rt/BIyKdbE0YwVoa685VprCq4eQcj2Y5kSZON7Y54G1zQd3a/B4xwzuLzxEPLoFjFN707LP8KsWn&#10;5PQ/0R7fzvUvAAAA//8DAFBLAwQUAAYACAAAACEAQgzH1t8AAAAJAQAADwAAAGRycy9kb3ducmV2&#10;LnhtbEyPQU+DQBCF7yb+h82YeDHtgoZakKVpNF560tJLbws7ApGdJey2BX99x5MeJ+/Le9/km8n2&#10;4oyj7xwpiJcRCKTamY4aBYfyfbEG4YMmo3tHqGBGD5vi9ibXmXEX+sTzPjSCS8hnWkEbwpBJ6esW&#10;rfZLNyBx9uVGqwOfYyPNqC9cbnv5GEUraXVHvNDqAV9brL/3J8u7W/qY3+L5eCyrevcgDymWP0ap&#10;+7tp+wIi4BT+YPjVZ3Uo2KlyJzJe9AoW63jFKAdJAoKB9ClJQVQKnpMIZJHL/x8UVwAAAP//AwBQ&#10;SwECLQAUAAYACAAAACEAtoM4kv4AAADhAQAAEwAAAAAAAAAAAAAAAAAAAAAAW0NvbnRlbnRfVHlw&#10;ZXNdLnhtbFBLAQItABQABgAIAAAAIQA4/SH/1gAAAJQBAAALAAAAAAAAAAAAAAAAAC8BAABfcmVs&#10;cy8ucmVsc1BLAQItABQABgAIAAAAIQCPKCtlYwIAAIMFAAAOAAAAAAAAAAAAAAAAAC4CAABkcnMv&#10;ZTJvRG9jLnhtbFBLAQItABQABgAIAAAAIQBCDMfW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noProof/>
        <w:lang w:val="de-DE" w:eastAsia="de-DE"/>
      </w:rPr>
      <mc:AlternateContent>
        <mc:Choice Requires="wps">
          <w:drawing>
            <wp:anchor distT="0" distB="0" distL="114300" distR="114300" simplePos="0" relativeHeight="251658244" behindDoc="0" locked="0" layoutInCell="1" allowOverlap="1" wp14:anchorId="753AB55D" wp14:editId="684CAAFE">
              <wp:simplePos x="0" y="0"/>
              <wp:positionH relativeFrom="column">
                <wp:posOffset>-67945</wp:posOffset>
              </wp:positionH>
              <wp:positionV relativeFrom="paragraph">
                <wp:posOffset>77470</wp:posOffset>
              </wp:positionV>
              <wp:extent cx="948055" cy="1161415"/>
              <wp:effectExtent l="38100" t="38100" r="99695" b="95885"/>
              <wp:wrapNone/>
              <wp:docPr id="5" name="Rechteck 5"/>
              <wp:cNvGraphicFramePr/>
              <a:graphic xmlns:a="http://schemas.openxmlformats.org/drawingml/2006/main">
                <a:graphicData uri="http://schemas.microsoft.com/office/word/2010/wordprocessingShape">
                  <wps:wsp>
                    <wps:cNvSpPr/>
                    <wps:spPr>
                      <a:xfrm>
                        <a:off x="0" y="0"/>
                        <a:ext cx="948055" cy="116141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257AD" id="Rechteck 5" o:spid="_x0000_s1026" style="position:absolute;margin-left:-5.35pt;margin-top:6.1pt;width:74.65pt;height:9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Q5wIAADgGAAAOAAAAZHJzL2Uyb0RvYy54bWysVMFu2zAMvQ/YPwi6r7azpE2DOkXQosOA&#10;oiuaDj0rshwLlSVNUuJkXz9Scpy062lYDopoko/kI8Wr612ryFY4L40uaXGWUyI0N5XU65L+fL77&#10;MqXEB6YrpowWJd0LT6/nnz9ddXYmRqYxqhKOAIj2s86WtAnBzrLM80a0zJ8ZKzQoa+NaFkB066xy&#10;rAP0VmWjPD/POuMq6wwX3sPX26Sk84hf14KHH3XtRSCqpJBbiKeL5wrPbH7FZmvHbCN5nwb7hyxa&#10;JjUEHaBuWWBk4+RfUK3kznhThzNu2szUteQi1gDVFPm7apYNsyLWAuR4O9Dk/x8sf9g+OiKrkk4o&#10;0ayFFj0J3gTBX8kE2emsn4HR0j66XvJwxVJ3tWvxH4ogu8jofmBU7ALh8PFyPM0ngMxBVRTnxbiI&#10;oNnR2zofvgnTEryU1EHHIpFse+8DRATTgwkG80bJ6k4qFQWcEnGjHNky6O9qXWDG4PHGSmm01Qa9&#10;kjp9EXE8IEosYhOEWzZVR1Zq454YEpJPcxiZSmJeX6dFEmB2Rhc5/ihhag1DHxQlzoQXGZrYMCQB&#10;ITHtY26K8ddUmLINSwmPI8yxSLCO6ZtDMlE6yTPDbiT+4y3slcBQSj+JGroIjI9ikPh+jswwzoUO&#10;RVI1rBIp/uQk/uARY0ZARK6BtAG7B3jL+gE7ldHbo2vKe3BOpAxhUgZvnQePGNnoMDi3Uhv3UWUK&#10;quojJ3tI/4QavK5MtYcZhxbFIfWW30lozT3z4ZE5eO3QSdhg4QcctTJdSU1/o6Qx7vdH39EeHiFo&#10;Kelge5TU/9owJyhR3zU8z8tiPMZ1E4Xx5GIEgjvVrE41etPeGBjgAnal5fGK9kEdrrUz7QssugVG&#10;BRXTHGKXlAd3EG5C2mqwKrlYLKIZrBjLwr1eWo7gyCoO5fPuhTnbP7gAT/XBHDYNm717d8kWPbVZ&#10;bIKpZXyUR157vmE9xcHpVynuv1M5Wh0X/vwPAAAA//8DAFBLAwQUAAYACAAAACEAb3BJ1t8AAAAK&#10;AQAADwAAAGRycy9kb3ducmV2LnhtbEyPwU7DMAyG70i8Q2QkblvaAmMrTadpElyQEIwdOHqN11Zr&#10;kqpJs8LT453gZuv/9PtzsZ5MJyINvnVWQTpPQJCtnG5trWD/+TxbgvABrcbOWVLwTR7W5fVVgbl2&#10;Z/tBcRdqwSXW56igCaHPpfRVQwb93PVkOTu6wWDgdailHvDM5aaTWZIspMHW8oUGe9o2VJ12o1Hw&#10;do+eXjdxi+7rZazi+8n8xL1StzfT5glEoCn8wXDRZ3Uo2engRqu96BTM0uSRUQ6yDMQFuFsuQBx4&#10;WD2kIMtC/n+h/AUAAP//AwBQSwECLQAUAAYACAAAACEAtoM4kv4AAADhAQAAEwAAAAAAAAAAAAAA&#10;AAAAAAAAW0NvbnRlbnRfVHlwZXNdLnhtbFBLAQItABQABgAIAAAAIQA4/SH/1gAAAJQBAAALAAAA&#10;AAAAAAAAAAAAAC8BAABfcmVscy8ucmVsc1BLAQItABQABgAIAAAAIQCjbrcQ5wIAADgGAAAOAAAA&#10;AAAAAAAAAAAAAC4CAABkcnMvZTJvRG9jLnhtbFBLAQItABQABgAIAAAAIQBvcEnW3wAAAAoBAAAP&#10;AAAAAAAAAAAAAAAAAEEFAABkcnMvZG93bnJldi54bWxQSwUGAAAAAAQABADzAAAATQYAAAAA&#10;" fillcolor="white [3212]" stroked="f" strokeweight="2pt">
              <v:shadow on="t" color="black" opacity="26214f" origin="-.5,-.5" offset=".74836mm,.74836mm"/>
            </v:rect>
          </w:pict>
        </mc:Fallback>
      </mc:AlternateContent>
    </w:r>
  </w:p>
  <w:p w14:paraId="6E141978" w14:textId="77777777" w:rsidR="00422A01" w:rsidRDefault="00422A01">
    <w:pPr>
      <w:pStyle w:val="Kopfzeile"/>
    </w:pPr>
    <w:r>
      <w:rPr>
        <w:noProof/>
        <w:lang w:val="de-DE" w:eastAsia="de-DE"/>
      </w:rPr>
      <w:drawing>
        <wp:anchor distT="0" distB="0" distL="114300" distR="114300" simplePos="0" relativeHeight="251658245" behindDoc="0" locked="0" layoutInCell="1" allowOverlap="1" wp14:anchorId="6048B600" wp14:editId="607B1522">
          <wp:simplePos x="0" y="0"/>
          <wp:positionH relativeFrom="column">
            <wp:posOffset>96520</wp:posOffset>
          </wp:positionH>
          <wp:positionV relativeFrom="paragraph">
            <wp:posOffset>53340</wp:posOffset>
          </wp:positionV>
          <wp:extent cx="610321" cy="935515"/>
          <wp:effectExtent l="0" t="0" r="0" b="0"/>
          <wp:wrapNone/>
          <wp:docPr id="1" name="Picture 3" descr="N:\1_Allgemein_G&amp;B\Corporate Identity\Logo_GPP\G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1_Allgemein_G&amp;B\Corporate Identity\Logo_GPP\GPP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02"/>
                  <a:stretch/>
                </pic:blipFill>
                <pic:spPr bwMode="auto">
                  <a:xfrm>
                    <a:off x="0" y="0"/>
                    <a:ext cx="610321" cy="93551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A3883"/>
    <w:multiLevelType w:val="hybridMultilevel"/>
    <w:tmpl w:val="636EF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137591"/>
    <w:multiLevelType w:val="hybridMultilevel"/>
    <w:tmpl w:val="D80841C4"/>
    <w:lvl w:ilvl="0" w:tplc="918A06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BD17252"/>
    <w:multiLevelType w:val="hybridMultilevel"/>
    <w:tmpl w:val="F1560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891AFE"/>
    <w:multiLevelType w:val="hybridMultilevel"/>
    <w:tmpl w:val="956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505D1"/>
    <w:multiLevelType w:val="hybridMultilevel"/>
    <w:tmpl w:val="8A3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C3A21"/>
    <w:multiLevelType w:val="hybridMultilevel"/>
    <w:tmpl w:val="29FE6460"/>
    <w:lvl w:ilvl="0" w:tplc="91E695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2"/>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55466B"/>
    <w:rsid w:val="00000481"/>
    <w:rsid w:val="0000053B"/>
    <w:rsid w:val="00000548"/>
    <w:rsid w:val="000006A4"/>
    <w:rsid w:val="00001215"/>
    <w:rsid w:val="00001AA8"/>
    <w:rsid w:val="00001B23"/>
    <w:rsid w:val="000027C1"/>
    <w:rsid w:val="000032D3"/>
    <w:rsid w:val="00003BC8"/>
    <w:rsid w:val="00003DBD"/>
    <w:rsid w:val="00003E64"/>
    <w:rsid w:val="0000477A"/>
    <w:rsid w:val="00004E9C"/>
    <w:rsid w:val="00005030"/>
    <w:rsid w:val="00005646"/>
    <w:rsid w:val="00005F55"/>
    <w:rsid w:val="00007162"/>
    <w:rsid w:val="000072AE"/>
    <w:rsid w:val="0001020A"/>
    <w:rsid w:val="00010AC9"/>
    <w:rsid w:val="00011F5E"/>
    <w:rsid w:val="000121F0"/>
    <w:rsid w:val="00012451"/>
    <w:rsid w:val="00012644"/>
    <w:rsid w:val="00013642"/>
    <w:rsid w:val="00013770"/>
    <w:rsid w:val="00013E1B"/>
    <w:rsid w:val="00013F60"/>
    <w:rsid w:val="00014678"/>
    <w:rsid w:val="00015213"/>
    <w:rsid w:val="00015227"/>
    <w:rsid w:val="0001545C"/>
    <w:rsid w:val="0001603A"/>
    <w:rsid w:val="00016683"/>
    <w:rsid w:val="00016832"/>
    <w:rsid w:val="00016967"/>
    <w:rsid w:val="00016C2F"/>
    <w:rsid w:val="0001769A"/>
    <w:rsid w:val="00017997"/>
    <w:rsid w:val="00017AD7"/>
    <w:rsid w:val="00020568"/>
    <w:rsid w:val="000205F7"/>
    <w:rsid w:val="00021285"/>
    <w:rsid w:val="000214B0"/>
    <w:rsid w:val="00021737"/>
    <w:rsid w:val="0002237B"/>
    <w:rsid w:val="000224CD"/>
    <w:rsid w:val="00022AAA"/>
    <w:rsid w:val="00022E37"/>
    <w:rsid w:val="00022E4E"/>
    <w:rsid w:val="00022FE4"/>
    <w:rsid w:val="00023023"/>
    <w:rsid w:val="00023EB9"/>
    <w:rsid w:val="00024F6F"/>
    <w:rsid w:val="00025A26"/>
    <w:rsid w:val="00025BF8"/>
    <w:rsid w:val="00027C36"/>
    <w:rsid w:val="00027E99"/>
    <w:rsid w:val="0003042E"/>
    <w:rsid w:val="00030666"/>
    <w:rsid w:val="00031088"/>
    <w:rsid w:val="00031119"/>
    <w:rsid w:val="00032354"/>
    <w:rsid w:val="0003376A"/>
    <w:rsid w:val="00034155"/>
    <w:rsid w:val="000347A8"/>
    <w:rsid w:val="0003485D"/>
    <w:rsid w:val="00035689"/>
    <w:rsid w:val="000358A1"/>
    <w:rsid w:val="00035B61"/>
    <w:rsid w:val="00035FE2"/>
    <w:rsid w:val="000365D2"/>
    <w:rsid w:val="00037641"/>
    <w:rsid w:val="00037CA6"/>
    <w:rsid w:val="00037D13"/>
    <w:rsid w:val="00040E24"/>
    <w:rsid w:val="000415C4"/>
    <w:rsid w:val="00042738"/>
    <w:rsid w:val="00042BAC"/>
    <w:rsid w:val="000430B1"/>
    <w:rsid w:val="00043F58"/>
    <w:rsid w:val="000440E1"/>
    <w:rsid w:val="00044734"/>
    <w:rsid w:val="00045DDB"/>
    <w:rsid w:val="00045DDD"/>
    <w:rsid w:val="00045F88"/>
    <w:rsid w:val="00045F9B"/>
    <w:rsid w:val="000466B8"/>
    <w:rsid w:val="000466FD"/>
    <w:rsid w:val="00046E15"/>
    <w:rsid w:val="000473DA"/>
    <w:rsid w:val="00047695"/>
    <w:rsid w:val="00047747"/>
    <w:rsid w:val="00047BAF"/>
    <w:rsid w:val="0005004D"/>
    <w:rsid w:val="0005119A"/>
    <w:rsid w:val="00051442"/>
    <w:rsid w:val="000514C1"/>
    <w:rsid w:val="00051711"/>
    <w:rsid w:val="00051C92"/>
    <w:rsid w:val="00051E74"/>
    <w:rsid w:val="000524B6"/>
    <w:rsid w:val="000533D1"/>
    <w:rsid w:val="00053942"/>
    <w:rsid w:val="00053959"/>
    <w:rsid w:val="00053C98"/>
    <w:rsid w:val="0005419A"/>
    <w:rsid w:val="00054372"/>
    <w:rsid w:val="00055A87"/>
    <w:rsid w:val="00056158"/>
    <w:rsid w:val="000562C5"/>
    <w:rsid w:val="00056395"/>
    <w:rsid w:val="00056443"/>
    <w:rsid w:val="00056ABC"/>
    <w:rsid w:val="00056B0B"/>
    <w:rsid w:val="00056EC7"/>
    <w:rsid w:val="00057551"/>
    <w:rsid w:val="00057FC2"/>
    <w:rsid w:val="000602BE"/>
    <w:rsid w:val="00060931"/>
    <w:rsid w:val="00060D5B"/>
    <w:rsid w:val="00061B3E"/>
    <w:rsid w:val="000621FA"/>
    <w:rsid w:val="00062407"/>
    <w:rsid w:val="00062C83"/>
    <w:rsid w:val="00062E5F"/>
    <w:rsid w:val="00063652"/>
    <w:rsid w:val="00063905"/>
    <w:rsid w:val="00063D38"/>
    <w:rsid w:val="0006417A"/>
    <w:rsid w:val="000644F1"/>
    <w:rsid w:val="00064A7C"/>
    <w:rsid w:val="00064A83"/>
    <w:rsid w:val="00064B74"/>
    <w:rsid w:val="000668D2"/>
    <w:rsid w:val="000670B7"/>
    <w:rsid w:val="00067F83"/>
    <w:rsid w:val="00070DD2"/>
    <w:rsid w:val="00070F84"/>
    <w:rsid w:val="00073A8E"/>
    <w:rsid w:val="00073BB0"/>
    <w:rsid w:val="00073EEC"/>
    <w:rsid w:val="0007424C"/>
    <w:rsid w:val="0007446B"/>
    <w:rsid w:val="00074775"/>
    <w:rsid w:val="00074A48"/>
    <w:rsid w:val="00074A9E"/>
    <w:rsid w:val="00074FBF"/>
    <w:rsid w:val="00074FD9"/>
    <w:rsid w:val="00075EEF"/>
    <w:rsid w:val="0007635E"/>
    <w:rsid w:val="000766F7"/>
    <w:rsid w:val="00076FCC"/>
    <w:rsid w:val="00077CDB"/>
    <w:rsid w:val="00080187"/>
    <w:rsid w:val="000804E0"/>
    <w:rsid w:val="00080779"/>
    <w:rsid w:val="000814E3"/>
    <w:rsid w:val="000819D1"/>
    <w:rsid w:val="00082B10"/>
    <w:rsid w:val="00083384"/>
    <w:rsid w:val="00083718"/>
    <w:rsid w:val="00084434"/>
    <w:rsid w:val="00084AD5"/>
    <w:rsid w:val="00084B3C"/>
    <w:rsid w:val="00085104"/>
    <w:rsid w:val="000855B9"/>
    <w:rsid w:val="00085CD9"/>
    <w:rsid w:val="00085FE6"/>
    <w:rsid w:val="00086D71"/>
    <w:rsid w:val="000870BD"/>
    <w:rsid w:val="00087E44"/>
    <w:rsid w:val="000910A2"/>
    <w:rsid w:val="00091232"/>
    <w:rsid w:val="0009135A"/>
    <w:rsid w:val="0009164C"/>
    <w:rsid w:val="00091F05"/>
    <w:rsid w:val="00092783"/>
    <w:rsid w:val="0009310C"/>
    <w:rsid w:val="000932B4"/>
    <w:rsid w:val="00093765"/>
    <w:rsid w:val="00093FF4"/>
    <w:rsid w:val="00094160"/>
    <w:rsid w:val="0009416D"/>
    <w:rsid w:val="000949B5"/>
    <w:rsid w:val="00094CFA"/>
    <w:rsid w:val="00094E05"/>
    <w:rsid w:val="00095515"/>
    <w:rsid w:val="00095E3C"/>
    <w:rsid w:val="0009638B"/>
    <w:rsid w:val="000965BE"/>
    <w:rsid w:val="00096A83"/>
    <w:rsid w:val="00097288"/>
    <w:rsid w:val="0009788B"/>
    <w:rsid w:val="000A0433"/>
    <w:rsid w:val="000A08B8"/>
    <w:rsid w:val="000A0E9A"/>
    <w:rsid w:val="000A1038"/>
    <w:rsid w:val="000A18FC"/>
    <w:rsid w:val="000A1BCC"/>
    <w:rsid w:val="000A21AB"/>
    <w:rsid w:val="000A244F"/>
    <w:rsid w:val="000A26CD"/>
    <w:rsid w:val="000A27CB"/>
    <w:rsid w:val="000A2ABB"/>
    <w:rsid w:val="000A32A1"/>
    <w:rsid w:val="000A4519"/>
    <w:rsid w:val="000A5DA8"/>
    <w:rsid w:val="000A6869"/>
    <w:rsid w:val="000A7042"/>
    <w:rsid w:val="000A7E1F"/>
    <w:rsid w:val="000B0168"/>
    <w:rsid w:val="000B1AD6"/>
    <w:rsid w:val="000B1DE5"/>
    <w:rsid w:val="000B1E51"/>
    <w:rsid w:val="000B242E"/>
    <w:rsid w:val="000B366E"/>
    <w:rsid w:val="000B3863"/>
    <w:rsid w:val="000B3999"/>
    <w:rsid w:val="000B39A9"/>
    <w:rsid w:val="000B39E0"/>
    <w:rsid w:val="000B529F"/>
    <w:rsid w:val="000B56EB"/>
    <w:rsid w:val="000B58F9"/>
    <w:rsid w:val="000B5EA0"/>
    <w:rsid w:val="000B5F76"/>
    <w:rsid w:val="000B6213"/>
    <w:rsid w:val="000B677C"/>
    <w:rsid w:val="000B6AB1"/>
    <w:rsid w:val="000B6BA5"/>
    <w:rsid w:val="000B6DDC"/>
    <w:rsid w:val="000B6FBA"/>
    <w:rsid w:val="000B7361"/>
    <w:rsid w:val="000B762F"/>
    <w:rsid w:val="000B78B6"/>
    <w:rsid w:val="000C0547"/>
    <w:rsid w:val="000C0A3E"/>
    <w:rsid w:val="000C2186"/>
    <w:rsid w:val="000C3120"/>
    <w:rsid w:val="000C385C"/>
    <w:rsid w:val="000C3A62"/>
    <w:rsid w:val="000C3C24"/>
    <w:rsid w:val="000C3CAB"/>
    <w:rsid w:val="000C41DE"/>
    <w:rsid w:val="000C444F"/>
    <w:rsid w:val="000C4B39"/>
    <w:rsid w:val="000C4BA4"/>
    <w:rsid w:val="000C5F5E"/>
    <w:rsid w:val="000C650D"/>
    <w:rsid w:val="000C70EB"/>
    <w:rsid w:val="000C7764"/>
    <w:rsid w:val="000D118E"/>
    <w:rsid w:val="000D221C"/>
    <w:rsid w:val="000D2E28"/>
    <w:rsid w:val="000D2E3A"/>
    <w:rsid w:val="000D39F4"/>
    <w:rsid w:val="000D3D70"/>
    <w:rsid w:val="000D3D8D"/>
    <w:rsid w:val="000D3D97"/>
    <w:rsid w:val="000D3E42"/>
    <w:rsid w:val="000D430B"/>
    <w:rsid w:val="000D4CB5"/>
    <w:rsid w:val="000D4DDB"/>
    <w:rsid w:val="000D4F25"/>
    <w:rsid w:val="000D52E5"/>
    <w:rsid w:val="000D6E0A"/>
    <w:rsid w:val="000D779D"/>
    <w:rsid w:val="000E078E"/>
    <w:rsid w:val="000E1162"/>
    <w:rsid w:val="000E1522"/>
    <w:rsid w:val="000E2520"/>
    <w:rsid w:val="000E2D96"/>
    <w:rsid w:val="000E314E"/>
    <w:rsid w:val="000E3A95"/>
    <w:rsid w:val="000E45F7"/>
    <w:rsid w:val="000E5970"/>
    <w:rsid w:val="000E5CB8"/>
    <w:rsid w:val="000E616B"/>
    <w:rsid w:val="000E648D"/>
    <w:rsid w:val="000E6D8A"/>
    <w:rsid w:val="000E77B9"/>
    <w:rsid w:val="000E780E"/>
    <w:rsid w:val="000F036B"/>
    <w:rsid w:val="000F05ED"/>
    <w:rsid w:val="000F101E"/>
    <w:rsid w:val="000F18D0"/>
    <w:rsid w:val="000F1FCB"/>
    <w:rsid w:val="000F25EC"/>
    <w:rsid w:val="000F2955"/>
    <w:rsid w:val="000F2AA6"/>
    <w:rsid w:val="000F3197"/>
    <w:rsid w:val="000F4805"/>
    <w:rsid w:val="000F4CE1"/>
    <w:rsid w:val="000F4DD0"/>
    <w:rsid w:val="000F4EED"/>
    <w:rsid w:val="000F541F"/>
    <w:rsid w:val="000F6159"/>
    <w:rsid w:val="000F6342"/>
    <w:rsid w:val="000F6642"/>
    <w:rsid w:val="000F69ED"/>
    <w:rsid w:val="000F7060"/>
    <w:rsid w:val="000F7D7D"/>
    <w:rsid w:val="000F7EF9"/>
    <w:rsid w:val="001007AB"/>
    <w:rsid w:val="00100D69"/>
    <w:rsid w:val="001017B6"/>
    <w:rsid w:val="00101AD4"/>
    <w:rsid w:val="00102C03"/>
    <w:rsid w:val="00102C27"/>
    <w:rsid w:val="00102D24"/>
    <w:rsid w:val="00102FD3"/>
    <w:rsid w:val="00103F2B"/>
    <w:rsid w:val="0010606E"/>
    <w:rsid w:val="0010664D"/>
    <w:rsid w:val="00106821"/>
    <w:rsid w:val="00106CD7"/>
    <w:rsid w:val="00106FDB"/>
    <w:rsid w:val="0010775C"/>
    <w:rsid w:val="00110238"/>
    <w:rsid w:val="0011117D"/>
    <w:rsid w:val="00111199"/>
    <w:rsid w:val="001115DD"/>
    <w:rsid w:val="001117C2"/>
    <w:rsid w:val="00112814"/>
    <w:rsid w:val="00112B48"/>
    <w:rsid w:val="00113518"/>
    <w:rsid w:val="00113DFE"/>
    <w:rsid w:val="00114530"/>
    <w:rsid w:val="0011455A"/>
    <w:rsid w:val="00114901"/>
    <w:rsid w:val="001152ED"/>
    <w:rsid w:val="00115C97"/>
    <w:rsid w:val="00116449"/>
    <w:rsid w:val="00116605"/>
    <w:rsid w:val="0011686D"/>
    <w:rsid w:val="00117789"/>
    <w:rsid w:val="001179B8"/>
    <w:rsid w:val="00117BD5"/>
    <w:rsid w:val="00121174"/>
    <w:rsid w:val="00121705"/>
    <w:rsid w:val="00121787"/>
    <w:rsid w:val="00121ABD"/>
    <w:rsid w:val="00121BB5"/>
    <w:rsid w:val="00121ED5"/>
    <w:rsid w:val="0012205D"/>
    <w:rsid w:val="00122996"/>
    <w:rsid w:val="00122CC7"/>
    <w:rsid w:val="00122FE5"/>
    <w:rsid w:val="00123F6C"/>
    <w:rsid w:val="00126356"/>
    <w:rsid w:val="00126503"/>
    <w:rsid w:val="00126EBF"/>
    <w:rsid w:val="0012773C"/>
    <w:rsid w:val="00127C59"/>
    <w:rsid w:val="00127D4D"/>
    <w:rsid w:val="00127E3E"/>
    <w:rsid w:val="001308DB"/>
    <w:rsid w:val="00130D53"/>
    <w:rsid w:val="001311CE"/>
    <w:rsid w:val="0013170E"/>
    <w:rsid w:val="001319F6"/>
    <w:rsid w:val="00131E56"/>
    <w:rsid w:val="0013214E"/>
    <w:rsid w:val="001321D9"/>
    <w:rsid w:val="00132930"/>
    <w:rsid w:val="001336DC"/>
    <w:rsid w:val="00133951"/>
    <w:rsid w:val="00133DF2"/>
    <w:rsid w:val="001345A5"/>
    <w:rsid w:val="001345D9"/>
    <w:rsid w:val="00134655"/>
    <w:rsid w:val="001346C0"/>
    <w:rsid w:val="00135028"/>
    <w:rsid w:val="0013581F"/>
    <w:rsid w:val="00136478"/>
    <w:rsid w:val="00136B49"/>
    <w:rsid w:val="00137540"/>
    <w:rsid w:val="001377BB"/>
    <w:rsid w:val="00137923"/>
    <w:rsid w:val="00137E53"/>
    <w:rsid w:val="00137F4E"/>
    <w:rsid w:val="0014029A"/>
    <w:rsid w:val="00140640"/>
    <w:rsid w:val="0014092E"/>
    <w:rsid w:val="00141DCE"/>
    <w:rsid w:val="00142692"/>
    <w:rsid w:val="00142745"/>
    <w:rsid w:val="001428A0"/>
    <w:rsid w:val="00143B76"/>
    <w:rsid w:val="0014461D"/>
    <w:rsid w:val="001446E5"/>
    <w:rsid w:val="00144B69"/>
    <w:rsid w:val="00144CDC"/>
    <w:rsid w:val="00145164"/>
    <w:rsid w:val="001451E4"/>
    <w:rsid w:val="00145399"/>
    <w:rsid w:val="0014570D"/>
    <w:rsid w:val="001457B9"/>
    <w:rsid w:val="00145ACC"/>
    <w:rsid w:val="001460FF"/>
    <w:rsid w:val="0014628D"/>
    <w:rsid w:val="00146DF5"/>
    <w:rsid w:val="001477D9"/>
    <w:rsid w:val="00147C62"/>
    <w:rsid w:val="0015038C"/>
    <w:rsid w:val="0015194F"/>
    <w:rsid w:val="00151A3F"/>
    <w:rsid w:val="00152648"/>
    <w:rsid w:val="0015279D"/>
    <w:rsid w:val="0015298D"/>
    <w:rsid w:val="00152D35"/>
    <w:rsid w:val="00154379"/>
    <w:rsid w:val="001546EA"/>
    <w:rsid w:val="00154A48"/>
    <w:rsid w:val="00154A8A"/>
    <w:rsid w:val="001551E8"/>
    <w:rsid w:val="001558F5"/>
    <w:rsid w:val="00155EEE"/>
    <w:rsid w:val="00156018"/>
    <w:rsid w:val="0015668C"/>
    <w:rsid w:val="00156895"/>
    <w:rsid w:val="001568D8"/>
    <w:rsid w:val="0015720E"/>
    <w:rsid w:val="0015733D"/>
    <w:rsid w:val="00157B85"/>
    <w:rsid w:val="00157FF3"/>
    <w:rsid w:val="001600E5"/>
    <w:rsid w:val="00160194"/>
    <w:rsid w:val="001601E5"/>
    <w:rsid w:val="00160337"/>
    <w:rsid w:val="001607CD"/>
    <w:rsid w:val="00160953"/>
    <w:rsid w:val="00160A90"/>
    <w:rsid w:val="00160BDB"/>
    <w:rsid w:val="00162DCA"/>
    <w:rsid w:val="00163785"/>
    <w:rsid w:val="001640D9"/>
    <w:rsid w:val="00164526"/>
    <w:rsid w:val="00165126"/>
    <w:rsid w:val="001654FA"/>
    <w:rsid w:val="00166385"/>
    <w:rsid w:val="001669B0"/>
    <w:rsid w:val="00166AFD"/>
    <w:rsid w:val="00166CE4"/>
    <w:rsid w:val="00166FD7"/>
    <w:rsid w:val="00167E41"/>
    <w:rsid w:val="00167FC6"/>
    <w:rsid w:val="0017151E"/>
    <w:rsid w:val="001718B0"/>
    <w:rsid w:val="00171EBC"/>
    <w:rsid w:val="00171F47"/>
    <w:rsid w:val="00172AE3"/>
    <w:rsid w:val="00172C4D"/>
    <w:rsid w:val="00172CAD"/>
    <w:rsid w:val="00172CBE"/>
    <w:rsid w:val="00173390"/>
    <w:rsid w:val="00173C74"/>
    <w:rsid w:val="00174AE8"/>
    <w:rsid w:val="00174EB1"/>
    <w:rsid w:val="0017567F"/>
    <w:rsid w:val="001756C3"/>
    <w:rsid w:val="00175B91"/>
    <w:rsid w:val="00175CCD"/>
    <w:rsid w:val="00175F18"/>
    <w:rsid w:val="00175F4F"/>
    <w:rsid w:val="00176E63"/>
    <w:rsid w:val="00176F5F"/>
    <w:rsid w:val="001770C9"/>
    <w:rsid w:val="0017774A"/>
    <w:rsid w:val="001804EC"/>
    <w:rsid w:val="00180A27"/>
    <w:rsid w:val="00180BAA"/>
    <w:rsid w:val="00180CA5"/>
    <w:rsid w:val="00181F94"/>
    <w:rsid w:val="001820BD"/>
    <w:rsid w:val="001823AA"/>
    <w:rsid w:val="001823FF"/>
    <w:rsid w:val="00182BFC"/>
    <w:rsid w:val="00182CF9"/>
    <w:rsid w:val="00183034"/>
    <w:rsid w:val="00184081"/>
    <w:rsid w:val="00184D06"/>
    <w:rsid w:val="00185484"/>
    <w:rsid w:val="001857B7"/>
    <w:rsid w:val="00185971"/>
    <w:rsid w:val="00185D87"/>
    <w:rsid w:val="00186107"/>
    <w:rsid w:val="001862E7"/>
    <w:rsid w:val="00186BFF"/>
    <w:rsid w:val="00187651"/>
    <w:rsid w:val="001876FA"/>
    <w:rsid w:val="001903AD"/>
    <w:rsid w:val="00190A04"/>
    <w:rsid w:val="00190C91"/>
    <w:rsid w:val="001915CD"/>
    <w:rsid w:val="00192E08"/>
    <w:rsid w:val="00193A07"/>
    <w:rsid w:val="00194A64"/>
    <w:rsid w:val="00194E60"/>
    <w:rsid w:val="001958A3"/>
    <w:rsid w:val="00196BC6"/>
    <w:rsid w:val="00196EE2"/>
    <w:rsid w:val="001973E8"/>
    <w:rsid w:val="00197861"/>
    <w:rsid w:val="001A0632"/>
    <w:rsid w:val="001A11EC"/>
    <w:rsid w:val="001A169E"/>
    <w:rsid w:val="001A1914"/>
    <w:rsid w:val="001A1A32"/>
    <w:rsid w:val="001A20F8"/>
    <w:rsid w:val="001A2845"/>
    <w:rsid w:val="001A3707"/>
    <w:rsid w:val="001A3CE4"/>
    <w:rsid w:val="001A44F6"/>
    <w:rsid w:val="001A4793"/>
    <w:rsid w:val="001A490B"/>
    <w:rsid w:val="001A4AC4"/>
    <w:rsid w:val="001A5907"/>
    <w:rsid w:val="001A5DB9"/>
    <w:rsid w:val="001A6AD7"/>
    <w:rsid w:val="001A6E24"/>
    <w:rsid w:val="001A719E"/>
    <w:rsid w:val="001A7FE8"/>
    <w:rsid w:val="001B0412"/>
    <w:rsid w:val="001B07F0"/>
    <w:rsid w:val="001B0941"/>
    <w:rsid w:val="001B0B17"/>
    <w:rsid w:val="001B0C6B"/>
    <w:rsid w:val="001B0D8D"/>
    <w:rsid w:val="001B0E2B"/>
    <w:rsid w:val="001B1007"/>
    <w:rsid w:val="001B1D1B"/>
    <w:rsid w:val="001B25DE"/>
    <w:rsid w:val="001B274E"/>
    <w:rsid w:val="001B279E"/>
    <w:rsid w:val="001B3BCF"/>
    <w:rsid w:val="001B4454"/>
    <w:rsid w:val="001B4BA1"/>
    <w:rsid w:val="001B566A"/>
    <w:rsid w:val="001B579D"/>
    <w:rsid w:val="001B64AF"/>
    <w:rsid w:val="001B6D03"/>
    <w:rsid w:val="001C02AC"/>
    <w:rsid w:val="001C1462"/>
    <w:rsid w:val="001C166D"/>
    <w:rsid w:val="001C1C5F"/>
    <w:rsid w:val="001C32C6"/>
    <w:rsid w:val="001C3D99"/>
    <w:rsid w:val="001C40B3"/>
    <w:rsid w:val="001C4259"/>
    <w:rsid w:val="001C4283"/>
    <w:rsid w:val="001C5297"/>
    <w:rsid w:val="001C56BD"/>
    <w:rsid w:val="001C5D92"/>
    <w:rsid w:val="001C65C1"/>
    <w:rsid w:val="001C6A54"/>
    <w:rsid w:val="001C6C03"/>
    <w:rsid w:val="001C6E35"/>
    <w:rsid w:val="001C74AB"/>
    <w:rsid w:val="001C74C5"/>
    <w:rsid w:val="001D02FF"/>
    <w:rsid w:val="001D09E5"/>
    <w:rsid w:val="001D114D"/>
    <w:rsid w:val="001D1445"/>
    <w:rsid w:val="001D2164"/>
    <w:rsid w:val="001D269A"/>
    <w:rsid w:val="001D379F"/>
    <w:rsid w:val="001D3CC9"/>
    <w:rsid w:val="001D4659"/>
    <w:rsid w:val="001D4ECC"/>
    <w:rsid w:val="001D52E0"/>
    <w:rsid w:val="001D5413"/>
    <w:rsid w:val="001D5E7B"/>
    <w:rsid w:val="001D646D"/>
    <w:rsid w:val="001D64B8"/>
    <w:rsid w:val="001D6864"/>
    <w:rsid w:val="001D6DFF"/>
    <w:rsid w:val="001D7910"/>
    <w:rsid w:val="001E0044"/>
    <w:rsid w:val="001E0680"/>
    <w:rsid w:val="001E0EED"/>
    <w:rsid w:val="001E121A"/>
    <w:rsid w:val="001E13A6"/>
    <w:rsid w:val="001E15CD"/>
    <w:rsid w:val="001E29E9"/>
    <w:rsid w:val="001E3137"/>
    <w:rsid w:val="001E33A0"/>
    <w:rsid w:val="001E3AA5"/>
    <w:rsid w:val="001E41A2"/>
    <w:rsid w:val="001E4467"/>
    <w:rsid w:val="001E449C"/>
    <w:rsid w:val="001E4E49"/>
    <w:rsid w:val="001E5092"/>
    <w:rsid w:val="001E51F1"/>
    <w:rsid w:val="001E5444"/>
    <w:rsid w:val="001E5E02"/>
    <w:rsid w:val="001E681F"/>
    <w:rsid w:val="001E6DA9"/>
    <w:rsid w:val="001E7A83"/>
    <w:rsid w:val="001E7BA7"/>
    <w:rsid w:val="001E7FE7"/>
    <w:rsid w:val="001F037E"/>
    <w:rsid w:val="001F05E3"/>
    <w:rsid w:val="001F090D"/>
    <w:rsid w:val="001F0D5E"/>
    <w:rsid w:val="001F2689"/>
    <w:rsid w:val="001F3381"/>
    <w:rsid w:val="001F37AC"/>
    <w:rsid w:val="001F41C6"/>
    <w:rsid w:val="001F50D7"/>
    <w:rsid w:val="001F5282"/>
    <w:rsid w:val="001F5A12"/>
    <w:rsid w:val="001F5C21"/>
    <w:rsid w:val="001F6C81"/>
    <w:rsid w:val="001F6E0B"/>
    <w:rsid w:val="001F72FD"/>
    <w:rsid w:val="001F8701"/>
    <w:rsid w:val="00201037"/>
    <w:rsid w:val="002011A1"/>
    <w:rsid w:val="002018A5"/>
    <w:rsid w:val="00202839"/>
    <w:rsid w:val="0020377D"/>
    <w:rsid w:val="00203D22"/>
    <w:rsid w:val="00203FF7"/>
    <w:rsid w:val="00204D59"/>
    <w:rsid w:val="002054C4"/>
    <w:rsid w:val="0020589A"/>
    <w:rsid w:val="00205A5E"/>
    <w:rsid w:val="00205F77"/>
    <w:rsid w:val="00205FCB"/>
    <w:rsid w:val="00206976"/>
    <w:rsid w:val="00206C90"/>
    <w:rsid w:val="002076D2"/>
    <w:rsid w:val="0021013D"/>
    <w:rsid w:val="00210AE8"/>
    <w:rsid w:val="00210CBF"/>
    <w:rsid w:val="00210D01"/>
    <w:rsid w:val="00210E6A"/>
    <w:rsid w:val="00211497"/>
    <w:rsid w:val="00211C88"/>
    <w:rsid w:val="0021278F"/>
    <w:rsid w:val="00212D07"/>
    <w:rsid w:val="00212E58"/>
    <w:rsid w:val="002137C9"/>
    <w:rsid w:val="00213DC3"/>
    <w:rsid w:val="00215268"/>
    <w:rsid w:val="00215F50"/>
    <w:rsid w:val="00215F99"/>
    <w:rsid w:val="002160D9"/>
    <w:rsid w:val="00216286"/>
    <w:rsid w:val="00217089"/>
    <w:rsid w:val="00217939"/>
    <w:rsid w:val="002179F6"/>
    <w:rsid w:val="00217B23"/>
    <w:rsid w:val="00217F4F"/>
    <w:rsid w:val="00220D31"/>
    <w:rsid w:val="002224EE"/>
    <w:rsid w:val="00222A2F"/>
    <w:rsid w:val="00223044"/>
    <w:rsid w:val="002238A7"/>
    <w:rsid w:val="002247AC"/>
    <w:rsid w:val="002248F1"/>
    <w:rsid w:val="00224A66"/>
    <w:rsid w:val="00224F59"/>
    <w:rsid w:val="00226643"/>
    <w:rsid w:val="00227A97"/>
    <w:rsid w:val="00227BB8"/>
    <w:rsid w:val="00227FFC"/>
    <w:rsid w:val="00230681"/>
    <w:rsid w:val="002308D9"/>
    <w:rsid w:val="00231385"/>
    <w:rsid w:val="002313BC"/>
    <w:rsid w:val="00231565"/>
    <w:rsid w:val="0023195B"/>
    <w:rsid w:val="002321B0"/>
    <w:rsid w:val="0023235D"/>
    <w:rsid w:val="002323C2"/>
    <w:rsid w:val="0023240E"/>
    <w:rsid w:val="002327CC"/>
    <w:rsid w:val="00232C5F"/>
    <w:rsid w:val="00232E41"/>
    <w:rsid w:val="00232E59"/>
    <w:rsid w:val="00233138"/>
    <w:rsid w:val="0023328C"/>
    <w:rsid w:val="00233CE9"/>
    <w:rsid w:val="002354EE"/>
    <w:rsid w:val="002360A6"/>
    <w:rsid w:val="00236435"/>
    <w:rsid w:val="002368CD"/>
    <w:rsid w:val="002369B4"/>
    <w:rsid w:val="002376B1"/>
    <w:rsid w:val="00237A77"/>
    <w:rsid w:val="00240339"/>
    <w:rsid w:val="0024087E"/>
    <w:rsid w:val="00240904"/>
    <w:rsid w:val="00240F66"/>
    <w:rsid w:val="00241149"/>
    <w:rsid w:val="00241365"/>
    <w:rsid w:val="00241C72"/>
    <w:rsid w:val="00242FB7"/>
    <w:rsid w:val="00243082"/>
    <w:rsid w:val="002430C0"/>
    <w:rsid w:val="0024382C"/>
    <w:rsid w:val="00243AD1"/>
    <w:rsid w:val="00243CC1"/>
    <w:rsid w:val="00244294"/>
    <w:rsid w:val="002442FD"/>
    <w:rsid w:val="00244A93"/>
    <w:rsid w:val="00244EF5"/>
    <w:rsid w:val="002458E8"/>
    <w:rsid w:val="002479DF"/>
    <w:rsid w:val="00247F36"/>
    <w:rsid w:val="002514BF"/>
    <w:rsid w:val="00251AA3"/>
    <w:rsid w:val="00251BBE"/>
    <w:rsid w:val="00251D62"/>
    <w:rsid w:val="002526D6"/>
    <w:rsid w:val="00253196"/>
    <w:rsid w:val="00253242"/>
    <w:rsid w:val="002532DD"/>
    <w:rsid w:val="00253367"/>
    <w:rsid w:val="00253B7D"/>
    <w:rsid w:val="00254568"/>
    <w:rsid w:val="0025470D"/>
    <w:rsid w:val="00254F44"/>
    <w:rsid w:val="00254F70"/>
    <w:rsid w:val="002559B4"/>
    <w:rsid w:val="00255E4F"/>
    <w:rsid w:val="00255F2F"/>
    <w:rsid w:val="002564E1"/>
    <w:rsid w:val="0025698F"/>
    <w:rsid w:val="00256E35"/>
    <w:rsid w:val="00256E6F"/>
    <w:rsid w:val="00256FD1"/>
    <w:rsid w:val="00257C9C"/>
    <w:rsid w:val="00260662"/>
    <w:rsid w:val="002608F2"/>
    <w:rsid w:val="00260917"/>
    <w:rsid w:val="002612F2"/>
    <w:rsid w:val="00261461"/>
    <w:rsid w:val="00261E66"/>
    <w:rsid w:val="00262012"/>
    <w:rsid w:val="002625AA"/>
    <w:rsid w:val="0026298F"/>
    <w:rsid w:val="0026328E"/>
    <w:rsid w:val="0026379C"/>
    <w:rsid w:val="002637FD"/>
    <w:rsid w:val="00263CA0"/>
    <w:rsid w:val="00264158"/>
    <w:rsid w:val="0026451F"/>
    <w:rsid w:val="00264536"/>
    <w:rsid w:val="002649AE"/>
    <w:rsid w:val="00264A4B"/>
    <w:rsid w:val="00264D71"/>
    <w:rsid w:val="00264E21"/>
    <w:rsid w:val="002650FA"/>
    <w:rsid w:val="00265273"/>
    <w:rsid w:val="00265F7A"/>
    <w:rsid w:val="002660DC"/>
    <w:rsid w:val="002665A7"/>
    <w:rsid w:val="0026698D"/>
    <w:rsid w:val="00266BCC"/>
    <w:rsid w:val="00267026"/>
    <w:rsid w:val="002670F8"/>
    <w:rsid w:val="00270603"/>
    <w:rsid w:val="002706A7"/>
    <w:rsid w:val="00270A39"/>
    <w:rsid w:val="00270BED"/>
    <w:rsid w:val="00270DA3"/>
    <w:rsid w:val="002710E4"/>
    <w:rsid w:val="00271254"/>
    <w:rsid w:val="00271FE2"/>
    <w:rsid w:val="00272F85"/>
    <w:rsid w:val="00273547"/>
    <w:rsid w:val="00274970"/>
    <w:rsid w:val="00275553"/>
    <w:rsid w:val="00275ABD"/>
    <w:rsid w:val="00275ADD"/>
    <w:rsid w:val="00275B2C"/>
    <w:rsid w:val="00275B7E"/>
    <w:rsid w:val="00275B94"/>
    <w:rsid w:val="00275B9A"/>
    <w:rsid w:val="00275F7B"/>
    <w:rsid w:val="002769C1"/>
    <w:rsid w:val="00276AF8"/>
    <w:rsid w:val="00276F29"/>
    <w:rsid w:val="00277204"/>
    <w:rsid w:val="00277609"/>
    <w:rsid w:val="00277619"/>
    <w:rsid w:val="002776D4"/>
    <w:rsid w:val="00277A4C"/>
    <w:rsid w:val="00277F9B"/>
    <w:rsid w:val="002803BD"/>
    <w:rsid w:val="002805FF"/>
    <w:rsid w:val="00280622"/>
    <w:rsid w:val="002807DE"/>
    <w:rsid w:val="00280886"/>
    <w:rsid w:val="002815AC"/>
    <w:rsid w:val="00281967"/>
    <w:rsid w:val="00281C75"/>
    <w:rsid w:val="00282082"/>
    <w:rsid w:val="00282BE8"/>
    <w:rsid w:val="00282E9A"/>
    <w:rsid w:val="00283484"/>
    <w:rsid w:val="00283514"/>
    <w:rsid w:val="002841F4"/>
    <w:rsid w:val="002842A9"/>
    <w:rsid w:val="00284C03"/>
    <w:rsid w:val="00285ADC"/>
    <w:rsid w:val="00286792"/>
    <w:rsid w:val="00286E82"/>
    <w:rsid w:val="002870CE"/>
    <w:rsid w:val="00287129"/>
    <w:rsid w:val="00287A94"/>
    <w:rsid w:val="00287F2F"/>
    <w:rsid w:val="00290774"/>
    <w:rsid w:val="00291240"/>
    <w:rsid w:val="00291307"/>
    <w:rsid w:val="002915A0"/>
    <w:rsid w:val="0029260B"/>
    <w:rsid w:val="002935BF"/>
    <w:rsid w:val="00293AF2"/>
    <w:rsid w:val="00293C63"/>
    <w:rsid w:val="00294082"/>
    <w:rsid w:val="00294342"/>
    <w:rsid w:val="00294B0D"/>
    <w:rsid w:val="00294BD8"/>
    <w:rsid w:val="00294DCE"/>
    <w:rsid w:val="00296022"/>
    <w:rsid w:val="002962D8"/>
    <w:rsid w:val="002966C2"/>
    <w:rsid w:val="00296C50"/>
    <w:rsid w:val="00297375"/>
    <w:rsid w:val="002A015B"/>
    <w:rsid w:val="002A0481"/>
    <w:rsid w:val="002A0E3A"/>
    <w:rsid w:val="002A1795"/>
    <w:rsid w:val="002A1A55"/>
    <w:rsid w:val="002A1A7B"/>
    <w:rsid w:val="002A2737"/>
    <w:rsid w:val="002A29AB"/>
    <w:rsid w:val="002A35C4"/>
    <w:rsid w:val="002A394C"/>
    <w:rsid w:val="002A3F58"/>
    <w:rsid w:val="002A3F7C"/>
    <w:rsid w:val="002A3FE5"/>
    <w:rsid w:val="002A474F"/>
    <w:rsid w:val="002A5301"/>
    <w:rsid w:val="002A5CEE"/>
    <w:rsid w:val="002A62EC"/>
    <w:rsid w:val="002A6BE0"/>
    <w:rsid w:val="002A6E74"/>
    <w:rsid w:val="002A7048"/>
    <w:rsid w:val="002A7751"/>
    <w:rsid w:val="002A78C4"/>
    <w:rsid w:val="002A7CF8"/>
    <w:rsid w:val="002B03E2"/>
    <w:rsid w:val="002B0432"/>
    <w:rsid w:val="002B178B"/>
    <w:rsid w:val="002B17FE"/>
    <w:rsid w:val="002B1B21"/>
    <w:rsid w:val="002B2E10"/>
    <w:rsid w:val="002B3C2F"/>
    <w:rsid w:val="002B42E5"/>
    <w:rsid w:val="002B4419"/>
    <w:rsid w:val="002B46AE"/>
    <w:rsid w:val="002B476F"/>
    <w:rsid w:val="002B5A56"/>
    <w:rsid w:val="002B5EED"/>
    <w:rsid w:val="002B6275"/>
    <w:rsid w:val="002B62D6"/>
    <w:rsid w:val="002B6A8B"/>
    <w:rsid w:val="002B6CDF"/>
    <w:rsid w:val="002B6F85"/>
    <w:rsid w:val="002B707F"/>
    <w:rsid w:val="002B71DD"/>
    <w:rsid w:val="002B776D"/>
    <w:rsid w:val="002B7C45"/>
    <w:rsid w:val="002C0019"/>
    <w:rsid w:val="002C0721"/>
    <w:rsid w:val="002C1869"/>
    <w:rsid w:val="002C1AE3"/>
    <w:rsid w:val="002C2D58"/>
    <w:rsid w:val="002C3766"/>
    <w:rsid w:val="002C3985"/>
    <w:rsid w:val="002C3A83"/>
    <w:rsid w:val="002C3EBC"/>
    <w:rsid w:val="002C3F32"/>
    <w:rsid w:val="002C424D"/>
    <w:rsid w:val="002C43B2"/>
    <w:rsid w:val="002C4EED"/>
    <w:rsid w:val="002C5A4B"/>
    <w:rsid w:val="002C66BA"/>
    <w:rsid w:val="002C66C5"/>
    <w:rsid w:val="002C727C"/>
    <w:rsid w:val="002C7C08"/>
    <w:rsid w:val="002D00A8"/>
    <w:rsid w:val="002D097C"/>
    <w:rsid w:val="002D0B94"/>
    <w:rsid w:val="002D11DC"/>
    <w:rsid w:val="002D1212"/>
    <w:rsid w:val="002D1355"/>
    <w:rsid w:val="002D155A"/>
    <w:rsid w:val="002D2169"/>
    <w:rsid w:val="002D2330"/>
    <w:rsid w:val="002D26A0"/>
    <w:rsid w:val="002D2985"/>
    <w:rsid w:val="002D2AD0"/>
    <w:rsid w:val="002D2AEA"/>
    <w:rsid w:val="002D315C"/>
    <w:rsid w:val="002D3BC3"/>
    <w:rsid w:val="002D43F3"/>
    <w:rsid w:val="002D5146"/>
    <w:rsid w:val="002D54F3"/>
    <w:rsid w:val="002D59D1"/>
    <w:rsid w:val="002D6989"/>
    <w:rsid w:val="002D71C3"/>
    <w:rsid w:val="002D7DA9"/>
    <w:rsid w:val="002E028B"/>
    <w:rsid w:val="002E09EE"/>
    <w:rsid w:val="002E0F46"/>
    <w:rsid w:val="002E0FB5"/>
    <w:rsid w:val="002E1788"/>
    <w:rsid w:val="002E1B16"/>
    <w:rsid w:val="002E1BD8"/>
    <w:rsid w:val="002E1CC1"/>
    <w:rsid w:val="002E27DA"/>
    <w:rsid w:val="002E3107"/>
    <w:rsid w:val="002E3268"/>
    <w:rsid w:val="002E347A"/>
    <w:rsid w:val="002E3555"/>
    <w:rsid w:val="002E3D12"/>
    <w:rsid w:val="002E3D69"/>
    <w:rsid w:val="002E3EEB"/>
    <w:rsid w:val="002E439A"/>
    <w:rsid w:val="002E4BF4"/>
    <w:rsid w:val="002E4D80"/>
    <w:rsid w:val="002E4D96"/>
    <w:rsid w:val="002E51E2"/>
    <w:rsid w:val="002E5292"/>
    <w:rsid w:val="002E5A36"/>
    <w:rsid w:val="002E5B16"/>
    <w:rsid w:val="002E5DBE"/>
    <w:rsid w:val="002E6816"/>
    <w:rsid w:val="002E6A3C"/>
    <w:rsid w:val="002E6DF9"/>
    <w:rsid w:val="002E7023"/>
    <w:rsid w:val="002E7811"/>
    <w:rsid w:val="002F0515"/>
    <w:rsid w:val="002F07F5"/>
    <w:rsid w:val="002F1D2C"/>
    <w:rsid w:val="002F2D71"/>
    <w:rsid w:val="002F3664"/>
    <w:rsid w:val="002F37DA"/>
    <w:rsid w:val="002F4031"/>
    <w:rsid w:val="002F427A"/>
    <w:rsid w:val="002F49FB"/>
    <w:rsid w:val="002F4C91"/>
    <w:rsid w:val="002F4DE2"/>
    <w:rsid w:val="002F4EA1"/>
    <w:rsid w:val="002F53DD"/>
    <w:rsid w:val="002F5464"/>
    <w:rsid w:val="002F562B"/>
    <w:rsid w:val="002F5ACE"/>
    <w:rsid w:val="002F5EB2"/>
    <w:rsid w:val="002F5EC4"/>
    <w:rsid w:val="002F6A15"/>
    <w:rsid w:val="002F6B49"/>
    <w:rsid w:val="002F6D6A"/>
    <w:rsid w:val="002F6FAA"/>
    <w:rsid w:val="002F70ED"/>
    <w:rsid w:val="002F74F4"/>
    <w:rsid w:val="002F77B2"/>
    <w:rsid w:val="002F78CA"/>
    <w:rsid w:val="002F7B58"/>
    <w:rsid w:val="002F7C8C"/>
    <w:rsid w:val="00300AA4"/>
    <w:rsid w:val="00301032"/>
    <w:rsid w:val="0030155C"/>
    <w:rsid w:val="003038E1"/>
    <w:rsid w:val="00303ADF"/>
    <w:rsid w:val="00303B65"/>
    <w:rsid w:val="00303C1E"/>
    <w:rsid w:val="00303F0F"/>
    <w:rsid w:val="00304550"/>
    <w:rsid w:val="0030474A"/>
    <w:rsid w:val="00305548"/>
    <w:rsid w:val="00305580"/>
    <w:rsid w:val="00305D1F"/>
    <w:rsid w:val="0030610F"/>
    <w:rsid w:val="00306A5A"/>
    <w:rsid w:val="00306BDC"/>
    <w:rsid w:val="003071D0"/>
    <w:rsid w:val="003079CD"/>
    <w:rsid w:val="003107A8"/>
    <w:rsid w:val="00310AFF"/>
    <w:rsid w:val="00310C48"/>
    <w:rsid w:val="00310F19"/>
    <w:rsid w:val="003133B1"/>
    <w:rsid w:val="003140B8"/>
    <w:rsid w:val="003140FD"/>
    <w:rsid w:val="0031428A"/>
    <w:rsid w:val="00314755"/>
    <w:rsid w:val="00314B1C"/>
    <w:rsid w:val="00314C8D"/>
    <w:rsid w:val="00314E02"/>
    <w:rsid w:val="003151F9"/>
    <w:rsid w:val="00315501"/>
    <w:rsid w:val="00315723"/>
    <w:rsid w:val="00315E4D"/>
    <w:rsid w:val="00315E76"/>
    <w:rsid w:val="0031611A"/>
    <w:rsid w:val="003166E3"/>
    <w:rsid w:val="0031672F"/>
    <w:rsid w:val="003167CA"/>
    <w:rsid w:val="003168D5"/>
    <w:rsid w:val="00316EE1"/>
    <w:rsid w:val="00316FBD"/>
    <w:rsid w:val="00317338"/>
    <w:rsid w:val="00317675"/>
    <w:rsid w:val="00320ED3"/>
    <w:rsid w:val="003210B5"/>
    <w:rsid w:val="003210E3"/>
    <w:rsid w:val="00321B34"/>
    <w:rsid w:val="003221A6"/>
    <w:rsid w:val="00322278"/>
    <w:rsid w:val="0032247C"/>
    <w:rsid w:val="00322CF2"/>
    <w:rsid w:val="0032301C"/>
    <w:rsid w:val="00323571"/>
    <w:rsid w:val="003236B6"/>
    <w:rsid w:val="00323AE4"/>
    <w:rsid w:val="00323E6F"/>
    <w:rsid w:val="0032430A"/>
    <w:rsid w:val="0032454F"/>
    <w:rsid w:val="00324612"/>
    <w:rsid w:val="00325820"/>
    <w:rsid w:val="00325BAD"/>
    <w:rsid w:val="00326309"/>
    <w:rsid w:val="00327400"/>
    <w:rsid w:val="00327CB6"/>
    <w:rsid w:val="00327F6B"/>
    <w:rsid w:val="003303FF"/>
    <w:rsid w:val="00330772"/>
    <w:rsid w:val="00330ABD"/>
    <w:rsid w:val="00330B7C"/>
    <w:rsid w:val="00330BFA"/>
    <w:rsid w:val="00330C70"/>
    <w:rsid w:val="00330E4C"/>
    <w:rsid w:val="00332503"/>
    <w:rsid w:val="0033255E"/>
    <w:rsid w:val="003325E2"/>
    <w:rsid w:val="003336DB"/>
    <w:rsid w:val="00333B70"/>
    <w:rsid w:val="003347A4"/>
    <w:rsid w:val="00335486"/>
    <w:rsid w:val="003355E6"/>
    <w:rsid w:val="00335B67"/>
    <w:rsid w:val="00335E2A"/>
    <w:rsid w:val="00337000"/>
    <w:rsid w:val="0033716F"/>
    <w:rsid w:val="00337789"/>
    <w:rsid w:val="00337C47"/>
    <w:rsid w:val="00337C65"/>
    <w:rsid w:val="00337D65"/>
    <w:rsid w:val="00337F77"/>
    <w:rsid w:val="003404AB"/>
    <w:rsid w:val="00340656"/>
    <w:rsid w:val="00340E3D"/>
    <w:rsid w:val="00340FA6"/>
    <w:rsid w:val="003411E9"/>
    <w:rsid w:val="00341210"/>
    <w:rsid w:val="0034176E"/>
    <w:rsid w:val="00341BF2"/>
    <w:rsid w:val="00341CD7"/>
    <w:rsid w:val="00341F63"/>
    <w:rsid w:val="003423A1"/>
    <w:rsid w:val="00342D2E"/>
    <w:rsid w:val="00343015"/>
    <w:rsid w:val="00343240"/>
    <w:rsid w:val="00343743"/>
    <w:rsid w:val="00343D2B"/>
    <w:rsid w:val="0034402D"/>
    <w:rsid w:val="003453AB"/>
    <w:rsid w:val="0034561D"/>
    <w:rsid w:val="003456DB"/>
    <w:rsid w:val="003465C4"/>
    <w:rsid w:val="00346A52"/>
    <w:rsid w:val="00347655"/>
    <w:rsid w:val="0034795C"/>
    <w:rsid w:val="00347C36"/>
    <w:rsid w:val="00350196"/>
    <w:rsid w:val="00350F63"/>
    <w:rsid w:val="0035130E"/>
    <w:rsid w:val="00351CB2"/>
    <w:rsid w:val="00352B49"/>
    <w:rsid w:val="00352FDD"/>
    <w:rsid w:val="0035306B"/>
    <w:rsid w:val="00353634"/>
    <w:rsid w:val="00353950"/>
    <w:rsid w:val="00354546"/>
    <w:rsid w:val="00355505"/>
    <w:rsid w:val="00355517"/>
    <w:rsid w:val="00355875"/>
    <w:rsid w:val="00355898"/>
    <w:rsid w:val="003559A2"/>
    <w:rsid w:val="00356CA0"/>
    <w:rsid w:val="003571B1"/>
    <w:rsid w:val="00357783"/>
    <w:rsid w:val="0035793F"/>
    <w:rsid w:val="00357989"/>
    <w:rsid w:val="00357DB8"/>
    <w:rsid w:val="00357E0C"/>
    <w:rsid w:val="00360AEA"/>
    <w:rsid w:val="00360ED7"/>
    <w:rsid w:val="003616E1"/>
    <w:rsid w:val="00361D2B"/>
    <w:rsid w:val="003626C9"/>
    <w:rsid w:val="003630C6"/>
    <w:rsid w:val="00363F81"/>
    <w:rsid w:val="00364A00"/>
    <w:rsid w:val="00364F41"/>
    <w:rsid w:val="00365550"/>
    <w:rsid w:val="00365828"/>
    <w:rsid w:val="00365E31"/>
    <w:rsid w:val="00366377"/>
    <w:rsid w:val="0036653C"/>
    <w:rsid w:val="0036663B"/>
    <w:rsid w:val="003666F7"/>
    <w:rsid w:val="0036687F"/>
    <w:rsid w:val="003677D5"/>
    <w:rsid w:val="0037002F"/>
    <w:rsid w:val="0037096E"/>
    <w:rsid w:val="00370C70"/>
    <w:rsid w:val="00370D38"/>
    <w:rsid w:val="0037149C"/>
    <w:rsid w:val="00371885"/>
    <w:rsid w:val="0037201B"/>
    <w:rsid w:val="003721BF"/>
    <w:rsid w:val="00372C33"/>
    <w:rsid w:val="00372D74"/>
    <w:rsid w:val="00372DE4"/>
    <w:rsid w:val="003731FE"/>
    <w:rsid w:val="00373A56"/>
    <w:rsid w:val="00373EC5"/>
    <w:rsid w:val="003740B2"/>
    <w:rsid w:val="003740D6"/>
    <w:rsid w:val="00374E83"/>
    <w:rsid w:val="003759C9"/>
    <w:rsid w:val="00376A04"/>
    <w:rsid w:val="00376AB7"/>
    <w:rsid w:val="003773D6"/>
    <w:rsid w:val="00377645"/>
    <w:rsid w:val="00380030"/>
    <w:rsid w:val="0038007E"/>
    <w:rsid w:val="00380092"/>
    <w:rsid w:val="00380097"/>
    <w:rsid w:val="003802CE"/>
    <w:rsid w:val="0038173B"/>
    <w:rsid w:val="00381925"/>
    <w:rsid w:val="00381C20"/>
    <w:rsid w:val="0038248E"/>
    <w:rsid w:val="00382587"/>
    <w:rsid w:val="00382B3E"/>
    <w:rsid w:val="0038428E"/>
    <w:rsid w:val="003846E9"/>
    <w:rsid w:val="00384F0A"/>
    <w:rsid w:val="00385D65"/>
    <w:rsid w:val="00386585"/>
    <w:rsid w:val="00386B4D"/>
    <w:rsid w:val="003874E7"/>
    <w:rsid w:val="00387A8F"/>
    <w:rsid w:val="0039052B"/>
    <w:rsid w:val="00390A96"/>
    <w:rsid w:val="00390DE9"/>
    <w:rsid w:val="00392189"/>
    <w:rsid w:val="003925BA"/>
    <w:rsid w:val="00392FE0"/>
    <w:rsid w:val="003933CC"/>
    <w:rsid w:val="00393809"/>
    <w:rsid w:val="00393883"/>
    <w:rsid w:val="00393CB0"/>
    <w:rsid w:val="00393E83"/>
    <w:rsid w:val="0039412C"/>
    <w:rsid w:val="00394968"/>
    <w:rsid w:val="00394FB6"/>
    <w:rsid w:val="0039593A"/>
    <w:rsid w:val="00395A6E"/>
    <w:rsid w:val="003972D7"/>
    <w:rsid w:val="003974EA"/>
    <w:rsid w:val="00397D5C"/>
    <w:rsid w:val="00397D7D"/>
    <w:rsid w:val="003A0BD4"/>
    <w:rsid w:val="003A15A2"/>
    <w:rsid w:val="003A15A4"/>
    <w:rsid w:val="003A3A40"/>
    <w:rsid w:val="003A3D3B"/>
    <w:rsid w:val="003A403F"/>
    <w:rsid w:val="003A4390"/>
    <w:rsid w:val="003A4FED"/>
    <w:rsid w:val="003A5060"/>
    <w:rsid w:val="003A5384"/>
    <w:rsid w:val="003A58C4"/>
    <w:rsid w:val="003A5EFF"/>
    <w:rsid w:val="003A6AAD"/>
    <w:rsid w:val="003A7080"/>
    <w:rsid w:val="003A7652"/>
    <w:rsid w:val="003A7B67"/>
    <w:rsid w:val="003A7B8C"/>
    <w:rsid w:val="003A7C68"/>
    <w:rsid w:val="003A7CD2"/>
    <w:rsid w:val="003A7EC8"/>
    <w:rsid w:val="003B053E"/>
    <w:rsid w:val="003B11D6"/>
    <w:rsid w:val="003B4084"/>
    <w:rsid w:val="003B466C"/>
    <w:rsid w:val="003B54F6"/>
    <w:rsid w:val="003B6093"/>
    <w:rsid w:val="003B6C44"/>
    <w:rsid w:val="003B7638"/>
    <w:rsid w:val="003B7773"/>
    <w:rsid w:val="003C0AD2"/>
    <w:rsid w:val="003C1648"/>
    <w:rsid w:val="003C1D7D"/>
    <w:rsid w:val="003C23CE"/>
    <w:rsid w:val="003C2860"/>
    <w:rsid w:val="003C293D"/>
    <w:rsid w:val="003C2F19"/>
    <w:rsid w:val="003C30BD"/>
    <w:rsid w:val="003C4DF4"/>
    <w:rsid w:val="003C501C"/>
    <w:rsid w:val="003C5153"/>
    <w:rsid w:val="003C5E8D"/>
    <w:rsid w:val="003C6214"/>
    <w:rsid w:val="003C649D"/>
    <w:rsid w:val="003C65A5"/>
    <w:rsid w:val="003C66B5"/>
    <w:rsid w:val="003C7917"/>
    <w:rsid w:val="003D0019"/>
    <w:rsid w:val="003D0028"/>
    <w:rsid w:val="003D019E"/>
    <w:rsid w:val="003D01D5"/>
    <w:rsid w:val="003D19BF"/>
    <w:rsid w:val="003D1A31"/>
    <w:rsid w:val="003D1F38"/>
    <w:rsid w:val="003D231C"/>
    <w:rsid w:val="003D2C2F"/>
    <w:rsid w:val="003D3197"/>
    <w:rsid w:val="003D3439"/>
    <w:rsid w:val="003D4577"/>
    <w:rsid w:val="003D4593"/>
    <w:rsid w:val="003D49B7"/>
    <w:rsid w:val="003D4FD3"/>
    <w:rsid w:val="003D5AD6"/>
    <w:rsid w:val="003D6E98"/>
    <w:rsid w:val="003D707A"/>
    <w:rsid w:val="003D7DCD"/>
    <w:rsid w:val="003E0840"/>
    <w:rsid w:val="003E0B2C"/>
    <w:rsid w:val="003E19C4"/>
    <w:rsid w:val="003E2B9A"/>
    <w:rsid w:val="003E355B"/>
    <w:rsid w:val="003E4815"/>
    <w:rsid w:val="003E4F82"/>
    <w:rsid w:val="003E5170"/>
    <w:rsid w:val="003E570F"/>
    <w:rsid w:val="003E581C"/>
    <w:rsid w:val="003E69AD"/>
    <w:rsid w:val="003E69F9"/>
    <w:rsid w:val="003E6ABF"/>
    <w:rsid w:val="003E6CE5"/>
    <w:rsid w:val="003E6DE8"/>
    <w:rsid w:val="003E7051"/>
    <w:rsid w:val="003E72EB"/>
    <w:rsid w:val="003E74B0"/>
    <w:rsid w:val="003E7A9C"/>
    <w:rsid w:val="003F01D5"/>
    <w:rsid w:val="003F0EE3"/>
    <w:rsid w:val="003F147F"/>
    <w:rsid w:val="003F18BD"/>
    <w:rsid w:val="003F1B33"/>
    <w:rsid w:val="003F1C58"/>
    <w:rsid w:val="003F1CAD"/>
    <w:rsid w:val="003F2677"/>
    <w:rsid w:val="003F32D3"/>
    <w:rsid w:val="003F38E4"/>
    <w:rsid w:val="003F3AE2"/>
    <w:rsid w:val="003F43A3"/>
    <w:rsid w:val="003F50D5"/>
    <w:rsid w:val="003F5324"/>
    <w:rsid w:val="003F56AA"/>
    <w:rsid w:val="003F70EE"/>
    <w:rsid w:val="003F73E8"/>
    <w:rsid w:val="004007FA"/>
    <w:rsid w:val="00400A1E"/>
    <w:rsid w:val="00400D4F"/>
    <w:rsid w:val="00400EF6"/>
    <w:rsid w:val="004014D4"/>
    <w:rsid w:val="004015DE"/>
    <w:rsid w:val="00402D23"/>
    <w:rsid w:val="00403B2C"/>
    <w:rsid w:val="00403CE2"/>
    <w:rsid w:val="00404097"/>
    <w:rsid w:val="004051AE"/>
    <w:rsid w:val="004058A0"/>
    <w:rsid w:val="0040677D"/>
    <w:rsid w:val="00406B83"/>
    <w:rsid w:val="00406E56"/>
    <w:rsid w:val="004077D2"/>
    <w:rsid w:val="00407F76"/>
    <w:rsid w:val="00411A2A"/>
    <w:rsid w:val="00411AD7"/>
    <w:rsid w:val="00411C93"/>
    <w:rsid w:val="004127B1"/>
    <w:rsid w:val="00412C04"/>
    <w:rsid w:val="004130E8"/>
    <w:rsid w:val="004133C0"/>
    <w:rsid w:val="00413510"/>
    <w:rsid w:val="0041380B"/>
    <w:rsid w:val="00413A42"/>
    <w:rsid w:val="00413B61"/>
    <w:rsid w:val="00414058"/>
    <w:rsid w:val="00414813"/>
    <w:rsid w:val="00415232"/>
    <w:rsid w:val="00416135"/>
    <w:rsid w:val="00416927"/>
    <w:rsid w:val="00416E70"/>
    <w:rsid w:val="00417BDE"/>
    <w:rsid w:val="0042045E"/>
    <w:rsid w:val="00420AD1"/>
    <w:rsid w:val="004215C4"/>
    <w:rsid w:val="00421A0C"/>
    <w:rsid w:val="00421C37"/>
    <w:rsid w:val="0042213D"/>
    <w:rsid w:val="004221D2"/>
    <w:rsid w:val="004222DB"/>
    <w:rsid w:val="00422858"/>
    <w:rsid w:val="00422896"/>
    <w:rsid w:val="00422A01"/>
    <w:rsid w:val="0042331C"/>
    <w:rsid w:val="00423832"/>
    <w:rsid w:val="00423DEF"/>
    <w:rsid w:val="004243B1"/>
    <w:rsid w:val="0042602D"/>
    <w:rsid w:val="0042611E"/>
    <w:rsid w:val="00426B18"/>
    <w:rsid w:val="00430738"/>
    <w:rsid w:val="00430A50"/>
    <w:rsid w:val="00430DEC"/>
    <w:rsid w:val="0043151D"/>
    <w:rsid w:val="00431B12"/>
    <w:rsid w:val="00432CE9"/>
    <w:rsid w:val="0043304C"/>
    <w:rsid w:val="00433238"/>
    <w:rsid w:val="00433AB9"/>
    <w:rsid w:val="00433CBB"/>
    <w:rsid w:val="0043450C"/>
    <w:rsid w:val="00434835"/>
    <w:rsid w:val="00434EB4"/>
    <w:rsid w:val="004351E3"/>
    <w:rsid w:val="004354F2"/>
    <w:rsid w:val="00435574"/>
    <w:rsid w:val="00435906"/>
    <w:rsid w:val="0043600E"/>
    <w:rsid w:val="004360DA"/>
    <w:rsid w:val="0043636D"/>
    <w:rsid w:val="00436816"/>
    <w:rsid w:val="00436C84"/>
    <w:rsid w:val="00437115"/>
    <w:rsid w:val="004372AA"/>
    <w:rsid w:val="004373C9"/>
    <w:rsid w:val="004401C3"/>
    <w:rsid w:val="00440EFF"/>
    <w:rsid w:val="0044159E"/>
    <w:rsid w:val="004415C1"/>
    <w:rsid w:val="0044182A"/>
    <w:rsid w:val="00441851"/>
    <w:rsid w:val="00442014"/>
    <w:rsid w:val="00442217"/>
    <w:rsid w:val="00442B28"/>
    <w:rsid w:val="00443003"/>
    <w:rsid w:val="0044371B"/>
    <w:rsid w:val="00443C15"/>
    <w:rsid w:val="0044458C"/>
    <w:rsid w:val="00445725"/>
    <w:rsid w:val="00445A57"/>
    <w:rsid w:val="00445DEB"/>
    <w:rsid w:val="00445F3B"/>
    <w:rsid w:val="00445FBF"/>
    <w:rsid w:val="00446085"/>
    <w:rsid w:val="004460F1"/>
    <w:rsid w:val="00446B0A"/>
    <w:rsid w:val="00446B0E"/>
    <w:rsid w:val="00446FD5"/>
    <w:rsid w:val="00447323"/>
    <w:rsid w:val="004500CF"/>
    <w:rsid w:val="00451385"/>
    <w:rsid w:val="004525FA"/>
    <w:rsid w:val="0045387B"/>
    <w:rsid w:val="00453A7F"/>
    <w:rsid w:val="00455AD2"/>
    <w:rsid w:val="00455B90"/>
    <w:rsid w:val="0045630E"/>
    <w:rsid w:val="00456A44"/>
    <w:rsid w:val="004575C8"/>
    <w:rsid w:val="0045796E"/>
    <w:rsid w:val="00457DEF"/>
    <w:rsid w:val="0046045E"/>
    <w:rsid w:val="00460A7B"/>
    <w:rsid w:val="00460C86"/>
    <w:rsid w:val="00460E0E"/>
    <w:rsid w:val="00461DE2"/>
    <w:rsid w:val="0046206C"/>
    <w:rsid w:val="004626BA"/>
    <w:rsid w:val="00462D1F"/>
    <w:rsid w:val="00462F1C"/>
    <w:rsid w:val="00462FC6"/>
    <w:rsid w:val="00463157"/>
    <w:rsid w:val="004633CB"/>
    <w:rsid w:val="004635B9"/>
    <w:rsid w:val="004637E8"/>
    <w:rsid w:val="00463ADD"/>
    <w:rsid w:val="00463FC2"/>
    <w:rsid w:val="00464DEB"/>
    <w:rsid w:val="004650A5"/>
    <w:rsid w:val="004654A7"/>
    <w:rsid w:val="0046619C"/>
    <w:rsid w:val="00466CCF"/>
    <w:rsid w:val="00467783"/>
    <w:rsid w:val="00467C00"/>
    <w:rsid w:val="00470236"/>
    <w:rsid w:val="0047086A"/>
    <w:rsid w:val="00470974"/>
    <w:rsid w:val="00470F83"/>
    <w:rsid w:val="0047115B"/>
    <w:rsid w:val="00472618"/>
    <w:rsid w:val="00472976"/>
    <w:rsid w:val="0047297C"/>
    <w:rsid w:val="004729EC"/>
    <w:rsid w:val="00472CEC"/>
    <w:rsid w:val="00472EDE"/>
    <w:rsid w:val="00473188"/>
    <w:rsid w:val="00473197"/>
    <w:rsid w:val="00473233"/>
    <w:rsid w:val="00474841"/>
    <w:rsid w:val="00474917"/>
    <w:rsid w:val="00475851"/>
    <w:rsid w:val="00476793"/>
    <w:rsid w:val="00476808"/>
    <w:rsid w:val="00477319"/>
    <w:rsid w:val="00477AEF"/>
    <w:rsid w:val="00480307"/>
    <w:rsid w:val="0048098F"/>
    <w:rsid w:val="00480B77"/>
    <w:rsid w:val="00480DE6"/>
    <w:rsid w:val="0048189E"/>
    <w:rsid w:val="00481A88"/>
    <w:rsid w:val="00482627"/>
    <w:rsid w:val="004826F2"/>
    <w:rsid w:val="00482D88"/>
    <w:rsid w:val="00482F5E"/>
    <w:rsid w:val="0048353C"/>
    <w:rsid w:val="004836EC"/>
    <w:rsid w:val="00483B53"/>
    <w:rsid w:val="00483C18"/>
    <w:rsid w:val="00484514"/>
    <w:rsid w:val="00484F93"/>
    <w:rsid w:val="0048586E"/>
    <w:rsid w:val="00485A5A"/>
    <w:rsid w:val="00485E9E"/>
    <w:rsid w:val="00486658"/>
    <w:rsid w:val="004867CE"/>
    <w:rsid w:val="004867D5"/>
    <w:rsid w:val="00486C62"/>
    <w:rsid w:val="00486DFB"/>
    <w:rsid w:val="00486F0C"/>
    <w:rsid w:val="00487966"/>
    <w:rsid w:val="00487D8D"/>
    <w:rsid w:val="00487ECE"/>
    <w:rsid w:val="00490460"/>
    <w:rsid w:val="00490E73"/>
    <w:rsid w:val="00490E92"/>
    <w:rsid w:val="004910E2"/>
    <w:rsid w:val="00491411"/>
    <w:rsid w:val="004914CA"/>
    <w:rsid w:val="00491811"/>
    <w:rsid w:val="00491A9D"/>
    <w:rsid w:val="00491EEB"/>
    <w:rsid w:val="0049226A"/>
    <w:rsid w:val="0049264D"/>
    <w:rsid w:val="004926F6"/>
    <w:rsid w:val="004927EE"/>
    <w:rsid w:val="00492BD6"/>
    <w:rsid w:val="00493200"/>
    <w:rsid w:val="00493231"/>
    <w:rsid w:val="0049369B"/>
    <w:rsid w:val="004941B3"/>
    <w:rsid w:val="004941F1"/>
    <w:rsid w:val="00495120"/>
    <w:rsid w:val="00495752"/>
    <w:rsid w:val="004958CD"/>
    <w:rsid w:val="00495E04"/>
    <w:rsid w:val="00496192"/>
    <w:rsid w:val="00496370"/>
    <w:rsid w:val="0049641C"/>
    <w:rsid w:val="0049645D"/>
    <w:rsid w:val="004965C5"/>
    <w:rsid w:val="00496B3A"/>
    <w:rsid w:val="00497654"/>
    <w:rsid w:val="004976C3"/>
    <w:rsid w:val="00497A36"/>
    <w:rsid w:val="004A00DE"/>
    <w:rsid w:val="004A148A"/>
    <w:rsid w:val="004A14C8"/>
    <w:rsid w:val="004A239E"/>
    <w:rsid w:val="004A3399"/>
    <w:rsid w:val="004A3708"/>
    <w:rsid w:val="004A3972"/>
    <w:rsid w:val="004A3F77"/>
    <w:rsid w:val="004A40E6"/>
    <w:rsid w:val="004A485E"/>
    <w:rsid w:val="004A491F"/>
    <w:rsid w:val="004A497B"/>
    <w:rsid w:val="004A49E9"/>
    <w:rsid w:val="004A4C02"/>
    <w:rsid w:val="004A4D83"/>
    <w:rsid w:val="004A5184"/>
    <w:rsid w:val="004A52CD"/>
    <w:rsid w:val="004A587C"/>
    <w:rsid w:val="004A6D9F"/>
    <w:rsid w:val="004A752B"/>
    <w:rsid w:val="004B02C6"/>
    <w:rsid w:val="004B128F"/>
    <w:rsid w:val="004B12C1"/>
    <w:rsid w:val="004B1AB9"/>
    <w:rsid w:val="004B20C5"/>
    <w:rsid w:val="004B3B55"/>
    <w:rsid w:val="004B3D97"/>
    <w:rsid w:val="004B411D"/>
    <w:rsid w:val="004B48AB"/>
    <w:rsid w:val="004B54EC"/>
    <w:rsid w:val="004B5AC1"/>
    <w:rsid w:val="004B5C01"/>
    <w:rsid w:val="004B5E4D"/>
    <w:rsid w:val="004B629B"/>
    <w:rsid w:val="004B7305"/>
    <w:rsid w:val="004B7319"/>
    <w:rsid w:val="004B7408"/>
    <w:rsid w:val="004B7BD3"/>
    <w:rsid w:val="004C050D"/>
    <w:rsid w:val="004C1CD9"/>
    <w:rsid w:val="004C1CE2"/>
    <w:rsid w:val="004C1EFC"/>
    <w:rsid w:val="004C2587"/>
    <w:rsid w:val="004C26D5"/>
    <w:rsid w:val="004C3966"/>
    <w:rsid w:val="004C3CD9"/>
    <w:rsid w:val="004C416A"/>
    <w:rsid w:val="004C4AD4"/>
    <w:rsid w:val="004C4DB4"/>
    <w:rsid w:val="004C5EF4"/>
    <w:rsid w:val="004C71BD"/>
    <w:rsid w:val="004C7571"/>
    <w:rsid w:val="004C7BDD"/>
    <w:rsid w:val="004D02F0"/>
    <w:rsid w:val="004D1139"/>
    <w:rsid w:val="004D2427"/>
    <w:rsid w:val="004D27D2"/>
    <w:rsid w:val="004D2C98"/>
    <w:rsid w:val="004D32B7"/>
    <w:rsid w:val="004D33C3"/>
    <w:rsid w:val="004D37FD"/>
    <w:rsid w:val="004D4691"/>
    <w:rsid w:val="004D5B59"/>
    <w:rsid w:val="004D6106"/>
    <w:rsid w:val="004D61C1"/>
    <w:rsid w:val="004D6280"/>
    <w:rsid w:val="004D6404"/>
    <w:rsid w:val="004D645A"/>
    <w:rsid w:val="004D6465"/>
    <w:rsid w:val="004D77DD"/>
    <w:rsid w:val="004E0808"/>
    <w:rsid w:val="004E0B2C"/>
    <w:rsid w:val="004E0EE6"/>
    <w:rsid w:val="004E151A"/>
    <w:rsid w:val="004E1670"/>
    <w:rsid w:val="004E172C"/>
    <w:rsid w:val="004E280D"/>
    <w:rsid w:val="004E2C4A"/>
    <w:rsid w:val="004E2CBE"/>
    <w:rsid w:val="004E2DCB"/>
    <w:rsid w:val="004E2EFF"/>
    <w:rsid w:val="004E304A"/>
    <w:rsid w:val="004E3231"/>
    <w:rsid w:val="004E3457"/>
    <w:rsid w:val="004E3498"/>
    <w:rsid w:val="004E393B"/>
    <w:rsid w:val="004E412D"/>
    <w:rsid w:val="004E459E"/>
    <w:rsid w:val="004E4677"/>
    <w:rsid w:val="004E4AD2"/>
    <w:rsid w:val="004E4BB3"/>
    <w:rsid w:val="004E523A"/>
    <w:rsid w:val="004E60C8"/>
    <w:rsid w:val="004E7447"/>
    <w:rsid w:val="004E7737"/>
    <w:rsid w:val="004E7EAD"/>
    <w:rsid w:val="004F11AF"/>
    <w:rsid w:val="004F13C8"/>
    <w:rsid w:val="004F1E36"/>
    <w:rsid w:val="004F2ED1"/>
    <w:rsid w:val="004F3262"/>
    <w:rsid w:val="004F3D7B"/>
    <w:rsid w:val="004F3DE0"/>
    <w:rsid w:val="004F3E01"/>
    <w:rsid w:val="004F3F86"/>
    <w:rsid w:val="004F3FC2"/>
    <w:rsid w:val="004F4035"/>
    <w:rsid w:val="004F491A"/>
    <w:rsid w:val="004F4925"/>
    <w:rsid w:val="004F4AB7"/>
    <w:rsid w:val="004F4DBA"/>
    <w:rsid w:val="004F529F"/>
    <w:rsid w:val="004F5504"/>
    <w:rsid w:val="004F5ADF"/>
    <w:rsid w:val="004F6226"/>
    <w:rsid w:val="004F6B4E"/>
    <w:rsid w:val="004F6C04"/>
    <w:rsid w:val="004F6D8E"/>
    <w:rsid w:val="004F735E"/>
    <w:rsid w:val="004F7D08"/>
    <w:rsid w:val="004F7EF9"/>
    <w:rsid w:val="004F7F5E"/>
    <w:rsid w:val="004F7FDF"/>
    <w:rsid w:val="005002D4"/>
    <w:rsid w:val="0050091B"/>
    <w:rsid w:val="00502807"/>
    <w:rsid w:val="00502D63"/>
    <w:rsid w:val="00503A31"/>
    <w:rsid w:val="00504357"/>
    <w:rsid w:val="0050461D"/>
    <w:rsid w:val="00504A8B"/>
    <w:rsid w:val="0050541B"/>
    <w:rsid w:val="005058E5"/>
    <w:rsid w:val="00506693"/>
    <w:rsid w:val="00506C9D"/>
    <w:rsid w:val="00507D2F"/>
    <w:rsid w:val="0051013F"/>
    <w:rsid w:val="00510346"/>
    <w:rsid w:val="005106FC"/>
    <w:rsid w:val="00510DCB"/>
    <w:rsid w:val="00511F38"/>
    <w:rsid w:val="005120AE"/>
    <w:rsid w:val="005121A9"/>
    <w:rsid w:val="00512686"/>
    <w:rsid w:val="005130B1"/>
    <w:rsid w:val="0051310A"/>
    <w:rsid w:val="0051342E"/>
    <w:rsid w:val="005134B6"/>
    <w:rsid w:val="00513A70"/>
    <w:rsid w:val="00513BEA"/>
    <w:rsid w:val="00513BF4"/>
    <w:rsid w:val="005140CE"/>
    <w:rsid w:val="00514554"/>
    <w:rsid w:val="00514EE0"/>
    <w:rsid w:val="00515A57"/>
    <w:rsid w:val="00515D5B"/>
    <w:rsid w:val="0051694F"/>
    <w:rsid w:val="005175C2"/>
    <w:rsid w:val="00517D77"/>
    <w:rsid w:val="00520184"/>
    <w:rsid w:val="00520539"/>
    <w:rsid w:val="00520E2E"/>
    <w:rsid w:val="00521B38"/>
    <w:rsid w:val="00522404"/>
    <w:rsid w:val="00523519"/>
    <w:rsid w:val="005237B0"/>
    <w:rsid w:val="00523F81"/>
    <w:rsid w:val="005244E7"/>
    <w:rsid w:val="00524548"/>
    <w:rsid w:val="005246A4"/>
    <w:rsid w:val="00524731"/>
    <w:rsid w:val="00524BC5"/>
    <w:rsid w:val="00525287"/>
    <w:rsid w:val="0052540D"/>
    <w:rsid w:val="00525E29"/>
    <w:rsid w:val="0052704B"/>
    <w:rsid w:val="005272DE"/>
    <w:rsid w:val="005273DA"/>
    <w:rsid w:val="005277EB"/>
    <w:rsid w:val="005278AB"/>
    <w:rsid w:val="00527C63"/>
    <w:rsid w:val="00527DF1"/>
    <w:rsid w:val="00530143"/>
    <w:rsid w:val="00530208"/>
    <w:rsid w:val="00530B4B"/>
    <w:rsid w:val="00530EA6"/>
    <w:rsid w:val="00530FE9"/>
    <w:rsid w:val="005311A6"/>
    <w:rsid w:val="005313F5"/>
    <w:rsid w:val="005317EA"/>
    <w:rsid w:val="0053189E"/>
    <w:rsid w:val="00531969"/>
    <w:rsid w:val="00532657"/>
    <w:rsid w:val="0053270B"/>
    <w:rsid w:val="00532B2E"/>
    <w:rsid w:val="00533619"/>
    <w:rsid w:val="005336A7"/>
    <w:rsid w:val="00533FBF"/>
    <w:rsid w:val="00534392"/>
    <w:rsid w:val="005352D1"/>
    <w:rsid w:val="005355EF"/>
    <w:rsid w:val="0053636F"/>
    <w:rsid w:val="005374A7"/>
    <w:rsid w:val="005379C7"/>
    <w:rsid w:val="00537F92"/>
    <w:rsid w:val="0054085C"/>
    <w:rsid w:val="005410FF"/>
    <w:rsid w:val="00541373"/>
    <w:rsid w:val="00541628"/>
    <w:rsid w:val="00542369"/>
    <w:rsid w:val="00542816"/>
    <w:rsid w:val="005428FC"/>
    <w:rsid w:val="00542E52"/>
    <w:rsid w:val="0054460F"/>
    <w:rsid w:val="00544D5E"/>
    <w:rsid w:val="00544E49"/>
    <w:rsid w:val="00545CE3"/>
    <w:rsid w:val="00545EC7"/>
    <w:rsid w:val="005461AF"/>
    <w:rsid w:val="005467BE"/>
    <w:rsid w:val="00546834"/>
    <w:rsid w:val="005475EC"/>
    <w:rsid w:val="00547C2E"/>
    <w:rsid w:val="00547C83"/>
    <w:rsid w:val="00547EB0"/>
    <w:rsid w:val="00550168"/>
    <w:rsid w:val="005502CA"/>
    <w:rsid w:val="00550AD1"/>
    <w:rsid w:val="00551632"/>
    <w:rsid w:val="00552021"/>
    <w:rsid w:val="005520B5"/>
    <w:rsid w:val="00552CF5"/>
    <w:rsid w:val="005533EB"/>
    <w:rsid w:val="00553793"/>
    <w:rsid w:val="00553C29"/>
    <w:rsid w:val="00554142"/>
    <w:rsid w:val="0055463C"/>
    <w:rsid w:val="0055466B"/>
    <w:rsid w:val="00554C67"/>
    <w:rsid w:val="00555698"/>
    <w:rsid w:val="00555945"/>
    <w:rsid w:val="00555A2A"/>
    <w:rsid w:val="00556C31"/>
    <w:rsid w:val="00556D9F"/>
    <w:rsid w:val="00556F45"/>
    <w:rsid w:val="00557112"/>
    <w:rsid w:val="005571C8"/>
    <w:rsid w:val="00557EFA"/>
    <w:rsid w:val="0056053E"/>
    <w:rsid w:val="00560E2F"/>
    <w:rsid w:val="005616D8"/>
    <w:rsid w:val="00561BEC"/>
    <w:rsid w:val="00562170"/>
    <w:rsid w:val="00562CBA"/>
    <w:rsid w:val="00562D08"/>
    <w:rsid w:val="005630C0"/>
    <w:rsid w:val="0056310A"/>
    <w:rsid w:val="0056358F"/>
    <w:rsid w:val="00563A76"/>
    <w:rsid w:val="0056490D"/>
    <w:rsid w:val="005649F3"/>
    <w:rsid w:val="00564C50"/>
    <w:rsid w:val="005650DF"/>
    <w:rsid w:val="00565734"/>
    <w:rsid w:val="0056598C"/>
    <w:rsid w:val="00565EF2"/>
    <w:rsid w:val="00566360"/>
    <w:rsid w:val="00566536"/>
    <w:rsid w:val="0056772D"/>
    <w:rsid w:val="00567A7A"/>
    <w:rsid w:val="00567DD9"/>
    <w:rsid w:val="00567EE0"/>
    <w:rsid w:val="00570646"/>
    <w:rsid w:val="005709EC"/>
    <w:rsid w:val="00571313"/>
    <w:rsid w:val="00571E4A"/>
    <w:rsid w:val="0057214C"/>
    <w:rsid w:val="0057536F"/>
    <w:rsid w:val="0057570B"/>
    <w:rsid w:val="00575760"/>
    <w:rsid w:val="00575987"/>
    <w:rsid w:val="00575AF8"/>
    <w:rsid w:val="005760C2"/>
    <w:rsid w:val="00577C1B"/>
    <w:rsid w:val="00577EAF"/>
    <w:rsid w:val="00577EEB"/>
    <w:rsid w:val="005804EA"/>
    <w:rsid w:val="00580AFE"/>
    <w:rsid w:val="00580B9F"/>
    <w:rsid w:val="0058103C"/>
    <w:rsid w:val="00581CB3"/>
    <w:rsid w:val="00581E4C"/>
    <w:rsid w:val="00581F2E"/>
    <w:rsid w:val="00581F92"/>
    <w:rsid w:val="005826ED"/>
    <w:rsid w:val="00582E1E"/>
    <w:rsid w:val="00583268"/>
    <w:rsid w:val="005833D3"/>
    <w:rsid w:val="00583550"/>
    <w:rsid w:val="00583843"/>
    <w:rsid w:val="00583FFD"/>
    <w:rsid w:val="005840A0"/>
    <w:rsid w:val="005849AD"/>
    <w:rsid w:val="00585245"/>
    <w:rsid w:val="00585A98"/>
    <w:rsid w:val="00586215"/>
    <w:rsid w:val="0058629F"/>
    <w:rsid w:val="005863F6"/>
    <w:rsid w:val="00586680"/>
    <w:rsid w:val="00586CB7"/>
    <w:rsid w:val="0058720A"/>
    <w:rsid w:val="00587AE3"/>
    <w:rsid w:val="00587D19"/>
    <w:rsid w:val="0059043F"/>
    <w:rsid w:val="00590EB0"/>
    <w:rsid w:val="00590F7D"/>
    <w:rsid w:val="00591476"/>
    <w:rsid w:val="00591668"/>
    <w:rsid w:val="005932BC"/>
    <w:rsid w:val="00593880"/>
    <w:rsid w:val="005939AC"/>
    <w:rsid w:val="00593A93"/>
    <w:rsid w:val="00593E55"/>
    <w:rsid w:val="005949E3"/>
    <w:rsid w:val="00595437"/>
    <w:rsid w:val="005957A1"/>
    <w:rsid w:val="005961E6"/>
    <w:rsid w:val="005968D2"/>
    <w:rsid w:val="00596A21"/>
    <w:rsid w:val="00596DEF"/>
    <w:rsid w:val="00597235"/>
    <w:rsid w:val="005975FF"/>
    <w:rsid w:val="00597DA1"/>
    <w:rsid w:val="005A0782"/>
    <w:rsid w:val="005A0AD6"/>
    <w:rsid w:val="005A1563"/>
    <w:rsid w:val="005A164F"/>
    <w:rsid w:val="005A16D3"/>
    <w:rsid w:val="005A1D93"/>
    <w:rsid w:val="005A2166"/>
    <w:rsid w:val="005A2C52"/>
    <w:rsid w:val="005A4BE9"/>
    <w:rsid w:val="005A4E55"/>
    <w:rsid w:val="005A5720"/>
    <w:rsid w:val="005A75D1"/>
    <w:rsid w:val="005B0098"/>
    <w:rsid w:val="005B04E1"/>
    <w:rsid w:val="005B0A6A"/>
    <w:rsid w:val="005B1029"/>
    <w:rsid w:val="005B1899"/>
    <w:rsid w:val="005B198C"/>
    <w:rsid w:val="005B1CD3"/>
    <w:rsid w:val="005B2BAA"/>
    <w:rsid w:val="005B32CC"/>
    <w:rsid w:val="005B3BDC"/>
    <w:rsid w:val="005B4626"/>
    <w:rsid w:val="005B46FE"/>
    <w:rsid w:val="005B47C2"/>
    <w:rsid w:val="005B534F"/>
    <w:rsid w:val="005B66ED"/>
    <w:rsid w:val="005B6EC5"/>
    <w:rsid w:val="005B7101"/>
    <w:rsid w:val="005B7CB1"/>
    <w:rsid w:val="005C06CB"/>
    <w:rsid w:val="005C0810"/>
    <w:rsid w:val="005C0E5F"/>
    <w:rsid w:val="005C1068"/>
    <w:rsid w:val="005C15D0"/>
    <w:rsid w:val="005C19C4"/>
    <w:rsid w:val="005C1FAD"/>
    <w:rsid w:val="005C3468"/>
    <w:rsid w:val="005C355F"/>
    <w:rsid w:val="005C35AF"/>
    <w:rsid w:val="005C3E0E"/>
    <w:rsid w:val="005C41D6"/>
    <w:rsid w:val="005C4303"/>
    <w:rsid w:val="005C4E12"/>
    <w:rsid w:val="005C52F3"/>
    <w:rsid w:val="005C55A8"/>
    <w:rsid w:val="005C5CB1"/>
    <w:rsid w:val="005C61C4"/>
    <w:rsid w:val="005C6446"/>
    <w:rsid w:val="005C6676"/>
    <w:rsid w:val="005C6706"/>
    <w:rsid w:val="005C6840"/>
    <w:rsid w:val="005C6A2C"/>
    <w:rsid w:val="005C6EDF"/>
    <w:rsid w:val="005C79AF"/>
    <w:rsid w:val="005C7DD1"/>
    <w:rsid w:val="005C7FFD"/>
    <w:rsid w:val="005D0B6D"/>
    <w:rsid w:val="005D0BD5"/>
    <w:rsid w:val="005D0E12"/>
    <w:rsid w:val="005D15F7"/>
    <w:rsid w:val="005D19E0"/>
    <w:rsid w:val="005D21B7"/>
    <w:rsid w:val="005D261E"/>
    <w:rsid w:val="005D271B"/>
    <w:rsid w:val="005D2AF3"/>
    <w:rsid w:val="005D33A4"/>
    <w:rsid w:val="005D348D"/>
    <w:rsid w:val="005D39E6"/>
    <w:rsid w:val="005D3A00"/>
    <w:rsid w:val="005D49D2"/>
    <w:rsid w:val="005D4C46"/>
    <w:rsid w:val="005D4E25"/>
    <w:rsid w:val="005D4F3C"/>
    <w:rsid w:val="005D5044"/>
    <w:rsid w:val="005D5FA2"/>
    <w:rsid w:val="005D6DA6"/>
    <w:rsid w:val="005D71A4"/>
    <w:rsid w:val="005D7982"/>
    <w:rsid w:val="005E0BFF"/>
    <w:rsid w:val="005E0E5C"/>
    <w:rsid w:val="005E1285"/>
    <w:rsid w:val="005E12E3"/>
    <w:rsid w:val="005E26A5"/>
    <w:rsid w:val="005E2749"/>
    <w:rsid w:val="005E2BD5"/>
    <w:rsid w:val="005E3521"/>
    <w:rsid w:val="005E358D"/>
    <w:rsid w:val="005E45B8"/>
    <w:rsid w:val="005E534E"/>
    <w:rsid w:val="005E5936"/>
    <w:rsid w:val="005E6335"/>
    <w:rsid w:val="005E64F0"/>
    <w:rsid w:val="005E6BF1"/>
    <w:rsid w:val="005E70E1"/>
    <w:rsid w:val="005E753C"/>
    <w:rsid w:val="005E7FBE"/>
    <w:rsid w:val="005F002C"/>
    <w:rsid w:val="005F0331"/>
    <w:rsid w:val="005F0FFE"/>
    <w:rsid w:val="005F1C24"/>
    <w:rsid w:val="005F2AB1"/>
    <w:rsid w:val="005F31F8"/>
    <w:rsid w:val="005F33D5"/>
    <w:rsid w:val="005F3CA6"/>
    <w:rsid w:val="005F3D95"/>
    <w:rsid w:val="005F441F"/>
    <w:rsid w:val="005F4F3D"/>
    <w:rsid w:val="005F616B"/>
    <w:rsid w:val="005F6685"/>
    <w:rsid w:val="005F676A"/>
    <w:rsid w:val="005F6D7A"/>
    <w:rsid w:val="005F727E"/>
    <w:rsid w:val="005F7557"/>
    <w:rsid w:val="005F75E7"/>
    <w:rsid w:val="005F76A7"/>
    <w:rsid w:val="005F7B46"/>
    <w:rsid w:val="006007C8"/>
    <w:rsid w:val="00601314"/>
    <w:rsid w:val="00601571"/>
    <w:rsid w:val="006020B5"/>
    <w:rsid w:val="006031BC"/>
    <w:rsid w:val="006035BF"/>
    <w:rsid w:val="00603F69"/>
    <w:rsid w:val="00604295"/>
    <w:rsid w:val="0060443C"/>
    <w:rsid w:val="0060455B"/>
    <w:rsid w:val="00604624"/>
    <w:rsid w:val="00604C13"/>
    <w:rsid w:val="006050B6"/>
    <w:rsid w:val="00605306"/>
    <w:rsid w:val="00605370"/>
    <w:rsid w:val="00605F03"/>
    <w:rsid w:val="006063C8"/>
    <w:rsid w:val="00606456"/>
    <w:rsid w:val="006064A6"/>
    <w:rsid w:val="00606DAA"/>
    <w:rsid w:val="006079B0"/>
    <w:rsid w:val="006104BC"/>
    <w:rsid w:val="00610C35"/>
    <w:rsid w:val="006117E3"/>
    <w:rsid w:val="00611C25"/>
    <w:rsid w:val="006120FA"/>
    <w:rsid w:val="00612936"/>
    <w:rsid w:val="006132E7"/>
    <w:rsid w:val="006133A6"/>
    <w:rsid w:val="00613E05"/>
    <w:rsid w:val="00614AF4"/>
    <w:rsid w:val="00614C1B"/>
    <w:rsid w:val="00615264"/>
    <w:rsid w:val="00615D10"/>
    <w:rsid w:val="006163B6"/>
    <w:rsid w:val="006177B3"/>
    <w:rsid w:val="00617B39"/>
    <w:rsid w:val="00620531"/>
    <w:rsid w:val="00620AA6"/>
    <w:rsid w:val="0062114C"/>
    <w:rsid w:val="006217CD"/>
    <w:rsid w:val="00622AFF"/>
    <w:rsid w:val="006231CA"/>
    <w:rsid w:val="00623851"/>
    <w:rsid w:val="00624745"/>
    <w:rsid w:val="00624C81"/>
    <w:rsid w:val="00624F42"/>
    <w:rsid w:val="00624FA7"/>
    <w:rsid w:val="006253DB"/>
    <w:rsid w:val="0062582B"/>
    <w:rsid w:val="006260EA"/>
    <w:rsid w:val="00626169"/>
    <w:rsid w:val="0062687F"/>
    <w:rsid w:val="00626FD4"/>
    <w:rsid w:val="006276B2"/>
    <w:rsid w:val="0062779A"/>
    <w:rsid w:val="006300DF"/>
    <w:rsid w:val="00630AFC"/>
    <w:rsid w:val="00631240"/>
    <w:rsid w:val="00631681"/>
    <w:rsid w:val="00631B45"/>
    <w:rsid w:val="006329E8"/>
    <w:rsid w:val="00632D2F"/>
    <w:rsid w:val="00633E9A"/>
    <w:rsid w:val="00634956"/>
    <w:rsid w:val="00634B99"/>
    <w:rsid w:val="00635005"/>
    <w:rsid w:val="00635184"/>
    <w:rsid w:val="0063529C"/>
    <w:rsid w:val="0063554E"/>
    <w:rsid w:val="006356FE"/>
    <w:rsid w:val="00636209"/>
    <w:rsid w:val="006363E1"/>
    <w:rsid w:val="006369FD"/>
    <w:rsid w:val="00636A52"/>
    <w:rsid w:val="0064036E"/>
    <w:rsid w:val="00640A39"/>
    <w:rsid w:val="00640AC3"/>
    <w:rsid w:val="0064195A"/>
    <w:rsid w:val="00641CA5"/>
    <w:rsid w:val="00641EE9"/>
    <w:rsid w:val="0064226D"/>
    <w:rsid w:val="00642687"/>
    <w:rsid w:val="006427DF"/>
    <w:rsid w:val="00642829"/>
    <w:rsid w:val="00643999"/>
    <w:rsid w:val="006448D2"/>
    <w:rsid w:val="00645407"/>
    <w:rsid w:val="006455BC"/>
    <w:rsid w:val="00645C89"/>
    <w:rsid w:val="0064668A"/>
    <w:rsid w:val="00646D9A"/>
    <w:rsid w:val="006475FA"/>
    <w:rsid w:val="00647996"/>
    <w:rsid w:val="00647A3D"/>
    <w:rsid w:val="00647DB2"/>
    <w:rsid w:val="00650905"/>
    <w:rsid w:val="00650D03"/>
    <w:rsid w:val="00650E3D"/>
    <w:rsid w:val="006514CD"/>
    <w:rsid w:val="00651E8F"/>
    <w:rsid w:val="00651EE7"/>
    <w:rsid w:val="006523AE"/>
    <w:rsid w:val="0065249E"/>
    <w:rsid w:val="00652A35"/>
    <w:rsid w:val="006539E7"/>
    <w:rsid w:val="0065411A"/>
    <w:rsid w:val="006541A9"/>
    <w:rsid w:val="006546F6"/>
    <w:rsid w:val="00654ED7"/>
    <w:rsid w:val="006550FA"/>
    <w:rsid w:val="006559E3"/>
    <w:rsid w:val="00655AEE"/>
    <w:rsid w:val="00655D4D"/>
    <w:rsid w:val="00656C01"/>
    <w:rsid w:val="00656FC3"/>
    <w:rsid w:val="0065726B"/>
    <w:rsid w:val="00657750"/>
    <w:rsid w:val="00660EDB"/>
    <w:rsid w:val="00661096"/>
    <w:rsid w:val="006616B3"/>
    <w:rsid w:val="00662131"/>
    <w:rsid w:val="006627E0"/>
    <w:rsid w:val="00662D74"/>
    <w:rsid w:val="006634E1"/>
    <w:rsid w:val="0066399E"/>
    <w:rsid w:val="0066402A"/>
    <w:rsid w:val="0066545F"/>
    <w:rsid w:val="006655F6"/>
    <w:rsid w:val="00665E86"/>
    <w:rsid w:val="00665FBF"/>
    <w:rsid w:val="006661A8"/>
    <w:rsid w:val="00667C87"/>
    <w:rsid w:val="00670716"/>
    <w:rsid w:val="0067154D"/>
    <w:rsid w:val="00671DBA"/>
    <w:rsid w:val="0067309C"/>
    <w:rsid w:val="00673293"/>
    <w:rsid w:val="00673857"/>
    <w:rsid w:val="0067436B"/>
    <w:rsid w:val="006747F8"/>
    <w:rsid w:val="00675947"/>
    <w:rsid w:val="00675F0E"/>
    <w:rsid w:val="00676DD4"/>
    <w:rsid w:val="00676F18"/>
    <w:rsid w:val="00677660"/>
    <w:rsid w:val="00677A4A"/>
    <w:rsid w:val="00677BEB"/>
    <w:rsid w:val="00677D88"/>
    <w:rsid w:val="00680465"/>
    <w:rsid w:val="006806AA"/>
    <w:rsid w:val="00680984"/>
    <w:rsid w:val="00680C40"/>
    <w:rsid w:val="00680DC9"/>
    <w:rsid w:val="00680E9D"/>
    <w:rsid w:val="00680FAE"/>
    <w:rsid w:val="00681086"/>
    <w:rsid w:val="00681190"/>
    <w:rsid w:val="006815B9"/>
    <w:rsid w:val="00681B6C"/>
    <w:rsid w:val="00681D9B"/>
    <w:rsid w:val="006828A3"/>
    <w:rsid w:val="006828AB"/>
    <w:rsid w:val="00682CDD"/>
    <w:rsid w:val="00682E81"/>
    <w:rsid w:val="00683023"/>
    <w:rsid w:val="00683178"/>
    <w:rsid w:val="00683DB4"/>
    <w:rsid w:val="0068418E"/>
    <w:rsid w:val="00684336"/>
    <w:rsid w:val="00684C77"/>
    <w:rsid w:val="00684E01"/>
    <w:rsid w:val="00685457"/>
    <w:rsid w:val="00685841"/>
    <w:rsid w:val="0068588C"/>
    <w:rsid w:val="00686BFB"/>
    <w:rsid w:val="00687E33"/>
    <w:rsid w:val="0069074B"/>
    <w:rsid w:val="00691481"/>
    <w:rsid w:val="00691A06"/>
    <w:rsid w:val="00691B38"/>
    <w:rsid w:val="0069233E"/>
    <w:rsid w:val="00692469"/>
    <w:rsid w:val="00692A04"/>
    <w:rsid w:val="006940A0"/>
    <w:rsid w:val="00694342"/>
    <w:rsid w:val="00694390"/>
    <w:rsid w:val="0069458D"/>
    <w:rsid w:val="00694A40"/>
    <w:rsid w:val="006953B5"/>
    <w:rsid w:val="00695639"/>
    <w:rsid w:val="006958D9"/>
    <w:rsid w:val="00696DF7"/>
    <w:rsid w:val="006A02FE"/>
    <w:rsid w:val="006A10E7"/>
    <w:rsid w:val="006A1816"/>
    <w:rsid w:val="006A19E0"/>
    <w:rsid w:val="006A1C35"/>
    <w:rsid w:val="006A1F2B"/>
    <w:rsid w:val="006A1FCC"/>
    <w:rsid w:val="006A21A0"/>
    <w:rsid w:val="006A242E"/>
    <w:rsid w:val="006A2661"/>
    <w:rsid w:val="006A267E"/>
    <w:rsid w:val="006A2863"/>
    <w:rsid w:val="006A2FB3"/>
    <w:rsid w:val="006A3983"/>
    <w:rsid w:val="006A430E"/>
    <w:rsid w:val="006A456A"/>
    <w:rsid w:val="006A5169"/>
    <w:rsid w:val="006A52BC"/>
    <w:rsid w:val="006A578E"/>
    <w:rsid w:val="006A6F55"/>
    <w:rsid w:val="006A7613"/>
    <w:rsid w:val="006A7990"/>
    <w:rsid w:val="006A7B0F"/>
    <w:rsid w:val="006B014E"/>
    <w:rsid w:val="006B0217"/>
    <w:rsid w:val="006B0432"/>
    <w:rsid w:val="006B097F"/>
    <w:rsid w:val="006B0ABB"/>
    <w:rsid w:val="006B0E70"/>
    <w:rsid w:val="006B1158"/>
    <w:rsid w:val="006B1381"/>
    <w:rsid w:val="006B1595"/>
    <w:rsid w:val="006B1893"/>
    <w:rsid w:val="006B1A43"/>
    <w:rsid w:val="006B204A"/>
    <w:rsid w:val="006B2900"/>
    <w:rsid w:val="006B2A5E"/>
    <w:rsid w:val="006B3A38"/>
    <w:rsid w:val="006B3D50"/>
    <w:rsid w:val="006B3D5C"/>
    <w:rsid w:val="006B4110"/>
    <w:rsid w:val="006B41FD"/>
    <w:rsid w:val="006B44BF"/>
    <w:rsid w:val="006B4CAD"/>
    <w:rsid w:val="006B4F6E"/>
    <w:rsid w:val="006B52BC"/>
    <w:rsid w:val="006B541A"/>
    <w:rsid w:val="006B5618"/>
    <w:rsid w:val="006B668E"/>
    <w:rsid w:val="006B683B"/>
    <w:rsid w:val="006B6CD6"/>
    <w:rsid w:val="006B707F"/>
    <w:rsid w:val="006B7430"/>
    <w:rsid w:val="006B7E6E"/>
    <w:rsid w:val="006C018D"/>
    <w:rsid w:val="006C018F"/>
    <w:rsid w:val="006C03E5"/>
    <w:rsid w:val="006C1393"/>
    <w:rsid w:val="006C23F2"/>
    <w:rsid w:val="006C2536"/>
    <w:rsid w:val="006C257A"/>
    <w:rsid w:val="006C4A3F"/>
    <w:rsid w:val="006C4B9B"/>
    <w:rsid w:val="006C4BCB"/>
    <w:rsid w:val="006C58FD"/>
    <w:rsid w:val="006C5E0E"/>
    <w:rsid w:val="006C65F3"/>
    <w:rsid w:val="006C6645"/>
    <w:rsid w:val="006C7BB5"/>
    <w:rsid w:val="006C7D9B"/>
    <w:rsid w:val="006C7EFD"/>
    <w:rsid w:val="006D037E"/>
    <w:rsid w:val="006D0574"/>
    <w:rsid w:val="006D0F4E"/>
    <w:rsid w:val="006D0F9F"/>
    <w:rsid w:val="006D2AC6"/>
    <w:rsid w:val="006D32E4"/>
    <w:rsid w:val="006D407D"/>
    <w:rsid w:val="006D426F"/>
    <w:rsid w:val="006D43C8"/>
    <w:rsid w:val="006D4587"/>
    <w:rsid w:val="006D4D13"/>
    <w:rsid w:val="006D4E33"/>
    <w:rsid w:val="006D4F66"/>
    <w:rsid w:val="006D536B"/>
    <w:rsid w:val="006D55D6"/>
    <w:rsid w:val="006D5C24"/>
    <w:rsid w:val="006D63A1"/>
    <w:rsid w:val="006D6792"/>
    <w:rsid w:val="006D692C"/>
    <w:rsid w:val="006D6953"/>
    <w:rsid w:val="006D6E4E"/>
    <w:rsid w:val="006D6F11"/>
    <w:rsid w:val="006D71B7"/>
    <w:rsid w:val="006D7738"/>
    <w:rsid w:val="006D7D43"/>
    <w:rsid w:val="006E0726"/>
    <w:rsid w:val="006E1365"/>
    <w:rsid w:val="006E1434"/>
    <w:rsid w:val="006E2583"/>
    <w:rsid w:val="006E2E63"/>
    <w:rsid w:val="006E316F"/>
    <w:rsid w:val="006E3318"/>
    <w:rsid w:val="006E3415"/>
    <w:rsid w:val="006E3891"/>
    <w:rsid w:val="006E4324"/>
    <w:rsid w:val="006E4702"/>
    <w:rsid w:val="006E4DD9"/>
    <w:rsid w:val="006E5373"/>
    <w:rsid w:val="006E5DE2"/>
    <w:rsid w:val="006E5EBC"/>
    <w:rsid w:val="006E5EFE"/>
    <w:rsid w:val="006E60F8"/>
    <w:rsid w:val="006E74AA"/>
    <w:rsid w:val="006E7952"/>
    <w:rsid w:val="006E7C69"/>
    <w:rsid w:val="006E7FFC"/>
    <w:rsid w:val="006F00A9"/>
    <w:rsid w:val="006F0C20"/>
    <w:rsid w:val="006F0FCF"/>
    <w:rsid w:val="006F1E4C"/>
    <w:rsid w:val="006F21AD"/>
    <w:rsid w:val="006F2302"/>
    <w:rsid w:val="006F3064"/>
    <w:rsid w:val="006F338E"/>
    <w:rsid w:val="006F35C0"/>
    <w:rsid w:val="006F3796"/>
    <w:rsid w:val="006F4C22"/>
    <w:rsid w:val="006F4EA9"/>
    <w:rsid w:val="006F51B7"/>
    <w:rsid w:val="006F5250"/>
    <w:rsid w:val="006F6DC7"/>
    <w:rsid w:val="006F7244"/>
    <w:rsid w:val="007002D1"/>
    <w:rsid w:val="007003AB"/>
    <w:rsid w:val="00701AAB"/>
    <w:rsid w:val="007027C0"/>
    <w:rsid w:val="00702B98"/>
    <w:rsid w:val="007032AB"/>
    <w:rsid w:val="00703674"/>
    <w:rsid w:val="00703684"/>
    <w:rsid w:val="007036B5"/>
    <w:rsid w:val="00703A2E"/>
    <w:rsid w:val="00703C42"/>
    <w:rsid w:val="00704457"/>
    <w:rsid w:val="00704648"/>
    <w:rsid w:val="00704F52"/>
    <w:rsid w:val="007061ED"/>
    <w:rsid w:val="007067A6"/>
    <w:rsid w:val="00706B53"/>
    <w:rsid w:val="00706BED"/>
    <w:rsid w:val="00706DD1"/>
    <w:rsid w:val="00707074"/>
    <w:rsid w:val="007072E7"/>
    <w:rsid w:val="0070732A"/>
    <w:rsid w:val="00707BCE"/>
    <w:rsid w:val="007108DA"/>
    <w:rsid w:val="00710EA8"/>
    <w:rsid w:val="00711177"/>
    <w:rsid w:val="0071177B"/>
    <w:rsid w:val="00712133"/>
    <w:rsid w:val="0071300F"/>
    <w:rsid w:val="00713D5A"/>
    <w:rsid w:val="007154C0"/>
    <w:rsid w:val="0071573F"/>
    <w:rsid w:val="007157D7"/>
    <w:rsid w:val="007158D9"/>
    <w:rsid w:val="00716552"/>
    <w:rsid w:val="0071679E"/>
    <w:rsid w:val="007172E7"/>
    <w:rsid w:val="00717864"/>
    <w:rsid w:val="00717E96"/>
    <w:rsid w:val="00720907"/>
    <w:rsid w:val="0072133E"/>
    <w:rsid w:val="0072168A"/>
    <w:rsid w:val="007219B2"/>
    <w:rsid w:val="00721E17"/>
    <w:rsid w:val="007224C9"/>
    <w:rsid w:val="007225AE"/>
    <w:rsid w:val="00722727"/>
    <w:rsid w:val="0072289C"/>
    <w:rsid w:val="007230FF"/>
    <w:rsid w:val="0072378A"/>
    <w:rsid w:val="007237E1"/>
    <w:rsid w:val="0072385F"/>
    <w:rsid w:val="00723CA8"/>
    <w:rsid w:val="00723E4D"/>
    <w:rsid w:val="007243CF"/>
    <w:rsid w:val="00725081"/>
    <w:rsid w:val="00725668"/>
    <w:rsid w:val="00727533"/>
    <w:rsid w:val="00727CD8"/>
    <w:rsid w:val="00727FB8"/>
    <w:rsid w:val="007303E7"/>
    <w:rsid w:val="00730D5E"/>
    <w:rsid w:val="00732DFE"/>
    <w:rsid w:val="00732FA7"/>
    <w:rsid w:val="00733191"/>
    <w:rsid w:val="00733549"/>
    <w:rsid w:val="007337F8"/>
    <w:rsid w:val="00733D71"/>
    <w:rsid w:val="00733E79"/>
    <w:rsid w:val="00734ABE"/>
    <w:rsid w:val="00734E0B"/>
    <w:rsid w:val="00735AB6"/>
    <w:rsid w:val="00735CE5"/>
    <w:rsid w:val="007365F6"/>
    <w:rsid w:val="007366DD"/>
    <w:rsid w:val="00736F38"/>
    <w:rsid w:val="007372AB"/>
    <w:rsid w:val="0073751E"/>
    <w:rsid w:val="007375D8"/>
    <w:rsid w:val="00740251"/>
    <w:rsid w:val="007406FF"/>
    <w:rsid w:val="007408C0"/>
    <w:rsid w:val="00740C56"/>
    <w:rsid w:val="00741580"/>
    <w:rsid w:val="00741719"/>
    <w:rsid w:val="00742BB1"/>
    <w:rsid w:val="00743049"/>
    <w:rsid w:val="00743503"/>
    <w:rsid w:val="0074366F"/>
    <w:rsid w:val="00743913"/>
    <w:rsid w:val="00743D33"/>
    <w:rsid w:val="00744671"/>
    <w:rsid w:val="0074593B"/>
    <w:rsid w:val="00745E45"/>
    <w:rsid w:val="00747473"/>
    <w:rsid w:val="007477E5"/>
    <w:rsid w:val="007478CB"/>
    <w:rsid w:val="00747F0C"/>
    <w:rsid w:val="0075008E"/>
    <w:rsid w:val="007504AF"/>
    <w:rsid w:val="00750888"/>
    <w:rsid w:val="007509CB"/>
    <w:rsid w:val="00751256"/>
    <w:rsid w:val="007515C6"/>
    <w:rsid w:val="0075163B"/>
    <w:rsid w:val="00751792"/>
    <w:rsid w:val="0075183A"/>
    <w:rsid w:val="00751CD2"/>
    <w:rsid w:val="007522F9"/>
    <w:rsid w:val="00752552"/>
    <w:rsid w:val="007527AE"/>
    <w:rsid w:val="00752E11"/>
    <w:rsid w:val="007530BC"/>
    <w:rsid w:val="0075328E"/>
    <w:rsid w:val="0075350B"/>
    <w:rsid w:val="00753C64"/>
    <w:rsid w:val="007545C0"/>
    <w:rsid w:val="00754711"/>
    <w:rsid w:val="00754A9F"/>
    <w:rsid w:val="00754C9F"/>
    <w:rsid w:val="00755378"/>
    <w:rsid w:val="0075679A"/>
    <w:rsid w:val="0075701B"/>
    <w:rsid w:val="00757246"/>
    <w:rsid w:val="00757933"/>
    <w:rsid w:val="0076016D"/>
    <w:rsid w:val="007611AB"/>
    <w:rsid w:val="0076181B"/>
    <w:rsid w:val="00761D6B"/>
    <w:rsid w:val="007622FE"/>
    <w:rsid w:val="00763381"/>
    <w:rsid w:val="00764E68"/>
    <w:rsid w:val="007652E8"/>
    <w:rsid w:val="0076553F"/>
    <w:rsid w:val="00766EB9"/>
    <w:rsid w:val="007705C5"/>
    <w:rsid w:val="007726AA"/>
    <w:rsid w:val="007728CF"/>
    <w:rsid w:val="00772CF5"/>
    <w:rsid w:val="007733C2"/>
    <w:rsid w:val="007740FA"/>
    <w:rsid w:val="00774551"/>
    <w:rsid w:val="007748A9"/>
    <w:rsid w:val="00774B5A"/>
    <w:rsid w:val="00775CB7"/>
    <w:rsid w:val="00775FEF"/>
    <w:rsid w:val="007760AD"/>
    <w:rsid w:val="0077650C"/>
    <w:rsid w:val="007767D3"/>
    <w:rsid w:val="0078024B"/>
    <w:rsid w:val="007807B4"/>
    <w:rsid w:val="00780A8D"/>
    <w:rsid w:val="00781008"/>
    <w:rsid w:val="0078118F"/>
    <w:rsid w:val="007811B3"/>
    <w:rsid w:val="00781434"/>
    <w:rsid w:val="0078187C"/>
    <w:rsid w:val="00781941"/>
    <w:rsid w:val="00781FC8"/>
    <w:rsid w:val="00782267"/>
    <w:rsid w:val="0078286E"/>
    <w:rsid w:val="00782B3D"/>
    <w:rsid w:val="0078323F"/>
    <w:rsid w:val="00783511"/>
    <w:rsid w:val="00783AC6"/>
    <w:rsid w:val="00783B90"/>
    <w:rsid w:val="00783C27"/>
    <w:rsid w:val="00783DC9"/>
    <w:rsid w:val="00784164"/>
    <w:rsid w:val="007841D7"/>
    <w:rsid w:val="00784C1A"/>
    <w:rsid w:val="00784E5D"/>
    <w:rsid w:val="00785411"/>
    <w:rsid w:val="00785630"/>
    <w:rsid w:val="00785698"/>
    <w:rsid w:val="00786B84"/>
    <w:rsid w:val="00786D96"/>
    <w:rsid w:val="007871B7"/>
    <w:rsid w:val="00787398"/>
    <w:rsid w:val="007878EC"/>
    <w:rsid w:val="00787958"/>
    <w:rsid w:val="00787FC7"/>
    <w:rsid w:val="00790B3B"/>
    <w:rsid w:val="00790E60"/>
    <w:rsid w:val="007912DC"/>
    <w:rsid w:val="007914D6"/>
    <w:rsid w:val="00791BE6"/>
    <w:rsid w:val="00791DC0"/>
    <w:rsid w:val="007928DF"/>
    <w:rsid w:val="00792ED7"/>
    <w:rsid w:val="00793B3F"/>
    <w:rsid w:val="00793E38"/>
    <w:rsid w:val="00794697"/>
    <w:rsid w:val="00794BE1"/>
    <w:rsid w:val="0079587D"/>
    <w:rsid w:val="00796588"/>
    <w:rsid w:val="00796DBB"/>
    <w:rsid w:val="007A0419"/>
    <w:rsid w:val="007A0A0E"/>
    <w:rsid w:val="007A0B3C"/>
    <w:rsid w:val="007A15B8"/>
    <w:rsid w:val="007A167A"/>
    <w:rsid w:val="007A18AF"/>
    <w:rsid w:val="007A1EB0"/>
    <w:rsid w:val="007A20B2"/>
    <w:rsid w:val="007A23C8"/>
    <w:rsid w:val="007A284F"/>
    <w:rsid w:val="007A3137"/>
    <w:rsid w:val="007A4090"/>
    <w:rsid w:val="007A409A"/>
    <w:rsid w:val="007A484D"/>
    <w:rsid w:val="007A6113"/>
    <w:rsid w:val="007A6679"/>
    <w:rsid w:val="007A69E7"/>
    <w:rsid w:val="007A6A5C"/>
    <w:rsid w:val="007A6A6E"/>
    <w:rsid w:val="007A7063"/>
    <w:rsid w:val="007A729F"/>
    <w:rsid w:val="007A743F"/>
    <w:rsid w:val="007B05C1"/>
    <w:rsid w:val="007B084A"/>
    <w:rsid w:val="007B0B05"/>
    <w:rsid w:val="007B0DFF"/>
    <w:rsid w:val="007B1663"/>
    <w:rsid w:val="007B1D02"/>
    <w:rsid w:val="007B1EFC"/>
    <w:rsid w:val="007B2523"/>
    <w:rsid w:val="007B2FF8"/>
    <w:rsid w:val="007B30ED"/>
    <w:rsid w:val="007B3E80"/>
    <w:rsid w:val="007B4714"/>
    <w:rsid w:val="007B4933"/>
    <w:rsid w:val="007B4CF9"/>
    <w:rsid w:val="007B555A"/>
    <w:rsid w:val="007B5F4C"/>
    <w:rsid w:val="007B6E68"/>
    <w:rsid w:val="007B7232"/>
    <w:rsid w:val="007C06D6"/>
    <w:rsid w:val="007C0BBC"/>
    <w:rsid w:val="007C1C24"/>
    <w:rsid w:val="007C2243"/>
    <w:rsid w:val="007C33F4"/>
    <w:rsid w:val="007C4B7B"/>
    <w:rsid w:val="007C4BCB"/>
    <w:rsid w:val="007C4EE0"/>
    <w:rsid w:val="007C53EB"/>
    <w:rsid w:val="007C565F"/>
    <w:rsid w:val="007C56D3"/>
    <w:rsid w:val="007C5708"/>
    <w:rsid w:val="007C57AB"/>
    <w:rsid w:val="007C5B23"/>
    <w:rsid w:val="007C6098"/>
    <w:rsid w:val="007C60FA"/>
    <w:rsid w:val="007C6B0B"/>
    <w:rsid w:val="007C6C62"/>
    <w:rsid w:val="007C6FD9"/>
    <w:rsid w:val="007C71BF"/>
    <w:rsid w:val="007C7233"/>
    <w:rsid w:val="007C77F8"/>
    <w:rsid w:val="007C7AE3"/>
    <w:rsid w:val="007D0A70"/>
    <w:rsid w:val="007D0EF9"/>
    <w:rsid w:val="007D17D5"/>
    <w:rsid w:val="007D1849"/>
    <w:rsid w:val="007D2311"/>
    <w:rsid w:val="007D28B4"/>
    <w:rsid w:val="007D2BFE"/>
    <w:rsid w:val="007D32AA"/>
    <w:rsid w:val="007D3839"/>
    <w:rsid w:val="007D40CA"/>
    <w:rsid w:val="007D431D"/>
    <w:rsid w:val="007D48CB"/>
    <w:rsid w:val="007D586F"/>
    <w:rsid w:val="007D5DB1"/>
    <w:rsid w:val="007D6857"/>
    <w:rsid w:val="007D6F09"/>
    <w:rsid w:val="007D6F74"/>
    <w:rsid w:val="007D7068"/>
    <w:rsid w:val="007D75D7"/>
    <w:rsid w:val="007D7AA0"/>
    <w:rsid w:val="007D7E67"/>
    <w:rsid w:val="007E004B"/>
    <w:rsid w:val="007E085B"/>
    <w:rsid w:val="007E1068"/>
    <w:rsid w:val="007E1F0F"/>
    <w:rsid w:val="007E2B98"/>
    <w:rsid w:val="007E2CE0"/>
    <w:rsid w:val="007E347E"/>
    <w:rsid w:val="007E3AB6"/>
    <w:rsid w:val="007E3C49"/>
    <w:rsid w:val="007E3D3C"/>
    <w:rsid w:val="007E4026"/>
    <w:rsid w:val="007E424C"/>
    <w:rsid w:val="007E4A6F"/>
    <w:rsid w:val="007E4E1A"/>
    <w:rsid w:val="007E5BD1"/>
    <w:rsid w:val="007E68C4"/>
    <w:rsid w:val="007E704C"/>
    <w:rsid w:val="007E7F16"/>
    <w:rsid w:val="007F0DCC"/>
    <w:rsid w:val="007F0FCF"/>
    <w:rsid w:val="007F1914"/>
    <w:rsid w:val="007F1B2F"/>
    <w:rsid w:val="007F1CED"/>
    <w:rsid w:val="007F25AB"/>
    <w:rsid w:val="007F2C99"/>
    <w:rsid w:val="007F2CB8"/>
    <w:rsid w:val="007F377A"/>
    <w:rsid w:val="007F3844"/>
    <w:rsid w:val="007F3BF5"/>
    <w:rsid w:val="007F45DB"/>
    <w:rsid w:val="007F4709"/>
    <w:rsid w:val="007F48D9"/>
    <w:rsid w:val="007F4CE2"/>
    <w:rsid w:val="007F549B"/>
    <w:rsid w:val="007F596C"/>
    <w:rsid w:val="007F5EC4"/>
    <w:rsid w:val="007F646C"/>
    <w:rsid w:val="007F67F9"/>
    <w:rsid w:val="007F774B"/>
    <w:rsid w:val="007F784C"/>
    <w:rsid w:val="00800256"/>
    <w:rsid w:val="00800975"/>
    <w:rsid w:val="00800A1B"/>
    <w:rsid w:val="00801142"/>
    <w:rsid w:val="00801F8E"/>
    <w:rsid w:val="00802049"/>
    <w:rsid w:val="008024A3"/>
    <w:rsid w:val="00802902"/>
    <w:rsid w:val="008035A9"/>
    <w:rsid w:val="00803791"/>
    <w:rsid w:val="00803A24"/>
    <w:rsid w:val="00804265"/>
    <w:rsid w:val="008045D7"/>
    <w:rsid w:val="0080494B"/>
    <w:rsid w:val="008049F4"/>
    <w:rsid w:val="00804C8E"/>
    <w:rsid w:val="00804FE9"/>
    <w:rsid w:val="0080544F"/>
    <w:rsid w:val="0080564F"/>
    <w:rsid w:val="00805D93"/>
    <w:rsid w:val="00806204"/>
    <w:rsid w:val="008068DF"/>
    <w:rsid w:val="00806CBB"/>
    <w:rsid w:val="00807CCD"/>
    <w:rsid w:val="008101B1"/>
    <w:rsid w:val="008101FA"/>
    <w:rsid w:val="00810325"/>
    <w:rsid w:val="00811996"/>
    <w:rsid w:val="00811B33"/>
    <w:rsid w:val="0081214E"/>
    <w:rsid w:val="00812546"/>
    <w:rsid w:val="00812A92"/>
    <w:rsid w:val="00812D8E"/>
    <w:rsid w:val="008131BA"/>
    <w:rsid w:val="0081337E"/>
    <w:rsid w:val="00813458"/>
    <w:rsid w:val="00813895"/>
    <w:rsid w:val="008143C8"/>
    <w:rsid w:val="00814A0B"/>
    <w:rsid w:val="00814B9E"/>
    <w:rsid w:val="00814CD6"/>
    <w:rsid w:val="008155CF"/>
    <w:rsid w:val="00815DFB"/>
    <w:rsid w:val="00815E01"/>
    <w:rsid w:val="00816405"/>
    <w:rsid w:val="00816B75"/>
    <w:rsid w:val="00817C14"/>
    <w:rsid w:val="00820563"/>
    <w:rsid w:val="008206A8"/>
    <w:rsid w:val="00821066"/>
    <w:rsid w:val="00822213"/>
    <w:rsid w:val="00822837"/>
    <w:rsid w:val="00822CAB"/>
    <w:rsid w:val="008232DF"/>
    <w:rsid w:val="00823682"/>
    <w:rsid w:val="0082382D"/>
    <w:rsid w:val="00823C6C"/>
    <w:rsid w:val="00823E20"/>
    <w:rsid w:val="00823F85"/>
    <w:rsid w:val="008240FF"/>
    <w:rsid w:val="008241C1"/>
    <w:rsid w:val="0082437E"/>
    <w:rsid w:val="00824678"/>
    <w:rsid w:val="008248E2"/>
    <w:rsid w:val="00824BD3"/>
    <w:rsid w:val="00824D88"/>
    <w:rsid w:val="008257F9"/>
    <w:rsid w:val="00826252"/>
    <w:rsid w:val="008262E8"/>
    <w:rsid w:val="008266B1"/>
    <w:rsid w:val="0082676B"/>
    <w:rsid w:val="00826CA1"/>
    <w:rsid w:val="0082725F"/>
    <w:rsid w:val="00827270"/>
    <w:rsid w:val="00827AEF"/>
    <w:rsid w:val="00827F09"/>
    <w:rsid w:val="008301AE"/>
    <w:rsid w:val="0083046B"/>
    <w:rsid w:val="00830836"/>
    <w:rsid w:val="00830B7C"/>
    <w:rsid w:val="00830BF1"/>
    <w:rsid w:val="008318B2"/>
    <w:rsid w:val="00831F96"/>
    <w:rsid w:val="008321B5"/>
    <w:rsid w:val="008323CB"/>
    <w:rsid w:val="00832A2B"/>
    <w:rsid w:val="00832EE9"/>
    <w:rsid w:val="008332D5"/>
    <w:rsid w:val="0083349E"/>
    <w:rsid w:val="008337A6"/>
    <w:rsid w:val="008339BD"/>
    <w:rsid w:val="00834B01"/>
    <w:rsid w:val="00835248"/>
    <w:rsid w:val="00835CA6"/>
    <w:rsid w:val="00835CB6"/>
    <w:rsid w:val="00835CDB"/>
    <w:rsid w:val="0083604B"/>
    <w:rsid w:val="008366F0"/>
    <w:rsid w:val="00836BF2"/>
    <w:rsid w:val="00836DE1"/>
    <w:rsid w:val="008404DB"/>
    <w:rsid w:val="00840637"/>
    <w:rsid w:val="008408E5"/>
    <w:rsid w:val="00840AC1"/>
    <w:rsid w:val="00840BC1"/>
    <w:rsid w:val="00841252"/>
    <w:rsid w:val="00841F95"/>
    <w:rsid w:val="00842820"/>
    <w:rsid w:val="00842D57"/>
    <w:rsid w:val="00842E7E"/>
    <w:rsid w:val="00842F10"/>
    <w:rsid w:val="0084351E"/>
    <w:rsid w:val="00843ABA"/>
    <w:rsid w:val="00844264"/>
    <w:rsid w:val="0084435A"/>
    <w:rsid w:val="00845C9E"/>
    <w:rsid w:val="00845D1E"/>
    <w:rsid w:val="0084603A"/>
    <w:rsid w:val="00846D95"/>
    <w:rsid w:val="00847709"/>
    <w:rsid w:val="008506D2"/>
    <w:rsid w:val="008506D7"/>
    <w:rsid w:val="0085117B"/>
    <w:rsid w:val="00851F4A"/>
    <w:rsid w:val="00851F7E"/>
    <w:rsid w:val="00851FAE"/>
    <w:rsid w:val="008522F8"/>
    <w:rsid w:val="0085247F"/>
    <w:rsid w:val="008528F1"/>
    <w:rsid w:val="008537B0"/>
    <w:rsid w:val="00853A4E"/>
    <w:rsid w:val="00855019"/>
    <w:rsid w:val="00855A23"/>
    <w:rsid w:val="0085614A"/>
    <w:rsid w:val="0085660E"/>
    <w:rsid w:val="00856894"/>
    <w:rsid w:val="0085783E"/>
    <w:rsid w:val="00860E61"/>
    <w:rsid w:val="00861250"/>
    <w:rsid w:val="00861A0B"/>
    <w:rsid w:val="008631EF"/>
    <w:rsid w:val="0086324D"/>
    <w:rsid w:val="008633D7"/>
    <w:rsid w:val="00863462"/>
    <w:rsid w:val="00863712"/>
    <w:rsid w:val="00863D2D"/>
    <w:rsid w:val="00863D5E"/>
    <w:rsid w:val="008640EB"/>
    <w:rsid w:val="00864523"/>
    <w:rsid w:val="00864A44"/>
    <w:rsid w:val="008650F5"/>
    <w:rsid w:val="008660C7"/>
    <w:rsid w:val="0086650C"/>
    <w:rsid w:val="00866736"/>
    <w:rsid w:val="0086673D"/>
    <w:rsid w:val="00866E1B"/>
    <w:rsid w:val="008675D3"/>
    <w:rsid w:val="008677C2"/>
    <w:rsid w:val="008678E4"/>
    <w:rsid w:val="008679D5"/>
    <w:rsid w:val="00867AC8"/>
    <w:rsid w:val="0087057B"/>
    <w:rsid w:val="00871C96"/>
    <w:rsid w:val="00871F02"/>
    <w:rsid w:val="008722C8"/>
    <w:rsid w:val="00872F8E"/>
    <w:rsid w:val="00873115"/>
    <w:rsid w:val="00873285"/>
    <w:rsid w:val="00873E55"/>
    <w:rsid w:val="00874542"/>
    <w:rsid w:val="00874BC1"/>
    <w:rsid w:val="0087506E"/>
    <w:rsid w:val="00875356"/>
    <w:rsid w:val="00875429"/>
    <w:rsid w:val="008766B1"/>
    <w:rsid w:val="008766D5"/>
    <w:rsid w:val="00876816"/>
    <w:rsid w:val="00876AB4"/>
    <w:rsid w:val="00876D2D"/>
    <w:rsid w:val="008773B5"/>
    <w:rsid w:val="00877D93"/>
    <w:rsid w:val="00880BC2"/>
    <w:rsid w:val="00880E8C"/>
    <w:rsid w:val="008815F0"/>
    <w:rsid w:val="00882347"/>
    <w:rsid w:val="008824B2"/>
    <w:rsid w:val="00884058"/>
    <w:rsid w:val="0088476E"/>
    <w:rsid w:val="00884876"/>
    <w:rsid w:val="00884A5C"/>
    <w:rsid w:val="00884CA8"/>
    <w:rsid w:val="00886365"/>
    <w:rsid w:val="00886AA6"/>
    <w:rsid w:val="00886B8D"/>
    <w:rsid w:val="0088710D"/>
    <w:rsid w:val="0088775A"/>
    <w:rsid w:val="00887AC3"/>
    <w:rsid w:val="00887E2C"/>
    <w:rsid w:val="008904B1"/>
    <w:rsid w:val="0089095E"/>
    <w:rsid w:val="00890EDA"/>
    <w:rsid w:val="008910CD"/>
    <w:rsid w:val="00891FC3"/>
    <w:rsid w:val="00892B47"/>
    <w:rsid w:val="008933E7"/>
    <w:rsid w:val="00894050"/>
    <w:rsid w:val="00894409"/>
    <w:rsid w:val="008947C8"/>
    <w:rsid w:val="00894AB8"/>
    <w:rsid w:val="008952CA"/>
    <w:rsid w:val="008965DF"/>
    <w:rsid w:val="0089712D"/>
    <w:rsid w:val="00897348"/>
    <w:rsid w:val="008A0C1E"/>
    <w:rsid w:val="008A0DBD"/>
    <w:rsid w:val="008A114A"/>
    <w:rsid w:val="008A17E9"/>
    <w:rsid w:val="008A1825"/>
    <w:rsid w:val="008A30F8"/>
    <w:rsid w:val="008A3A69"/>
    <w:rsid w:val="008A46DE"/>
    <w:rsid w:val="008A5C3D"/>
    <w:rsid w:val="008A5D1D"/>
    <w:rsid w:val="008A6870"/>
    <w:rsid w:val="008A6990"/>
    <w:rsid w:val="008A69FC"/>
    <w:rsid w:val="008A75AC"/>
    <w:rsid w:val="008A766D"/>
    <w:rsid w:val="008B0B5F"/>
    <w:rsid w:val="008B0F13"/>
    <w:rsid w:val="008B14B5"/>
    <w:rsid w:val="008B1FD6"/>
    <w:rsid w:val="008B33AD"/>
    <w:rsid w:val="008B352C"/>
    <w:rsid w:val="008B3945"/>
    <w:rsid w:val="008B4CE4"/>
    <w:rsid w:val="008B5687"/>
    <w:rsid w:val="008B57EF"/>
    <w:rsid w:val="008B597C"/>
    <w:rsid w:val="008B636D"/>
    <w:rsid w:val="008B65F4"/>
    <w:rsid w:val="008B6CA4"/>
    <w:rsid w:val="008B7755"/>
    <w:rsid w:val="008B7C5A"/>
    <w:rsid w:val="008C00AB"/>
    <w:rsid w:val="008C08A2"/>
    <w:rsid w:val="008C0E7F"/>
    <w:rsid w:val="008C112E"/>
    <w:rsid w:val="008C1870"/>
    <w:rsid w:val="008C1A88"/>
    <w:rsid w:val="008C2995"/>
    <w:rsid w:val="008C3546"/>
    <w:rsid w:val="008C3DCC"/>
    <w:rsid w:val="008C3FFA"/>
    <w:rsid w:val="008C5155"/>
    <w:rsid w:val="008C521E"/>
    <w:rsid w:val="008C550E"/>
    <w:rsid w:val="008C5AA5"/>
    <w:rsid w:val="008C7177"/>
    <w:rsid w:val="008C754E"/>
    <w:rsid w:val="008D0542"/>
    <w:rsid w:val="008D0C77"/>
    <w:rsid w:val="008D1015"/>
    <w:rsid w:val="008D138A"/>
    <w:rsid w:val="008D2057"/>
    <w:rsid w:val="008D22AC"/>
    <w:rsid w:val="008D26FA"/>
    <w:rsid w:val="008D3795"/>
    <w:rsid w:val="008D3D18"/>
    <w:rsid w:val="008D3EF0"/>
    <w:rsid w:val="008D4691"/>
    <w:rsid w:val="008D49C5"/>
    <w:rsid w:val="008D4E0C"/>
    <w:rsid w:val="008D5A42"/>
    <w:rsid w:val="008D5F38"/>
    <w:rsid w:val="008D6433"/>
    <w:rsid w:val="008D7043"/>
    <w:rsid w:val="008D77C4"/>
    <w:rsid w:val="008D7CA4"/>
    <w:rsid w:val="008D7E81"/>
    <w:rsid w:val="008E1141"/>
    <w:rsid w:val="008E12D2"/>
    <w:rsid w:val="008E144B"/>
    <w:rsid w:val="008E224F"/>
    <w:rsid w:val="008E2670"/>
    <w:rsid w:val="008E27AE"/>
    <w:rsid w:val="008E2939"/>
    <w:rsid w:val="008E3327"/>
    <w:rsid w:val="008E378F"/>
    <w:rsid w:val="008E399E"/>
    <w:rsid w:val="008E46DC"/>
    <w:rsid w:val="008E5248"/>
    <w:rsid w:val="008E6101"/>
    <w:rsid w:val="008E67AD"/>
    <w:rsid w:val="008E6B68"/>
    <w:rsid w:val="008E6DB6"/>
    <w:rsid w:val="008E6DE9"/>
    <w:rsid w:val="008E7457"/>
    <w:rsid w:val="008E7BE9"/>
    <w:rsid w:val="008F0AB8"/>
    <w:rsid w:val="008F11B2"/>
    <w:rsid w:val="008F122F"/>
    <w:rsid w:val="008F1F0C"/>
    <w:rsid w:val="008F20B1"/>
    <w:rsid w:val="008F20E5"/>
    <w:rsid w:val="008F25CD"/>
    <w:rsid w:val="008F2BB6"/>
    <w:rsid w:val="008F30F3"/>
    <w:rsid w:val="008F3922"/>
    <w:rsid w:val="008F3F62"/>
    <w:rsid w:val="008F413A"/>
    <w:rsid w:val="008F41DC"/>
    <w:rsid w:val="008F4CC5"/>
    <w:rsid w:val="008F4F35"/>
    <w:rsid w:val="008F55A2"/>
    <w:rsid w:val="008F5BE8"/>
    <w:rsid w:val="008F5FFD"/>
    <w:rsid w:val="008F6C96"/>
    <w:rsid w:val="008F6E05"/>
    <w:rsid w:val="008F7616"/>
    <w:rsid w:val="008F7854"/>
    <w:rsid w:val="008F7A31"/>
    <w:rsid w:val="009009B4"/>
    <w:rsid w:val="009011CA"/>
    <w:rsid w:val="00901226"/>
    <w:rsid w:val="009024F1"/>
    <w:rsid w:val="009027F7"/>
    <w:rsid w:val="00902D22"/>
    <w:rsid w:val="00902F4E"/>
    <w:rsid w:val="00903BE3"/>
    <w:rsid w:val="0090407A"/>
    <w:rsid w:val="00904184"/>
    <w:rsid w:val="0090450C"/>
    <w:rsid w:val="00904EA3"/>
    <w:rsid w:val="00905C9B"/>
    <w:rsid w:val="00905D12"/>
    <w:rsid w:val="009066E5"/>
    <w:rsid w:val="00906A46"/>
    <w:rsid w:val="00907020"/>
    <w:rsid w:val="0090755E"/>
    <w:rsid w:val="00911095"/>
    <w:rsid w:val="00911121"/>
    <w:rsid w:val="0091115F"/>
    <w:rsid w:val="009111A8"/>
    <w:rsid w:val="00911214"/>
    <w:rsid w:val="00911339"/>
    <w:rsid w:val="009119BD"/>
    <w:rsid w:val="00911B84"/>
    <w:rsid w:val="00911DC0"/>
    <w:rsid w:val="00911FAE"/>
    <w:rsid w:val="0091311B"/>
    <w:rsid w:val="009139C7"/>
    <w:rsid w:val="00913B6D"/>
    <w:rsid w:val="00913C2D"/>
    <w:rsid w:val="00913F4C"/>
    <w:rsid w:val="009141A3"/>
    <w:rsid w:val="0091436B"/>
    <w:rsid w:val="009143A3"/>
    <w:rsid w:val="009166D6"/>
    <w:rsid w:val="00916B0E"/>
    <w:rsid w:val="00916D47"/>
    <w:rsid w:val="00916ED9"/>
    <w:rsid w:val="00916FE1"/>
    <w:rsid w:val="009173C3"/>
    <w:rsid w:val="00917EB6"/>
    <w:rsid w:val="00917EFB"/>
    <w:rsid w:val="00920288"/>
    <w:rsid w:val="009206EC"/>
    <w:rsid w:val="00920AC9"/>
    <w:rsid w:val="00920E3C"/>
    <w:rsid w:val="00920FF8"/>
    <w:rsid w:val="009215CA"/>
    <w:rsid w:val="00921B62"/>
    <w:rsid w:val="00922575"/>
    <w:rsid w:val="00922E20"/>
    <w:rsid w:val="00923264"/>
    <w:rsid w:val="009233B8"/>
    <w:rsid w:val="00923AB3"/>
    <w:rsid w:val="00924832"/>
    <w:rsid w:val="00924A9D"/>
    <w:rsid w:val="009257B7"/>
    <w:rsid w:val="009261D8"/>
    <w:rsid w:val="00926220"/>
    <w:rsid w:val="009269B7"/>
    <w:rsid w:val="00930473"/>
    <w:rsid w:val="00930E15"/>
    <w:rsid w:val="00930F4A"/>
    <w:rsid w:val="009314D1"/>
    <w:rsid w:val="00931A3C"/>
    <w:rsid w:val="00931D97"/>
    <w:rsid w:val="00931F5B"/>
    <w:rsid w:val="00932488"/>
    <w:rsid w:val="0093384A"/>
    <w:rsid w:val="00934090"/>
    <w:rsid w:val="00934947"/>
    <w:rsid w:val="00934FBD"/>
    <w:rsid w:val="00934FC2"/>
    <w:rsid w:val="009353B4"/>
    <w:rsid w:val="00935482"/>
    <w:rsid w:val="009354CB"/>
    <w:rsid w:val="00935741"/>
    <w:rsid w:val="00936029"/>
    <w:rsid w:val="009360B9"/>
    <w:rsid w:val="0094036E"/>
    <w:rsid w:val="00940892"/>
    <w:rsid w:val="0094108A"/>
    <w:rsid w:val="00941246"/>
    <w:rsid w:val="00941CA2"/>
    <w:rsid w:val="00942076"/>
    <w:rsid w:val="0094229A"/>
    <w:rsid w:val="009427C7"/>
    <w:rsid w:val="0094299F"/>
    <w:rsid w:val="00942DA1"/>
    <w:rsid w:val="00942EC3"/>
    <w:rsid w:val="00942F77"/>
    <w:rsid w:val="00943F2B"/>
    <w:rsid w:val="0094403D"/>
    <w:rsid w:val="009443B9"/>
    <w:rsid w:val="009444C0"/>
    <w:rsid w:val="00944D5D"/>
    <w:rsid w:val="00944DF2"/>
    <w:rsid w:val="00945814"/>
    <w:rsid w:val="00945EDB"/>
    <w:rsid w:val="0094664E"/>
    <w:rsid w:val="00946B04"/>
    <w:rsid w:val="00946F89"/>
    <w:rsid w:val="0094700F"/>
    <w:rsid w:val="009479A2"/>
    <w:rsid w:val="00947A77"/>
    <w:rsid w:val="00950B7B"/>
    <w:rsid w:val="00951AC4"/>
    <w:rsid w:val="00951FDC"/>
    <w:rsid w:val="00952D37"/>
    <w:rsid w:val="00952F7A"/>
    <w:rsid w:val="00953146"/>
    <w:rsid w:val="00953365"/>
    <w:rsid w:val="009538F0"/>
    <w:rsid w:val="00953B4A"/>
    <w:rsid w:val="00953BA4"/>
    <w:rsid w:val="00953ECC"/>
    <w:rsid w:val="00954134"/>
    <w:rsid w:val="00954D3A"/>
    <w:rsid w:val="00955CAA"/>
    <w:rsid w:val="0095630A"/>
    <w:rsid w:val="0095670C"/>
    <w:rsid w:val="00957424"/>
    <w:rsid w:val="00957B0C"/>
    <w:rsid w:val="00957D04"/>
    <w:rsid w:val="00957FB3"/>
    <w:rsid w:val="009603FA"/>
    <w:rsid w:val="00960648"/>
    <w:rsid w:val="0096070B"/>
    <w:rsid w:val="0096153B"/>
    <w:rsid w:val="0096166F"/>
    <w:rsid w:val="009617D0"/>
    <w:rsid w:val="00961E35"/>
    <w:rsid w:val="009626B1"/>
    <w:rsid w:val="0096283A"/>
    <w:rsid w:val="0096345E"/>
    <w:rsid w:val="00963805"/>
    <w:rsid w:val="009638B7"/>
    <w:rsid w:val="00963920"/>
    <w:rsid w:val="00963AAB"/>
    <w:rsid w:val="009647A8"/>
    <w:rsid w:val="00965189"/>
    <w:rsid w:val="009651A3"/>
    <w:rsid w:val="00965802"/>
    <w:rsid w:val="00965A70"/>
    <w:rsid w:val="00965D2B"/>
    <w:rsid w:val="009668E2"/>
    <w:rsid w:val="00966FDA"/>
    <w:rsid w:val="00967132"/>
    <w:rsid w:val="009673A4"/>
    <w:rsid w:val="009673B3"/>
    <w:rsid w:val="00967922"/>
    <w:rsid w:val="00967AF3"/>
    <w:rsid w:val="00967FF4"/>
    <w:rsid w:val="009706EF"/>
    <w:rsid w:val="00971E91"/>
    <w:rsid w:val="00971F96"/>
    <w:rsid w:val="00972081"/>
    <w:rsid w:val="00973237"/>
    <w:rsid w:val="00973D56"/>
    <w:rsid w:val="00973F95"/>
    <w:rsid w:val="00974451"/>
    <w:rsid w:val="009759BB"/>
    <w:rsid w:val="00975A35"/>
    <w:rsid w:val="00975CA9"/>
    <w:rsid w:val="0097635C"/>
    <w:rsid w:val="0097694F"/>
    <w:rsid w:val="00976EC8"/>
    <w:rsid w:val="00977106"/>
    <w:rsid w:val="0097723D"/>
    <w:rsid w:val="009774C3"/>
    <w:rsid w:val="009775DF"/>
    <w:rsid w:val="00977651"/>
    <w:rsid w:val="00977A58"/>
    <w:rsid w:val="00980297"/>
    <w:rsid w:val="009805F2"/>
    <w:rsid w:val="00980BC1"/>
    <w:rsid w:val="00981112"/>
    <w:rsid w:val="0098239F"/>
    <w:rsid w:val="009823AC"/>
    <w:rsid w:val="009823C3"/>
    <w:rsid w:val="00982B74"/>
    <w:rsid w:val="00982D33"/>
    <w:rsid w:val="00983EA9"/>
    <w:rsid w:val="009842E9"/>
    <w:rsid w:val="00984435"/>
    <w:rsid w:val="00985C9A"/>
    <w:rsid w:val="009861BC"/>
    <w:rsid w:val="00986767"/>
    <w:rsid w:val="00986DED"/>
    <w:rsid w:val="009871FB"/>
    <w:rsid w:val="009876E0"/>
    <w:rsid w:val="00987B9A"/>
    <w:rsid w:val="00990561"/>
    <w:rsid w:val="00990F8D"/>
    <w:rsid w:val="0099114E"/>
    <w:rsid w:val="009918A6"/>
    <w:rsid w:val="009918D1"/>
    <w:rsid w:val="00991EC3"/>
    <w:rsid w:val="00992AA8"/>
    <w:rsid w:val="00992F0F"/>
    <w:rsid w:val="009939C6"/>
    <w:rsid w:val="00994246"/>
    <w:rsid w:val="00994423"/>
    <w:rsid w:val="00994CDE"/>
    <w:rsid w:val="009954AF"/>
    <w:rsid w:val="00995875"/>
    <w:rsid w:val="00996628"/>
    <w:rsid w:val="00996936"/>
    <w:rsid w:val="00996C34"/>
    <w:rsid w:val="00996C87"/>
    <w:rsid w:val="00997A8C"/>
    <w:rsid w:val="009A007D"/>
    <w:rsid w:val="009A0101"/>
    <w:rsid w:val="009A0841"/>
    <w:rsid w:val="009A185F"/>
    <w:rsid w:val="009A2906"/>
    <w:rsid w:val="009A37E2"/>
    <w:rsid w:val="009A3E58"/>
    <w:rsid w:val="009A49D3"/>
    <w:rsid w:val="009A4C25"/>
    <w:rsid w:val="009A539C"/>
    <w:rsid w:val="009A5861"/>
    <w:rsid w:val="009A5B89"/>
    <w:rsid w:val="009A5D73"/>
    <w:rsid w:val="009A5EFD"/>
    <w:rsid w:val="009A6E0D"/>
    <w:rsid w:val="009A6E5F"/>
    <w:rsid w:val="009A745E"/>
    <w:rsid w:val="009A7FBF"/>
    <w:rsid w:val="009B0182"/>
    <w:rsid w:val="009B02A3"/>
    <w:rsid w:val="009B10DE"/>
    <w:rsid w:val="009B10E5"/>
    <w:rsid w:val="009B1244"/>
    <w:rsid w:val="009B1F41"/>
    <w:rsid w:val="009B2304"/>
    <w:rsid w:val="009B26C7"/>
    <w:rsid w:val="009B27C2"/>
    <w:rsid w:val="009B2B2A"/>
    <w:rsid w:val="009B2C93"/>
    <w:rsid w:val="009B31F9"/>
    <w:rsid w:val="009B347A"/>
    <w:rsid w:val="009B4957"/>
    <w:rsid w:val="009B4E8A"/>
    <w:rsid w:val="009B4EA5"/>
    <w:rsid w:val="009B513B"/>
    <w:rsid w:val="009B53B5"/>
    <w:rsid w:val="009B63B8"/>
    <w:rsid w:val="009B7232"/>
    <w:rsid w:val="009B74E4"/>
    <w:rsid w:val="009C0C4C"/>
    <w:rsid w:val="009C147E"/>
    <w:rsid w:val="009C19F0"/>
    <w:rsid w:val="009C20F4"/>
    <w:rsid w:val="009C2338"/>
    <w:rsid w:val="009C2C14"/>
    <w:rsid w:val="009C2F90"/>
    <w:rsid w:val="009C31AA"/>
    <w:rsid w:val="009C398B"/>
    <w:rsid w:val="009C5998"/>
    <w:rsid w:val="009C5FCC"/>
    <w:rsid w:val="009C64F0"/>
    <w:rsid w:val="009C651C"/>
    <w:rsid w:val="009C6877"/>
    <w:rsid w:val="009C6D7A"/>
    <w:rsid w:val="009C6ED3"/>
    <w:rsid w:val="009D12AF"/>
    <w:rsid w:val="009D14EA"/>
    <w:rsid w:val="009D1A3F"/>
    <w:rsid w:val="009D1BFC"/>
    <w:rsid w:val="009D1C82"/>
    <w:rsid w:val="009D1D38"/>
    <w:rsid w:val="009D1D64"/>
    <w:rsid w:val="009D2276"/>
    <w:rsid w:val="009D2800"/>
    <w:rsid w:val="009D32A9"/>
    <w:rsid w:val="009D3430"/>
    <w:rsid w:val="009D34E9"/>
    <w:rsid w:val="009D3B01"/>
    <w:rsid w:val="009D4C10"/>
    <w:rsid w:val="009D579C"/>
    <w:rsid w:val="009D5DA5"/>
    <w:rsid w:val="009D643E"/>
    <w:rsid w:val="009D6590"/>
    <w:rsid w:val="009D737D"/>
    <w:rsid w:val="009D73FE"/>
    <w:rsid w:val="009D7922"/>
    <w:rsid w:val="009D7C8E"/>
    <w:rsid w:val="009D7E2D"/>
    <w:rsid w:val="009D7E5C"/>
    <w:rsid w:val="009E06F1"/>
    <w:rsid w:val="009E13B8"/>
    <w:rsid w:val="009E1B81"/>
    <w:rsid w:val="009E1F8E"/>
    <w:rsid w:val="009E20CB"/>
    <w:rsid w:val="009E3F59"/>
    <w:rsid w:val="009E3FF8"/>
    <w:rsid w:val="009E4578"/>
    <w:rsid w:val="009E587D"/>
    <w:rsid w:val="009E68C4"/>
    <w:rsid w:val="009E6C40"/>
    <w:rsid w:val="009E764A"/>
    <w:rsid w:val="009E7EFD"/>
    <w:rsid w:val="009F04F2"/>
    <w:rsid w:val="009F1860"/>
    <w:rsid w:val="009F1F92"/>
    <w:rsid w:val="009F31D9"/>
    <w:rsid w:val="009F379A"/>
    <w:rsid w:val="009F39D5"/>
    <w:rsid w:val="009F3A56"/>
    <w:rsid w:val="009F4BC1"/>
    <w:rsid w:val="009F60AA"/>
    <w:rsid w:val="009F65AA"/>
    <w:rsid w:val="009F6CE8"/>
    <w:rsid w:val="009F7063"/>
    <w:rsid w:val="009F74EB"/>
    <w:rsid w:val="009F77B3"/>
    <w:rsid w:val="00A0096F"/>
    <w:rsid w:val="00A00F22"/>
    <w:rsid w:val="00A011D0"/>
    <w:rsid w:val="00A01590"/>
    <w:rsid w:val="00A01611"/>
    <w:rsid w:val="00A01BF8"/>
    <w:rsid w:val="00A03218"/>
    <w:rsid w:val="00A03519"/>
    <w:rsid w:val="00A035D3"/>
    <w:rsid w:val="00A03B6E"/>
    <w:rsid w:val="00A043D5"/>
    <w:rsid w:val="00A0480A"/>
    <w:rsid w:val="00A04AAC"/>
    <w:rsid w:val="00A04ABC"/>
    <w:rsid w:val="00A05307"/>
    <w:rsid w:val="00A0573D"/>
    <w:rsid w:val="00A05C83"/>
    <w:rsid w:val="00A06028"/>
    <w:rsid w:val="00A06ADB"/>
    <w:rsid w:val="00A073CB"/>
    <w:rsid w:val="00A0742C"/>
    <w:rsid w:val="00A1003B"/>
    <w:rsid w:val="00A10422"/>
    <w:rsid w:val="00A10750"/>
    <w:rsid w:val="00A10ECA"/>
    <w:rsid w:val="00A11459"/>
    <w:rsid w:val="00A11F53"/>
    <w:rsid w:val="00A1215E"/>
    <w:rsid w:val="00A12187"/>
    <w:rsid w:val="00A12909"/>
    <w:rsid w:val="00A1353F"/>
    <w:rsid w:val="00A13ADC"/>
    <w:rsid w:val="00A13DFD"/>
    <w:rsid w:val="00A148E6"/>
    <w:rsid w:val="00A15C00"/>
    <w:rsid w:val="00A15C65"/>
    <w:rsid w:val="00A161F4"/>
    <w:rsid w:val="00A17611"/>
    <w:rsid w:val="00A201C8"/>
    <w:rsid w:val="00A203B9"/>
    <w:rsid w:val="00A20614"/>
    <w:rsid w:val="00A20A17"/>
    <w:rsid w:val="00A20C34"/>
    <w:rsid w:val="00A212BD"/>
    <w:rsid w:val="00A2157E"/>
    <w:rsid w:val="00A21D4D"/>
    <w:rsid w:val="00A22207"/>
    <w:rsid w:val="00A222ED"/>
    <w:rsid w:val="00A23148"/>
    <w:rsid w:val="00A2346F"/>
    <w:rsid w:val="00A23769"/>
    <w:rsid w:val="00A2390F"/>
    <w:rsid w:val="00A23C55"/>
    <w:rsid w:val="00A24546"/>
    <w:rsid w:val="00A252DA"/>
    <w:rsid w:val="00A256EE"/>
    <w:rsid w:val="00A26932"/>
    <w:rsid w:val="00A27674"/>
    <w:rsid w:val="00A2798D"/>
    <w:rsid w:val="00A279C4"/>
    <w:rsid w:val="00A27A20"/>
    <w:rsid w:val="00A27FB8"/>
    <w:rsid w:val="00A30874"/>
    <w:rsid w:val="00A3216E"/>
    <w:rsid w:val="00A32202"/>
    <w:rsid w:val="00A32AE9"/>
    <w:rsid w:val="00A32E36"/>
    <w:rsid w:val="00A3381D"/>
    <w:rsid w:val="00A340F3"/>
    <w:rsid w:val="00A34E19"/>
    <w:rsid w:val="00A34EEA"/>
    <w:rsid w:val="00A354F5"/>
    <w:rsid w:val="00A35580"/>
    <w:rsid w:val="00A356B9"/>
    <w:rsid w:val="00A363BC"/>
    <w:rsid w:val="00A36C7D"/>
    <w:rsid w:val="00A36D7D"/>
    <w:rsid w:val="00A36E80"/>
    <w:rsid w:val="00A36FB8"/>
    <w:rsid w:val="00A3789F"/>
    <w:rsid w:val="00A40216"/>
    <w:rsid w:val="00A403A9"/>
    <w:rsid w:val="00A4075D"/>
    <w:rsid w:val="00A4078F"/>
    <w:rsid w:val="00A408F6"/>
    <w:rsid w:val="00A40A21"/>
    <w:rsid w:val="00A41248"/>
    <w:rsid w:val="00A41AA3"/>
    <w:rsid w:val="00A41B83"/>
    <w:rsid w:val="00A428F2"/>
    <w:rsid w:val="00A42F5A"/>
    <w:rsid w:val="00A4311F"/>
    <w:rsid w:val="00A43D28"/>
    <w:rsid w:val="00A4434F"/>
    <w:rsid w:val="00A44D7E"/>
    <w:rsid w:val="00A465A2"/>
    <w:rsid w:val="00A46F0E"/>
    <w:rsid w:val="00A47A60"/>
    <w:rsid w:val="00A47A79"/>
    <w:rsid w:val="00A50311"/>
    <w:rsid w:val="00A50B6B"/>
    <w:rsid w:val="00A5106D"/>
    <w:rsid w:val="00A51605"/>
    <w:rsid w:val="00A51C14"/>
    <w:rsid w:val="00A522FD"/>
    <w:rsid w:val="00A52638"/>
    <w:rsid w:val="00A5265D"/>
    <w:rsid w:val="00A527A5"/>
    <w:rsid w:val="00A52BFD"/>
    <w:rsid w:val="00A52C58"/>
    <w:rsid w:val="00A53023"/>
    <w:rsid w:val="00A53401"/>
    <w:rsid w:val="00A5397D"/>
    <w:rsid w:val="00A540A9"/>
    <w:rsid w:val="00A54791"/>
    <w:rsid w:val="00A54D46"/>
    <w:rsid w:val="00A553EF"/>
    <w:rsid w:val="00A55883"/>
    <w:rsid w:val="00A558DC"/>
    <w:rsid w:val="00A55D55"/>
    <w:rsid w:val="00A56510"/>
    <w:rsid w:val="00A56D7B"/>
    <w:rsid w:val="00A56F34"/>
    <w:rsid w:val="00A57939"/>
    <w:rsid w:val="00A57A0D"/>
    <w:rsid w:val="00A57A2B"/>
    <w:rsid w:val="00A57DC5"/>
    <w:rsid w:val="00A60E5B"/>
    <w:rsid w:val="00A61EC2"/>
    <w:rsid w:val="00A622CD"/>
    <w:rsid w:val="00A62C92"/>
    <w:rsid w:val="00A62DBF"/>
    <w:rsid w:val="00A62EDB"/>
    <w:rsid w:val="00A6379E"/>
    <w:rsid w:val="00A64233"/>
    <w:rsid w:val="00A646E7"/>
    <w:rsid w:val="00A64BBC"/>
    <w:rsid w:val="00A64CF4"/>
    <w:rsid w:val="00A651A7"/>
    <w:rsid w:val="00A65B43"/>
    <w:rsid w:val="00A660A1"/>
    <w:rsid w:val="00A662BF"/>
    <w:rsid w:val="00A66D95"/>
    <w:rsid w:val="00A676B7"/>
    <w:rsid w:val="00A70288"/>
    <w:rsid w:val="00A70EEC"/>
    <w:rsid w:val="00A71478"/>
    <w:rsid w:val="00A7157F"/>
    <w:rsid w:val="00A71B4C"/>
    <w:rsid w:val="00A7222D"/>
    <w:rsid w:val="00A7248A"/>
    <w:rsid w:val="00A724DE"/>
    <w:rsid w:val="00A727D1"/>
    <w:rsid w:val="00A7388A"/>
    <w:rsid w:val="00A747F3"/>
    <w:rsid w:val="00A76D56"/>
    <w:rsid w:val="00A7706C"/>
    <w:rsid w:val="00A77449"/>
    <w:rsid w:val="00A775F2"/>
    <w:rsid w:val="00A776AE"/>
    <w:rsid w:val="00A777D3"/>
    <w:rsid w:val="00A809C1"/>
    <w:rsid w:val="00A80F9A"/>
    <w:rsid w:val="00A81572"/>
    <w:rsid w:val="00A82674"/>
    <w:rsid w:val="00A83100"/>
    <w:rsid w:val="00A833C0"/>
    <w:rsid w:val="00A83930"/>
    <w:rsid w:val="00A845A4"/>
    <w:rsid w:val="00A8493B"/>
    <w:rsid w:val="00A85387"/>
    <w:rsid w:val="00A854A8"/>
    <w:rsid w:val="00A86559"/>
    <w:rsid w:val="00A86661"/>
    <w:rsid w:val="00A8699D"/>
    <w:rsid w:val="00A87EF1"/>
    <w:rsid w:val="00A87F63"/>
    <w:rsid w:val="00A9061F"/>
    <w:rsid w:val="00A909CB"/>
    <w:rsid w:val="00A910C0"/>
    <w:rsid w:val="00A912F1"/>
    <w:rsid w:val="00A91320"/>
    <w:rsid w:val="00A91881"/>
    <w:rsid w:val="00A9193A"/>
    <w:rsid w:val="00A91D0D"/>
    <w:rsid w:val="00A92F19"/>
    <w:rsid w:val="00A92F1C"/>
    <w:rsid w:val="00A92FA3"/>
    <w:rsid w:val="00A930D9"/>
    <w:rsid w:val="00A938EA"/>
    <w:rsid w:val="00A9405D"/>
    <w:rsid w:val="00A944F3"/>
    <w:rsid w:val="00A9451F"/>
    <w:rsid w:val="00A9577D"/>
    <w:rsid w:val="00A95B69"/>
    <w:rsid w:val="00A96702"/>
    <w:rsid w:val="00A9695F"/>
    <w:rsid w:val="00A969A5"/>
    <w:rsid w:val="00A97291"/>
    <w:rsid w:val="00A976F6"/>
    <w:rsid w:val="00A97860"/>
    <w:rsid w:val="00A97C91"/>
    <w:rsid w:val="00AA0069"/>
    <w:rsid w:val="00AA031E"/>
    <w:rsid w:val="00AA03B0"/>
    <w:rsid w:val="00AA066F"/>
    <w:rsid w:val="00AA1E53"/>
    <w:rsid w:val="00AA201F"/>
    <w:rsid w:val="00AA2021"/>
    <w:rsid w:val="00AA22BC"/>
    <w:rsid w:val="00AA22F2"/>
    <w:rsid w:val="00AA25E6"/>
    <w:rsid w:val="00AA2831"/>
    <w:rsid w:val="00AA30CC"/>
    <w:rsid w:val="00AA311D"/>
    <w:rsid w:val="00AA3391"/>
    <w:rsid w:val="00AA3555"/>
    <w:rsid w:val="00AA3587"/>
    <w:rsid w:val="00AA3937"/>
    <w:rsid w:val="00AA3DB3"/>
    <w:rsid w:val="00AA3FF0"/>
    <w:rsid w:val="00AA46E0"/>
    <w:rsid w:val="00AA4F87"/>
    <w:rsid w:val="00AA6018"/>
    <w:rsid w:val="00AA614B"/>
    <w:rsid w:val="00AA67E4"/>
    <w:rsid w:val="00AA7932"/>
    <w:rsid w:val="00AA7977"/>
    <w:rsid w:val="00AB018B"/>
    <w:rsid w:val="00AB14C6"/>
    <w:rsid w:val="00AB2005"/>
    <w:rsid w:val="00AB231E"/>
    <w:rsid w:val="00AB2364"/>
    <w:rsid w:val="00AB2ACD"/>
    <w:rsid w:val="00AB2DBC"/>
    <w:rsid w:val="00AB332F"/>
    <w:rsid w:val="00AB356C"/>
    <w:rsid w:val="00AB3C4D"/>
    <w:rsid w:val="00AB3EF0"/>
    <w:rsid w:val="00AB430B"/>
    <w:rsid w:val="00AB431A"/>
    <w:rsid w:val="00AB54AD"/>
    <w:rsid w:val="00AB5880"/>
    <w:rsid w:val="00AB5AA3"/>
    <w:rsid w:val="00AB5AE1"/>
    <w:rsid w:val="00AB63F3"/>
    <w:rsid w:val="00AB6517"/>
    <w:rsid w:val="00AB7288"/>
    <w:rsid w:val="00AC0375"/>
    <w:rsid w:val="00AC047B"/>
    <w:rsid w:val="00AC0774"/>
    <w:rsid w:val="00AC0846"/>
    <w:rsid w:val="00AC1B3E"/>
    <w:rsid w:val="00AC1F17"/>
    <w:rsid w:val="00AC2328"/>
    <w:rsid w:val="00AC2A87"/>
    <w:rsid w:val="00AC2E2F"/>
    <w:rsid w:val="00AC35A7"/>
    <w:rsid w:val="00AC3A7D"/>
    <w:rsid w:val="00AC3B3B"/>
    <w:rsid w:val="00AC3D05"/>
    <w:rsid w:val="00AC3DAD"/>
    <w:rsid w:val="00AC40C0"/>
    <w:rsid w:val="00AC4F2C"/>
    <w:rsid w:val="00AC4FF3"/>
    <w:rsid w:val="00AC5A56"/>
    <w:rsid w:val="00AC6055"/>
    <w:rsid w:val="00AC7854"/>
    <w:rsid w:val="00AD04DF"/>
    <w:rsid w:val="00AD0555"/>
    <w:rsid w:val="00AD0833"/>
    <w:rsid w:val="00AD213C"/>
    <w:rsid w:val="00AD2D65"/>
    <w:rsid w:val="00AD304F"/>
    <w:rsid w:val="00AD31DE"/>
    <w:rsid w:val="00AD3312"/>
    <w:rsid w:val="00AD3379"/>
    <w:rsid w:val="00AD3836"/>
    <w:rsid w:val="00AD39B8"/>
    <w:rsid w:val="00AD3F95"/>
    <w:rsid w:val="00AD412C"/>
    <w:rsid w:val="00AD4AC2"/>
    <w:rsid w:val="00AD5A18"/>
    <w:rsid w:val="00AD6478"/>
    <w:rsid w:val="00AD6768"/>
    <w:rsid w:val="00AD7016"/>
    <w:rsid w:val="00AD70A6"/>
    <w:rsid w:val="00AD73D3"/>
    <w:rsid w:val="00AD7544"/>
    <w:rsid w:val="00AD7583"/>
    <w:rsid w:val="00AD79DD"/>
    <w:rsid w:val="00AD7D72"/>
    <w:rsid w:val="00AE0645"/>
    <w:rsid w:val="00AE0840"/>
    <w:rsid w:val="00AE0C9A"/>
    <w:rsid w:val="00AE0E51"/>
    <w:rsid w:val="00AE1740"/>
    <w:rsid w:val="00AE2623"/>
    <w:rsid w:val="00AE4819"/>
    <w:rsid w:val="00AE4B55"/>
    <w:rsid w:val="00AE4DBE"/>
    <w:rsid w:val="00AE513D"/>
    <w:rsid w:val="00AE5AC1"/>
    <w:rsid w:val="00AE5B31"/>
    <w:rsid w:val="00AE5FA7"/>
    <w:rsid w:val="00AE616C"/>
    <w:rsid w:val="00AE6C31"/>
    <w:rsid w:val="00AE70EB"/>
    <w:rsid w:val="00AF05AF"/>
    <w:rsid w:val="00AF12D7"/>
    <w:rsid w:val="00AF13C0"/>
    <w:rsid w:val="00AF1A0A"/>
    <w:rsid w:val="00AF1F03"/>
    <w:rsid w:val="00AF2760"/>
    <w:rsid w:val="00AF35D2"/>
    <w:rsid w:val="00AF3C07"/>
    <w:rsid w:val="00AF415E"/>
    <w:rsid w:val="00AF4215"/>
    <w:rsid w:val="00AF464D"/>
    <w:rsid w:val="00AF49AB"/>
    <w:rsid w:val="00AF4B15"/>
    <w:rsid w:val="00AF4CE1"/>
    <w:rsid w:val="00AF594B"/>
    <w:rsid w:val="00AF5C56"/>
    <w:rsid w:val="00AF6897"/>
    <w:rsid w:val="00AF6E5A"/>
    <w:rsid w:val="00AF6EEC"/>
    <w:rsid w:val="00B000C1"/>
    <w:rsid w:val="00B000D7"/>
    <w:rsid w:val="00B00A72"/>
    <w:rsid w:val="00B00C9F"/>
    <w:rsid w:val="00B00CF5"/>
    <w:rsid w:val="00B00D1B"/>
    <w:rsid w:val="00B011AE"/>
    <w:rsid w:val="00B01EA8"/>
    <w:rsid w:val="00B020B3"/>
    <w:rsid w:val="00B020D8"/>
    <w:rsid w:val="00B02142"/>
    <w:rsid w:val="00B022A2"/>
    <w:rsid w:val="00B02DBE"/>
    <w:rsid w:val="00B02E74"/>
    <w:rsid w:val="00B03220"/>
    <w:rsid w:val="00B03E38"/>
    <w:rsid w:val="00B043A5"/>
    <w:rsid w:val="00B04984"/>
    <w:rsid w:val="00B049CE"/>
    <w:rsid w:val="00B04C92"/>
    <w:rsid w:val="00B05373"/>
    <w:rsid w:val="00B05C7D"/>
    <w:rsid w:val="00B0626E"/>
    <w:rsid w:val="00B0661A"/>
    <w:rsid w:val="00B07792"/>
    <w:rsid w:val="00B102FC"/>
    <w:rsid w:val="00B10328"/>
    <w:rsid w:val="00B1074D"/>
    <w:rsid w:val="00B1182B"/>
    <w:rsid w:val="00B11D7B"/>
    <w:rsid w:val="00B1311E"/>
    <w:rsid w:val="00B1348C"/>
    <w:rsid w:val="00B137E0"/>
    <w:rsid w:val="00B1386B"/>
    <w:rsid w:val="00B13A7E"/>
    <w:rsid w:val="00B14161"/>
    <w:rsid w:val="00B1550D"/>
    <w:rsid w:val="00B15718"/>
    <w:rsid w:val="00B16874"/>
    <w:rsid w:val="00B170C3"/>
    <w:rsid w:val="00B17230"/>
    <w:rsid w:val="00B1737F"/>
    <w:rsid w:val="00B20D67"/>
    <w:rsid w:val="00B238C9"/>
    <w:rsid w:val="00B23B87"/>
    <w:rsid w:val="00B23BE0"/>
    <w:rsid w:val="00B24179"/>
    <w:rsid w:val="00B24CFA"/>
    <w:rsid w:val="00B25020"/>
    <w:rsid w:val="00B257DE"/>
    <w:rsid w:val="00B25A8F"/>
    <w:rsid w:val="00B25E30"/>
    <w:rsid w:val="00B25EDA"/>
    <w:rsid w:val="00B2639B"/>
    <w:rsid w:val="00B267DD"/>
    <w:rsid w:val="00B26A28"/>
    <w:rsid w:val="00B26E29"/>
    <w:rsid w:val="00B3007F"/>
    <w:rsid w:val="00B31D8F"/>
    <w:rsid w:val="00B3252E"/>
    <w:rsid w:val="00B3263D"/>
    <w:rsid w:val="00B3344D"/>
    <w:rsid w:val="00B349AE"/>
    <w:rsid w:val="00B34B70"/>
    <w:rsid w:val="00B34EA3"/>
    <w:rsid w:val="00B34EA9"/>
    <w:rsid w:val="00B35435"/>
    <w:rsid w:val="00B354BC"/>
    <w:rsid w:val="00B355D7"/>
    <w:rsid w:val="00B35649"/>
    <w:rsid w:val="00B3641E"/>
    <w:rsid w:val="00B37019"/>
    <w:rsid w:val="00B37EDC"/>
    <w:rsid w:val="00B40642"/>
    <w:rsid w:val="00B41DF7"/>
    <w:rsid w:val="00B4234E"/>
    <w:rsid w:val="00B43602"/>
    <w:rsid w:val="00B436A0"/>
    <w:rsid w:val="00B43C56"/>
    <w:rsid w:val="00B43F6E"/>
    <w:rsid w:val="00B440CA"/>
    <w:rsid w:val="00B4444A"/>
    <w:rsid w:val="00B44A04"/>
    <w:rsid w:val="00B450E3"/>
    <w:rsid w:val="00B45295"/>
    <w:rsid w:val="00B456EB"/>
    <w:rsid w:val="00B461E2"/>
    <w:rsid w:val="00B468CE"/>
    <w:rsid w:val="00B47117"/>
    <w:rsid w:val="00B4725D"/>
    <w:rsid w:val="00B47474"/>
    <w:rsid w:val="00B503D0"/>
    <w:rsid w:val="00B50A4A"/>
    <w:rsid w:val="00B50FD4"/>
    <w:rsid w:val="00B514DA"/>
    <w:rsid w:val="00B52286"/>
    <w:rsid w:val="00B528CA"/>
    <w:rsid w:val="00B530C6"/>
    <w:rsid w:val="00B53967"/>
    <w:rsid w:val="00B53CA6"/>
    <w:rsid w:val="00B53E98"/>
    <w:rsid w:val="00B54126"/>
    <w:rsid w:val="00B541B6"/>
    <w:rsid w:val="00B542F9"/>
    <w:rsid w:val="00B54941"/>
    <w:rsid w:val="00B54BB6"/>
    <w:rsid w:val="00B561A1"/>
    <w:rsid w:val="00B5621B"/>
    <w:rsid w:val="00B5628D"/>
    <w:rsid w:val="00B562AE"/>
    <w:rsid w:val="00B565EC"/>
    <w:rsid w:val="00B5684E"/>
    <w:rsid w:val="00B573F6"/>
    <w:rsid w:val="00B575AB"/>
    <w:rsid w:val="00B5797E"/>
    <w:rsid w:val="00B57AF5"/>
    <w:rsid w:val="00B601EF"/>
    <w:rsid w:val="00B603E8"/>
    <w:rsid w:val="00B61561"/>
    <w:rsid w:val="00B62568"/>
    <w:rsid w:val="00B626D1"/>
    <w:rsid w:val="00B632D9"/>
    <w:rsid w:val="00B639F8"/>
    <w:rsid w:val="00B639FE"/>
    <w:rsid w:val="00B644CC"/>
    <w:rsid w:val="00B649FE"/>
    <w:rsid w:val="00B65C75"/>
    <w:rsid w:val="00B666AC"/>
    <w:rsid w:val="00B66867"/>
    <w:rsid w:val="00B67857"/>
    <w:rsid w:val="00B67AB9"/>
    <w:rsid w:val="00B706CD"/>
    <w:rsid w:val="00B7131D"/>
    <w:rsid w:val="00B71C37"/>
    <w:rsid w:val="00B724C1"/>
    <w:rsid w:val="00B72F64"/>
    <w:rsid w:val="00B731EC"/>
    <w:rsid w:val="00B73C1C"/>
    <w:rsid w:val="00B743C8"/>
    <w:rsid w:val="00B74E5D"/>
    <w:rsid w:val="00B75338"/>
    <w:rsid w:val="00B75A4D"/>
    <w:rsid w:val="00B75BFC"/>
    <w:rsid w:val="00B76C3A"/>
    <w:rsid w:val="00B77042"/>
    <w:rsid w:val="00B774C4"/>
    <w:rsid w:val="00B77580"/>
    <w:rsid w:val="00B77699"/>
    <w:rsid w:val="00B77B31"/>
    <w:rsid w:val="00B8163F"/>
    <w:rsid w:val="00B81BC8"/>
    <w:rsid w:val="00B81DE3"/>
    <w:rsid w:val="00B8217C"/>
    <w:rsid w:val="00B8230B"/>
    <w:rsid w:val="00B82714"/>
    <w:rsid w:val="00B82855"/>
    <w:rsid w:val="00B82FF3"/>
    <w:rsid w:val="00B84072"/>
    <w:rsid w:val="00B841BB"/>
    <w:rsid w:val="00B84951"/>
    <w:rsid w:val="00B85AE2"/>
    <w:rsid w:val="00B86F5F"/>
    <w:rsid w:val="00B872B6"/>
    <w:rsid w:val="00B87515"/>
    <w:rsid w:val="00B903DA"/>
    <w:rsid w:val="00B9045B"/>
    <w:rsid w:val="00B912BB"/>
    <w:rsid w:val="00B915E7"/>
    <w:rsid w:val="00B91679"/>
    <w:rsid w:val="00B918EF"/>
    <w:rsid w:val="00B92982"/>
    <w:rsid w:val="00B92E84"/>
    <w:rsid w:val="00B934ED"/>
    <w:rsid w:val="00B93EA3"/>
    <w:rsid w:val="00B9409F"/>
    <w:rsid w:val="00B9442B"/>
    <w:rsid w:val="00B95165"/>
    <w:rsid w:val="00B9590C"/>
    <w:rsid w:val="00B95C2E"/>
    <w:rsid w:val="00B96272"/>
    <w:rsid w:val="00B96993"/>
    <w:rsid w:val="00BA007E"/>
    <w:rsid w:val="00BA0087"/>
    <w:rsid w:val="00BA00C6"/>
    <w:rsid w:val="00BA02F8"/>
    <w:rsid w:val="00BA1A32"/>
    <w:rsid w:val="00BA1AA5"/>
    <w:rsid w:val="00BA1CE2"/>
    <w:rsid w:val="00BA20BE"/>
    <w:rsid w:val="00BA260E"/>
    <w:rsid w:val="00BA29E1"/>
    <w:rsid w:val="00BA31B5"/>
    <w:rsid w:val="00BA337C"/>
    <w:rsid w:val="00BA3BB8"/>
    <w:rsid w:val="00BA3D8D"/>
    <w:rsid w:val="00BA3DEB"/>
    <w:rsid w:val="00BA4042"/>
    <w:rsid w:val="00BA4102"/>
    <w:rsid w:val="00BA4230"/>
    <w:rsid w:val="00BA438F"/>
    <w:rsid w:val="00BA45A5"/>
    <w:rsid w:val="00BA5B6E"/>
    <w:rsid w:val="00BA5BCA"/>
    <w:rsid w:val="00BA5FF0"/>
    <w:rsid w:val="00BA6340"/>
    <w:rsid w:val="00BA71D6"/>
    <w:rsid w:val="00BA727B"/>
    <w:rsid w:val="00BA7340"/>
    <w:rsid w:val="00BA7D8E"/>
    <w:rsid w:val="00BB052A"/>
    <w:rsid w:val="00BB0789"/>
    <w:rsid w:val="00BB0E49"/>
    <w:rsid w:val="00BB139B"/>
    <w:rsid w:val="00BB3EEC"/>
    <w:rsid w:val="00BB49E2"/>
    <w:rsid w:val="00BB4DFE"/>
    <w:rsid w:val="00BB5543"/>
    <w:rsid w:val="00BB5D7D"/>
    <w:rsid w:val="00BB6222"/>
    <w:rsid w:val="00BB640E"/>
    <w:rsid w:val="00BB6DA3"/>
    <w:rsid w:val="00BB7B93"/>
    <w:rsid w:val="00BB7EF3"/>
    <w:rsid w:val="00BB7F19"/>
    <w:rsid w:val="00BC024F"/>
    <w:rsid w:val="00BC0E83"/>
    <w:rsid w:val="00BC0F96"/>
    <w:rsid w:val="00BC12D3"/>
    <w:rsid w:val="00BC1BFA"/>
    <w:rsid w:val="00BC2127"/>
    <w:rsid w:val="00BC297D"/>
    <w:rsid w:val="00BC2A4C"/>
    <w:rsid w:val="00BC2B34"/>
    <w:rsid w:val="00BC31D0"/>
    <w:rsid w:val="00BC3212"/>
    <w:rsid w:val="00BC33F4"/>
    <w:rsid w:val="00BC37F6"/>
    <w:rsid w:val="00BC454A"/>
    <w:rsid w:val="00BC458C"/>
    <w:rsid w:val="00BC5271"/>
    <w:rsid w:val="00BC5321"/>
    <w:rsid w:val="00BC54F5"/>
    <w:rsid w:val="00BC5F80"/>
    <w:rsid w:val="00BC609A"/>
    <w:rsid w:val="00BC63AE"/>
    <w:rsid w:val="00BC6724"/>
    <w:rsid w:val="00BC6E0D"/>
    <w:rsid w:val="00BC7625"/>
    <w:rsid w:val="00BC7F27"/>
    <w:rsid w:val="00BD0225"/>
    <w:rsid w:val="00BD040B"/>
    <w:rsid w:val="00BD06E0"/>
    <w:rsid w:val="00BD0AC0"/>
    <w:rsid w:val="00BD0C52"/>
    <w:rsid w:val="00BD0DAF"/>
    <w:rsid w:val="00BD0F13"/>
    <w:rsid w:val="00BD13EE"/>
    <w:rsid w:val="00BD1F63"/>
    <w:rsid w:val="00BD28A5"/>
    <w:rsid w:val="00BD2E27"/>
    <w:rsid w:val="00BD55A4"/>
    <w:rsid w:val="00BD7F23"/>
    <w:rsid w:val="00BE0582"/>
    <w:rsid w:val="00BE06AA"/>
    <w:rsid w:val="00BE0992"/>
    <w:rsid w:val="00BE0B1E"/>
    <w:rsid w:val="00BE1406"/>
    <w:rsid w:val="00BE14A6"/>
    <w:rsid w:val="00BE162B"/>
    <w:rsid w:val="00BE21DF"/>
    <w:rsid w:val="00BE258F"/>
    <w:rsid w:val="00BE2841"/>
    <w:rsid w:val="00BE29F8"/>
    <w:rsid w:val="00BE31DF"/>
    <w:rsid w:val="00BE3686"/>
    <w:rsid w:val="00BE3E5E"/>
    <w:rsid w:val="00BE3FFC"/>
    <w:rsid w:val="00BE4049"/>
    <w:rsid w:val="00BE40BA"/>
    <w:rsid w:val="00BE4316"/>
    <w:rsid w:val="00BE4B38"/>
    <w:rsid w:val="00BE4EC1"/>
    <w:rsid w:val="00BE5E47"/>
    <w:rsid w:val="00BE60AB"/>
    <w:rsid w:val="00BE65FD"/>
    <w:rsid w:val="00BE6B5B"/>
    <w:rsid w:val="00BE6ECC"/>
    <w:rsid w:val="00BE6F43"/>
    <w:rsid w:val="00BE742A"/>
    <w:rsid w:val="00BF0236"/>
    <w:rsid w:val="00BF02C9"/>
    <w:rsid w:val="00BF0A17"/>
    <w:rsid w:val="00BF1552"/>
    <w:rsid w:val="00BF1585"/>
    <w:rsid w:val="00BF1B3A"/>
    <w:rsid w:val="00BF1CB4"/>
    <w:rsid w:val="00BF1D41"/>
    <w:rsid w:val="00BF233B"/>
    <w:rsid w:val="00BF30AA"/>
    <w:rsid w:val="00BF3544"/>
    <w:rsid w:val="00BF41D1"/>
    <w:rsid w:val="00BF4219"/>
    <w:rsid w:val="00BF45FF"/>
    <w:rsid w:val="00BF48FF"/>
    <w:rsid w:val="00BF49B5"/>
    <w:rsid w:val="00BF500E"/>
    <w:rsid w:val="00BF61E8"/>
    <w:rsid w:val="00BF6932"/>
    <w:rsid w:val="00BF6A1A"/>
    <w:rsid w:val="00BF7317"/>
    <w:rsid w:val="00BF7580"/>
    <w:rsid w:val="00BF79E1"/>
    <w:rsid w:val="00C00319"/>
    <w:rsid w:val="00C003B7"/>
    <w:rsid w:val="00C005FB"/>
    <w:rsid w:val="00C00DA8"/>
    <w:rsid w:val="00C00EA7"/>
    <w:rsid w:val="00C02A24"/>
    <w:rsid w:val="00C02FC1"/>
    <w:rsid w:val="00C046C2"/>
    <w:rsid w:val="00C05B91"/>
    <w:rsid w:val="00C06BCB"/>
    <w:rsid w:val="00C0732C"/>
    <w:rsid w:val="00C078DB"/>
    <w:rsid w:val="00C108DC"/>
    <w:rsid w:val="00C10BFA"/>
    <w:rsid w:val="00C114A4"/>
    <w:rsid w:val="00C114F5"/>
    <w:rsid w:val="00C123BA"/>
    <w:rsid w:val="00C123EC"/>
    <w:rsid w:val="00C1266E"/>
    <w:rsid w:val="00C12E2D"/>
    <w:rsid w:val="00C1365C"/>
    <w:rsid w:val="00C13CE6"/>
    <w:rsid w:val="00C13E4C"/>
    <w:rsid w:val="00C144DC"/>
    <w:rsid w:val="00C14FC0"/>
    <w:rsid w:val="00C154CD"/>
    <w:rsid w:val="00C15B37"/>
    <w:rsid w:val="00C15C60"/>
    <w:rsid w:val="00C164B4"/>
    <w:rsid w:val="00C16AB2"/>
    <w:rsid w:val="00C16BC2"/>
    <w:rsid w:val="00C1721C"/>
    <w:rsid w:val="00C178C7"/>
    <w:rsid w:val="00C1791C"/>
    <w:rsid w:val="00C17ACA"/>
    <w:rsid w:val="00C2022C"/>
    <w:rsid w:val="00C207A5"/>
    <w:rsid w:val="00C209AF"/>
    <w:rsid w:val="00C20BDD"/>
    <w:rsid w:val="00C21104"/>
    <w:rsid w:val="00C2166A"/>
    <w:rsid w:val="00C2166F"/>
    <w:rsid w:val="00C21A93"/>
    <w:rsid w:val="00C21AE1"/>
    <w:rsid w:val="00C23C23"/>
    <w:rsid w:val="00C24307"/>
    <w:rsid w:val="00C24A2F"/>
    <w:rsid w:val="00C24C1D"/>
    <w:rsid w:val="00C24CD1"/>
    <w:rsid w:val="00C24E33"/>
    <w:rsid w:val="00C25559"/>
    <w:rsid w:val="00C25D8A"/>
    <w:rsid w:val="00C25E1E"/>
    <w:rsid w:val="00C25EE9"/>
    <w:rsid w:val="00C26978"/>
    <w:rsid w:val="00C26A4C"/>
    <w:rsid w:val="00C26B96"/>
    <w:rsid w:val="00C31217"/>
    <w:rsid w:val="00C31BCC"/>
    <w:rsid w:val="00C31FAB"/>
    <w:rsid w:val="00C3216A"/>
    <w:rsid w:val="00C32F8C"/>
    <w:rsid w:val="00C331F1"/>
    <w:rsid w:val="00C333C8"/>
    <w:rsid w:val="00C33948"/>
    <w:rsid w:val="00C33E58"/>
    <w:rsid w:val="00C33FE1"/>
    <w:rsid w:val="00C34009"/>
    <w:rsid w:val="00C34783"/>
    <w:rsid w:val="00C34982"/>
    <w:rsid w:val="00C36568"/>
    <w:rsid w:val="00C369CD"/>
    <w:rsid w:val="00C36D42"/>
    <w:rsid w:val="00C36E18"/>
    <w:rsid w:val="00C37ADB"/>
    <w:rsid w:val="00C37DD4"/>
    <w:rsid w:val="00C40D56"/>
    <w:rsid w:val="00C40F47"/>
    <w:rsid w:val="00C418A6"/>
    <w:rsid w:val="00C418EC"/>
    <w:rsid w:val="00C421C6"/>
    <w:rsid w:val="00C42511"/>
    <w:rsid w:val="00C43017"/>
    <w:rsid w:val="00C432C6"/>
    <w:rsid w:val="00C43A8F"/>
    <w:rsid w:val="00C44FAE"/>
    <w:rsid w:val="00C459B5"/>
    <w:rsid w:val="00C45B20"/>
    <w:rsid w:val="00C45EAF"/>
    <w:rsid w:val="00C46005"/>
    <w:rsid w:val="00C467E1"/>
    <w:rsid w:val="00C4769C"/>
    <w:rsid w:val="00C477C9"/>
    <w:rsid w:val="00C50649"/>
    <w:rsid w:val="00C50703"/>
    <w:rsid w:val="00C51BB3"/>
    <w:rsid w:val="00C51EE7"/>
    <w:rsid w:val="00C5209C"/>
    <w:rsid w:val="00C52349"/>
    <w:rsid w:val="00C52DF8"/>
    <w:rsid w:val="00C52E9C"/>
    <w:rsid w:val="00C539D4"/>
    <w:rsid w:val="00C54DE0"/>
    <w:rsid w:val="00C552CA"/>
    <w:rsid w:val="00C553F6"/>
    <w:rsid w:val="00C56176"/>
    <w:rsid w:val="00C57CF2"/>
    <w:rsid w:val="00C60584"/>
    <w:rsid w:val="00C615A4"/>
    <w:rsid w:val="00C61C61"/>
    <w:rsid w:val="00C62ADF"/>
    <w:rsid w:val="00C62B61"/>
    <w:rsid w:val="00C63088"/>
    <w:rsid w:val="00C63369"/>
    <w:rsid w:val="00C63395"/>
    <w:rsid w:val="00C63A8A"/>
    <w:rsid w:val="00C63CE6"/>
    <w:rsid w:val="00C64CFD"/>
    <w:rsid w:val="00C65127"/>
    <w:rsid w:val="00C659E0"/>
    <w:rsid w:val="00C664B0"/>
    <w:rsid w:val="00C66BF4"/>
    <w:rsid w:val="00C66CE3"/>
    <w:rsid w:val="00C677DC"/>
    <w:rsid w:val="00C704C5"/>
    <w:rsid w:val="00C70C55"/>
    <w:rsid w:val="00C70E49"/>
    <w:rsid w:val="00C715CF"/>
    <w:rsid w:val="00C719EF"/>
    <w:rsid w:val="00C72020"/>
    <w:rsid w:val="00C72732"/>
    <w:rsid w:val="00C729FF"/>
    <w:rsid w:val="00C72A83"/>
    <w:rsid w:val="00C73554"/>
    <w:rsid w:val="00C740FF"/>
    <w:rsid w:val="00C74C5A"/>
    <w:rsid w:val="00C74D92"/>
    <w:rsid w:val="00C752F7"/>
    <w:rsid w:val="00C760A0"/>
    <w:rsid w:val="00C769A6"/>
    <w:rsid w:val="00C7711A"/>
    <w:rsid w:val="00C77380"/>
    <w:rsid w:val="00C77608"/>
    <w:rsid w:val="00C8060E"/>
    <w:rsid w:val="00C806BB"/>
    <w:rsid w:val="00C80B24"/>
    <w:rsid w:val="00C81328"/>
    <w:rsid w:val="00C813C1"/>
    <w:rsid w:val="00C81683"/>
    <w:rsid w:val="00C82217"/>
    <w:rsid w:val="00C8331E"/>
    <w:rsid w:val="00C83DAC"/>
    <w:rsid w:val="00C840DF"/>
    <w:rsid w:val="00C84432"/>
    <w:rsid w:val="00C853DB"/>
    <w:rsid w:val="00C856FF"/>
    <w:rsid w:val="00C85837"/>
    <w:rsid w:val="00C87011"/>
    <w:rsid w:val="00C87161"/>
    <w:rsid w:val="00C87F08"/>
    <w:rsid w:val="00C9044A"/>
    <w:rsid w:val="00C904E8"/>
    <w:rsid w:val="00C90FA6"/>
    <w:rsid w:val="00C90FBD"/>
    <w:rsid w:val="00C91731"/>
    <w:rsid w:val="00C9178E"/>
    <w:rsid w:val="00C91B34"/>
    <w:rsid w:val="00C9307E"/>
    <w:rsid w:val="00C93C39"/>
    <w:rsid w:val="00C93E45"/>
    <w:rsid w:val="00C93EF2"/>
    <w:rsid w:val="00C94008"/>
    <w:rsid w:val="00C947BB"/>
    <w:rsid w:val="00C94A6C"/>
    <w:rsid w:val="00C94E2F"/>
    <w:rsid w:val="00C96088"/>
    <w:rsid w:val="00C964E7"/>
    <w:rsid w:val="00C96C52"/>
    <w:rsid w:val="00C97C8D"/>
    <w:rsid w:val="00CA1BAD"/>
    <w:rsid w:val="00CA2AE4"/>
    <w:rsid w:val="00CA3147"/>
    <w:rsid w:val="00CA358B"/>
    <w:rsid w:val="00CA4510"/>
    <w:rsid w:val="00CA47CC"/>
    <w:rsid w:val="00CA4877"/>
    <w:rsid w:val="00CA55BE"/>
    <w:rsid w:val="00CA5BD0"/>
    <w:rsid w:val="00CA605C"/>
    <w:rsid w:val="00CA66CB"/>
    <w:rsid w:val="00CA6C81"/>
    <w:rsid w:val="00CA6F10"/>
    <w:rsid w:val="00CA76DB"/>
    <w:rsid w:val="00CA77CB"/>
    <w:rsid w:val="00CA7F4A"/>
    <w:rsid w:val="00CB028D"/>
    <w:rsid w:val="00CB1B93"/>
    <w:rsid w:val="00CB2721"/>
    <w:rsid w:val="00CB3461"/>
    <w:rsid w:val="00CB3C0F"/>
    <w:rsid w:val="00CB3E29"/>
    <w:rsid w:val="00CB3EEC"/>
    <w:rsid w:val="00CB3F67"/>
    <w:rsid w:val="00CB415F"/>
    <w:rsid w:val="00CB4882"/>
    <w:rsid w:val="00CB5282"/>
    <w:rsid w:val="00CB719F"/>
    <w:rsid w:val="00CB73D0"/>
    <w:rsid w:val="00CB7442"/>
    <w:rsid w:val="00CB7477"/>
    <w:rsid w:val="00CB753D"/>
    <w:rsid w:val="00CC284A"/>
    <w:rsid w:val="00CC2CBB"/>
    <w:rsid w:val="00CC2F84"/>
    <w:rsid w:val="00CC34B4"/>
    <w:rsid w:val="00CC3D43"/>
    <w:rsid w:val="00CC4162"/>
    <w:rsid w:val="00CC508E"/>
    <w:rsid w:val="00CC5B33"/>
    <w:rsid w:val="00CC5F53"/>
    <w:rsid w:val="00CC6527"/>
    <w:rsid w:val="00CC6779"/>
    <w:rsid w:val="00CC67AF"/>
    <w:rsid w:val="00CC696D"/>
    <w:rsid w:val="00CC6C03"/>
    <w:rsid w:val="00CD03E0"/>
    <w:rsid w:val="00CD048E"/>
    <w:rsid w:val="00CD0A90"/>
    <w:rsid w:val="00CD2694"/>
    <w:rsid w:val="00CD38B1"/>
    <w:rsid w:val="00CD3AF1"/>
    <w:rsid w:val="00CD3D04"/>
    <w:rsid w:val="00CD3D96"/>
    <w:rsid w:val="00CD4216"/>
    <w:rsid w:val="00CD4326"/>
    <w:rsid w:val="00CD45AC"/>
    <w:rsid w:val="00CD4B3F"/>
    <w:rsid w:val="00CD4C6C"/>
    <w:rsid w:val="00CD53C9"/>
    <w:rsid w:val="00CD574E"/>
    <w:rsid w:val="00CD6DB2"/>
    <w:rsid w:val="00CD7FDF"/>
    <w:rsid w:val="00CE0116"/>
    <w:rsid w:val="00CE0229"/>
    <w:rsid w:val="00CE032F"/>
    <w:rsid w:val="00CE1476"/>
    <w:rsid w:val="00CE1719"/>
    <w:rsid w:val="00CE1906"/>
    <w:rsid w:val="00CE1E75"/>
    <w:rsid w:val="00CE263F"/>
    <w:rsid w:val="00CE279C"/>
    <w:rsid w:val="00CE301B"/>
    <w:rsid w:val="00CE379E"/>
    <w:rsid w:val="00CE37A0"/>
    <w:rsid w:val="00CE4703"/>
    <w:rsid w:val="00CE485E"/>
    <w:rsid w:val="00CE5236"/>
    <w:rsid w:val="00CE54AE"/>
    <w:rsid w:val="00CE585C"/>
    <w:rsid w:val="00CE5B1E"/>
    <w:rsid w:val="00CE5DFC"/>
    <w:rsid w:val="00CE6482"/>
    <w:rsid w:val="00CE64A8"/>
    <w:rsid w:val="00CE74BC"/>
    <w:rsid w:val="00CE7DA8"/>
    <w:rsid w:val="00CF0300"/>
    <w:rsid w:val="00CF0470"/>
    <w:rsid w:val="00CF1E93"/>
    <w:rsid w:val="00CF36A4"/>
    <w:rsid w:val="00CF4B13"/>
    <w:rsid w:val="00CF50D1"/>
    <w:rsid w:val="00CF5F6D"/>
    <w:rsid w:val="00CF66E4"/>
    <w:rsid w:val="00CF6F84"/>
    <w:rsid w:val="00CF7A9C"/>
    <w:rsid w:val="00CF7AAB"/>
    <w:rsid w:val="00CF7AD0"/>
    <w:rsid w:val="00CF7F53"/>
    <w:rsid w:val="00D0028A"/>
    <w:rsid w:val="00D008D3"/>
    <w:rsid w:val="00D00D7E"/>
    <w:rsid w:val="00D01C09"/>
    <w:rsid w:val="00D01C88"/>
    <w:rsid w:val="00D01EB2"/>
    <w:rsid w:val="00D02432"/>
    <w:rsid w:val="00D0268D"/>
    <w:rsid w:val="00D03202"/>
    <w:rsid w:val="00D0326F"/>
    <w:rsid w:val="00D035EE"/>
    <w:rsid w:val="00D03B87"/>
    <w:rsid w:val="00D04628"/>
    <w:rsid w:val="00D04A81"/>
    <w:rsid w:val="00D04E9D"/>
    <w:rsid w:val="00D05077"/>
    <w:rsid w:val="00D0545E"/>
    <w:rsid w:val="00D05662"/>
    <w:rsid w:val="00D05732"/>
    <w:rsid w:val="00D05EA2"/>
    <w:rsid w:val="00D06B06"/>
    <w:rsid w:val="00D07010"/>
    <w:rsid w:val="00D07098"/>
    <w:rsid w:val="00D070B2"/>
    <w:rsid w:val="00D071C8"/>
    <w:rsid w:val="00D07DE7"/>
    <w:rsid w:val="00D101F0"/>
    <w:rsid w:val="00D10A25"/>
    <w:rsid w:val="00D10F75"/>
    <w:rsid w:val="00D11143"/>
    <w:rsid w:val="00D11279"/>
    <w:rsid w:val="00D11310"/>
    <w:rsid w:val="00D14694"/>
    <w:rsid w:val="00D147E2"/>
    <w:rsid w:val="00D14CC0"/>
    <w:rsid w:val="00D15425"/>
    <w:rsid w:val="00D15E4C"/>
    <w:rsid w:val="00D166E3"/>
    <w:rsid w:val="00D169D2"/>
    <w:rsid w:val="00D16AE5"/>
    <w:rsid w:val="00D17074"/>
    <w:rsid w:val="00D17184"/>
    <w:rsid w:val="00D17457"/>
    <w:rsid w:val="00D2011B"/>
    <w:rsid w:val="00D209F3"/>
    <w:rsid w:val="00D20AF6"/>
    <w:rsid w:val="00D21292"/>
    <w:rsid w:val="00D212AF"/>
    <w:rsid w:val="00D21AFB"/>
    <w:rsid w:val="00D22168"/>
    <w:rsid w:val="00D22360"/>
    <w:rsid w:val="00D228EF"/>
    <w:rsid w:val="00D23A65"/>
    <w:rsid w:val="00D23AE1"/>
    <w:rsid w:val="00D23B35"/>
    <w:rsid w:val="00D24058"/>
    <w:rsid w:val="00D248B5"/>
    <w:rsid w:val="00D24B9C"/>
    <w:rsid w:val="00D24C91"/>
    <w:rsid w:val="00D25C46"/>
    <w:rsid w:val="00D25CC6"/>
    <w:rsid w:val="00D260DE"/>
    <w:rsid w:val="00D2694A"/>
    <w:rsid w:val="00D273A8"/>
    <w:rsid w:val="00D277F9"/>
    <w:rsid w:val="00D3031C"/>
    <w:rsid w:val="00D3186D"/>
    <w:rsid w:val="00D3227F"/>
    <w:rsid w:val="00D32CC0"/>
    <w:rsid w:val="00D32D05"/>
    <w:rsid w:val="00D3438A"/>
    <w:rsid w:val="00D34402"/>
    <w:rsid w:val="00D34608"/>
    <w:rsid w:val="00D34AE0"/>
    <w:rsid w:val="00D3526F"/>
    <w:rsid w:val="00D35438"/>
    <w:rsid w:val="00D35C0C"/>
    <w:rsid w:val="00D35E4A"/>
    <w:rsid w:val="00D364D3"/>
    <w:rsid w:val="00D36CB9"/>
    <w:rsid w:val="00D371F2"/>
    <w:rsid w:val="00D37690"/>
    <w:rsid w:val="00D3772C"/>
    <w:rsid w:val="00D37E29"/>
    <w:rsid w:val="00D4012C"/>
    <w:rsid w:val="00D4049E"/>
    <w:rsid w:val="00D40822"/>
    <w:rsid w:val="00D40A12"/>
    <w:rsid w:val="00D41462"/>
    <w:rsid w:val="00D41829"/>
    <w:rsid w:val="00D41AA5"/>
    <w:rsid w:val="00D42856"/>
    <w:rsid w:val="00D42ECC"/>
    <w:rsid w:val="00D43226"/>
    <w:rsid w:val="00D44211"/>
    <w:rsid w:val="00D4485B"/>
    <w:rsid w:val="00D44A8C"/>
    <w:rsid w:val="00D44BDD"/>
    <w:rsid w:val="00D44CB0"/>
    <w:rsid w:val="00D450B0"/>
    <w:rsid w:val="00D45409"/>
    <w:rsid w:val="00D45A72"/>
    <w:rsid w:val="00D45D58"/>
    <w:rsid w:val="00D45E25"/>
    <w:rsid w:val="00D4610C"/>
    <w:rsid w:val="00D461B1"/>
    <w:rsid w:val="00D4662E"/>
    <w:rsid w:val="00D46A79"/>
    <w:rsid w:val="00D46EE4"/>
    <w:rsid w:val="00D471B5"/>
    <w:rsid w:val="00D47354"/>
    <w:rsid w:val="00D47589"/>
    <w:rsid w:val="00D47B32"/>
    <w:rsid w:val="00D508D7"/>
    <w:rsid w:val="00D50A85"/>
    <w:rsid w:val="00D50C8D"/>
    <w:rsid w:val="00D50F7C"/>
    <w:rsid w:val="00D52570"/>
    <w:rsid w:val="00D52F99"/>
    <w:rsid w:val="00D5317C"/>
    <w:rsid w:val="00D532C7"/>
    <w:rsid w:val="00D538E1"/>
    <w:rsid w:val="00D53A2F"/>
    <w:rsid w:val="00D5464D"/>
    <w:rsid w:val="00D547B7"/>
    <w:rsid w:val="00D54C7A"/>
    <w:rsid w:val="00D54DDA"/>
    <w:rsid w:val="00D55634"/>
    <w:rsid w:val="00D5565B"/>
    <w:rsid w:val="00D558A1"/>
    <w:rsid w:val="00D55CBA"/>
    <w:rsid w:val="00D55D18"/>
    <w:rsid w:val="00D55F61"/>
    <w:rsid w:val="00D56C4F"/>
    <w:rsid w:val="00D56D7D"/>
    <w:rsid w:val="00D5740F"/>
    <w:rsid w:val="00D57540"/>
    <w:rsid w:val="00D609C7"/>
    <w:rsid w:val="00D60BEE"/>
    <w:rsid w:val="00D60E9F"/>
    <w:rsid w:val="00D61265"/>
    <w:rsid w:val="00D614B6"/>
    <w:rsid w:val="00D61526"/>
    <w:rsid w:val="00D61675"/>
    <w:rsid w:val="00D62016"/>
    <w:rsid w:val="00D6201F"/>
    <w:rsid w:val="00D63DF9"/>
    <w:rsid w:val="00D6435B"/>
    <w:rsid w:val="00D64404"/>
    <w:rsid w:val="00D6448B"/>
    <w:rsid w:val="00D64689"/>
    <w:rsid w:val="00D64D9C"/>
    <w:rsid w:val="00D65387"/>
    <w:rsid w:val="00D657F8"/>
    <w:rsid w:val="00D659D2"/>
    <w:rsid w:val="00D65BCB"/>
    <w:rsid w:val="00D65D9F"/>
    <w:rsid w:val="00D65EAE"/>
    <w:rsid w:val="00D665E0"/>
    <w:rsid w:val="00D670E5"/>
    <w:rsid w:val="00D6747B"/>
    <w:rsid w:val="00D70823"/>
    <w:rsid w:val="00D70DB7"/>
    <w:rsid w:val="00D7174A"/>
    <w:rsid w:val="00D720E0"/>
    <w:rsid w:val="00D72679"/>
    <w:rsid w:val="00D73E20"/>
    <w:rsid w:val="00D74AE7"/>
    <w:rsid w:val="00D74F5C"/>
    <w:rsid w:val="00D76963"/>
    <w:rsid w:val="00D77732"/>
    <w:rsid w:val="00D7780B"/>
    <w:rsid w:val="00D8157D"/>
    <w:rsid w:val="00D82589"/>
    <w:rsid w:val="00D82978"/>
    <w:rsid w:val="00D82A56"/>
    <w:rsid w:val="00D83548"/>
    <w:rsid w:val="00D836E3"/>
    <w:rsid w:val="00D83E6E"/>
    <w:rsid w:val="00D85426"/>
    <w:rsid w:val="00D85617"/>
    <w:rsid w:val="00D85DAC"/>
    <w:rsid w:val="00D85E11"/>
    <w:rsid w:val="00D86059"/>
    <w:rsid w:val="00D864AD"/>
    <w:rsid w:val="00D8691F"/>
    <w:rsid w:val="00D86C89"/>
    <w:rsid w:val="00D875AA"/>
    <w:rsid w:val="00D875B0"/>
    <w:rsid w:val="00D87D68"/>
    <w:rsid w:val="00D909D7"/>
    <w:rsid w:val="00D90CF3"/>
    <w:rsid w:val="00D91580"/>
    <w:rsid w:val="00D92749"/>
    <w:rsid w:val="00D92C52"/>
    <w:rsid w:val="00D92ED1"/>
    <w:rsid w:val="00D9348A"/>
    <w:rsid w:val="00D939B5"/>
    <w:rsid w:val="00D93C21"/>
    <w:rsid w:val="00D94AF3"/>
    <w:rsid w:val="00D95413"/>
    <w:rsid w:val="00D96012"/>
    <w:rsid w:val="00D96DC8"/>
    <w:rsid w:val="00D9774C"/>
    <w:rsid w:val="00DA0B92"/>
    <w:rsid w:val="00DA0D7F"/>
    <w:rsid w:val="00DA10FF"/>
    <w:rsid w:val="00DA1EE8"/>
    <w:rsid w:val="00DA1FF3"/>
    <w:rsid w:val="00DA25EA"/>
    <w:rsid w:val="00DA2E84"/>
    <w:rsid w:val="00DA4119"/>
    <w:rsid w:val="00DA427F"/>
    <w:rsid w:val="00DA4DAD"/>
    <w:rsid w:val="00DA5D8E"/>
    <w:rsid w:val="00DA6055"/>
    <w:rsid w:val="00DA66F5"/>
    <w:rsid w:val="00DA6E7A"/>
    <w:rsid w:val="00DA6F4D"/>
    <w:rsid w:val="00DA7B0F"/>
    <w:rsid w:val="00DA7CBB"/>
    <w:rsid w:val="00DA7DA1"/>
    <w:rsid w:val="00DA7FFA"/>
    <w:rsid w:val="00DB0C37"/>
    <w:rsid w:val="00DB0CF2"/>
    <w:rsid w:val="00DB1FE4"/>
    <w:rsid w:val="00DB2418"/>
    <w:rsid w:val="00DB2D17"/>
    <w:rsid w:val="00DB3489"/>
    <w:rsid w:val="00DB44EE"/>
    <w:rsid w:val="00DB4525"/>
    <w:rsid w:val="00DB45B1"/>
    <w:rsid w:val="00DB7073"/>
    <w:rsid w:val="00DB76AB"/>
    <w:rsid w:val="00DC049E"/>
    <w:rsid w:val="00DC1242"/>
    <w:rsid w:val="00DC1620"/>
    <w:rsid w:val="00DC19BC"/>
    <w:rsid w:val="00DC1B27"/>
    <w:rsid w:val="00DC1F8E"/>
    <w:rsid w:val="00DC2312"/>
    <w:rsid w:val="00DC279C"/>
    <w:rsid w:val="00DC280A"/>
    <w:rsid w:val="00DC2B29"/>
    <w:rsid w:val="00DC3248"/>
    <w:rsid w:val="00DC3393"/>
    <w:rsid w:val="00DC3462"/>
    <w:rsid w:val="00DC34E9"/>
    <w:rsid w:val="00DC3561"/>
    <w:rsid w:val="00DC35F4"/>
    <w:rsid w:val="00DC3779"/>
    <w:rsid w:val="00DC43AD"/>
    <w:rsid w:val="00DC48BE"/>
    <w:rsid w:val="00DC4B73"/>
    <w:rsid w:val="00DC54B9"/>
    <w:rsid w:val="00DC596C"/>
    <w:rsid w:val="00DC60D5"/>
    <w:rsid w:val="00DC65A1"/>
    <w:rsid w:val="00DC6C4F"/>
    <w:rsid w:val="00DC6C65"/>
    <w:rsid w:val="00DC7081"/>
    <w:rsid w:val="00DC736E"/>
    <w:rsid w:val="00DC7A64"/>
    <w:rsid w:val="00DD0985"/>
    <w:rsid w:val="00DD15F7"/>
    <w:rsid w:val="00DD1A9D"/>
    <w:rsid w:val="00DD3B04"/>
    <w:rsid w:val="00DD3DAB"/>
    <w:rsid w:val="00DD4941"/>
    <w:rsid w:val="00DD4B51"/>
    <w:rsid w:val="00DD4D04"/>
    <w:rsid w:val="00DD564E"/>
    <w:rsid w:val="00DD596E"/>
    <w:rsid w:val="00DD6357"/>
    <w:rsid w:val="00DD6438"/>
    <w:rsid w:val="00DD64BE"/>
    <w:rsid w:val="00DD668C"/>
    <w:rsid w:val="00DD6770"/>
    <w:rsid w:val="00DD6AC9"/>
    <w:rsid w:val="00DD6C8D"/>
    <w:rsid w:val="00DD7668"/>
    <w:rsid w:val="00DD7A82"/>
    <w:rsid w:val="00DD7CBA"/>
    <w:rsid w:val="00DE0DD7"/>
    <w:rsid w:val="00DE15EF"/>
    <w:rsid w:val="00DE18EF"/>
    <w:rsid w:val="00DE239A"/>
    <w:rsid w:val="00DE2737"/>
    <w:rsid w:val="00DE3066"/>
    <w:rsid w:val="00DE37CB"/>
    <w:rsid w:val="00DE44BD"/>
    <w:rsid w:val="00DE4541"/>
    <w:rsid w:val="00DE4DC3"/>
    <w:rsid w:val="00DE54A8"/>
    <w:rsid w:val="00DE5558"/>
    <w:rsid w:val="00DE6E52"/>
    <w:rsid w:val="00DE6F8D"/>
    <w:rsid w:val="00DE7074"/>
    <w:rsid w:val="00DE735B"/>
    <w:rsid w:val="00DE74DD"/>
    <w:rsid w:val="00DE77C9"/>
    <w:rsid w:val="00DE78FA"/>
    <w:rsid w:val="00DF1030"/>
    <w:rsid w:val="00DF2BB0"/>
    <w:rsid w:val="00DF2D46"/>
    <w:rsid w:val="00DF3A43"/>
    <w:rsid w:val="00DF3D0C"/>
    <w:rsid w:val="00DF40CF"/>
    <w:rsid w:val="00DF45D2"/>
    <w:rsid w:val="00DF485D"/>
    <w:rsid w:val="00DF4B02"/>
    <w:rsid w:val="00DF54F2"/>
    <w:rsid w:val="00DF5D58"/>
    <w:rsid w:val="00DF5E9C"/>
    <w:rsid w:val="00DF623C"/>
    <w:rsid w:val="00DF6678"/>
    <w:rsid w:val="00DF6FD8"/>
    <w:rsid w:val="00DF72EB"/>
    <w:rsid w:val="00DF7B33"/>
    <w:rsid w:val="00E000D5"/>
    <w:rsid w:val="00E00716"/>
    <w:rsid w:val="00E009DE"/>
    <w:rsid w:val="00E00E1B"/>
    <w:rsid w:val="00E011FC"/>
    <w:rsid w:val="00E01E69"/>
    <w:rsid w:val="00E01EB6"/>
    <w:rsid w:val="00E025CC"/>
    <w:rsid w:val="00E02808"/>
    <w:rsid w:val="00E02B61"/>
    <w:rsid w:val="00E02D71"/>
    <w:rsid w:val="00E03058"/>
    <w:rsid w:val="00E0388E"/>
    <w:rsid w:val="00E0430B"/>
    <w:rsid w:val="00E04F3C"/>
    <w:rsid w:val="00E0558D"/>
    <w:rsid w:val="00E057A8"/>
    <w:rsid w:val="00E05A1B"/>
    <w:rsid w:val="00E05D72"/>
    <w:rsid w:val="00E065B7"/>
    <w:rsid w:val="00E0661C"/>
    <w:rsid w:val="00E07CA9"/>
    <w:rsid w:val="00E07CEB"/>
    <w:rsid w:val="00E11367"/>
    <w:rsid w:val="00E113C8"/>
    <w:rsid w:val="00E11C8C"/>
    <w:rsid w:val="00E125BF"/>
    <w:rsid w:val="00E12ED7"/>
    <w:rsid w:val="00E1325A"/>
    <w:rsid w:val="00E133F2"/>
    <w:rsid w:val="00E1373F"/>
    <w:rsid w:val="00E13785"/>
    <w:rsid w:val="00E13960"/>
    <w:rsid w:val="00E14010"/>
    <w:rsid w:val="00E14C4F"/>
    <w:rsid w:val="00E15209"/>
    <w:rsid w:val="00E154F7"/>
    <w:rsid w:val="00E159BC"/>
    <w:rsid w:val="00E15B4D"/>
    <w:rsid w:val="00E15CD1"/>
    <w:rsid w:val="00E160FF"/>
    <w:rsid w:val="00E162FA"/>
    <w:rsid w:val="00E165E0"/>
    <w:rsid w:val="00E1684D"/>
    <w:rsid w:val="00E16A0A"/>
    <w:rsid w:val="00E1761B"/>
    <w:rsid w:val="00E17A6E"/>
    <w:rsid w:val="00E202DE"/>
    <w:rsid w:val="00E2047A"/>
    <w:rsid w:val="00E20D1D"/>
    <w:rsid w:val="00E21716"/>
    <w:rsid w:val="00E218BB"/>
    <w:rsid w:val="00E221D2"/>
    <w:rsid w:val="00E224B7"/>
    <w:rsid w:val="00E226FC"/>
    <w:rsid w:val="00E22CF2"/>
    <w:rsid w:val="00E23015"/>
    <w:rsid w:val="00E23488"/>
    <w:rsid w:val="00E23E2E"/>
    <w:rsid w:val="00E23F3B"/>
    <w:rsid w:val="00E24251"/>
    <w:rsid w:val="00E244B5"/>
    <w:rsid w:val="00E245D7"/>
    <w:rsid w:val="00E249FD"/>
    <w:rsid w:val="00E24ADB"/>
    <w:rsid w:val="00E25410"/>
    <w:rsid w:val="00E25A30"/>
    <w:rsid w:val="00E266FC"/>
    <w:rsid w:val="00E26C80"/>
    <w:rsid w:val="00E272DB"/>
    <w:rsid w:val="00E30190"/>
    <w:rsid w:val="00E30B64"/>
    <w:rsid w:val="00E30BEA"/>
    <w:rsid w:val="00E30EC7"/>
    <w:rsid w:val="00E311D1"/>
    <w:rsid w:val="00E31411"/>
    <w:rsid w:val="00E31F84"/>
    <w:rsid w:val="00E32227"/>
    <w:rsid w:val="00E32245"/>
    <w:rsid w:val="00E32B45"/>
    <w:rsid w:val="00E32E90"/>
    <w:rsid w:val="00E32F6C"/>
    <w:rsid w:val="00E33126"/>
    <w:rsid w:val="00E33C9B"/>
    <w:rsid w:val="00E347AA"/>
    <w:rsid w:val="00E34ECE"/>
    <w:rsid w:val="00E3512B"/>
    <w:rsid w:val="00E3622C"/>
    <w:rsid w:val="00E36460"/>
    <w:rsid w:val="00E36BB4"/>
    <w:rsid w:val="00E36C31"/>
    <w:rsid w:val="00E378A3"/>
    <w:rsid w:val="00E40B07"/>
    <w:rsid w:val="00E424E9"/>
    <w:rsid w:val="00E428A9"/>
    <w:rsid w:val="00E428EC"/>
    <w:rsid w:val="00E42A66"/>
    <w:rsid w:val="00E42E05"/>
    <w:rsid w:val="00E42E14"/>
    <w:rsid w:val="00E43754"/>
    <w:rsid w:val="00E445F1"/>
    <w:rsid w:val="00E44C44"/>
    <w:rsid w:val="00E46368"/>
    <w:rsid w:val="00E464CF"/>
    <w:rsid w:val="00E466B2"/>
    <w:rsid w:val="00E466D8"/>
    <w:rsid w:val="00E47CE5"/>
    <w:rsid w:val="00E47D71"/>
    <w:rsid w:val="00E50362"/>
    <w:rsid w:val="00E50BE5"/>
    <w:rsid w:val="00E5149A"/>
    <w:rsid w:val="00E514FE"/>
    <w:rsid w:val="00E5150C"/>
    <w:rsid w:val="00E51A57"/>
    <w:rsid w:val="00E51C01"/>
    <w:rsid w:val="00E525F2"/>
    <w:rsid w:val="00E52BAE"/>
    <w:rsid w:val="00E52E4C"/>
    <w:rsid w:val="00E52FBF"/>
    <w:rsid w:val="00E541F7"/>
    <w:rsid w:val="00E54923"/>
    <w:rsid w:val="00E54AA4"/>
    <w:rsid w:val="00E55B3F"/>
    <w:rsid w:val="00E55FC3"/>
    <w:rsid w:val="00E560CB"/>
    <w:rsid w:val="00E5687A"/>
    <w:rsid w:val="00E574BE"/>
    <w:rsid w:val="00E57A90"/>
    <w:rsid w:val="00E57F25"/>
    <w:rsid w:val="00E6091A"/>
    <w:rsid w:val="00E609B3"/>
    <w:rsid w:val="00E6147B"/>
    <w:rsid w:val="00E61E83"/>
    <w:rsid w:val="00E625B0"/>
    <w:rsid w:val="00E62F04"/>
    <w:rsid w:val="00E63351"/>
    <w:rsid w:val="00E63BA4"/>
    <w:rsid w:val="00E6405C"/>
    <w:rsid w:val="00E64126"/>
    <w:rsid w:val="00E644E0"/>
    <w:rsid w:val="00E64B3A"/>
    <w:rsid w:val="00E64C26"/>
    <w:rsid w:val="00E64E2A"/>
    <w:rsid w:val="00E65116"/>
    <w:rsid w:val="00E66CD0"/>
    <w:rsid w:val="00E67B60"/>
    <w:rsid w:val="00E67D6C"/>
    <w:rsid w:val="00E67E6B"/>
    <w:rsid w:val="00E7044E"/>
    <w:rsid w:val="00E704B4"/>
    <w:rsid w:val="00E7076A"/>
    <w:rsid w:val="00E70A7C"/>
    <w:rsid w:val="00E70E1D"/>
    <w:rsid w:val="00E7109A"/>
    <w:rsid w:val="00E71302"/>
    <w:rsid w:val="00E71335"/>
    <w:rsid w:val="00E713F6"/>
    <w:rsid w:val="00E71A34"/>
    <w:rsid w:val="00E71B6D"/>
    <w:rsid w:val="00E72267"/>
    <w:rsid w:val="00E7227E"/>
    <w:rsid w:val="00E730E0"/>
    <w:rsid w:val="00E73C9A"/>
    <w:rsid w:val="00E7406D"/>
    <w:rsid w:val="00E7484F"/>
    <w:rsid w:val="00E748EB"/>
    <w:rsid w:val="00E75510"/>
    <w:rsid w:val="00E7644F"/>
    <w:rsid w:val="00E7659B"/>
    <w:rsid w:val="00E7677E"/>
    <w:rsid w:val="00E76E3D"/>
    <w:rsid w:val="00E76E7D"/>
    <w:rsid w:val="00E76F4C"/>
    <w:rsid w:val="00E77745"/>
    <w:rsid w:val="00E7785F"/>
    <w:rsid w:val="00E7786C"/>
    <w:rsid w:val="00E77F34"/>
    <w:rsid w:val="00E8007A"/>
    <w:rsid w:val="00E80114"/>
    <w:rsid w:val="00E803D8"/>
    <w:rsid w:val="00E8058C"/>
    <w:rsid w:val="00E80C87"/>
    <w:rsid w:val="00E80F73"/>
    <w:rsid w:val="00E81AFF"/>
    <w:rsid w:val="00E81DDB"/>
    <w:rsid w:val="00E81DDE"/>
    <w:rsid w:val="00E81FA0"/>
    <w:rsid w:val="00E82AB2"/>
    <w:rsid w:val="00E83999"/>
    <w:rsid w:val="00E83E3F"/>
    <w:rsid w:val="00E85326"/>
    <w:rsid w:val="00E857A6"/>
    <w:rsid w:val="00E858F3"/>
    <w:rsid w:val="00E85DCC"/>
    <w:rsid w:val="00E8634C"/>
    <w:rsid w:val="00E8673C"/>
    <w:rsid w:val="00E86956"/>
    <w:rsid w:val="00E869C9"/>
    <w:rsid w:val="00E86C0C"/>
    <w:rsid w:val="00E86EC9"/>
    <w:rsid w:val="00E86FDC"/>
    <w:rsid w:val="00E874E7"/>
    <w:rsid w:val="00E87649"/>
    <w:rsid w:val="00E87A32"/>
    <w:rsid w:val="00E9018B"/>
    <w:rsid w:val="00E90391"/>
    <w:rsid w:val="00E90575"/>
    <w:rsid w:val="00E9069D"/>
    <w:rsid w:val="00E9096F"/>
    <w:rsid w:val="00E91318"/>
    <w:rsid w:val="00E91C78"/>
    <w:rsid w:val="00E92DC4"/>
    <w:rsid w:val="00E93247"/>
    <w:rsid w:val="00E9385C"/>
    <w:rsid w:val="00E938C2"/>
    <w:rsid w:val="00E93DA0"/>
    <w:rsid w:val="00E9423F"/>
    <w:rsid w:val="00E944F4"/>
    <w:rsid w:val="00E948DF"/>
    <w:rsid w:val="00E94A2B"/>
    <w:rsid w:val="00E95ABF"/>
    <w:rsid w:val="00E95D96"/>
    <w:rsid w:val="00E95DFD"/>
    <w:rsid w:val="00E96081"/>
    <w:rsid w:val="00E961F3"/>
    <w:rsid w:val="00E96717"/>
    <w:rsid w:val="00E96F0C"/>
    <w:rsid w:val="00E974C3"/>
    <w:rsid w:val="00E978FA"/>
    <w:rsid w:val="00EA06EC"/>
    <w:rsid w:val="00EA0DD4"/>
    <w:rsid w:val="00EA0F70"/>
    <w:rsid w:val="00EA1BAA"/>
    <w:rsid w:val="00EA2892"/>
    <w:rsid w:val="00EA2E27"/>
    <w:rsid w:val="00EA2EAC"/>
    <w:rsid w:val="00EA3472"/>
    <w:rsid w:val="00EA3749"/>
    <w:rsid w:val="00EA3CBD"/>
    <w:rsid w:val="00EA4F43"/>
    <w:rsid w:val="00EA4FC1"/>
    <w:rsid w:val="00EA4FF1"/>
    <w:rsid w:val="00EA5135"/>
    <w:rsid w:val="00EA5166"/>
    <w:rsid w:val="00EA5694"/>
    <w:rsid w:val="00EA6CE5"/>
    <w:rsid w:val="00EA708F"/>
    <w:rsid w:val="00EA76C5"/>
    <w:rsid w:val="00EB03EC"/>
    <w:rsid w:val="00EB06F3"/>
    <w:rsid w:val="00EB092C"/>
    <w:rsid w:val="00EB1931"/>
    <w:rsid w:val="00EB2126"/>
    <w:rsid w:val="00EB30B7"/>
    <w:rsid w:val="00EB3BED"/>
    <w:rsid w:val="00EB3DE5"/>
    <w:rsid w:val="00EB42F9"/>
    <w:rsid w:val="00EB50B1"/>
    <w:rsid w:val="00EB584E"/>
    <w:rsid w:val="00EB5BF3"/>
    <w:rsid w:val="00EB641F"/>
    <w:rsid w:val="00EB65B8"/>
    <w:rsid w:val="00EB6B29"/>
    <w:rsid w:val="00EB6D5E"/>
    <w:rsid w:val="00EB7103"/>
    <w:rsid w:val="00EB7A3D"/>
    <w:rsid w:val="00EC0625"/>
    <w:rsid w:val="00EC0C1E"/>
    <w:rsid w:val="00EC10A0"/>
    <w:rsid w:val="00EC1AA9"/>
    <w:rsid w:val="00EC1BCA"/>
    <w:rsid w:val="00EC21FA"/>
    <w:rsid w:val="00EC220E"/>
    <w:rsid w:val="00EC23BB"/>
    <w:rsid w:val="00EC3F16"/>
    <w:rsid w:val="00EC4334"/>
    <w:rsid w:val="00EC4C59"/>
    <w:rsid w:val="00EC5297"/>
    <w:rsid w:val="00EC56F2"/>
    <w:rsid w:val="00EC58CB"/>
    <w:rsid w:val="00EC5A41"/>
    <w:rsid w:val="00EC66C7"/>
    <w:rsid w:val="00EC6D93"/>
    <w:rsid w:val="00EC6F56"/>
    <w:rsid w:val="00EC723C"/>
    <w:rsid w:val="00EC77F3"/>
    <w:rsid w:val="00EC7E6C"/>
    <w:rsid w:val="00ED01F2"/>
    <w:rsid w:val="00ED053D"/>
    <w:rsid w:val="00ED0785"/>
    <w:rsid w:val="00ED089B"/>
    <w:rsid w:val="00ED0DEE"/>
    <w:rsid w:val="00ED0EE8"/>
    <w:rsid w:val="00ED1A8C"/>
    <w:rsid w:val="00ED1C0A"/>
    <w:rsid w:val="00ED26B9"/>
    <w:rsid w:val="00ED2757"/>
    <w:rsid w:val="00ED3014"/>
    <w:rsid w:val="00ED30AF"/>
    <w:rsid w:val="00ED3ADF"/>
    <w:rsid w:val="00ED3B47"/>
    <w:rsid w:val="00ED4057"/>
    <w:rsid w:val="00ED48E5"/>
    <w:rsid w:val="00ED4A47"/>
    <w:rsid w:val="00ED4CDC"/>
    <w:rsid w:val="00ED4F89"/>
    <w:rsid w:val="00ED54B6"/>
    <w:rsid w:val="00ED5B0C"/>
    <w:rsid w:val="00ED5BDA"/>
    <w:rsid w:val="00ED5E20"/>
    <w:rsid w:val="00ED5FFC"/>
    <w:rsid w:val="00ED6656"/>
    <w:rsid w:val="00ED6C5C"/>
    <w:rsid w:val="00ED6F7C"/>
    <w:rsid w:val="00ED7442"/>
    <w:rsid w:val="00ED744D"/>
    <w:rsid w:val="00EE1C11"/>
    <w:rsid w:val="00EE1C70"/>
    <w:rsid w:val="00EE1CF9"/>
    <w:rsid w:val="00EE2905"/>
    <w:rsid w:val="00EE29C3"/>
    <w:rsid w:val="00EE2C9F"/>
    <w:rsid w:val="00EE326E"/>
    <w:rsid w:val="00EE360E"/>
    <w:rsid w:val="00EE3BF8"/>
    <w:rsid w:val="00EE4296"/>
    <w:rsid w:val="00EE4B24"/>
    <w:rsid w:val="00EE5456"/>
    <w:rsid w:val="00EE6157"/>
    <w:rsid w:val="00EE6A12"/>
    <w:rsid w:val="00EE7089"/>
    <w:rsid w:val="00EE7A24"/>
    <w:rsid w:val="00EE7A29"/>
    <w:rsid w:val="00EE7FCA"/>
    <w:rsid w:val="00EF0248"/>
    <w:rsid w:val="00EF151C"/>
    <w:rsid w:val="00EF17FC"/>
    <w:rsid w:val="00EF271A"/>
    <w:rsid w:val="00EF3355"/>
    <w:rsid w:val="00EF37DA"/>
    <w:rsid w:val="00EF491B"/>
    <w:rsid w:val="00EF4E03"/>
    <w:rsid w:val="00EF4F2C"/>
    <w:rsid w:val="00EF57E5"/>
    <w:rsid w:val="00EF698C"/>
    <w:rsid w:val="00EF73E1"/>
    <w:rsid w:val="00EF7416"/>
    <w:rsid w:val="00EF7474"/>
    <w:rsid w:val="00EF76EB"/>
    <w:rsid w:val="00EF7847"/>
    <w:rsid w:val="00EF7B3B"/>
    <w:rsid w:val="00EF7CF3"/>
    <w:rsid w:val="00EF7F4A"/>
    <w:rsid w:val="00F009C0"/>
    <w:rsid w:val="00F00B02"/>
    <w:rsid w:val="00F01038"/>
    <w:rsid w:val="00F01101"/>
    <w:rsid w:val="00F011E3"/>
    <w:rsid w:val="00F01397"/>
    <w:rsid w:val="00F015C6"/>
    <w:rsid w:val="00F02905"/>
    <w:rsid w:val="00F029E9"/>
    <w:rsid w:val="00F0358F"/>
    <w:rsid w:val="00F03A39"/>
    <w:rsid w:val="00F03AB6"/>
    <w:rsid w:val="00F04255"/>
    <w:rsid w:val="00F0444C"/>
    <w:rsid w:val="00F04EE5"/>
    <w:rsid w:val="00F051D1"/>
    <w:rsid w:val="00F05F41"/>
    <w:rsid w:val="00F065FB"/>
    <w:rsid w:val="00F06D1E"/>
    <w:rsid w:val="00F074EF"/>
    <w:rsid w:val="00F0781D"/>
    <w:rsid w:val="00F10AF6"/>
    <w:rsid w:val="00F10C40"/>
    <w:rsid w:val="00F10D23"/>
    <w:rsid w:val="00F114B6"/>
    <w:rsid w:val="00F119AF"/>
    <w:rsid w:val="00F11B06"/>
    <w:rsid w:val="00F11EAE"/>
    <w:rsid w:val="00F135E0"/>
    <w:rsid w:val="00F13DEF"/>
    <w:rsid w:val="00F13E7A"/>
    <w:rsid w:val="00F14DA8"/>
    <w:rsid w:val="00F14EB1"/>
    <w:rsid w:val="00F154AD"/>
    <w:rsid w:val="00F1566C"/>
    <w:rsid w:val="00F16321"/>
    <w:rsid w:val="00F16C5D"/>
    <w:rsid w:val="00F17703"/>
    <w:rsid w:val="00F17713"/>
    <w:rsid w:val="00F177F6"/>
    <w:rsid w:val="00F20D9E"/>
    <w:rsid w:val="00F21218"/>
    <w:rsid w:val="00F2138D"/>
    <w:rsid w:val="00F21623"/>
    <w:rsid w:val="00F2188C"/>
    <w:rsid w:val="00F21D0C"/>
    <w:rsid w:val="00F22205"/>
    <w:rsid w:val="00F230EB"/>
    <w:rsid w:val="00F234F5"/>
    <w:rsid w:val="00F2442F"/>
    <w:rsid w:val="00F25137"/>
    <w:rsid w:val="00F252CB"/>
    <w:rsid w:val="00F2579C"/>
    <w:rsid w:val="00F25B96"/>
    <w:rsid w:val="00F25F5A"/>
    <w:rsid w:val="00F262FD"/>
    <w:rsid w:val="00F26F20"/>
    <w:rsid w:val="00F279C5"/>
    <w:rsid w:val="00F27F8C"/>
    <w:rsid w:val="00F301C6"/>
    <w:rsid w:val="00F304E4"/>
    <w:rsid w:val="00F30E65"/>
    <w:rsid w:val="00F31B25"/>
    <w:rsid w:val="00F31BF1"/>
    <w:rsid w:val="00F31E84"/>
    <w:rsid w:val="00F31ED3"/>
    <w:rsid w:val="00F321E4"/>
    <w:rsid w:val="00F3266C"/>
    <w:rsid w:val="00F33188"/>
    <w:rsid w:val="00F332ED"/>
    <w:rsid w:val="00F341CA"/>
    <w:rsid w:val="00F345C7"/>
    <w:rsid w:val="00F34B56"/>
    <w:rsid w:val="00F34C5A"/>
    <w:rsid w:val="00F34E5B"/>
    <w:rsid w:val="00F356A5"/>
    <w:rsid w:val="00F359D6"/>
    <w:rsid w:val="00F364AA"/>
    <w:rsid w:val="00F3692C"/>
    <w:rsid w:val="00F36B24"/>
    <w:rsid w:val="00F3704C"/>
    <w:rsid w:val="00F37622"/>
    <w:rsid w:val="00F37946"/>
    <w:rsid w:val="00F37A68"/>
    <w:rsid w:val="00F37AF6"/>
    <w:rsid w:val="00F37B90"/>
    <w:rsid w:val="00F37FD3"/>
    <w:rsid w:val="00F40306"/>
    <w:rsid w:val="00F408E6"/>
    <w:rsid w:val="00F40E43"/>
    <w:rsid w:val="00F41990"/>
    <w:rsid w:val="00F41C88"/>
    <w:rsid w:val="00F41ED9"/>
    <w:rsid w:val="00F42010"/>
    <w:rsid w:val="00F42393"/>
    <w:rsid w:val="00F426DD"/>
    <w:rsid w:val="00F42B11"/>
    <w:rsid w:val="00F433D7"/>
    <w:rsid w:val="00F4353B"/>
    <w:rsid w:val="00F457DF"/>
    <w:rsid w:val="00F45AC7"/>
    <w:rsid w:val="00F46198"/>
    <w:rsid w:val="00F46926"/>
    <w:rsid w:val="00F46FD7"/>
    <w:rsid w:val="00F47328"/>
    <w:rsid w:val="00F47917"/>
    <w:rsid w:val="00F47E9B"/>
    <w:rsid w:val="00F5014A"/>
    <w:rsid w:val="00F50363"/>
    <w:rsid w:val="00F51381"/>
    <w:rsid w:val="00F5167B"/>
    <w:rsid w:val="00F520C1"/>
    <w:rsid w:val="00F52DFC"/>
    <w:rsid w:val="00F531FC"/>
    <w:rsid w:val="00F5397F"/>
    <w:rsid w:val="00F541A9"/>
    <w:rsid w:val="00F5532B"/>
    <w:rsid w:val="00F5604B"/>
    <w:rsid w:val="00F5644A"/>
    <w:rsid w:val="00F56EFC"/>
    <w:rsid w:val="00F57298"/>
    <w:rsid w:val="00F573B7"/>
    <w:rsid w:val="00F574F9"/>
    <w:rsid w:val="00F576C0"/>
    <w:rsid w:val="00F57C3F"/>
    <w:rsid w:val="00F6013A"/>
    <w:rsid w:val="00F601A3"/>
    <w:rsid w:val="00F60E9F"/>
    <w:rsid w:val="00F61DBC"/>
    <w:rsid w:val="00F61E92"/>
    <w:rsid w:val="00F629E1"/>
    <w:rsid w:val="00F62D77"/>
    <w:rsid w:val="00F63E43"/>
    <w:rsid w:val="00F6402E"/>
    <w:rsid w:val="00F640BC"/>
    <w:rsid w:val="00F6433B"/>
    <w:rsid w:val="00F6453D"/>
    <w:rsid w:val="00F64E00"/>
    <w:rsid w:val="00F65787"/>
    <w:rsid w:val="00F660F4"/>
    <w:rsid w:val="00F664A9"/>
    <w:rsid w:val="00F665A0"/>
    <w:rsid w:val="00F67401"/>
    <w:rsid w:val="00F67489"/>
    <w:rsid w:val="00F67831"/>
    <w:rsid w:val="00F67D28"/>
    <w:rsid w:val="00F67FF3"/>
    <w:rsid w:val="00F7148A"/>
    <w:rsid w:val="00F72D54"/>
    <w:rsid w:val="00F7314E"/>
    <w:rsid w:val="00F736E2"/>
    <w:rsid w:val="00F7418C"/>
    <w:rsid w:val="00F74CA9"/>
    <w:rsid w:val="00F7515E"/>
    <w:rsid w:val="00F7594A"/>
    <w:rsid w:val="00F75DC7"/>
    <w:rsid w:val="00F773F4"/>
    <w:rsid w:val="00F7743B"/>
    <w:rsid w:val="00F77492"/>
    <w:rsid w:val="00F77B93"/>
    <w:rsid w:val="00F77C44"/>
    <w:rsid w:val="00F77F96"/>
    <w:rsid w:val="00F80354"/>
    <w:rsid w:val="00F80729"/>
    <w:rsid w:val="00F80A7D"/>
    <w:rsid w:val="00F81227"/>
    <w:rsid w:val="00F821CB"/>
    <w:rsid w:val="00F82388"/>
    <w:rsid w:val="00F826BE"/>
    <w:rsid w:val="00F82A01"/>
    <w:rsid w:val="00F837C9"/>
    <w:rsid w:val="00F83FAD"/>
    <w:rsid w:val="00F851FD"/>
    <w:rsid w:val="00F85442"/>
    <w:rsid w:val="00F85C86"/>
    <w:rsid w:val="00F85D15"/>
    <w:rsid w:val="00F86440"/>
    <w:rsid w:val="00F86710"/>
    <w:rsid w:val="00F87BE6"/>
    <w:rsid w:val="00F87F42"/>
    <w:rsid w:val="00F9004E"/>
    <w:rsid w:val="00F9065A"/>
    <w:rsid w:val="00F908BD"/>
    <w:rsid w:val="00F9099F"/>
    <w:rsid w:val="00F91660"/>
    <w:rsid w:val="00F92941"/>
    <w:rsid w:val="00F92F64"/>
    <w:rsid w:val="00F935B1"/>
    <w:rsid w:val="00F93BA8"/>
    <w:rsid w:val="00F952F7"/>
    <w:rsid w:val="00F95321"/>
    <w:rsid w:val="00F953DB"/>
    <w:rsid w:val="00F9545A"/>
    <w:rsid w:val="00F956B4"/>
    <w:rsid w:val="00F95EFF"/>
    <w:rsid w:val="00F9601A"/>
    <w:rsid w:val="00F96B9A"/>
    <w:rsid w:val="00F970FC"/>
    <w:rsid w:val="00FA05AB"/>
    <w:rsid w:val="00FA0627"/>
    <w:rsid w:val="00FA0934"/>
    <w:rsid w:val="00FA0DD2"/>
    <w:rsid w:val="00FA17AA"/>
    <w:rsid w:val="00FA241E"/>
    <w:rsid w:val="00FA2481"/>
    <w:rsid w:val="00FA2902"/>
    <w:rsid w:val="00FA2934"/>
    <w:rsid w:val="00FA3340"/>
    <w:rsid w:val="00FA3F38"/>
    <w:rsid w:val="00FA4099"/>
    <w:rsid w:val="00FA4592"/>
    <w:rsid w:val="00FA4ADF"/>
    <w:rsid w:val="00FA4B35"/>
    <w:rsid w:val="00FA4E01"/>
    <w:rsid w:val="00FA4F6C"/>
    <w:rsid w:val="00FA58C8"/>
    <w:rsid w:val="00FA5969"/>
    <w:rsid w:val="00FA5B3B"/>
    <w:rsid w:val="00FA5E45"/>
    <w:rsid w:val="00FA640F"/>
    <w:rsid w:val="00FA6A95"/>
    <w:rsid w:val="00FB0146"/>
    <w:rsid w:val="00FB160A"/>
    <w:rsid w:val="00FB1784"/>
    <w:rsid w:val="00FB17C1"/>
    <w:rsid w:val="00FB17D8"/>
    <w:rsid w:val="00FB30DA"/>
    <w:rsid w:val="00FB3B2F"/>
    <w:rsid w:val="00FB43E8"/>
    <w:rsid w:val="00FB457E"/>
    <w:rsid w:val="00FB540C"/>
    <w:rsid w:val="00FB54B3"/>
    <w:rsid w:val="00FB604B"/>
    <w:rsid w:val="00FB63B1"/>
    <w:rsid w:val="00FB780C"/>
    <w:rsid w:val="00FC0215"/>
    <w:rsid w:val="00FC0672"/>
    <w:rsid w:val="00FC096C"/>
    <w:rsid w:val="00FC11EC"/>
    <w:rsid w:val="00FC18F9"/>
    <w:rsid w:val="00FC1DF8"/>
    <w:rsid w:val="00FC1E8F"/>
    <w:rsid w:val="00FC1ECE"/>
    <w:rsid w:val="00FC2441"/>
    <w:rsid w:val="00FC2A4E"/>
    <w:rsid w:val="00FC3970"/>
    <w:rsid w:val="00FC4488"/>
    <w:rsid w:val="00FC4501"/>
    <w:rsid w:val="00FC5D07"/>
    <w:rsid w:val="00FD067F"/>
    <w:rsid w:val="00FD084E"/>
    <w:rsid w:val="00FD0C5E"/>
    <w:rsid w:val="00FD1357"/>
    <w:rsid w:val="00FD17F2"/>
    <w:rsid w:val="00FD199B"/>
    <w:rsid w:val="00FD2319"/>
    <w:rsid w:val="00FD25EC"/>
    <w:rsid w:val="00FD2851"/>
    <w:rsid w:val="00FD2D1E"/>
    <w:rsid w:val="00FD3F02"/>
    <w:rsid w:val="00FD45FE"/>
    <w:rsid w:val="00FD4ABF"/>
    <w:rsid w:val="00FD4D31"/>
    <w:rsid w:val="00FD506B"/>
    <w:rsid w:val="00FD60F3"/>
    <w:rsid w:val="00FD684A"/>
    <w:rsid w:val="00FD690B"/>
    <w:rsid w:val="00FD712C"/>
    <w:rsid w:val="00FD7250"/>
    <w:rsid w:val="00FD76A5"/>
    <w:rsid w:val="00FD779F"/>
    <w:rsid w:val="00FD7E31"/>
    <w:rsid w:val="00FE0657"/>
    <w:rsid w:val="00FE084E"/>
    <w:rsid w:val="00FE112F"/>
    <w:rsid w:val="00FE1555"/>
    <w:rsid w:val="00FE1868"/>
    <w:rsid w:val="00FE238A"/>
    <w:rsid w:val="00FE2A20"/>
    <w:rsid w:val="00FE3683"/>
    <w:rsid w:val="00FE3D49"/>
    <w:rsid w:val="00FE4B1B"/>
    <w:rsid w:val="00FE4D8E"/>
    <w:rsid w:val="00FE5A82"/>
    <w:rsid w:val="00FE5B9C"/>
    <w:rsid w:val="00FE66E8"/>
    <w:rsid w:val="00FE6BB6"/>
    <w:rsid w:val="00FE72FB"/>
    <w:rsid w:val="00FE7377"/>
    <w:rsid w:val="00FE73F4"/>
    <w:rsid w:val="00FE7833"/>
    <w:rsid w:val="00FE788B"/>
    <w:rsid w:val="00FE7A44"/>
    <w:rsid w:val="00FE7F0F"/>
    <w:rsid w:val="00FF026A"/>
    <w:rsid w:val="00FF03B5"/>
    <w:rsid w:val="00FF0A06"/>
    <w:rsid w:val="00FF1167"/>
    <w:rsid w:val="00FF1232"/>
    <w:rsid w:val="00FF1398"/>
    <w:rsid w:val="00FF1D51"/>
    <w:rsid w:val="00FF2AE0"/>
    <w:rsid w:val="00FF5477"/>
    <w:rsid w:val="00FF557D"/>
    <w:rsid w:val="00FF6321"/>
    <w:rsid w:val="00FF6939"/>
    <w:rsid w:val="00FF6F5B"/>
    <w:rsid w:val="00FF74C9"/>
    <w:rsid w:val="00FF7903"/>
    <w:rsid w:val="00FF7F4B"/>
    <w:rsid w:val="015E8A27"/>
    <w:rsid w:val="020CF2E7"/>
    <w:rsid w:val="0212F486"/>
    <w:rsid w:val="026C1BA4"/>
    <w:rsid w:val="037338EA"/>
    <w:rsid w:val="037CCF37"/>
    <w:rsid w:val="03D66336"/>
    <w:rsid w:val="03E09F2F"/>
    <w:rsid w:val="04D406D5"/>
    <w:rsid w:val="04D99CF6"/>
    <w:rsid w:val="0530F314"/>
    <w:rsid w:val="0537BC42"/>
    <w:rsid w:val="0560C013"/>
    <w:rsid w:val="05E131EC"/>
    <w:rsid w:val="05EA5C1C"/>
    <w:rsid w:val="0641213D"/>
    <w:rsid w:val="065309B7"/>
    <w:rsid w:val="06A93502"/>
    <w:rsid w:val="06F7CF34"/>
    <w:rsid w:val="07D5633F"/>
    <w:rsid w:val="086827B9"/>
    <w:rsid w:val="091D9C28"/>
    <w:rsid w:val="09882BD6"/>
    <w:rsid w:val="0A360A70"/>
    <w:rsid w:val="0A770391"/>
    <w:rsid w:val="0AAA14C0"/>
    <w:rsid w:val="0ACAFE1B"/>
    <w:rsid w:val="0AFA0804"/>
    <w:rsid w:val="0B102617"/>
    <w:rsid w:val="0C5BC8AF"/>
    <w:rsid w:val="0CEDD1CC"/>
    <w:rsid w:val="0CEE3A90"/>
    <w:rsid w:val="0D1D0955"/>
    <w:rsid w:val="0DB0A824"/>
    <w:rsid w:val="0DCD6490"/>
    <w:rsid w:val="0E105A68"/>
    <w:rsid w:val="0EA46CD6"/>
    <w:rsid w:val="0EFB1BCC"/>
    <w:rsid w:val="0F1C78B5"/>
    <w:rsid w:val="0F99B56F"/>
    <w:rsid w:val="10129CAA"/>
    <w:rsid w:val="102B0651"/>
    <w:rsid w:val="10374E3C"/>
    <w:rsid w:val="106F079C"/>
    <w:rsid w:val="10C1514A"/>
    <w:rsid w:val="131BA3BA"/>
    <w:rsid w:val="1370125B"/>
    <w:rsid w:val="13791DFC"/>
    <w:rsid w:val="14990573"/>
    <w:rsid w:val="14A289B2"/>
    <w:rsid w:val="14B93EFF"/>
    <w:rsid w:val="14C43870"/>
    <w:rsid w:val="14C8EA9F"/>
    <w:rsid w:val="14DBF3D5"/>
    <w:rsid w:val="155D985F"/>
    <w:rsid w:val="1564E538"/>
    <w:rsid w:val="15BF0C92"/>
    <w:rsid w:val="15CC91F8"/>
    <w:rsid w:val="160E07AA"/>
    <w:rsid w:val="167653C0"/>
    <w:rsid w:val="16A0F919"/>
    <w:rsid w:val="16FD1E8D"/>
    <w:rsid w:val="17AADAA5"/>
    <w:rsid w:val="191C4157"/>
    <w:rsid w:val="1A047602"/>
    <w:rsid w:val="1A0EE34B"/>
    <w:rsid w:val="1A4CEDEB"/>
    <w:rsid w:val="1A9C44B8"/>
    <w:rsid w:val="1B0B6292"/>
    <w:rsid w:val="1B755B24"/>
    <w:rsid w:val="1C095767"/>
    <w:rsid w:val="1C9BD0BE"/>
    <w:rsid w:val="1D56DA53"/>
    <w:rsid w:val="1DFB74FB"/>
    <w:rsid w:val="1E40D428"/>
    <w:rsid w:val="1E96AE99"/>
    <w:rsid w:val="1F513066"/>
    <w:rsid w:val="1F517962"/>
    <w:rsid w:val="205D9551"/>
    <w:rsid w:val="205EA7DE"/>
    <w:rsid w:val="206ED540"/>
    <w:rsid w:val="2074D683"/>
    <w:rsid w:val="208287E3"/>
    <w:rsid w:val="2138CC77"/>
    <w:rsid w:val="21A21B27"/>
    <w:rsid w:val="21C7DA04"/>
    <w:rsid w:val="21D15C41"/>
    <w:rsid w:val="220D424D"/>
    <w:rsid w:val="2214EF11"/>
    <w:rsid w:val="221D6326"/>
    <w:rsid w:val="22E5E703"/>
    <w:rsid w:val="234449BE"/>
    <w:rsid w:val="23898EFF"/>
    <w:rsid w:val="23CBA502"/>
    <w:rsid w:val="23EF267F"/>
    <w:rsid w:val="24C819B1"/>
    <w:rsid w:val="24EDDE27"/>
    <w:rsid w:val="26FD2D1D"/>
    <w:rsid w:val="275291B6"/>
    <w:rsid w:val="275C35F4"/>
    <w:rsid w:val="27A4C350"/>
    <w:rsid w:val="27C0066D"/>
    <w:rsid w:val="27DED5FE"/>
    <w:rsid w:val="289272F2"/>
    <w:rsid w:val="28EEF774"/>
    <w:rsid w:val="290881D7"/>
    <w:rsid w:val="292563C2"/>
    <w:rsid w:val="29CAA66F"/>
    <w:rsid w:val="2A072651"/>
    <w:rsid w:val="2A9478AD"/>
    <w:rsid w:val="2AA5CBCA"/>
    <w:rsid w:val="2AF16883"/>
    <w:rsid w:val="2C07798A"/>
    <w:rsid w:val="2C504709"/>
    <w:rsid w:val="2C88F732"/>
    <w:rsid w:val="2D900E40"/>
    <w:rsid w:val="2E7794C2"/>
    <w:rsid w:val="2EB7F1F2"/>
    <w:rsid w:val="2EF9C075"/>
    <w:rsid w:val="2F6028B9"/>
    <w:rsid w:val="2FB72B43"/>
    <w:rsid w:val="2FD1D2CB"/>
    <w:rsid w:val="2FE08CE4"/>
    <w:rsid w:val="3013366F"/>
    <w:rsid w:val="30B26EA4"/>
    <w:rsid w:val="3100951E"/>
    <w:rsid w:val="313FC794"/>
    <w:rsid w:val="3142A463"/>
    <w:rsid w:val="31ED7875"/>
    <w:rsid w:val="32E3C701"/>
    <w:rsid w:val="32F0C602"/>
    <w:rsid w:val="32F4DD7E"/>
    <w:rsid w:val="3349E1D0"/>
    <w:rsid w:val="33A42170"/>
    <w:rsid w:val="33EC1754"/>
    <w:rsid w:val="34033307"/>
    <w:rsid w:val="34725F9B"/>
    <w:rsid w:val="34A06EE1"/>
    <w:rsid w:val="3627600D"/>
    <w:rsid w:val="36324EE6"/>
    <w:rsid w:val="36790269"/>
    <w:rsid w:val="37305270"/>
    <w:rsid w:val="37401B12"/>
    <w:rsid w:val="3794C693"/>
    <w:rsid w:val="37A2F4AE"/>
    <w:rsid w:val="37F6DABB"/>
    <w:rsid w:val="37FAF32D"/>
    <w:rsid w:val="380B6C94"/>
    <w:rsid w:val="380DAF8D"/>
    <w:rsid w:val="3931740F"/>
    <w:rsid w:val="39AE2583"/>
    <w:rsid w:val="39CDC8FA"/>
    <w:rsid w:val="3A1E4F6F"/>
    <w:rsid w:val="3A23C8EA"/>
    <w:rsid w:val="3A335E1C"/>
    <w:rsid w:val="3B0A80AA"/>
    <w:rsid w:val="3BBE05B4"/>
    <w:rsid w:val="3C242040"/>
    <w:rsid w:val="3C4C7DE4"/>
    <w:rsid w:val="3C9466D2"/>
    <w:rsid w:val="3DE8F257"/>
    <w:rsid w:val="3E8F4C23"/>
    <w:rsid w:val="3EAD657B"/>
    <w:rsid w:val="3F43C795"/>
    <w:rsid w:val="3F51CA2B"/>
    <w:rsid w:val="3F674B70"/>
    <w:rsid w:val="3FB3B973"/>
    <w:rsid w:val="40101CAC"/>
    <w:rsid w:val="4150A4B4"/>
    <w:rsid w:val="416086FF"/>
    <w:rsid w:val="416FD013"/>
    <w:rsid w:val="41DFC5CB"/>
    <w:rsid w:val="4265269D"/>
    <w:rsid w:val="4289D1F2"/>
    <w:rsid w:val="4306B7F6"/>
    <w:rsid w:val="430E1384"/>
    <w:rsid w:val="435347DC"/>
    <w:rsid w:val="43E0EF48"/>
    <w:rsid w:val="440D74B2"/>
    <w:rsid w:val="453FCA0D"/>
    <w:rsid w:val="457E7F96"/>
    <w:rsid w:val="45D13AB7"/>
    <w:rsid w:val="45DE66AD"/>
    <w:rsid w:val="46694E4C"/>
    <w:rsid w:val="466A0AA4"/>
    <w:rsid w:val="4688B714"/>
    <w:rsid w:val="477F39D4"/>
    <w:rsid w:val="47A3506B"/>
    <w:rsid w:val="47A752F5"/>
    <w:rsid w:val="48590785"/>
    <w:rsid w:val="48722588"/>
    <w:rsid w:val="489172CF"/>
    <w:rsid w:val="48DA4F78"/>
    <w:rsid w:val="4A0484BF"/>
    <w:rsid w:val="4A40AF67"/>
    <w:rsid w:val="4A671174"/>
    <w:rsid w:val="4A6EE254"/>
    <w:rsid w:val="4AC59309"/>
    <w:rsid w:val="4C0E9AF7"/>
    <w:rsid w:val="4C973049"/>
    <w:rsid w:val="4CCBD672"/>
    <w:rsid w:val="4D02A54C"/>
    <w:rsid w:val="4E098EFD"/>
    <w:rsid w:val="4E62B93D"/>
    <w:rsid w:val="4E73587F"/>
    <w:rsid w:val="4FDCBF35"/>
    <w:rsid w:val="508389E6"/>
    <w:rsid w:val="50A4D8E3"/>
    <w:rsid w:val="50ED8DAF"/>
    <w:rsid w:val="515B7F96"/>
    <w:rsid w:val="51CE8CCC"/>
    <w:rsid w:val="52017403"/>
    <w:rsid w:val="521AD8CE"/>
    <w:rsid w:val="52803087"/>
    <w:rsid w:val="52F5DD23"/>
    <w:rsid w:val="52F96B56"/>
    <w:rsid w:val="534845AB"/>
    <w:rsid w:val="5464D581"/>
    <w:rsid w:val="548627D2"/>
    <w:rsid w:val="55B35A68"/>
    <w:rsid w:val="55E0516F"/>
    <w:rsid w:val="55E0DA32"/>
    <w:rsid w:val="55F679DC"/>
    <w:rsid w:val="5663654F"/>
    <w:rsid w:val="56F962C2"/>
    <w:rsid w:val="57773BB0"/>
    <w:rsid w:val="57BFDBE3"/>
    <w:rsid w:val="58DC17B8"/>
    <w:rsid w:val="5A57D1AE"/>
    <w:rsid w:val="5B35052F"/>
    <w:rsid w:val="5B885A26"/>
    <w:rsid w:val="5C088D9B"/>
    <w:rsid w:val="5C12735F"/>
    <w:rsid w:val="5C48BB10"/>
    <w:rsid w:val="5C9CF23A"/>
    <w:rsid w:val="5D3E38D8"/>
    <w:rsid w:val="5E03679C"/>
    <w:rsid w:val="5F3B2FB4"/>
    <w:rsid w:val="601F0C3F"/>
    <w:rsid w:val="610090C6"/>
    <w:rsid w:val="618363A1"/>
    <w:rsid w:val="61862F5D"/>
    <w:rsid w:val="61EE517B"/>
    <w:rsid w:val="61F79FC7"/>
    <w:rsid w:val="62216FA0"/>
    <w:rsid w:val="6428C553"/>
    <w:rsid w:val="6436045E"/>
    <w:rsid w:val="6438A9FC"/>
    <w:rsid w:val="64E2FB02"/>
    <w:rsid w:val="64F234C2"/>
    <w:rsid w:val="659EAFDC"/>
    <w:rsid w:val="65DF8120"/>
    <w:rsid w:val="65E55549"/>
    <w:rsid w:val="66191DFB"/>
    <w:rsid w:val="671F4E8F"/>
    <w:rsid w:val="673D0E90"/>
    <w:rsid w:val="67FA6AB5"/>
    <w:rsid w:val="688116DA"/>
    <w:rsid w:val="6943D9C1"/>
    <w:rsid w:val="695BD74B"/>
    <w:rsid w:val="69623FEF"/>
    <w:rsid w:val="696B6860"/>
    <w:rsid w:val="6A003821"/>
    <w:rsid w:val="6A04BBF8"/>
    <w:rsid w:val="6A30FEE1"/>
    <w:rsid w:val="6A4F4F83"/>
    <w:rsid w:val="6A5C24E8"/>
    <w:rsid w:val="6A898FEA"/>
    <w:rsid w:val="6AD9BEAE"/>
    <w:rsid w:val="6AE5073A"/>
    <w:rsid w:val="6B37ACE8"/>
    <w:rsid w:val="6B4D5A83"/>
    <w:rsid w:val="6BCC26E1"/>
    <w:rsid w:val="6BE35EB4"/>
    <w:rsid w:val="6CC6B699"/>
    <w:rsid w:val="6D586B83"/>
    <w:rsid w:val="6DFC2E66"/>
    <w:rsid w:val="6E0A9801"/>
    <w:rsid w:val="6EDEC795"/>
    <w:rsid w:val="6F43A05F"/>
    <w:rsid w:val="6FA1E06E"/>
    <w:rsid w:val="6FAAE81C"/>
    <w:rsid w:val="6FF59391"/>
    <w:rsid w:val="70A51E4B"/>
    <w:rsid w:val="70CC7F31"/>
    <w:rsid w:val="72830251"/>
    <w:rsid w:val="72B436ED"/>
    <w:rsid w:val="731FB822"/>
    <w:rsid w:val="73405E8F"/>
    <w:rsid w:val="741979FA"/>
    <w:rsid w:val="7483BF49"/>
    <w:rsid w:val="74974338"/>
    <w:rsid w:val="74FFF292"/>
    <w:rsid w:val="76425F67"/>
    <w:rsid w:val="77242157"/>
    <w:rsid w:val="773DA3C3"/>
    <w:rsid w:val="789BD248"/>
    <w:rsid w:val="78BA5142"/>
    <w:rsid w:val="79831529"/>
    <w:rsid w:val="7A711C20"/>
    <w:rsid w:val="7B579B33"/>
    <w:rsid w:val="7B783A61"/>
    <w:rsid w:val="7BAF5F2D"/>
    <w:rsid w:val="7C29EDCC"/>
    <w:rsid w:val="7C7A4531"/>
    <w:rsid w:val="7CA3B222"/>
    <w:rsid w:val="7CE79FA0"/>
    <w:rsid w:val="7D09FB8C"/>
    <w:rsid w:val="7D51C5EB"/>
    <w:rsid w:val="7D863526"/>
    <w:rsid w:val="7DC2B2ED"/>
    <w:rsid w:val="7DCADB3B"/>
    <w:rsid w:val="7F054085"/>
    <w:rsid w:val="7F0E57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712DD5"/>
  <w15:docId w15:val="{CF3364A5-2B5A-40A9-B6E8-990C60A6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uiPriority w:val="9"/>
    <w:unhideWhenUsed/>
    <w:qFormat/>
    <w:rsid w:val="00E704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66B"/>
  </w:style>
  <w:style w:type="paragraph" w:styleId="Fuzeile">
    <w:name w:val="footer"/>
    <w:basedOn w:val="Standard"/>
    <w:link w:val="FuzeileZchn"/>
    <w:uiPriority w:val="99"/>
    <w:unhideWhenUsed/>
    <w:rsid w:val="00554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66B"/>
  </w:style>
  <w:style w:type="paragraph" w:styleId="Sprechblasentext">
    <w:name w:val="Balloon Text"/>
    <w:basedOn w:val="Standard"/>
    <w:link w:val="SprechblasentextZchn"/>
    <w:uiPriority w:val="99"/>
    <w:semiHidden/>
    <w:unhideWhenUsed/>
    <w:rsid w:val="005546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66B"/>
    <w:rPr>
      <w:rFonts w:ascii="Tahoma" w:hAnsi="Tahoma" w:cs="Tahoma"/>
      <w:sz w:val="16"/>
      <w:szCs w:val="16"/>
    </w:rPr>
  </w:style>
  <w:style w:type="paragraph" w:styleId="StandardWeb">
    <w:name w:val="Normal (Web)"/>
    <w:basedOn w:val="Standard"/>
    <w:uiPriority w:val="99"/>
    <w:semiHidden/>
    <w:unhideWhenUsed/>
    <w:rsid w:val="0055466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2138D"/>
    <w:pPr>
      <w:ind w:left="720"/>
      <w:contextualSpacing/>
    </w:pPr>
  </w:style>
  <w:style w:type="table" w:styleId="Tabellenraster">
    <w:name w:val="Table Grid"/>
    <w:basedOn w:val="NormaleTabelle"/>
    <w:uiPriority w:val="59"/>
    <w:rsid w:val="0053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589A"/>
    <w:rPr>
      <w:sz w:val="16"/>
      <w:szCs w:val="16"/>
    </w:rPr>
  </w:style>
  <w:style w:type="paragraph" w:styleId="Kommentartext">
    <w:name w:val="annotation text"/>
    <w:basedOn w:val="Standard"/>
    <w:link w:val="KommentartextZchn"/>
    <w:uiPriority w:val="99"/>
    <w:semiHidden/>
    <w:unhideWhenUsed/>
    <w:rsid w:val="00205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89A"/>
    <w:rPr>
      <w:sz w:val="20"/>
      <w:szCs w:val="20"/>
    </w:rPr>
  </w:style>
  <w:style w:type="paragraph" w:styleId="Kommentarthema">
    <w:name w:val="annotation subject"/>
    <w:basedOn w:val="Kommentartext"/>
    <w:next w:val="Kommentartext"/>
    <w:link w:val="KommentarthemaZchn"/>
    <w:uiPriority w:val="99"/>
    <w:semiHidden/>
    <w:unhideWhenUsed/>
    <w:rsid w:val="0020589A"/>
    <w:rPr>
      <w:b/>
      <w:bCs/>
    </w:rPr>
  </w:style>
  <w:style w:type="character" w:customStyle="1" w:styleId="KommentarthemaZchn">
    <w:name w:val="Kommentarthema Zchn"/>
    <w:basedOn w:val="KommentartextZchn"/>
    <w:link w:val="Kommentarthema"/>
    <w:uiPriority w:val="99"/>
    <w:semiHidden/>
    <w:rsid w:val="0020589A"/>
    <w:rPr>
      <w:b/>
      <w:bCs/>
      <w:sz w:val="20"/>
      <w:szCs w:val="20"/>
    </w:rPr>
  </w:style>
  <w:style w:type="paragraph" w:styleId="berarbeitung">
    <w:name w:val="Revision"/>
    <w:hidden/>
    <w:uiPriority w:val="99"/>
    <w:semiHidden/>
    <w:rsid w:val="00706DD1"/>
    <w:pPr>
      <w:spacing w:after="0" w:line="240" w:lineRule="auto"/>
    </w:pPr>
  </w:style>
  <w:style w:type="paragraph" w:styleId="Beschriftung">
    <w:name w:val="caption"/>
    <w:basedOn w:val="Standard"/>
    <w:next w:val="Standard"/>
    <w:uiPriority w:val="35"/>
    <w:unhideWhenUsed/>
    <w:qFormat/>
    <w:rsid w:val="00EE7FCA"/>
    <w:pPr>
      <w:spacing w:line="240" w:lineRule="auto"/>
    </w:pPr>
    <w:rPr>
      <w:i/>
      <w:iCs/>
      <w:color w:val="1F497D" w:themeColor="text2"/>
      <w:sz w:val="18"/>
      <w:szCs w:val="18"/>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272">
      <w:bodyDiv w:val="1"/>
      <w:marLeft w:val="0"/>
      <w:marRight w:val="0"/>
      <w:marTop w:val="0"/>
      <w:marBottom w:val="0"/>
      <w:divBdr>
        <w:top w:val="none" w:sz="0" w:space="0" w:color="auto"/>
        <w:left w:val="none" w:sz="0" w:space="0" w:color="auto"/>
        <w:bottom w:val="none" w:sz="0" w:space="0" w:color="auto"/>
        <w:right w:val="none" w:sz="0" w:space="0" w:color="auto"/>
      </w:divBdr>
    </w:div>
    <w:div w:id="279410874">
      <w:bodyDiv w:val="1"/>
      <w:marLeft w:val="0"/>
      <w:marRight w:val="0"/>
      <w:marTop w:val="0"/>
      <w:marBottom w:val="0"/>
      <w:divBdr>
        <w:top w:val="none" w:sz="0" w:space="0" w:color="auto"/>
        <w:left w:val="none" w:sz="0" w:space="0" w:color="auto"/>
        <w:bottom w:val="none" w:sz="0" w:space="0" w:color="auto"/>
        <w:right w:val="none" w:sz="0" w:space="0" w:color="auto"/>
      </w:divBdr>
    </w:div>
    <w:div w:id="409624820">
      <w:bodyDiv w:val="1"/>
      <w:marLeft w:val="0"/>
      <w:marRight w:val="0"/>
      <w:marTop w:val="0"/>
      <w:marBottom w:val="0"/>
      <w:divBdr>
        <w:top w:val="none" w:sz="0" w:space="0" w:color="auto"/>
        <w:left w:val="none" w:sz="0" w:space="0" w:color="auto"/>
        <w:bottom w:val="none" w:sz="0" w:space="0" w:color="auto"/>
        <w:right w:val="none" w:sz="0" w:space="0" w:color="auto"/>
      </w:divBdr>
    </w:div>
    <w:div w:id="430125244">
      <w:bodyDiv w:val="1"/>
      <w:marLeft w:val="0"/>
      <w:marRight w:val="0"/>
      <w:marTop w:val="0"/>
      <w:marBottom w:val="0"/>
      <w:divBdr>
        <w:top w:val="none" w:sz="0" w:space="0" w:color="auto"/>
        <w:left w:val="none" w:sz="0" w:space="0" w:color="auto"/>
        <w:bottom w:val="none" w:sz="0" w:space="0" w:color="auto"/>
        <w:right w:val="none" w:sz="0" w:space="0" w:color="auto"/>
      </w:divBdr>
    </w:div>
    <w:div w:id="440225578">
      <w:bodyDiv w:val="1"/>
      <w:marLeft w:val="0"/>
      <w:marRight w:val="0"/>
      <w:marTop w:val="0"/>
      <w:marBottom w:val="0"/>
      <w:divBdr>
        <w:top w:val="none" w:sz="0" w:space="0" w:color="auto"/>
        <w:left w:val="none" w:sz="0" w:space="0" w:color="auto"/>
        <w:bottom w:val="none" w:sz="0" w:space="0" w:color="auto"/>
        <w:right w:val="none" w:sz="0" w:space="0" w:color="auto"/>
      </w:divBdr>
    </w:div>
    <w:div w:id="446898249">
      <w:bodyDiv w:val="1"/>
      <w:marLeft w:val="0"/>
      <w:marRight w:val="0"/>
      <w:marTop w:val="0"/>
      <w:marBottom w:val="0"/>
      <w:divBdr>
        <w:top w:val="none" w:sz="0" w:space="0" w:color="auto"/>
        <w:left w:val="none" w:sz="0" w:space="0" w:color="auto"/>
        <w:bottom w:val="none" w:sz="0" w:space="0" w:color="auto"/>
        <w:right w:val="none" w:sz="0" w:space="0" w:color="auto"/>
      </w:divBdr>
    </w:div>
    <w:div w:id="568033257">
      <w:bodyDiv w:val="1"/>
      <w:marLeft w:val="0"/>
      <w:marRight w:val="0"/>
      <w:marTop w:val="0"/>
      <w:marBottom w:val="0"/>
      <w:divBdr>
        <w:top w:val="none" w:sz="0" w:space="0" w:color="auto"/>
        <w:left w:val="none" w:sz="0" w:space="0" w:color="auto"/>
        <w:bottom w:val="none" w:sz="0" w:space="0" w:color="auto"/>
        <w:right w:val="none" w:sz="0" w:space="0" w:color="auto"/>
      </w:divBdr>
    </w:div>
    <w:div w:id="650409167">
      <w:bodyDiv w:val="1"/>
      <w:marLeft w:val="0"/>
      <w:marRight w:val="0"/>
      <w:marTop w:val="0"/>
      <w:marBottom w:val="0"/>
      <w:divBdr>
        <w:top w:val="none" w:sz="0" w:space="0" w:color="auto"/>
        <w:left w:val="none" w:sz="0" w:space="0" w:color="auto"/>
        <w:bottom w:val="none" w:sz="0" w:space="0" w:color="auto"/>
        <w:right w:val="none" w:sz="0" w:space="0" w:color="auto"/>
      </w:divBdr>
    </w:div>
    <w:div w:id="669065683">
      <w:bodyDiv w:val="1"/>
      <w:marLeft w:val="0"/>
      <w:marRight w:val="0"/>
      <w:marTop w:val="0"/>
      <w:marBottom w:val="0"/>
      <w:divBdr>
        <w:top w:val="none" w:sz="0" w:space="0" w:color="auto"/>
        <w:left w:val="none" w:sz="0" w:space="0" w:color="auto"/>
        <w:bottom w:val="none" w:sz="0" w:space="0" w:color="auto"/>
        <w:right w:val="none" w:sz="0" w:space="0" w:color="auto"/>
      </w:divBdr>
    </w:div>
    <w:div w:id="698774699">
      <w:bodyDiv w:val="1"/>
      <w:marLeft w:val="0"/>
      <w:marRight w:val="0"/>
      <w:marTop w:val="0"/>
      <w:marBottom w:val="0"/>
      <w:divBdr>
        <w:top w:val="none" w:sz="0" w:space="0" w:color="auto"/>
        <w:left w:val="none" w:sz="0" w:space="0" w:color="auto"/>
        <w:bottom w:val="none" w:sz="0" w:space="0" w:color="auto"/>
        <w:right w:val="none" w:sz="0" w:space="0" w:color="auto"/>
      </w:divBdr>
    </w:div>
    <w:div w:id="849413386">
      <w:bodyDiv w:val="1"/>
      <w:marLeft w:val="0"/>
      <w:marRight w:val="0"/>
      <w:marTop w:val="0"/>
      <w:marBottom w:val="0"/>
      <w:divBdr>
        <w:top w:val="none" w:sz="0" w:space="0" w:color="auto"/>
        <w:left w:val="none" w:sz="0" w:space="0" w:color="auto"/>
        <w:bottom w:val="none" w:sz="0" w:space="0" w:color="auto"/>
        <w:right w:val="none" w:sz="0" w:space="0" w:color="auto"/>
      </w:divBdr>
    </w:div>
    <w:div w:id="854080832">
      <w:bodyDiv w:val="1"/>
      <w:marLeft w:val="0"/>
      <w:marRight w:val="0"/>
      <w:marTop w:val="0"/>
      <w:marBottom w:val="0"/>
      <w:divBdr>
        <w:top w:val="none" w:sz="0" w:space="0" w:color="auto"/>
        <w:left w:val="none" w:sz="0" w:space="0" w:color="auto"/>
        <w:bottom w:val="none" w:sz="0" w:space="0" w:color="auto"/>
        <w:right w:val="none" w:sz="0" w:space="0" w:color="auto"/>
      </w:divBdr>
    </w:div>
    <w:div w:id="868493433">
      <w:bodyDiv w:val="1"/>
      <w:marLeft w:val="0"/>
      <w:marRight w:val="0"/>
      <w:marTop w:val="0"/>
      <w:marBottom w:val="0"/>
      <w:divBdr>
        <w:top w:val="none" w:sz="0" w:space="0" w:color="auto"/>
        <w:left w:val="none" w:sz="0" w:space="0" w:color="auto"/>
        <w:bottom w:val="none" w:sz="0" w:space="0" w:color="auto"/>
        <w:right w:val="none" w:sz="0" w:space="0" w:color="auto"/>
      </w:divBdr>
    </w:div>
    <w:div w:id="868832203">
      <w:bodyDiv w:val="1"/>
      <w:marLeft w:val="0"/>
      <w:marRight w:val="0"/>
      <w:marTop w:val="0"/>
      <w:marBottom w:val="0"/>
      <w:divBdr>
        <w:top w:val="none" w:sz="0" w:space="0" w:color="auto"/>
        <w:left w:val="none" w:sz="0" w:space="0" w:color="auto"/>
        <w:bottom w:val="none" w:sz="0" w:space="0" w:color="auto"/>
        <w:right w:val="none" w:sz="0" w:space="0" w:color="auto"/>
      </w:divBdr>
    </w:div>
    <w:div w:id="897399816">
      <w:bodyDiv w:val="1"/>
      <w:marLeft w:val="0"/>
      <w:marRight w:val="0"/>
      <w:marTop w:val="0"/>
      <w:marBottom w:val="0"/>
      <w:divBdr>
        <w:top w:val="none" w:sz="0" w:space="0" w:color="auto"/>
        <w:left w:val="none" w:sz="0" w:space="0" w:color="auto"/>
        <w:bottom w:val="none" w:sz="0" w:space="0" w:color="auto"/>
        <w:right w:val="none" w:sz="0" w:space="0" w:color="auto"/>
      </w:divBdr>
    </w:div>
    <w:div w:id="997731203">
      <w:bodyDiv w:val="1"/>
      <w:marLeft w:val="0"/>
      <w:marRight w:val="0"/>
      <w:marTop w:val="0"/>
      <w:marBottom w:val="0"/>
      <w:divBdr>
        <w:top w:val="none" w:sz="0" w:space="0" w:color="auto"/>
        <w:left w:val="none" w:sz="0" w:space="0" w:color="auto"/>
        <w:bottom w:val="none" w:sz="0" w:space="0" w:color="auto"/>
        <w:right w:val="none" w:sz="0" w:space="0" w:color="auto"/>
      </w:divBdr>
    </w:div>
    <w:div w:id="1027216158">
      <w:bodyDiv w:val="1"/>
      <w:marLeft w:val="0"/>
      <w:marRight w:val="0"/>
      <w:marTop w:val="0"/>
      <w:marBottom w:val="0"/>
      <w:divBdr>
        <w:top w:val="none" w:sz="0" w:space="0" w:color="auto"/>
        <w:left w:val="none" w:sz="0" w:space="0" w:color="auto"/>
        <w:bottom w:val="none" w:sz="0" w:space="0" w:color="auto"/>
        <w:right w:val="none" w:sz="0" w:space="0" w:color="auto"/>
      </w:divBdr>
    </w:div>
    <w:div w:id="1058896788">
      <w:bodyDiv w:val="1"/>
      <w:marLeft w:val="0"/>
      <w:marRight w:val="0"/>
      <w:marTop w:val="0"/>
      <w:marBottom w:val="0"/>
      <w:divBdr>
        <w:top w:val="none" w:sz="0" w:space="0" w:color="auto"/>
        <w:left w:val="none" w:sz="0" w:space="0" w:color="auto"/>
        <w:bottom w:val="none" w:sz="0" w:space="0" w:color="auto"/>
        <w:right w:val="none" w:sz="0" w:space="0" w:color="auto"/>
      </w:divBdr>
    </w:div>
    <w:div w:id="1103450494">
      <w:bodyDiv w:val="1"/>
      <w:marLeft w:val="0"/>
      <w:marRight w:val="0"/>
      <w:marTop w:val="0"/>
      <w:marBottom w:val="0"/>
      <w:divBdr>
        <w:top w:val="none" w:sz="0" w:space="0" w:color="auto"/>
        <w:left w:val="none" w:sz="0" w:space="0" w:color="auto"/>
        <w:bottom w:val="none" w:sz="0" w:space="0" w:color="auto"/>
        <w:right w:val="none" w:sz="0" w:space="0" w:color="auto"/>
      </w:divBdr>
    </w:div>
    <w:div w:id="1113944513">
      <w:bodyDiv w:val="1"/>
      <w:marLeft w:val="0"/>
      <w:marRight w:val="0"/>
      <w:marTop w:val="0"/>
      <w:marBottom w:val="0"/>
      <w:divBdr>
        <w:top w:val="none" w:sz="0" w:space="0" w:color="auto"/>
        <w:left w:val="none" w:sz="0" w:space="0" w:color="auto"/>
        <w:bottom w:val="none" w:sz="0" w:space="0" w:color="auto"/>
        <w:right w:val="none" w:sz="0" w:space="0" w:color="auto"/>
      </w:divBdr>
    </w:div>
    <w:div w:id="1211503136">
      <w:bodyDiv w:val="1"/>
      <w:marLeft w:val="0"/>
      <w:marRight w:val="0"/>
      <w:marTop w:val="0"/>
      <w:marBottom w:val="0"/>
      <w:divBdr>
        <w:top w:val="none" w:sz="0" w:space="0" w:color="auto"/>
        <w:left w:val="none" w:sz="0" w:space="0" w:color="auto"/>
        <w:bottom w:val="none" w:sz="0" w:space="0" w:color="auto"/>
        <w:right w:val="none" w:sz="0" w:space="0" w:color="auto"/>
      </w:divBdr>
    </w:div>
    <w:div w:id="1222016416">
      <w:bodyDiv w:val="1"/>
      <w:marLeft w:val="0"/>
      <w:marRight w:val="0"/>
      <w:marTop w:val="0"/>
      <w:marBottom w:val="0"/>
      <w:divBdr>
        <w:top w:val="none" w:sz="0" w:space="0" w:color="auto"/>
        <w:left w:val="none" w:sz="0" w:space="0" w:color="auto"/>
        <w:bottom w:val="none" w:sz="0" w:space="0" w:color="auto"/>
        <w:right w:val="none" w:sz="0" w:space="0" w:color="auto"/>
      </w:divBdr>
    </w:div>
    <w:div w:id="1286543957">
      <w:bodyDiv w:val="1"/>
      <w:marLeft w:val="0"/>
      <w:marRight w:val="0"/>
      <w:marTop w:val="0"/>
      <w:marBottom w:val="0"/>
      <w:divBdr>
        <w:top w:val="none" w:sz="0" w:space="0" w:color="auto"/>
        <w:left w:val="none" w:sz="0" w:space="0" w:color="auto"/>
        <w:bottom w:val="none" w:sz="0" w:space="0" w:color="auto"/>
        <w:right w:val="none" w:sz="0" w:space="0" w:color="auto"/>
      </w:divBdr>
    </w:div>
    <w:div w:id="1332370302">
      <w:bodyDiv w:val="1"/>
      <w:marLeft w:val="0"/>
      <w:marRight w:val="0"/>
      <w:marTop w:val="0"/>
      <w:marBottom w:val="0"/>
      <w:divBdr>
        <w:top w:val="none" w:sz="0" w:space="0" w:color="auto"/>
        <w:left w:val="none" w:sz="0" w:space="0" w:color="auto"/>
        <w:bottom w:val="none" w:sz="0" w:space="0" w:color="auto"/>
        <w:right w:val="none" w:sz="0" w:space="0" w:color="auto"/>
      </w:divBdr>
    </w:div>
    <w:div w:id="1382170349">
      <w:bodyDiv w:val="1"/>
      <w:marLeft w:val="0"/>
      <w:marRight w:val="0"/>
      <w:marTop w:val="0"/>
      <w:marBottom w:val="0"/>
      <w:divBdr>
        <w:top w:val="none" w:sz="0" w:space="0" w:color="auto"/>
        <w:left w:val="none" w:sz="0" w:space="0" w:color="auto"/>
        <w:bottom w:val="none" w:sz="0" w:space="0" w:color="auto"/>
        <w:right w:val="none" w:sz="0" w:space="0" w:color="auto"/>
      </w:divBdr>
    </w:div>
    <w:div w:id="1427457874">
      <w:bodyDiv w:val="1"/>
      <w:marLeft w:val="0"/>
      <w:marRight w:val="0"/>
      <w:marTop w:val="0"/>
      <w:marBottom w:val="0"/>
      <w:divBdr>
        <w:top w:val="none" w:sz="0" w:space="0" w:color="auto"/>
        <w:left w:val="none" w:sz="0" w:space="0" w:color="auto"/>
        <w:bottom w:val="none" w:sz="0" w:space="0" w:color="auto"/>
        <w:right w:val="none" w:sz="0" w:space="0" w:color="auto"/>
      </w:divBdr>
    </w:div>
    <w:div w:id="1458523458">
      <w:bodyDiv w:val="1"/>
      <w:marLeft w:val="0"/>
      <w:marRight w:val="0"/>
      <w:marTop w:val="0"/>
      <w:marBottom w:val="0"/>
      <w:divBdr>
        <w:top w:val="none" w:sz="0" w:space="0" w:color="auto"/>
        <w:left w:val="none" w:sz="0" w:space="0" w:color="auto"/>
        <w:bottom w:val="none" w:sz="0" w:space="0" w:color="auto"/>
        <w:right w:val="none" w:sz="0" w:space="0" w:color="auto"/>
      </w:divBdr>
    </w:div>
    <w:div w:id="1501238258">
      <w:bodyDiv w:val="1"/>
      <w:marLeft w:val="0"/>
      <w:marRight w:val="0"/>
      <w:marTop w:val="0"/>
      <w:marBottom w:val="0"/>
      <w:divBdr>
        <w:top w:val="none" w:sz="0" w:space="0" w:color="auto"/>
        <w:left w:val="none" w:sz="0" w:space="0" w:color="auto"/>
        <w:bottom w:val="none" w:sz="0" w:space="0" w:color="auto"/>
        <w:right w:val="none" w:sz="0" w:space="0" w:color="auto"/>
      </w:divBdr>
    </w:div>
    <w:div w:id="1502961926">
      <w:bodyDiv w:val="1"/>
      <w:marLeft w:val="0"/>
      <w:marRight w:val="0"/>
      <w:marTop w:val="0"/>
      <w:marBottom w:val="0"/>
      <w:divBdr>
        <w:top w:val="none" w:sz="0" w:space="0" w:color="auto"/>
        <w:left w:val="none" w:sz="0" w:space="0" w:color="auto"/>
        <w:bottom w:val="none" w:sz="0" w:space="0" w:color="auto"/>
        <w:right w:val="none" w:sz="0" w:space="0" w:color="auto"/>
      </w:divBdr>
    </w:div>
    <w:div w:id="1535195699">
      <w:bodyDiv w:val="1"/>
      <w:marLeft w:val="0"/>
      <w:marRight w:val="0"/>
      <w:marTop w:val="0"/>
      <w:marBottom w:val="0"/>
      <w:divBdr>
        <w:top w:val="none" w:sz="0" w:space="0" w:color="auto"/>
        <w:left w:val="none" w:sz="0" w:space="0" w:color="auto"/>
        <w:bottom w:val="none" w:sz="0" w:space="0" w:color="auto"/>
        <w:right w:val="none" w:sz="0" w:space="0" w:color="auto"/>
      </w:divBdr>
    </w:div>
    <w:div w:id="1577982764">
      <w:bodyDiv w:val="1"/>
      <w:marLeft w:val="0"/>
      <w:marRight w:val="0"/>
      <w:marTop w:val="0"/>
      <w:marBottom w:val="0"/>
      <w:divBdr>
        <w:top w:val="none" w:sz="0" w:space="0" w:color="auto"/>
        <w:left w:val="none" w:sz="0" w:space="0" w:color="auto"/>
        <w:bottom w:val="none" w:sz="0" w:space="0" w:color="auto"/>
        <w:right w:val="none" w:sz="0" w:space="0" w:color="auto"/>
      </w:divBdr>
    </w:div>
    <w:div w:id="1621106288">
      <w:bodyDiv w:val="1"/>
      <w:marLeft w:val="0"/>
      <w:marRight w:val="0"/>
      <w:marTop w:val="0"/>
      <w:marBottom w:val="0"/>
      <w:divBdr>
        <w:top w:val="none" w:sz="0" w:space="0" w:color="auto"/>
        <w:left w:val="none" w:sz="0" w:space="0" w:color="auto"/>
        <w:bottom w:val="none" w:sz="0" w:space="0" w:color="auto"/>
        <w:right w:val="none" w:sz="0" w:space="0" w:color="auto"/>
      </w:divBdr>
    </w:div>
    <w:div w:id="1673289118">
      <w:bodyDiv w:val="1"/>
      <w:marLeft w:val="0"/>
      <w:marRight w:val="0"/>
      <w:marTop w:val="0"/>
      <w:marBottom w:val="0"/>
      <w:divBdr>
        <w:top w:val="none" w:sz="0" w:space="0" w:color="auto"/>
        <w:left w:val="none" w:sz="0" w:space="0" w:color="auto"/>
        <w:bottom w:val="none" w:sz="0" w:space="0" w:color="auto"/>
        <w:right w:val="none" w:sz="0" w:space="0" w:color="auto"/>
      </w:divBdr>
    </w:div>
    <w:div w:id="1706322647">
      <w:bodyDiv w:val="1"/>
      <w:marLeft w:val="0"/>
      <w:marRight w:val="0"/>
      <w:marTop w:val="0"/>
      <w:marBottom w:val="0"/>
      <w:divBdr>
        <w:top w:val="none" w:sz="0" w:space="0" w:color="auto"/>
        <w:left w:val="none" w:sz="0" w:space="0" w:color="auto"/>
        <w:bottom w:val="none" w:sz="0" w:space="0" w:color="auto"/>
        <w:right w:val="none" w:sz="0" w:space="0" w:color="auto"/>
      </w:divBdr>
    </w:div>
    <w:div w:id="1941789588">
      <w:bodyDiv w:val="1"/>
      <w:marLeft w:val="0"/>
      <w:marRight w:val="0"/>
      <w:marTop w:val="0"/>
      <w:marBottom w:val="0"/>
      <w:divBdr>
        <w:top w:val="none" w:sz="0" w:space="0" w:color="auto"/>
        <w:left w:val="none" w:sz="0" w:space="0" w:color="auto"/>
        <w:bottom w:val="none" w:sz="0" w:space="0" w:color="auto"/>
        <w:right w:val="none" w:sz="0" w:space="0" w:color="auto"/>
      </w:divBdr>
    </w:div>
    <w:div w:id="2026398064">
      <w:bodyDiv w:val="1"/>
      <w:marLeft w:val="0"/>
      <w:marRight w:val="0"/>
      <w:marTop w:val="0"/>
      <w:marBottom w:val="0"/>
      <w:divBdr>
        <w:top w:val="none" w:sz="0" w:space="0" w:color="auto"/>
        <w:left w:val="none" w:sz="0" w:space="0" w:color="auto"/>
        <w:bottom w:val="none" w:sz="0" w:space="0" w:color="auto"/>
        <w:right w:val="none" w:sz="0" w:space="0" w:color="auto"/>
      </w:divBdr>
    </w:div>
    <w:div w:id="2052798895">
      <w:bodyDiv w:val="1"/>
      <w:marLeft w:val="0"/>
      <w:marRight w:val="0"/>
      <w:marTop w:val="0"/>
      <w:marBottom w:val="0"/>
      <w:divBdr>
        <w:top w:val="none" w:sz="0" w:space="0" w:color="auto"/>
        <w:left w:val="none" w:sz="0" w:space="0" w:color="auto"/>
        <w:bottom w:val="none" w:sz="0" w:space="0" w:color="auto"/>
        <w:right w:val="none" w:sz="0" w:space="0" w:color="auto"/>
      </w:divBdr>
    </w:div>
    <w:div w:id="2119762753">
      <w:bodyDiv w:val="1"/>
      <w:marLeft w:val="0"/>
      <w:marRight w:val="0"/>
      <w:marTop w:val="0"/>
      <w:marBottom w:val="0"/>
      <w:divBdr>
        <w:top w:val="none" w:sz="0" w:space="0" w:color="auto"/>
        <w:left w:val="none" w:sz="0" w:space="0" w:color="auto"/>
        <w:bottom w:val="none" w:sz="0" w:space="0" w:color="auto"/>
        <w:right w:val="none" w:sz="0" w:space="0" w:color="auto"/>
      </w:divBdr>
    </w:div>
    <w:div w:id="2129935200">
      <w:bodyDiv w:val="1"/>
      <w:marLeft w:val="0"/>
      <w:marRight w:val="0"/>
      <w:marTop w:val="0"/>
      <w:marBottom w:val="0"/>
      <w:divBdr>
        <w:top w:val="none" w:sz="0" w:space="0" w:color="auto"/>
        <w:left w:val="none" w:sz="0" w:space="0" w:color="auto"/>
        <w:bottom w:val="none" w:sz="0" w:space="0" w:color="auto"/>
        <w:right w:val="none" w:sz="0" w:space="0" w:color="auto"/>
      </w:divBdr>
    </w:div>
    <w:div w:id="21300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BAB600A8422041A037925D28679900" ma:contentTypeVersion="2" ma:contentTypeDescription="Create a new document." ma:contentTypeScope="" ma:versionID="4083af1045b198b09fbbe4df61974d40">
  <xsd:schema xmlns:xsd="http://www.w3.org/2001/XMLSchema" xmlns:xs="http://www.w3.org/2001/XMLSchema" xmlns:p="http://schemas.microsoft.com/office/2006/metadata/properties" xmlns:ns2="84aed6d6-a926-4909-ae89-377442fd3b88" targetNamespace="http://schemas.microsoft.com/office/2006/metadata/properties" ma:root="true" ma:fieldsID="f00d88e617b7a6063480a0bbcc67154e" ns2:_="">
    <xsd:import namespace="84aed6d6-a926-4909-ae89-377442fd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d6d6-a926-4909-ae89-377442fd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8E6C-18B5-4F44-8B1B-3F6669F1BA90}">
  <ds:schemaRefs>
    <ds:schemaRef ds:uri="84aed6d6-a926-4909-ae89-377442fd3b88"/>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1A3B13D-27BB-443A-979E-27D2839E9E84}">
  <ds:schemaRefs>
    <ds:schemaRef ds:uri="http://schemas.microsoft.com/sharepoint/v3/contenttype/forms"/>
  </ds:schemaRefs>
</ds:datastoreItem>
</file>

<file path=customXml/itemProps3.xml><?xml version="1.0" encoding="utf-8"?>
<ds:datastoreItem xmlns:ds="http://schemas.openxmlformats.org/officeDocument/2006/customXml" ds:itemID="{0F8E9623-C258-44D3-A308-E166C3FC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d6d6-a926-4909-ae89-377442fd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2F342A-A897-426C-8A51-44DCBFF58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5145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Grossmann &amp; Berger GmbH</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Alicia Hölandt</dc:creator>
  <cp:keywords/>
  <cp:lastModifiedBy>Berit Friedrich</cp:lastModifiedBy>
  <cp:revision>3</cp:revision>
  <cp:lastPrinted>2020-10-01T08:56:00Z</cp:lastPrinted>
  <dcterms:created xsi:type="dcterms:W3CDTF">2020-10-01T10:05:00Z</dcterms:created>
  <dcterms:modified xsi:type="dcterms:W3CDTF">2020-10-01T10:07:00Z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0x01010015BAB600A8422041A037925D28679900</vt:lpwstr>
  </property>
</Properties>
</file>