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1E93BC9C" w:rsidR="000B1E51" w:rsidRPr="004D02F0" w:rsidRDefault="00436816" w:rsidP="00462FC6">
      <w:pPr>
        <w:widowControl w:val="0"/>
        <w:spacing w:after="40"/>
        <w:rPr>
          <w:rFonts w:ascii="Arial" w:hAnsi="Arial" w:cs="Arial"/>
          <w:b/>
          <w:color w:val="000000" w:themeColor="text1"/>
          <w:sz w:val="40"/>
          <w:szCs w:val="40"/>
        </w:rPr>
      </w:pPr>
      <w:r>
        <w:rPr>
          <w:noProof/>
          <w:color w:val="000000" w:themeColor="text1"/>
          <w:lang w:val="de-DE" w:eastAsia="de-DE"/>
        </w:rPr>
        <mc:AlternateContent>
          <mc:Choice Requires="wps">
            <w:drawing>
              <wp:anchor distT="0" distB="0" distL="114300" distR="114300" simplePos="0" relativeHeight="251658242" behindDoc="0" locked="0" layoutInCell="1" allowOverlap="1" wp14:anchorId="2CFA8A02" wp14:editId="2EB04CC6">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v:textbox>
              </v:shape>
            </w:pict>
          </mc:Fallback>
        </mc:AlternateContent>
      </w:r>
      <w:r>
        <w:rPr>
          <w:noProof/>
          <w:color w:val="000000" w:themeColor="text1"/>
          <w:lang w:val="de-DE"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v:textbox>
              </v:shape>
            </w:pict>
          </mc:Fallback>
        </mc:AlternateContent>
      </w:r>
      <w:bookmarkStart w:id="0" w:name="_Hlk526105421"/>
      <w:r>
        <w:rPr>
          <w:rFonts w:ascii="Arial" w:hAnsi="Arial"/>
          <w:color w:val="000000" w:themeColor="text1"/>
          <w:sz w:val="40"/>
          <w:szCs w:val="40"/>
        </w:rPr>
        <w:t>TOP 7 OFFICE MARKETS Q1/20</w:t>
      </w:r>
      <w:bookmarkEnd w:id="0"/>
      <w:r>
        <w:rPr>
          <w:rFonts w:ascii="Arial" w:hAnsi="Arial"/>
          <w:color w:val="000000" w:themeColor="text1"/>
          <w:sz w:val="40"/>
          <w:szCs w:val="40"/>
        </w:rPr>
        <w:t>21</w:t>
      </w:r>
    </w:p>
    <w:p w14:paraId="3B735A9E" w14:textId="1D5007D8" w:rsidR="00073A8E" w:rsidRPr="004D02F0" w:rsidRDefault="00460F29" w:rsidP="00462FC6">
      <w:pPr>
        <w:widowControl w:val="0"/>
        <w:spacing w:after="120"/>
        <w:rPr>
          <w:rFonts w:ascii="Arial" w:hAnsi="Arial" w:cs="Arial"/>
          <w:b/>
          <w:caps/>
          <w:color w:val="000000" w:themeColor="text1"/>
          <w:sz w:val="40"/>
          <w:szCs w:val="40"/>
        </w:rPr>
      </w:pPr>
      <w:r>
        <w:rPr>
          <w:rFonts w:ascii="Arial" w:hAnsi="Arial"/>
          <w:b/>
          <w:caps/>
          <w:color w:val="000000" w:themeColor="text1"/>
          <w:sz w:val="40"/>
          <w:szCs w:val="40"/>
        </w:rPr>
        <w:t>BETWEEN BOOM AND BUST</w:t>
      </w:r>
    </w:p>
    <w:p w14:paraId="28BEC29F" w14:textId="2249AD48" w:rsidR="007D3839" w:rsidRDefault="00D36662" w:rsidP="004C416A">
      <w:pPr>
        <w:widowControl w:val="0"/>
        <w:spacing w:after="120"/>
        <w:jc w:val="center"/>
        <w:rPr>
          <w:rFonts w:ascii="Arial" w:hAnsi="Arial" w:cs="Arial"/>
          <w:b/>
          <w:noProof/>
          <w:sz w:val="20"/>
          <w:szCs w:val="20"/>
        </w:rPr>
      </w:pPr>
      <w:r>
        <w:rPr>
          <w:noProof/>
          <w:lang w:val="de-DE" w:eastAsia="de-DE"/>
        </w:rPr>
        <w:drawing>
          <wp:anchor distT="0" distB="0" distL="114300" distR="114300" simplePos="0" relativeHeight="251659266" behindDoc="0" locked="0" layoutInCell="1" allowOverlap="1" wp14:anchorId="79557158" wp14:editId="6FC45192">
            <wp:simplePos x="0" y="0"/>
            <wp:positionH relativeFrom="margin">
              <wp:posOffset>691515</wp:posOffset>
            </wp:positionH>
            <wp:positionV relativeFrom="margin">
              <wp:posOffset>1007745</wp:posOffset>
            </wp:positionV>
            <wp:extent cx="4380865" cy="2519680"/>
            <wp:effectExtent l="0" t="0" r="635"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80865" cy="2519680"/>
                    </a:xfrm>
                    <a:prstGeom prst="rect">
                      <a:avLst/>
                    </a:prstGeom>
                  </pic:spPr>
                </pic:pic>
              </a:graphicData>
            </a:graphic>
            <wp14:sizeRelH relativeFrom="margin">
              <wp14:pctWidth>0</wp14:pctWidth>
            </wp14:sizeRelH>
            <wp14:sizeRelV relativeFrom="margin">
              <wp14:pctHeight>0</wp14:pctHeight>
            </wp14:sizeRelV>
          </wp:anchor>
        </w:drawing>
      </w:r>
      <w:r w:rsidR="00B5621B">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792E5A7E">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4B1E2"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B5621B">
        <w:rPr>
          <w:rFonts w:ascii="Arial" w:hAnsi="Arial"/>
          <w:b/>
          <w:sz w:val="20"/>
          <w:szCs w:val="20"/>
        </w:rPr>
        <w:br/>
      </w:r>
    </w:p>
    <w:p w14:paraId="01ECFAA3" w14:textId="54E49400" w:rsidR="004E304A" w:rsidRDefault="00C73546" w:rsidP="00BF5272">
      <w:pPr>
        <w:widowControl w:val="0"/>
        <w:spacing w:after="120"/>
        <w:jc w:val="both"/>
        <w:rPr>
          <w:rFonts w:ascii="Arial" w:hAnsi="Arial" w:cs="Arial"/>
          <w:bCs/>
          <w:color w:val="000000" w:themeColor="text1"/>
          <w:sz w:val="20"/>
          <w:szCs w:val="20"/>
        </w:rPr>
      </w:pPr>
      <w:r>
        <w:rPr>
          <w:rFonts w:ascii="Arial" w:hAnsi="Arial"/>
          <w:b/>
          <w:sz w:val="20"/>
          <w:szCs w:val="20"/>
        </w:rPr>
        <w:t xml:space="preserve">07 April 2021, </w:t>
      </w:r>
      <w:bookmarkStart w:id="3" w:name="_Hlk486831588"/>
      <w:r>
        <w:rPr>
          <w:rFonts w:ascii="Arial" w:hAnsi="Arial"/>
          <w:b/>
          <w:sz w:val="20"/>
          <w:szCs w:val="20"/>
        </w:rPr>
        <w:t>Hamburg.</w:t>
      </w:r>
      <w:r>
        <w:rPr>
          <w:rFonts w:ascii="Arial" w:hAnsi="Arial"/>
          <w:bCs/>
          <w:sz w:val="20"/>
          <w:szCs w:val="20"/>
        </w:rPr>
        <w:t xml:space="preserve"> At the close of the 1st quarter of 2021, despite the many uncertainties, take-up of office space in Germany’s top 7 cities remained stable, posting year on year growth of 1 %. A total of 655,300 m² of office space was taken in Hamburg, Berlin, Düsseldorf, Cologne, Frankfurt, Stuttgart and Munich. </w:t>
      </w:r>
      <w:r>
        <w:rPr>
          <w:rFonts w:ascii="Arial" w:hAnsi="Arial"/>
          <w:bCs/>
          <w:i/>
          <w:sz w:val="20"/>
          <w:szCs w:val="20"/>
        </w:rPr>
        <w:t xml:space="preserve">“It would seem that following the boom years between 2016 and 2019 take-up of office space in the top 7 cities is now settling at a low level,” </w:t>
      </w:r>
      <w:r>
        <w:rPr>
          <w:rFonts w:ascii="Arial" w:hAnsi="Arial"/>
          <w:bCs/>
          <w:sz w:val="20"/>
          <w:szCs w:val="20"/>
        </w:rPr>
        <w:t>says</w:t>
      </w:r>
      <w:r w:rsidR="000C2CFA">
        <w:rPr>
          <w:rFonts w:ascii="Arial" w:hAnsi="Arial"/>
          <w:bCs/>
          <w:sz w:val="20"/>
          <w:szCs w:val="20"/>
        </w:rPr>
        <w:t xml:space="preserve"> </w:t>
      </w:r>
      <w:r>
        <w:rPr>
          <w:rFonts w:ascii="Arial" w:hAnsi="Arial"/>
          <w:b/>
          <w:sz w:val="20"/>
          <w:szCs w:val="20"/>
        </w:rPr>
        <w:t xml:space="preserve">Oliver </w:t>
      </w:r>
      <w:proofErr w:type="spellStart"/>
      <w:r>
        <w:rPr>
          <w:rFonts w:ascii="Arial" w:hAnsi="Arial"/>
          <w:b/>
          <w:sz w:val="20"/>
          <w:szCs w:val="20"/>
        </w:rPr>
        <w:t>Schön</w:t>
      </w:r>
      <w:proofErr w:type="spellEnd"/>
      <w:r>
        <w:rPr>
          <w:rFonts w:ascii="Arial" w:hAnsi="Arial"/>
          <w:sz w:val="20"/>
          <w:szCs w:val="20"/>
        </w:rPr>
        <w:t xml:space="preserve"> spokesperson for German Property Partners (GPP) commenting on the d</w:t>
      </w:r>
      <w:r w:rsidR="000C2CFA">
        <w:rPr>
          <w:rFonts w:ascii="Arial" w:hAnsi="Arial"/>
          <w:sz w:val="20"/>
          <w:szCs w:val="20"/>
        </w:rPr>
        <w:t xml:space="preserve">ata collected by the partners. </w:t>
      </w:r>
      <w:r>
        <w:rPr>
          <w:rFonts w:ascii="Arial" w:hAnsi="Arial"/>
          <w:bCs/>
          <w:sz w:val="20"/>
          <w:szCs w:val="20"/>
        </w:rPr>
        <w:t xml:space="preserve">Partner firms in the GPP commercial property network are Grossmann &amp; Berger, Anteon </w:t>
      </w:r>
      <w:proofErr w:type="spellStart"/>
      <w:r>
        <w:rPr>
          <w:rFonts w:ascii="Arial" w:hAnsi="Arial"/>
          <w:bCs/>
          <w:sz w:val="20"/>
          <w:szCs w:val="20"/>
        </w:rPr>
        <w:t>Immobilien</w:t>
      </w:r>
      <w:proofErr w:type="spellEnd"/>
      <w:r>
        <w:rPr>
          <w:rFonts w:ascii="Arial" w:hAnsi="Arial"/>
          <w:bCs/>
          <w:sz w:val="20"/>
          <w:szCs w:val="20"/>
        </w:rPr>
        <w:t xml:space="preserve">, GREIF &amp; CONTZEN </w:t>
      </w:r>
      <w:proofErr w:type="spellStart"/>
      <w:r>
        <w:rPr>
          <w:rFonts w:ascii="Arial" w:hAnsi="Arial"/>
          <w:bCs/>
          <w:sz w:val="20"/>
          <w:szCs w:val="20"/>
        </w:rPr>
        <w:t>Immobilien</w:t>
      </w:r>
      <w:proofErr w:type="spellEnd"/>
      <w:r>
        <w:rPr>
          <w:rFonts w:ascii="Arial" w:hAnsi="Arial"/>
          <w:bCs/>
          <w:sz w:val="20"/>
          <w:szCs w:val="20"/>
        </w:rPr>
        <w:t xml:space="preserve">, </w:t>
      </w:r>
      <w:proofErr w:type="spellStart"/>
      <w:r>
        <w:rPr>
          <w:rFonts w:ascii="Arial" w:hAnsi="Arial"/>
          <w:bCs/>
          <w:sz w:val="20"/>
          <w:szCs w:val="20"/>
        </w:rPr>
        <w:t>b</w:t>
      </w:r>
      <w:r w:rsidR="000C2CFA">
        <w:rPr>
          <w:rFonts w:ascii="Arial" w:hAnsi="Arial"/>
          <w:bCs/>
          <w:sz w:val="20"/>
          <w:szCs w:val="20"/>
        </w:rPr>
        <w:t>lackolive</w:t>
      </w:r>
      <w:proofErr w:type="spellEnd"/>
      <w:r w:rsidR="000C2CFA">
        <w:rPr>
          <w:rFonts w:ascii="Arial" w:hAnsi="Arial"/>
          <w:bCs/>
          <w:sz w:val="20"/>
          <w:szCs w:val="20"/>
        </w:rPr>
        <w:t xml:space="preserve"> and E &amp; G Real Estate</w:t>
      </w:r>
      <w:r>
        <w:rPr>
          <w:rFonts w:ascii="Arial" w:hAnsi="Arial"/>
          <w:bCs/>
          <w:sz w:val="20"/>
          <w:szCs w:val="20"/>
        </w:rPr>
        <w:t>.</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666E96FD" w:rsidR="004C1EFC" w:rsidRPr="00487ECE" w:rsidRDefault="00685CCF" w:rsidP="00C87011">
      <w:pPr>
        <w:widowControl w:val="0"/>
        <w:spacing w:after="0" w:line="240" w:lineRule="auto"/>
        <w:jc w:val="center"/>
        <w:rPr>
          <w:rFonts w:ascii="Arial" w:hAnsi="Arial" w:cs="Arial"/>
          <w:b/>
          <w:bCs/>
          <w:caps/>
          <w:sz w:val="20"/>
          <w:szCs w:val="20"/>
        </w:rPr>
      </w:pPr>
      <w:r>
        <w:rPr>
          <w:rFonts w:ascii="Arial" w:hAnsi="Arial"/>
          <w:b/>
          <w:bCs/>
          <w:caps/>
          <w:sz w:val="20"/>
          <w:szCs w:val="20"/>
        </w:rPr>
        <w:t xml:space="preserve">Vast differences in take-up figures </w:t>
      </w:r>
    </w:p>
    <w:p w14:paraId="465237C3" w14:textId="77777777" w:rsidR="00A035D3" w:rsidRDefault="00A035D3" w:rsidP="00487ECE">
      <w:pPr>
        <w:widowControl w:val="0"/>
        <w:spacing w:after="0"/>
        <w:rPr>
          <w:rFonts w:ascii="Arial" w:hAnsi="Arial" w:cs="Arial"/>
          <w:sz w:val="20"/>
          <w:szCs w:val="20"/>
        </w:rPr>
      </w:pPr>
    </w:p>
    <w:p w14:paraId="7D7D1515" w14:textId="4CE578FC" w:rsidR="00A043D5" w:rsidRDefault="00710A78" w:rsidP="00BF5272">
      <w:pPr>
        <w:widowControl w:val="0"/>
        <w:spacing w:after="0"/>
        <w:jc w:val="both"/>
        <w:rPr>
          <w:rFonts w:ascii="Arial" w:hAnsi="Arial"/>
          <w:sz w:val="20"/>
          <w:szCs w:val="20"/>
        </w:rPr>
      </w:pPr>
      <w:r>
        <w:rPr>
          <w:rFonts w:ascii="Arial" w:hAnsi="Arial"/>
          <w:sz w:val="20"/>
          <w:szCs w:val="20"/>
        </w:rPr>
        <w:t xml:space="preserve">1st quarter take-up of space in the top 7 locations varied enormously from city to city: whereas take-up in Munich and Düsseldorf was halved, in Cologne it doubled. </w:t>
      </w:r>
      <w:r>
        <w:rPr>
          <w:rFonts w:ascii="Arial" w:hAnsi="Arial"/>
          <w:i/>
          <w:sz w:val="20"/>
          <w:szCs w:val="20"/>
        </w:rPr>
        <w:t>“In both Munich and Düsseldorf clients were particularly hesitant and are postponing decisions unti</w:t>
      </w:r>
      <w:r w:rsidR="00811CCB">
        <w:rPr>
          <w:rFonts w:ascii="Arial" w:hAnsi="Arial"/>
          <w:i/>
          <w:sz w:val="20"/>
          <w:szCs w:val="20"/>
        </w:rPr>
        <w:t xml:space="preserve">l the third or fourth quarter. </w:t>
      </w:r>
      <w:r>
        <w:rPr>
          <w:rFonts w:ascii="Arial" w:hAnsi="Arial"/>
          <w:i/>
          <w:sz w:val="20"/>
          <w:szCs w:val="20"/>
        </w:rPr>
        <w:t>Neither city posted a single agreement for office suites measuring more than 5,000 square metres,”</w:t>
      </w:r>
      <w:r>
        <w:rPr>
          <w:rFonts w:ascii="Arial" w:hAnsi="Arial"/>
          <w:sz w:val="20"/>
          <w:szCs w:val="20"/>
        </w:rPr>
        <w:t xml:space="preserve"> adds </w:t>
      </w:r>
      <w:proofErr w:type="spellStart"/>
      <w:r>
        <w:rPr>
          <w:rFonts w:ascii="Arial" w:hAnsi="Arial"/>
          <w:b/>
          <w:sz w:val="20"/>
          <w:szCs w:val="20"/>
        </w:rPr>
        <w:t>Schön</w:t>
      </w:r>
      <w:proofErr w:type="spellEnd"/>
      <w:r>
        <w:rPr>
          <w:rFonts w:ascii="Arial" w:hAnsi="Arial"/>
          <w:sz w:val="20"/>
          <w:szCs w:val="20"/>
        </w:rPr>
        <w:t xml:space="preserve">. </w:t>
      </w:r>
      <w:r>
        <w:rPr>
          <w:rFonts w:ascii="Arial" w:hAnsi="Arial"/>
          <w:i/>
          <w:sz w:val="20"/>
          <w:szCs w:val="20"/>
        </w:rPr>
        <w:t>“By contrast in Cologne three Federal agencies signed contracts for premises offering between 5,000 and 13,000 square metres of office space. Local government/public corporations were thus behind more than 40 per cent of take-up in this city on the Rhine”.</w:t>
      </w:r>
      <w:r w:rsidR="000C2CFA">
        <w:rPr>
          <w:rFonts w:ascii="Arial" w:hAnsi="Arial"/>
          <w:i/>
          <w:sz w:val="20"/>
          <w:szCs w:val="20"/>
        </w:rPr>
        <w:t xml:space="preserve"> </w:t>
      </w:r>
      <w:r>
        <w:rPr>
          <w:rFonts w:ascii="Arial" w:hAnsi="Arial"/>
          <w:sz w:val="20"/>
          <w:szCs w:val="20"/>
        </w:rPr>
        <w:t>The public sector was also a major driver of demand in Stuttgart (28 %) and Hamburg (18 %), although not quite to the extent seen in Cologne.</w:t>
      </w:r>
    </w:p>
    <w:p w14:paraId="12BB9CD6" w14:textId="77777777" w:rsidR="000C2CFA" w:rsidRPr="00B134F7" w:rsidRDefault="000C2CFA" w:rsidP="00BF5272">
      <w:pPr>
        <w:widowControl w:val="0"/>
        <w:spacing w:after="0"/>
        <w:jc w:val="both"/>
        <w:rPr>
          <w:rFonts w:ascii="Arial" w:hAnsi="Arial" w:cs="Arial"/>
          <w:sz w:val="20"/>
          <w:szCs w:val="20"/>
        </w:rPr>
      </w:pPr>
    </w:p>
    <w:p w14:paraId="441E0ACC" w14:textId="4D03E2A2" w:rsidR="00487ECE" w:rsidRPr="00487ECE" w:rsidRDefault="006E274D" w:rsidP="00487ECE">
      <w:pPr>
        <w:widowControl w:val="0"/>
        <w:spacing w:after="0"/>
        <w:jc w:val="center"/>
        <w:rPr>
          <w:rFonts w:ascii="Arial" w:hAnsi="Arial" w:cs="Arial"/>
          <w:b/>
          <w:bCs/>
          <w:caps/>
          <w:sz w:val="20"/>
          <w:szCs w:val="20"/>
        </w:rPr>
      </w:pPr>
      <w:r>
        <w:rPr>
          <w:rFonts w:ascii="Arial" w:hAnsi="Arial"/>
          <w:b/>
          <w:bCs/>
          <w:caps/>
          <w:sz w:val="20"/>
          <w:szCs w:val="20"/>
        </w:rPr>
        <w:lastRenderedPageBreak/>
        <w:t>There is not a glut of space</w:t>
      </w:r>
    </w:p>
    <w:p w14:paraId="1FB7C3C1" w14:textId="77777777" w:rsidR="006B7430" w:rsidRDefault="006B7430" w:rsidP="00487ECE">
      <w:pPr>
        <w:widowControl w:val="0"/>
        <w:spacing w:after="0"/>
        <w:rPr>
          <w:rFonts w:ascii="Arial" w:hAnsi="Arial" w:cs="Arial"/>
          <w:sz w:val="20"/>
          <w:szCs w:val="20"/>
        </w:rPr>
      </w:pPr>
    </w:p>
    <w:p w14:paraId="6FEA213A" w14:textId="2C1557DE" w:rsidR="004926CE" w:rsidRDefault="00C533AE" w:rsidP="00BF5272">
      <w:pPr>
        <w:widowControl w:val="0"/>
        <w:spacing w:after="0"/>
        <w:jc w:val="both"/>
        <w:rPr>
          <w:rFonts w:ascii="Arial" w:hAnsi="Arial" w:cs="Arial"/>
          <w:sz w:val="20"/>
          <w:szCs w:val="20"/>
        </w:rPr>
      </w:pPr>
      <w:r>
        <w:rPr>
          <w:rFonts w:ascii="Arial" w:hAnsi="Arial"/>
          <w:sz w:val="20"/>
          <w:szCs w:val="20"/>
        </w:rPr>
        <w:t>As expected, the amount of office space available at short notice has increased in all top 7 cities. Overall the rise was moderate, ranging between +0.4 percentage points in Düsseldorf and +1.6 percentage points in Frankfurt. Compared with past history, the increase was relatively high in the financial centre Frankfurt. This was because empty space had reached an all-time low in the same period a year before and appreciably more new-build space came onto the market in 2020. Frankfurt thus posted the highest vacancy rate at 8.3 %. Within the space of one year the vacancy rate across all top 7 c</w:t>
      </w:r>
      <w:r w:rsidR="000C2CFA">
        <w:rPr>
          <w:rFonts w:ascii="Arial" w:hAnsi="Arial"/>
          <w:sz w:val="20"/>
          <w:szCs w:val="20"/>
        </w:rPr>
        <w:t>ities rose from 2.9 % to 4.0 %.</w:t>
      </w:r>
    </w:p>
    <w:p w14:paraId="315941F7" w14:textId="543460E0" w:rsidR="00DB6FB3" w:rsidRDefault="0053138E" w:rsidP="00BF5272">
      <w:pPr>
        <w:widowControl w:val="0"/>
        <w:spacing w:after="0"/>
        <w:jc w:val="both"/>
        <w:rPr>
          <w:rFonts w:ascii="Arial" w:hAnsi="Arial" w:cs="Arial"/>
          <w:i/>
          <w:sz w:val="20"/>
          <w:szCs w:val="20"/>
        </w:rPr>
      </w:pPr>
      <w:r>
        <w:rPr>
          <w:rFonts w:ascii="Arial" w:hAnsi="Arial"/>
          <w:i/>
          <w:sz w:val="20"/>
          <w:szCs w:val="20"/>
        </w:rPr>
        <w:t>“As yet it is not clear what role sub-let space will play in the further course of the year,”</w:t>
      </w:r>
      <w:r>
        <w:rPr>
          <w:rFonts w:ascii="Arial" w:hAnsi="Arial"/>
          <w:sz w:val="20"/>
          <w:szCs w:val="20"/>
        </w:rPr>
        <w:t xml:space="preserve"> says </w:t>
      </w:r>
      <w:proofErr w:type="spellStart"/>
      <w:r>
        <w:rPr>
          <w:rFonts w:ascii="Arial" w:hAnsi="Arial"/>
          <w:b/>
          <w:sz w:val="20"/>
          <w:szCs w:val="20"/>
        </w:rPr>
        <w:t>Schön</w:t>
      </w:r>
      <w:proofErr w:type="spellEnd"/>
      <w:r>
        <w:rPr>
          <w:rFonts w:ascii="Arial" w:hAnsi="Arial"/>
          <w:sz w:val="20"/>
          <w:szCs w:val="20"/>
        </w:rPr>
        <w:t xml:space="preserve">. In all the cities, apart from Cologne, the range of variation in average and premium rents is already far narrower than in previous years. </w:t>
      </w:r>
      <w:r w:rsidR="00811CCB" w:rsidRPr="00811CCB">
        <w:rPr>
          <w:rFonts w:ascii="Arial" w:hAnsi="Arial"/>
          <w:sz w:val="20"/>
          <w:szCs w:val="20"/>
        </w:rPr>
        <w:t>For example, letting very large amounts of space to the public sector, which is not subject to VAT, had an adverse impact on nominal rents and pushed the average rent in the cathedral city of Cologne to €17.50/m²/month.</w:t>
      </w:r>
      <w:r w:rsidR="00811CCB">
        <w:rPr>
          <w:rFonts w:ascii="Arial" w:hAnsi="Arial"/>
          <w:sz w:val="20"/>
          <w:szCs w:val="20"/>
        </w:rPr>
        <w:t xml:space="preserve"> </w:t>
      </w:r>
      <w:r>
        <w:rPr>
          <w:rFonts w:ascii="Arial" w:hAnsi="Arial"/>
          <w:sz w:val="20"/>
          <w:szCs w:val="20"/>
        </w:rPr>
        <w:t>Compared with the relatively low value seen a year ago, this is</w:t>
      </w:r>
      <w:r w:rsidR="000C2CFA">
        <w:rPr>
          <w:rFonts w:ascii="Arial" w:hAnsi="Arial"/>
          <w:sz w:val="20"/>
          <w:szCs w:val="20"/>
        </w:rPr>
        <w:t xml:space="preserve"> equivalent to growth of 17 %.</w:t>
      </w:r>
    </w:p>
    <w:p w14:paraId="54972A9C" w14:textId="77777777" w:rsidR="000F1FCB" w:rsidRDefault="000F1FCB" w:rsidP="00487ECE">
      <w:pPr>
        <w:widowControl w:val="0"/>
        <w:spacing w:after="0"/>
        <w:rPr>
          <w:rFonts w:ascii="Arial" w:hAnsi="Arial" w:cs="Arial"/>
          <w:sz w:val="20"/>
          <w:szCs w:val="20"/>
        </w:rPr>
      </w:pPr>
    </w:p>
    <w:p w14:paraId="4E919AF9" w14:textId="74F39513" w:rsidR="00970DB3" w:rsidRPr="00487ECE" w:rsidRDefault="00AF147C" w:rsidP="00970DB3">
      <w:pPr>
        <w:widowControl w:val="0"/>
        <w:spacing w:after="0" w:line="240" w:lineRule="auto"/>
        <w:jc w:val="center"/>
        <w:rPr>
          <w:rFonts w:ascii="Arial" w:hAnsi="Arial" w:cs="Arial"/>
          <w:b/>
          <w:bCs/>
          <w:caps/>
          <w:sz w:val="20"/>
          <w:szCs w:val="20"/>
        </w:rPr>
      </w:pPr>
      <w:r>
        <w:rPr>
          <w:rFonts w:ascii="Arial" w:hAnsi="Arial"/>
          <w:b/>
          <w:bCs/>
          <w:caps/>
          <w:sz w:val="20"/>
          <w:szCs w:val="20"/>
        </w:rPr>
        <w:t>Optimistic view of the year ahead</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35477533" w14:textId="2B50E9C6" w:rsidR="001823AA" w:rsidRDefault="005076D0" w:rsidP="00EA21BF">
      <w:pPr>
        <w:widowControl w:val="0"/>
        <w:spacing w:after="0"/>
        <w:jc w:val="both"/>
        <w:rPr>
          <w:rFonts w:ascii="Arial" w:hAnsi="Arial" w:cs="Arial"/>
          <w:sz w:val="20"/>
          <w:szCs w:val="20"/>
        </w:rPr>
      </w:pPr>
      <w:r>
        <w:rPr>
          <w:rFonts w:ascii="Arial" w:hAnsi="Arial"/>
          <w:sz w:val="20"/>
          <w:szCs w:val="20"/>
        </w:rPr>
        <w:t>Despite the uncertain economic prospects the office-block building boom in the top 7 cities will continue practically unabated this year and in 2022. The volume of completions in the top 7 cities totals 3.36 million m² in 2021 and 2022.  57 % of the space has already been let off-plan, a year on year increase of four percentage points.</w:t>
      </w:r>
      <w:bookmarkEnd w:id="1"/>
      <w:bookmarkEnd w:id="3"/>
      <w:r>
        <w:rPr>
          <w:rFonts w:ascii="Arial" w:hAnsi="Arial"/>
          <w:sz w:val="20"/>
          <w:szCs w:val="20"/>
        </w:rPr>
        <w:t xml:space="preserve"> </w:t>
      </w:r>
      <w:r>
        <w:rPr>
          <w:rFonts w:ascii="Arial" w:hAnsi="Arial"/>
          <w:i/>
          <w:sz w:val="20"/>
          <w:szCs w:val="20"/>
        </w:rPr>
        <w:t>“The cautious optimism at the end of last year was justified. Instead of being subject to a dominant overall trend on the market, the cities are developing in very different ways, depending on their industrial mix and sub-markets. At present some clients are seeking large amounts of space and some firms are waiting until they know how they stand on the market. Due to upheavals in the way people work, it is likely that the overall take-up of space in the top 7 cities will fall well below pre-2019 levels”</w:t>
      </w:r>
      <w:r>
        <w:rPr>
          <w:rFonts w:ascii="Arial" w:hAnsi="Arial"/>
          <w:sz w:val="20"/>
          <w:szCs w:val="20"/>
        </w:rPr>
        <w:t xml:space="preserve">, forecasts </w:t>
      </w:r>
      <w:proofErr w:type="spellStart"/>
      <w:r>
        <w:rPr>
          <w:rFonts w:ascii="Arial" w:hAnsi="Arial"/>
          <w:b/>
          <w:sz w:val="20"/>
          <w:szCs w:val="20"/>
        </w:rPr>
        <w:t>Schön</w:t>
      </w:r>
      <w:proofErr w:type="spellEnd"/>
      <w:r>
        <w:rPr>
          <w:rFonts w:ascii="Arial" w:hAnsi="Arial"/>
          <w:b/>
          <w:sz w:val="20"/>
          <w:szCs w:val="20"/>
        </w:rPr>
        <w:t>.</w:t>
      </w:r>
    </w:p>
    <w:p w14:paraId="0BE30C96" w14:textId="21466292" w:rsidR="000A7B82" w:rsidRDefault="000A7B82" w:rsidP="00487ECE">
      <w:pPr>
        <w:spacing w:after="0" w:line="240" w:lineRule="auto"/>
        <w:rPr>
          <w:rFonts w:ascii="Arial" w:hAnsi="Arial" w:cs="Arial"/>
          <w:b/>
          <w:sz w:val="20"/>
          <w:szCs w:val="20"/>
        </w:rPr>
      </w:pPr>
    </w:p>
    <w:p w14:paraId="2820E23F" w14:textId="2ACD8EC0" w:rsidR="003A0BD4" w:rsidRDefault="003A0BD4" w:rsidP="003A0BD4">
      <w:pPr>
        <w:spacing w:after="0" w:line="240" w:lineRule="auto"/>
        <w:jc w:val="both"/>
        <w:rPr>
          <w:rFonts w:ascii="Arial" w:hAnsi="Arial" w:cs="Arial"/>
          <w:sz w:val="20"/>
          <w:szCs w:val="20"/>
        </w:rPr>
      </w:pPr>
      <w:r>
        <w:rPr>
          <w:rFonts w:ascii="Arial" w:hAnsi="Arial"/>
          <w:b/>
          <w:sz w:val="20"/>
          <w:szCs w:val="20"/>
        </w:rPr>
        <w:t>Major known agreements for 5,000 m² or more | Top 7 locations | 1st quarter 2021</w:t>
      </w:r>
    </w:p>
    <w:tbl>
      <w:tblPr>
        <w:tblStyle w:val="Tabellenraster"/>
        <w:tblW w:w="5000" w:type="pct"/>
        <w:tblLook w:val="04A0" w:firstRow="1" w:lastRow="0" w:firstColumn="1" w:lastColumn="0" w:noHBand="0" w:noVBand="1"/>
      </w:tblPr>
      <w:tblGrid>
        <w:gridCol w:w="818"/>
        <w:gridCol w:w="3845"/>
        <w:gridCol w:w="3400"/>
        <w:gridCol w:w="999"/>
      </w:tblGrid>
      <w:tr w:rsidR="003A0BD4" w14:paraId="2227A3D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b/>
                <w:sz w:val="16"/>
                <w:szCs w:val="16"/>
              </w:rPr>
              <w:t>City</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b/>
                <w:sz w:val="16"/>
                <w:szCs w:val="16"/>
              </w:rPr>
              <w:t>Project/property</w:t>
            </w:r>
          </w:p>
        </w:tc>
        <w:tc>
          <w:tcPr>
            <w:tcW w:w="187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b/>
                <w:sz w:val="16"/>
                <w:szCs w:val="16"/>
              </w:rPr>
              <w:t>Tenant/owner-occupier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b/>
                <w:sz w:val="16"/>
                <w:szCs w:val="16"/>
              </w:rPr>
              <w:t xml:space="preserve">Rental area </w:t>
            </w:r>
            <w:r>
              <w:rPr>
                <w:rFonts w:ascii="Arial" w:hAnsi="Arial"/>
                <w:sz w:val="16"/>
                <w:szCs w:val="16"/>
              </w:rPr>
              <w:t>(ca. m²)</w:t>
            </w:r>
          </w:p>
        </w:tc>
      </w:tr>
      <w:tr w:rsidR="00A4078F" w14:paraId="6B113FF8"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2A077193" w14:textId="1362F08B" w:rsidR="00A4078F" w:rsidRPr="001D6864" w:rsidRDefault="003D2A65">
            <w:pPr>
              <w:widowControl w:val="0"/>
              <w:jc w:val="center"/>
              <w:rPr>
                <w:rFonts w:ascii="Arial" w:hAnsi="Arial" w:cs="Arial"/>
                <w:bCs/>
                <w:sz w:val="16"/>
                <w:szCs w:val="16"/>
              </w:rPr>
            </w:pPr>
            <w:r>
              <w:rPr>
                <w:rFonts w:ascii="Arial" w:hAnsi="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7A9CE758" w14:textId="32CE789F" w:rsidR="00A4078F" w:rsidRPr="001D6864" w:rsidRDefault="003D2A65">
            <w:pPr>
              <w:widowControl w:val="0"/>
              <w:jc w:val="center"/>
              <w:rPr>
                <w:rFonts w:ascii="Arial" w:hAnsi="Arial" w:cs="Arial"/>
                <w:bCs/>
                <w:sz w:val="16"/>
                <w:szCs w:val="16"/>
              </w:rPr>
            </w:pPr>
            <w:r>
              <w:rPr>
                <w:rFonts w:ascii="Arial" w:hAnsi="Arial"/>
                <w:bCs/>
                <w:sz w:val="16"/>
                <w:szCs w:val="16"/>
              </w:rPr>
              <w:t xml:space="preserve">“Upbeat”, </w:t>
            </w:r>
            <w:proofErr w:type="spellStart"/>
            <w:r>
              <w:rPr>
                <w:rFonts w:ascii="Arial" w:hAnsi="Arial"/>
                <w:bCs/>
                <w:sz w:val="16"/>
                <w:szCs w:val="16"/>
              </w:rPr>
              <w:t>Heidestrasse</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14:paraId="70641E17" w14:textId="7D0E7FC9" w:rsidR="00A4078F" w:rsidRPr="001D6864" w:rsidRDefault="003D2A65">
            <w:pPr>
              <w:widowControl w:val="0"/>
              <w:jc w:val="center"/>
              <w:rPr>
                <w:rFonts w:ascii="Arial" w:hAnsi="Arial" w:cs="Arial"/>
                <w:bCs/>
                <w:sz w:val="16"/>
                <w:szCs w:val="16"/>
              </w:rPr>
            </w:pPr>
            <w:r>
              <w:rPr>
                <w:rFonts w:ascii="Arial" w:hAnsi="Arial"/>
                <w:bCs/>
                <w:sz w:val="16"/>
                <w:szCs w:val="16"/>
              </w:rPr>
              <w:t>DKB Bank</w:t>
            </w:r>
          </w:p>
        </w:tc>
        <w:tc>
          <w:tcPr>
            <w:tcW w:w="551" w:type="pct"/>
            <w:tcBorders>
              <w:top w:val="single" w:sz="4" w:space="0" w:color="auto"/>
              <w:left w:val="single" w:sz="4" w:space="0" w:color="auto"/>
              <w:bottom w:val="single" w:sz="4" w:space="0" w:color="auto"/>
              <w:right w:val="single" w:sz="4" w:space="0" w:color="auto"/>
            </w:tcBorders>
            <w:vAlign w:val="center"/>
          </w:tcPr>
          <w:p w14:paraId="4BE353C3" w14:textId="13FAA7D4" w:rsidR="00A4078F" w:rsidRPr="001D6864" w:rsidRDefault="003D2A65">
            <w:pPr>
              <w:widowControl w:val="0"/>
              <w:jc w:val="center"/>
              <w:rPr>
                <w:rFonts w:ascii="Arial" w:hAnsi="Arial" w:cs="Arial"/>
                <w:bCs/>
                <w:sz w:val="16"/>
                <w:szCs w:val="16"/>
              </w:rPr>
            </w:pPr>
            <w:r>
              <w:rPr>
                <w:rFonts w:ascii="Arial" w:hAnsi="Arial"/>
                <w:bCs/>
                <w:sz w:val="16"/>
                <w:szCs w:val="16"/>
              </w:rPr>
              <w:t>34,850</w:t>
            </w:r>
          </w:p>
        </w:tc>
      </w:tr>
      <w:tr w:rsidR="0064195A" w14:paraId="0211064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0D8B762" w14:textId="64418235" w:rsidR="0064195A" w:rsidRPr="001D6864" w:rsidRDefault="00422D91" w:rsidP="0064195A">
            <w:pPr>
              <w:widowControl w:val="0"/>
              <w:jc w:val="center"/>
              <w:rPr>
                <w:rFonts w:ascii="Arial" w:hAnsi="Arial" w:cs="Arial"/>
                <w:bCs/>
                <w:sz w:val="16"/>
                <w:szCs w:val="16"/>
              </w:rPr>
            </w:pPr>
            <w:r>
              <w:rPr>
                <w:rFonts w:ascii="Arial" w:hAnsi="Arial"/>
                <w:bCs/>
                <w:sz w:val="16"/>
                <w:szCs w:val="16"/>
              </w:rPr>
              <w:t>FFM</w:t>
            </w:r>
          </w:p>
        </w:tc>
        <w:tc>
          <w:tcPr>
            <w:tcW w:w="2121" w:type="pct"/>
            <w:tcBorders>
              <w:top w:val="single" w:sz="4" w:space="0" w:color="auto"/>
              <w:left w:val="single" w:sz="4" w:space="0" w:color="auto"/>
              <w:bottom w:val="single" w:sz="4" w:space="0" w:color="auto"/>
              <w:right w:val="single" w:sz="4" w:space="0" w:color="auto"/>
            </w:tcBorders>
            <w:vAlign w:val="center"/>
          </w:tcPr>
          <w:p w14:paraId="03098BAF" w14:textId="77777777" w:rsidR="00572796" w:rsidRPr="00B90116" w:rsidRDefault="00422D91" w:rsidP="00422D91">
            <w:pPr>
              <w:widowControl w:val="0"/>
              <w:jc w:val="center"/>
              <w:rPr>
                <w:rFonts w:ascii="Arial" w:hAnsi="Arial" w:cs="Arial"/>
                <w:bCs/>
                <w:sz w:val="16"/>
                <w:szCs w:val="16"/>
              </w:rPr>
            </w:pPr>
            <w:r>
              <w:rPr>
                <w:rFonts w:ascii="Arial" w:hAnsi="Arial"/>
                <w:bCs/>
                <w:sz w:val="16"/>
                <w:szCs w:val="16"/>
              </w:rPr>
              <w:t xml:space="preserve">“The Move Blue”, Gateway Gardens, </w:t>
            </w:r>
          </w:p>
          <w:p w14:paraId="64FFF168" w14:textId="24BD08DB" w:rsidR="0064195A" w:rsidRPr="001D6864" w:rsidRDefault="00422D91" w:rsidP="00422D91">
            <w:pPr>
              <w:widowControl w:val="0"/>
              <w:jc w:val="center"/>
              <w:rPr>
                <w:rFonts w:ascii="Arial" w:hAnsi="Arial" w:cs="Arial"/>
                <w:bCs/>
                <w:sz w:val="16"/>
                <w:szCs w:val="16"/>
              </w:rPr>
            </w:pPr>
            <w:r>
              <w:rPr>
                <w:rFonts w:ascii="Arial" w:hAnsi="Arial"/>
                <w:bCs/>
                <w:sz w:val="16"/>
                <w:szCs w:val="16"/>
              </w:rPr>
              <w:t>De-Saint-</w:t>
            </w:r>
            <w:proofErr w:type="spellStart"/>
            <w:r>
              <w:rPr>
                <w:rFonts w:ascii="Arial" w:hAnsi="Arial"/>
                <w:bCs/>
                <w:sz w:val="16"/>
                <w:szCs w:val="16"/>
              </w:rPr>
              <w:t>Exupèry</w:t>
            </w:r>
            <w:proofErr w:type="spellEnd"/>
            <w:r>
              <w:rPr>
                <w:rFonts w:ascii="Arial" w:hAnsi="Arial"/>
                <w:bCs/>
                <w:sz w:val="16"/>
                <w:szCs w:val="16"/>
              </w:rPr>
              <w:t>-</w:t>
            </w:r>
            <w:proofErr w:type="spellStart"/>
            <w:r>
              <w:rPr>
                <w:rFonts w:ascii="Arial" w:hAnsi="Arial"/>
                <w:bCs/>
                <w:sz w:val="16"/>
                <w:szCs w:val="16"/>
              </w:rPr>
              <w:t>Strasse</w:t>
            </w:r>
            <w:proofErr w:type="spellEnd"/>
            <w:r>
              <w:rPr>
                <w:rFonts w:ascii="Arial" w:hAnsi="Arial"/>
                <w:bCs/>
                <w:sz w:val="16"/>
                <w:szCs w:val="16"/>
              </w:rPr>
              <w:t xml:space="preserve"> 3, 5-7</w:t>
            </w:r>
          </w:p>
        </w:tc>
        <w:tc>
          <w:tcPr>
            <w:tcW w:w="1876" w:type="pct"/>
            <w:tcBorders>
              <w:top w:val="single" w:sz="4" w:space="0" w:color="auto"/>
              <w:left w:val="single" w:sz="4" w:space="0" w:color="auto"/>
              <w:bottom w:val="single" w:sz="4" w:space="0" w:color="auto"/>
              <w:right w:val="single" w:sz="4" w:space="0" w:color="auto"/>
            </w:tcBorders>
            <w:vAlign w:val="center"/>
          </w:tcPr>
          <w:p w14:paraId="49DD1592" w14:textId="10F03FCC" w:rsidR="0064195A" w:rsidRPr="001D6864" w:rsidRDefault="00422D91" w:rsidP="0064195A">
            <w:pPr>
              <w:widowControl w:val="0"/>
              <w:jc w:val="center"/>
              <w:rPr>
                <w:rFonts w:ascii="Arial" w:hAnsi="Arial" w:cs="Arial"/>
                <w:bCs/>
                <w:sz w:val="16"/>
                <w:szCs w:val="16"/>
              </w:rPr>
            </w:pPr>
            <w:r>
              <w:rPr>
                <w:rFonts w:ascii="Arial" w:hAnsi="Arial"/>
                <w:bCs/>
                <w:sz w:val="16"/>
                <w:szCs w:val="16"/>
              </w:rPr>
              <w:t>Siemens (owner-occupier</w:t>
            </w:r>
          </w:p>
        </w:tc>
        <w:tc>
          <w:tcPr>
            <w:tcW w:w="551" w:type="pct"/>
            <w:tcBorders>
              <w:top w:val="single" w:sz="4" w:space="0" w:color="auto"/>
              <w:left w:val="single" w:sz="4" w:space="0" w:color="auto"/>
              <w:bottom w:val="single" w:sz="4" w:space="0" w:color="auto"/>
              <w:right w:val="single" w:sz="4" w:space="0" w:color="auto"/>
            </w:tcBorders>
            <w:vAlign w:val="center"/>
          </w:tcPr>
          <w:p w14:paraId="4191665E" w14:textId="14394B21" w:rsidR="0064195A" w:rsidRPr="001D6864" w:rsidRDefault="00422D91" w:rsidP="0064195A">
            <w:pPr>
              <w:widowControl w:val="0"/>
              <w:jc w:val="center"/>
              <w:rPr>
                <w:rFonts w:ascii="Arial" w:hAnsi="Arial" w:cs="Arial"/>
                <w:bCs/>
                <w:sz w:val="16"/>
                <w:szCs w:val="16"/>
              </w:rPr>
            </w:pPr>
            <w:r>
              <w:rPr>
                <w:rFonts w:ascii="Arial" w:hAnsi="Arial"/>
                <w:bCs/>
                <w:sz w:val="16"/>
                <w:szCs w:val="16"/>
              </w:rPr>
              <w:t>15,000</w:t>
            </w:r>
          </w:p>
        </w:tc>
      </w:tr>
      <w:tr w:rsidR="0064195A" w14:paraId="4C96267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42345A5" w14:textId="153DFE9B" w:rsidR="0064195A" w:rsidRPr="007D3839" w:rsidRDefault="00422D91" w:rsidP="0064195A">
            <w:pPr>
              <w:widowControl w:val="0"/>
              <w:jc w:val="center"/>
              <w:rPr>
                <w:rFonts w:ascii="Arial" w:hAnsi="Arial" w:cs="Arial"/>
                <w:bCs/>
                <w:sz w:val="16"/>
                <w:szCs w:val="16"/>
              </w:rPr>
            </w:pPr>
            <w:r>
              <w:rPr>
                <w:rFonts w:ascii="Arial" w:hAnsi="Arial"/>
                <w:bCs/>
                <w:sz w:val="16"/>
                <w:szCs w:val="16"/>
              </w:rPr>
              <w:t>CGN</w:t>
            </w:r>
          </w:p>
        </w:tc>
        <w:tc>
          <w:tcPr>
            <w:tcW w:w="2121" w:type="pct"/>
            <w:tcBorders>
              <w:top w:val="single" w:sz="4" w:space="0" w:color="auto"/>
              <w:left w:val="single" w:sz="4" w:space="0" w:color="auto"/>
              <w:bottom w:val="single" w:sz="4" w:space="0" w:color="auto"/>
              <w:right w:val="single" w:sz="4" w:space="0" w:color="auto"/>
            </w:tcBorders>
            <w:vAlign w:val="center"/>
          </w:tcPr>
          <w:p w14:paraId="28339426" w14:textId="7B138FD6" w:rsidR="0064195A" w:rsidRPr="007D3839" w:rsidRDefault="00422D91" w:rsidP="0064195A">
            <w:pPr>
              <w:widowControl w:val="0"/>
              <w:jc w:val="center"/>
              <w:rPr>
                <w:rFonts w:ascii="Arial" w:hAnsi="Arial" w:cs="Arial"/>
                <w:bCs/>
                <w:sz w:val="16"/>
                <w:szCs w:val="16"/>
              </w:rPr>
            </w:pPr>
            <w:r>
              <w:rPr>
                <w:rFonts w:ascii="Arial" w:hAnsi="Arial"/>
                <w:bCs/>
                <w:sz w:val="16"/>
                <w:szCs w:val="16"/>
              </w:rPr>
              <w:t>Josef-</w:t>
            </w:r>
            <w:proofErr w:type="spellStart"/>
            <w:r>
              <w:rPr>
                <w:rFonts w:ascii="Arial" w:hAnsi="Arial"/>
                <w:bCs/>
                <w:sz w:val="16"/>
                <w:szCs w:val="16"/>
              </w:rPr>
              <w:t>Lammerting</w:t>
            </w:r>
            <w:proofErr w:type="spellEnd"/>
            <w:r>
              <w:rPr>
                <w:rFonts w:ascii="Arial" w:hAnsi="Arial"/>
                <w:bCs/>
                <w:sz w:val="16"/>
                <w:szCs w:val="16"/>
              </w:rPr>
              <w:t>-</w:t>
            </w:r>
            <w:proofErr w:type="spellStart"/>
            <w:r>
              <w:rPr>
                <w:rFonts w:ascii="Arial" w:hAnsi="Arial"/>
                <w:bCs/>
                <w:sz w:val="16"/>
                <w:szCs w:val="16"/>
              </w:rPr>
              <w:t>Allee</w:t>
            </w:r>
            <w:proofErr w:type="spellEnd"/>
            <w:r>
              <w:rPr>
                <w:rFonts w:ascii="Arial" w:hAnsi="Arial"/>
                <w:bCs/>
                <w:sz w:val="16"/>
                <w:szCs w:val="16"/>
              </w:rPr>
              <w:t xml:space="preserve"> 24-34</w:t>
            </w:r>
          </w:p>
        </w:tc>
        <w:tc>
          <w:tcPr>
            <w:tcW w:w="1876" w:type="pct"/>
            <w:tcBorders>
              <w:top w:val="single" w:sz="4" w:space="0" w:color="auto"/>
              <w:left w:val="single" w:sz="4" w:space="0" w:color="auto"/>
              <w:bottom w:val="single" w:sz="4" w:space="0" w:color="auto"/>
              <w:right w:val="single" w:sz="4" w:space="0" w:color="auto"/>
            </w:tcBorders>
            <w:vAlign w:val="center"/>
          </w:tcPr>
          <w:p w14:paraId="5DC73B09" w14:textId="344B10CF" w:rsidR="0064195A" w:rsidRPr="007D3839" w:rsidRDefault="006824E4" w:rsidP="0064195A">
            <w:pPr>
              <w:widowControl w:val="0"/>
              <w:jc w:val="center"/>
              <w:rPr>
                <w:rFonts w:ascii="Arial" w:hAnsi="Arial" w:cs="Arial"/>
                <w:bCs/>
                <w:sz w:val="16"/>
                <w:szCs w:val="16"/>
              </w:rPr>
            </w:pPr>
            <w:r>
              <w:rPr>
                <w:rFonts w:ascii="Arial" w:hAnsi="Arial"/>
                <w:bCs/>
                <w:sz w:val="16"/>
                <w:szCs w:val="16"/>
              </w:rPr>
              <w:t>Federal agency</w:t>
            </w:r>
          </w:p>
        </w:tc>
        <w:tc>
          <w:tcPr>
            <w:tcW w:w="551" w:type="pct"/>
            <w:tcBorders>
              <w:top w:val="single" w:sz="4" w:space="0" w:color="auto"/>
              <w:left w:val="single" w:sz="4" w:space="0" w:color="auto"/>
              <w:bottom w:val="single" w:sz="4" w:space="0" w:color="auto"/>
              <w:right w:val="single" w:sz="4" w:space="0" w:color="auto"/>
            </w:tcBorders>
            <w:vAlign w:val="center"/>
          </w:tcPr>
          <w:p w14:paraId="3F30C22E" w14:textId="6D61559C" w:rsidR="0064195A" w:rsidRPr="007D3839" w:rsidRDefault="00422D91" w:rsidP="0064195A">
            <w:pPr>
              <w:widowControl w:val="0"/>
              <w:jc w:val="center"/>
              <w:rPr>
                <w:rFonts w:ascii="Arial" w:hAnsi="Arial" w:cs="Arial"/>
                <w:bCs/>
                <w:sz w:val="16"/>
                <w:szCs w:val="16"/>
              </w:rPr>
            </w:pPr>
            <w:r>
              <w:rPr>
                <w:rFonts w:ascii="Arial" w:hAnsi="Arial"/>
                <w:bCs/>
                <w:sz w:val="16"/>
                <w:szCs w:val="16"/>
              </w:rPr>
              <w:t>13,000</w:t>
            </w:r>
          </w:p>
        </w:tc>
      </w:tr>
      <w:tr w:rsidR="00AC6344" w:rsidRPr="00012241" w14:paraId="2ECD8943"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9BA17" w14:textId="53A5AC4C" w:rsidR="00AC6344" w:rsidRDefault="00422D91" w:rsidP="0064195A">
            <w:pPr>
              <w:widowControl w:val="0"/>
              <w:jc w:val="center"/>
              <w:rPr>
                <w:rFonts w:ascii="Arial" w:hAnsi="Arial" w:cs="Arial"/>
                <w:bCs/>
                <w:sz w:val="16"/>
                <w:szCs w:val="16"/>
              </w:rPr>
            </w:pPr>
            <w:r>
              <w:rPr>
                <w:rFonts w:ascii="Arial" w:hAnsi="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4E8D6" w14:textId="595F8EC2" w:rsidR="00AC6344" w:rsidRDefault="00012241" w:rsidP="0064195A">
            <w:pPr>
              <w:widowControl w:val="0"/>
              <w:jc w:val="center"/>
              <w:rPr>
                <w:rFonts w:ascii="Arial" w:hAnsi="Arial" w:cs="Arial"/>
                <w:bCs/>
                <w:sz w:val="16"/>
                <w:szCs w:val="16"/>
              </w:rPr>
            </w:pPr>
            <w:r>
              <w:rPr>
                <w:rFonts w:ascii="Arial" w:hAnsi="Arial"/>
                <w:bCs/>
                <w:sz w:val="16"/>
                <w:szCs w:val="16"/>
              </w:rPr>
              <w:t xml:space="preserve">“Shed”, </w:t>
            </w:r>
            <w:proofErr w:type="spellStart"/>
            <w:r>
              <w:rPr>
                <w:rFonts w:ascii="Arial" w:hAnsi="Arial"/>
                <w:bCs/>
                <w:sz w:val="16"/>
                <w:szCs w:val="16"/>
              </w:rPr>
              <w:t>Sonnenallee</w:t>
            </w:r>
            <w:proofErr w:type="spellEnd"/>
            <w:r>
              <w:rPr>
                <w:rFonts w:ascii="Arial" w:hAnsi="Arial"/>
                <w:bCs/>
                <w:sz w:val="16"/>
                <w:szCs w:val="16"/>
              </w:rPr>
              <w:t xml:space="preserve"> 221</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5238C" w14:textId="084FEA39" w:rsidR="00AC6344" w:rsidRPr="00012241" w:rsidRDefault="00422D91" w:rsidP="0064195A">
            <w:pPr>
              <w:widowControl w:val="0"/>
              <w:jc w:val="center"/>
              <w:rPr>
                <w:rFonts w:ascii="Arial" w:hAnsi="Arial" w:cs="Arial"/>
                <w:bCs/>
                <w:sz w:val="16"/>
                <w:szCs w:val="16"/>
              </w:rPr>
            </w:pPr>
            <w:r>
              <w:rPr>
                <w:rFonts w:ascii="Arial" w:hAnsi="Arial"/>
                <w:bCs/>
                <w:sz w:val="16"/>
                <w:szCs w:val="16"/>
              </w:rPr>
              <w:t>SRH Berlin University of Applied Sciences</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1887A" w14:textId="53901AE8" w:rsidR="00AC6344" w:rsidRPr="00012241" w:rsidRDefault="00422D91" w:rsidP="0064195A">
            <w:pPr>
              <w:widowControl w:val="0"/>
              <w:jc w:val="center"/>
              <w:rPr>
                <w:rFonts w:ascii="Arial" w:hAnsi="Arial" w:cs="Arial"/>
                <w:bCs/>
                <w:sz w:val="16"/>
                <w:szCs w:val="16"/>
              </w:rPr>
            </w:pPr>
            <w:r>
              <w:rPr>
                <w:rFonts w:ascii="Arial" w:hAnsi="Arial"/>
                <w:bCs/>
                <w:sz w:val="16"/>
                <w:szCs w:val="16"/>
              </w:rPr>
              <w:t>13,000</w:t>
            </w:r>
          </w:p>
        </w:tc>
      </w:tr>
      <w:tr w:rsidR="00AC6344" w:rsidRPr="00012241" w14:paraId="1767CC0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1056A" w14:textId="1BE87D20" w:rsidR="00AC6344" w:rsidRDefault="00422D91" w:rsidP="0064195A">
            <w:pPr>
              <w:widowControl w:val="0"/>
              <w:jc w:val="center"/>
              <w:rPr>
                <w:rFonts w:ascii="Arial" w:hAnsi="Arial" w:cs="Arial"/>
                <w:bCs/>
                <w:sz w:val="16"/>
                <w:szCs w:val="16"/>
              </w:rPr>
            </w:pPr>
            <w:r>
              <w:rPr>
                <w:rFonts w:ascii="Arial" w:hAnsi="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9B49" w14:textId="5C3989D9" w:rsidR="00AC6344" w:rsidRDefault="00012241" w:rsidP="00012241">
            <w:pPr>
              <w:widowControl w:val="0"/>
              <w:jc w:val="center"/>
              <w:rPr>
                <w:rFonts w:ascii="Arial" w:hAnsi="Arial" w:cs="Arial"/>
                <w:bCs/>
                <w:sz w:val="16"/>
                <w:szCs w:val="16"/>
              </w:rPr>
            </w:pPr>
            <w:r>
              <w:rPr>
                <w:rFonts w:ascii="Arial" w:hAnsi="Arial"/>
                <w:bCs/>
                <w:sz w:val="16"/>
                <w:szCs w:val="16"/>
              </w:rPr>
              <w:t xml:space="preserve">“Ovum”, </w:t>
            </w:r>
            <w:proofErr w:type="spellStart"/>
            <w:r>
              <w:rPr>
                <w:rFonts w:ascii="Arial" w:hAnsi="Arial"/>
                <w:bCs/>
                <w:sz w:val="16"/>
                <w:szCs w:val="16"/>
              </w:rPr>
              <w:t>Stolberger</w:t>
            </w:r>
            <w:proofErr w:type="spellEnd"/>
            <w:r>
              <w:rPr>
                <w:rFonts w:ascii="Arial" w:hAnsi="Arial"/>
                <w:bCs/>
                <w:sz w:val="16"/>
                <w:szCs w:val="16"/>
              </w:rPr>
              <w:t xml:space="preserve"> </w:t>
            </w:r>
            <w:proofErr w:type="spellStart"/>
            <w:r>
              <w:rPr>
                <w:rFonts w:ascii="Arial" w:hAnsi="Arial"/>
                <w:bCs/>
                <w:sz w:val="16"/>
                <w:szCs w:val="16"/>
              </w:rPr>
              <w:t>Strasse</w:t>
            </w:r>
            <w:proofErr w:type="spellEnd"/>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08F4" w14:textId="5FBD96C3" w:rsidR="00AC6344" w:rsidRDefault="00422D91" w:rsidP="006824E4">
            <w:pPr>
              <w:widowControl w:val="0"/>
              <w:jc w:val="center"/>
              <w:rPr>
                <w:rFonts w:ascii="Arial" w:hAnsi="Arial" w:cs="Arial"/>
                <w:bCs/>
                <w:sz w:val="16"/>
                <w:szCs w:val="16"/>
              </w:rPr>
            </w:pPr>
            <w:r>
              <w:rPr>
                <w:rFonts w:ascii="Arial" w:hAnsi="Arial"/>
                <w:bCs/>
                <w:sz w:val="16"/>
                <w:szCs w:val="16"/>
              </w:rPr>
              <w:t>“BIMA” for a Federal agency</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F2C6B" w14:textId="73C53EC7" w:rsidR="00AC6344" w:rsidRDefault="00422D91" w:rsidP="0064195A">
            <w:pPr>
              <w:widowControl w:val="0"/>
              <w:jc w:val="center"/>
              <w:rPr>
                <w:rFonts w:ascii="Arial" w:hAnsi="Arial" w:cs="Arial"/>
                <w:bCs/>
                <w:sz w:val="16"/>
                <w:szCs w:val="16"/>
              </w:rPr>
            </w:pPr>
            <w:r>
              <w:rPr>
                <w:rFonts w:ascii="Arial" w:hAnsi="Arial"/>
                <w:bCs/>
                <w:sz w:val="16"/>
                <w:szCs w:val="16"/>
              </w:rPr>
              <w:t>12,000</w:t>
            </w:r>
          </w:p>
        </w:tc>
      </w:tr>
      <w:tr w:rsidR="00AC6344" w:rsidRPr="00012241" w14:paraId="37C7024D"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312F6" w14:textId="4E41D378" w:rsidR="00AC6344" w:rsidRDefault="001545E5" w:rsidP="0064195A">
            <w:pPr>
              <w:widowControl w:val="0"/>
              <w:jc w:val="center"/>
              <w:rPr>
                <w:rFonts w:ascii="Arial" w:hAnsi="Arial" w:cs="Arial"/>
                <w:bCs/>
                <w:sz w:val="16"/>
                <w:szCs w:val="16"/>
              </w:rPr>
            </w:pPr>
            <w:r>
              <w:rPr>
                <w:rFonts w:ascii="Arial" w:hAnsi="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48EC" w14:textId="74360AF4" w:rsidR="00AC6344" w:rsidRDefault="00012241" w:rsidP="0064195A">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denk.mal</w:t>
            </w:r>
            <w:proofErr w:type="spellEnd"/>
            <w:r>
              <w:rPr>
                <w:rFonts w:ascii="Arial" w:hAnsi="Arial"/>
                <w:bCs/>
                <w:sz w:val="16"/>
                <w:szCs w:val="16"/>
              </w:rPr>
              <w:t xml:space="preserve"> </w:t>
            </w:r>
            <w:proofErr w:type="spellStart"/>
            <w:r>
              <w:rPr>
                <w:rFonts w:ascii="Arial" w:hAnsi="Arial"/>
                <w:bCs/>
                <w:sz w:val="16"/>
                <w:szCs w:val="16"/>
              </w:rPr>
              <w:t>Hannoverscher</w:t>
            </w:r>
            <w:proofErr w:type="spellEnd"/>
            <w:r>
              <w:rPr>
                <w:rFonts w:ascii="Arial" w:hAnsi="Arial"/>
                <w:bCs/>
                <w:sz w:val="16"/>
                <w:szCs w:val="16"/>
              </w:rPr>
              <w:t xml:space="preserve"> </w:t>
            </w:r>
            <w:proofErr w:type="spellStart"/>
            <w:r>
              <w:rPr>
                <w:rFonts w:ascii="Arial" w:hAnsi="Arial"/>
                <w:bCs/>
                <w:sz w:val="16"/>
                <w:szCs w:val="16"/>
              </w:rPr>
              <w:t>Bahnhof</w:t>
            </w:r>
            <w:proofErr w:type="spellEnd"/>
            <w:r>
              <w:rPr>
                <w:rFonts w:ascii="Arial" w:hAnsi="Arial"/>
                <w:bCs/>
                <w:sz w:val="16"/>
                <w:szCs w:val="16"/>
              </w:rPr>
              <w:t>”,</w:t>
            </w:r>
            <w:r>
              <w:rPr>
                <w:rFonts w:ascii="Arial" w:hAnsi="Arial"/>
                <w:bCs/>
                <w:sz w:val="16"/>
                <w:szCs w:val="16"/>
              </w:rPr>
              <w:br/>
              <w:t xml:space="preserve">Am </w:t>
            </w:r>
            <w:proofErr w:type="spellStart"/>
            <w:r>
              <w:rPr>
                <w:rFonts w:ascii="Arial" w:hAnsi="Arial"/>
                <w:bCs/>
                <w:sz w:val="16"/>
                <w:szCs w:val="16"/>
              </w:rPr>
              <w:t>Lohsepark</w:t>
            </w:r>
            <w:proofErr w:type="spellEnd"/>
            <w:r>
              <w:rPr>
                <w:rFonts w:ascii="Arial" w:hAnsi="Arial"/>
                <w:bCs/>
                <w:sz w:val="16"/>
                <w:szCs w:val="16"/>
              </w:rPr>
              <w:t xml:space="preserve"> 67-69</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972C1" w14:textId="52BAD9EF" w:rsidR="00AC6344" w:rsidRDefault="00422D91" w:rsidP="0064195A">
            <w:pPr>
              <w:widowControl w:val="0"/>
              <w:jc w:val="center"/>
              <w:rPr>
                <w:rFonts w:ascii="Arial" w:hAnsi="Arial" w:cs="Arial"/>
                <w:bCs/>
                <w:sz w:val="16"/>
                <w:szCs w:val="16"/>
              </w:rPr>
            </w:pPr>
            <w:proofErr w:type="spellStart"/>
            <w:r>
              <w:rPr>
                <w:rFonts w:ascii="Arial" w:hAnsi="Arial"/>
                <w:bCs/>
                <w:sz w:val="16"/>
                <w:szCs w:val="16"/>
              </w:rPr>
              <w:t>Wintershall</w:t>
            </w:r>
            <w:proofErr w:type="spellEnd"/>
            <w:r>
              <w:rPr>
                <w:rFonts w:ascii="Arial" w:hAnsi="Arial"/>
                <w:bCs/>
                <w:sz w:val="16"/>
                <w:szCs w:val="16"/>
              </w:rPr>
              <w:t xml:space="preserve"> </w:t>
            </w:r>
            <w:proofErr w:type="spellStart"/>
            <w:r>
              <w:rPr>
                <w:rFonts w:ascii="Arial" w:hAnsi="Arial"/>
                <w:bCs/>
                <w:sz w:val="16"/>
                <w:szCs w:val="16"/>
              </w:rPr>
              <w:t>Dea</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3AF7" w14:textId="6E3C4F87" w:rsidR="00AC6344" w:rsidRDefault="00422D91" w:rsidP="0064195A">
            <w:pPr>
              <w:widowControl w:val="0"/>
              <w:jc w:val="center"/>
              <w:rPr>
                <w:rFonts w:ascii="Arial" w:hAnsi="Arial" w:cs="Arial"/>
                <w:bCs/>
                <w:sz w:val="16"/>
                <w:szCs w:val="16"/>
              </w:rPr>
            </w:pPr>
            <w:r>
              <w:rPr>
                <w:rFonts w:ascii="Arial" w:hAnsi="Arial"/>
                <w:bCs/>
                <w:sz w:val="16"/>
                <w:szCs w:val="16"/>
              </w:rPr>
              <w:t>11,350</w:t>
            </w:r>
          </w:p>
        </w:tc>
      </w:tr>
      <w:tr w:rsidR="0064195A" w14:paraId="72202694"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34BE444" w14:textId="6BE90A12" w:rsidR="0064195A" w:rsidRDefault="00422D91" w:rsidP="0064195A">
            <w:pPr>
              <w:widowControl w:val="0"/>
              <w:jc w:val="center"/>
              <w:rPr>
                <w:rFonts w:ascii="Arial" w:hAnsi="Arial" w:cs="Arial"/>
                <w:bCs/>
                <w:sz w:val="16"/>
                <w:szCs w:val="16"/>
              </w:rPr>
            </w:pPr>
            <w:r>
              <w:rPr>
                <w:rFonts w:ascii="Arial" w:hAnsi="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6180CAAF" w14:textId="3613DD7A" w:rsidR="0064195A" w:rsidRDefault="00422D91" w:rsidP="0064195A">
            <w:pPr>
              <w:widowControl w:val="0"/>
              <w:jc w:val="center"/>
              <w:rPr>
                <w:rFonts w:ascii="Arial" w:hAnsi="Arial" w:cs="Arial"/>
                <w:bCs/>
                <w:sz w:val="16"/>
                <w:szCs w:val="16"/>
              </w:rPr>
            </w:pPr>
            <w:proofErr w:type="spellStart"/>
            <w:r>
              <w:rPr>
                <w:rFonts w:ascii="Arial" w:hAnsi="Arial"/>
                <w:bCs/>
                <w:sz w:val="16"/>
                <w:szCs w:val="16"/>
              </w:rPr>
              <w:t>Rohrdamm</w:t>
            </w:r>
            <w:proofErr w:type="spellEnd"/>
            <w:r>
              <w:rPr>
                <w:rFonts w:ascii="Arial" w:hAnsi="Arial"/>
                <w:bCs/>
                <w:sz w:val="16"/>
                <w:szCs w:val="16"/>
              </w:rPr>
              <w:t xml:space="preserve"> 22</w:t>
            </w:r>
          </w:p>
        </w:tc>
        <w:tc>
          <w:tcPr>
            <w:tcW w:w="1876" w:type="pct"/>
            <w:tcBorders>
              <w:top w:val="single" w:sz="4" w:space="0" w:color="auto"/>
              <w:left w:val="single" w:sz="4" w:space="0" w:color="auto"/>
              <w:bottom w:val="single" w:sz="4" w:space="0" w:color="auto"/>
              <w:right w:val="single" w:sz="4" w:space="0" w:color="auto"/>
            </w:tcBorders>
            <w:vAlign w:val="center"/>
          </w:tcPr>
          <w:p w14:paraId="24EC8E71" w14:textId="17D3116E" w:rsidR="0064195A" w:rsidRDefault="00422D91" w:rsidP="0064195A">
            <w:pPr>
              <w:widowControl w:val="0"/>
              <w:jc w:val="center"/>
              <w:rPr>
                <w:rFonts w:ascii="Arial" w:hAnsi="Arial" w:cs="Arial"/>
                <w:bCs/>
                <w:sz w:val="16"/>
                <w:szCs w:val="16"/>
              </w:rPr>
            </w:pPr>
            <w:proofErr w:type="spellStart"/>
            <w:r>
              <w:rPr>
                <w:rFonts w:ascii="Arial" w:hAnsi="Arial"/>
                <w:bCs/>
                <w:sz w:val="16"/>
                <w:szCs w:val="16"/>
              </w:rPr>
              <w:t>Hochschule</w:t>
            </w:r>
            <w:proofErr w:type="spellEnd"/>
            <w:r>
              <w:rPr>
                <w:rFonts w:ascii="Arial" w:hAnsi="Arial"/>
                <w:bCs/>
                <w:sz w:val="16"/>
                <w:szCs w:val="16"/>
              </w:rPr>
              <w:t xml:space="preserve"> der </w:t>
            </w:r>
            <w:proofErr w:type="spellStart"/>
            <w:r>
              <w:rPr>
                <w:rFonts w:ascii="Arial" w:hAnsi="Arial"/>
                <w:bCs/>
                <w:sz w:val="16"/>
                <w:szCs w:val="16"/>
              </w:rPr>
              <w:t>Bundesrentenanstalt</w:t>
            </w:r>
            <w:proofErr w:type="spellEnd"/>
            <w:r>
              <w:rPr>
                <w:rFonts w:ascii="Arial" w:hAnsi="Arial"/>
                <w:bCs/>
                <w:sz w:val="16"/>
                <w:szCs w:val="16"/>
              </w:rPr>
              <w:t xml:space="preserve"> (Fed. </w:t>
            </w:r>
            <w:proofErr w:type="spellStart"/>
            <w:r>
              <w:rPr>
                <w:rFonts w:ascii="Arial" w:hAnsi="Arial"/>
                <w:bCs/>
                <w:sz w:val="16"/>
                <w:szCs w:val="16"/>
              </w:rPr>
              <w:t>univ.</w:t>
            </w:r>
            <w:proofErr w:type="spellEnd"/>
            <w:r>
              <w:rPr>
                <w:rFonts w:ascii="Arial" w:hAnsi="Arial"/>
                <w:bCs/>
                <w:sz w:val="16"/>
                <w:szCs w:val="16"/>
              </w:rPr>
              <w:t>)</w:t>
            </w:r>
          </w:p>
        </w:tc>
        <w:tc>
          <w:tcPr>
            <w:tcW w:w="551" w:type="pct"/>
            <w:tcBorders>
              <w:top w:val="single" w:sz="4" w:space="0" w:color="auto"/>
              <w:left w:val="single" w:sz="4" w:space="0" w:color="auto"/>
              <w:bottom w:val="single" w:sz="4" w:space="0" w:color="auto"/>
              <w:right w:val="single" w:sz="4" w:space="0" w:color="auto"/>
            </w:tcBorders>
            <w:vAlign w:val="center"/>
          </w:tcPr>
          <w:p w14:paraId="222149FD" w14:textId="73BDCA3A" w:rsidR="0064195A" w:rsidRDefault="00422D91" w:rsidP="0064195A">
            <w:pPr>
              <w:widowControl w:val="0"/>
              <w:jc w:val="center"/>
              <w:rPr>
                <w:rFonts w:ascii="Arial" w:hAnsi="Arial" w:cs="Arial"/>
                <w:bCs/>
                <w:sz w:val="16"/>
                <w:szCs w:val="16"/>
              </w:rPr>
            </w:pPr>
            <w:r>
              <w:rPr>
                <w:rFonts w:ascii="Arial" w:hAnsi="Arial"/>
                <w:bCs/>
                <w:sz w:val="16"/>
                <w:szCs w:val="16"/>
              </w:rPr>
              <w:t>10,315</w:t>
            </w:r>
          </w:p>
        </w:tc>
      </w:tr>
      <w:tr w:rsidR="00AC6344" w14:paraId="70DDA16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816FC" w14:textId="4C88412A" w:rsidR="00AC6344" w:rsidRDefault="001545E5" w:rsidP="00781941">
            <w:pPr>
              <w:widowControl w:val="0"/>
              <w:jc w:val="center"/>
              <w:rPr>
                <w:rFonts w:ascii="Arial" w:hAnsi="Arial" w:cs="Arial"/>
                <w:bCs/>
                <w:sz w:val="16"/>
                <w:szCs w:val="16"/>
              </w:rPr>
            </w:pPr>
            <w:r>
              <w:rPr>
                <w:rFonts w:ascii="Arial" w:hAnsi="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6A905" w14:textId="18408EBC" w:rsidR="00AC6344" w:rsidRDefault="00012241" w:rsidP="00012241">
            <w:pPr>
              <w:widowControl w:val="0"/>
              <w:jc w:val="center"/>
              <w:rPr>
                <w:rFonts w:ascii="Arial" w:hAnsi="Arial" w:cs="Arial"/>
                <w:bCs/>
                <w:sz w:val="16"/>
                <w:szCs w:val="16"/>
              </w:rPr>
            </w:pPr>
            <w:r>
              <w:rPr>
                <w:rFonts w:ascii="Arial" w:hAnsi="Arial"/>
                <w:bCs/>
                <w:sz w:val="16"/>
                <w:szCs w:val="16"/>
              </w:rPr>
              <w:t xml:space="preserve">“Oval Office”, </w:t>
            </w:r>
            <w:proofErr w:type="spellStart"/>
            <w:r>
              <w:rPr>
                <w:rFonts w:ascii="Arial" w:hAnsi="Arial"/>
                <w:bCs/>
                <w:sz w:val="16"/>
                <w:szCs w:val="16"/>
              </w:rPr>
              <w:t>Überseering</w:t>
            </w:r>
            <w:proofErr w:type="spellEnd"/>
            <w:r>
              <w:rPr>
                <w:rFonts w:ascii="Arial" w:hAnsi="Arial"/>
                <w:bCs/>
                <w:sz w:val="16"/>
                <w:szCs w:val="16"/>
              </w:rPr>
              <w:t xml:space="preserve"> 10</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F1F19" w14:textId="46087F52" w:rsidR="00AC6344" w:rsidRDefault="00422D91" w:rsidP="00781941">
            <w:pPr>
              <w:widowControl w:val="0"/>
              <w:jc w:val="center"/>
              <w:rPr>
                <w:rFonts w:ascii="Arial" w:hAnsi="Arial" w:cs="Arial"/>
                <w:bCs/>
                <w:sz w:val="16"/>
                <w:szCs w:val="16"/>
              </w:rPr>
            </w:pPr>
            <w:r>
              <w:rPr>
                <w:rFonts w:ascii="Arial" w:hAnsi="Arial"/>
                <w:bCs/>
                <w:sz w:val="16"/>
                <w:szCs w:val="16"/>
              </w:rPr>
              <w:t>Deutsche Bank</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8ECB5" w14:textId="7735A19A" w:rsidR="00AC6344" w:rsidRDefault="00422D91" w:rsidP="00781941">
            <w:pPr>
              <w:widowControl w:val="0"/>
              <w:jc w:val="center"/>
              <w:rPr>
                <w:rFonts w:ascii="Arial" w:hAnsi="Arial" w:cs="Arial"/>
                <w:bCs/>
                <w:sz w:val="16"/>
                <w:szCs w:val="16"/>
              </w:rPr>
            </w:pPr>
            <w:r>
              <w:rPr>
                <w:rFonts w:ascii="Arial" w:hAnsi="Arial"/>
                <w:bCs/>
                <w:sz w:val="16"/>
                <w:szCs w:val="16"/>
              </w:rPr>
              <w:t>9,600</w:t>
            </w:r>
          </w:p>
        </w:tc>
      </w:tr>
      <w:tr w:rsidR="00AC6344" w14:paraId="4F64A150"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E9060" w14:textId="4BB02585" w:rsidR="00AC6344" w:rsidRDefault="00422D91" w:rsidP="00781941">
            <w:pPr>
              <w:widowControl w:val="0"/>
              <w:jc w:val="center"/>
              <w:rPr>
                <w:rFonts w:ascii="Arial" w:hAnsi="Arial" w:cs="Arial"/>
                <w:bCs/>
                <w:sz w:val="16"/>
                <w:szCs w:val="16"/>
              </w:rPr>
            </w:pPr>
            <w:r>
              <w:rPr>
                <w:rFonts w:ascii="Arial" w:hAnsi="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58033" w14:textId="0AD29786" w:rsidR="00AC6344" w:rsidRDefault="00012241" w:rsidP="00781941">
            <w:pPr>
              <w:widowControl w:val="0"/>
              <w:jc w:val="center"/>
              <w:rPr>
                <w:rFonts w:ascii="Arial" w:hAnsi="Arial" w:cs="Arial"/>
                <w:bCs/>
                <w:sz w:val="16"/>
                <w:szCs w:val="16"/>
              </w:rPr>
            </w:pPr>
            <w:r>
              <w:rPr>
                <w:rFonts w:ascii="Arial" w:hAnsi="Arial"/>
                <w:bCs/>
                <w:sz w:val="16"/>
                <w:szCs w:val="16"/>
              </w:rPr>
              <w:t xml:space="preserve">“Palazzo </w:t>
            </w:r>
            <w:proofErr w:type="spellStart"/>
            <w:r>
              <w:rPr>
                <w:rFonts w:ascii="Arial" w:hAnsi="Arial"/>
                <w:bCs/>
                <w:sz w:val="16"/>
                <w:szCs w:val="16"/>
              </w:rPr>
              <w:t>Fiorentino</w:t>
            </w:r>
            <w:proofErr w:type="spellEnd"/>
            <w:r>
              <w:rPr>
                <w:rFonts w:ascii="Arial" w:hAnsi="Arial"/>
                <w:bCs/>
                <w:sz w:val="16"/>
                <w:szCs w:val="16"/>
              </w:rPr>
              <w:t xml:space="preserve">”, </w:t>
            </w:r>
            <w:proofErr w:type="spellStart"/>
            <w:r>
              <w:rPr>
                <w:rFonts w:ascii="Arial" w:hAnsi="Arial"/>
                <w:bCs/>
                <w:sz w:val="16"/>
                <w:szCs w:val="16"/>
              </w:rPr>
              <w:t>Gerbermühlstrasse</w:t>
            </w:r>
            <w:proofErr w:type="spellEnd"/>
            <w:r>
              <w:rPr>
                <w:rFonts w:ascii="Arial" w:hAnsi="Arial"/>
                <w:bCs/>
                <w:sz w:val="16"/>
                <w:szCs w:val="16"/>
              </w:rPr>
              <w:t xml:space="preserve"> 3-5</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40FC0" w14:textId="4AC64721" w:rsidR="00AC6344" w:rsidRDefault="00422D91" w:rsidP="00781941">
            <w:pPr>
              <w:widowControl w:val="0"/>
              <w:jc w:val="center"/>
              <w:rPr>
                <w:rFonts w:ascii="Arial" w:hAnsi="Arial" w:cs="Arial"/>
                <w:bCs/>
                <w:sz w:val="16"/>
                <w:szCs w:val="16"/>
              </w:rPr>
            </w:pPr>
            <w:r>
              <w:rPr>
                <w:rFonts w:ascii="Arial" w:hAnsi="Arial"/>
                <w:bCs/>
                <w:sz w:val="16"/>
                <w:szCs w:val="16"/>
              </w:rPr>
              <w:t>Municipal unit</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0FD1" w14:textId="1068C613" w:rsidR="00AC6344" w:rsidRDefault="00012241" w:rsidP="00781941">
            <w:pPr>
              <w:widowControl w:val="0"/>
              <w:jc w:val="center"/>
              <w:rPr>
                <w:rFonts w:ascii="Arial" w:hAnsi="Arial" w:cs="Arial"/>
                <w:bCs/>
                <w:sz w:val="16"/>
                <w:szCs w:val="16"/>
              </w:rPr>
            </w:pPr>
            <w:r>
              <w:rPr>
                <w:rFonts w:ascii="Arial" w:hAnsi="Arial"/>
                <w:bCs/>
                <w:sz w:val="16"/>
                <w:szCs w:val="16"/>
              </w:rPr>
              <w:t>7,600</w:t>
            </w:r>
          </w:p>
        </w:tc>
      </w:tr>
      <w:tr w:rsidR="00781941" w14:paraId="59AB7AD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64FAD95" w14:textId="671454FD" w:rsidR="00781941" w:rsidRDefault="00422D91" w:rsidP="00781941">
            <w:pPr>
              <w:widowControl w:val="0"/>
              <w:jc w:val="center"/>
              <w:rPr>
                <w:rFonts w:ascii="Arial" w:hAnsi="Arial" w:cs="Arial"/>
                <w:bCs/>
                <w:sz w:val="16"/>
                <w:szCs w:val="16"/>
              </w:rPr>
            </w:pPr>
            <w:r>
              <w:rPr>
                <w:rFonts w:ascii="Arial" w:hAnsi="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49C31D4C" w14:textId="34F985BA" w:rsidR="00781941" w:rsidRDefault="00422D91" w:rsidP="00781941">
            <w:pPr>
              <w:widowControl w:val="0"/>
              <w:jc w:val="center"/>
              <w:rPr>
                <w:rFonts w:ascii="Arial" w:hAnsi="Arial" w:cs="Arial"/>
                <w:bCs/>
                <w:sz w:val="16"/>
                <w:szCs w:val="16"/>
              </w:rPr>
            </w:pPr>
            <w:proofErr w:type="spellStart"/>
            <w:r>
              <w:rPr>
                <w:rFonts w:ascii="Arial" w:hAnsi="Arial"/>
                <w:bCs/>
                <w:sz w:val="16"/>
                <w:szCs w:val="16"/>
              </w:rPr>
              <w:t>Solmsstrasse</w:t>
            </w:r>
            <w:proofErr w:type="spellEnd"/>
            <w:r>
              <w:rPr>
                <w:rFonts w:ascii="Arial" w:hAnsi="Arial"/>
                <w:bCs/>
                <w:sz w:val="16"/>
                <w:szCs w:val="16"/>
              </w:rPr>
              <w:t xml:space="preserve"> 16-22</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5D47C33A" w14:textId="2594D846" w:rsidR="00781941" w:rsidRDefault="00422D91" w:rsidP="00781941">
            <w:pPr>
              <w:widowControl w:val="0"/>
              <w:jc w:val="center"/>
              <w:rPr>
                <w:rFonts w:ascii="Arial" w:hAnsi="Arial" w:cs="Arial"/>
                <w:bCs/>
                <w:sz w:val="16"/>
                <w:szCs w:val="16"/>
              </w:rPr>
            </w:pPr>
            <w:proofErr w:type="spellStart"/>
            <w:r>
              <w:rPr>
                <w:rFonts w:ascii="Arial" w:hAnsi="Arial"/>
                <w:bCs/>
                <w:sz w:val="16"/>
                <w:szCs w:val="16"/>
              </w:rPr>
              <w:t>Mainova</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5196103" w14:textId="6F32B95E" w:rsidR="00781941" w:rsidRDefault="00012241" w:rsidP="00781941">
            <w:pPr>
              <w:widowControl w:val="0"/>
              <w:jc w:val="center"/>
              <w:rPr>
                <w:rFonts w:ascii="Arial" w:hAnsi="Arial" w:cs="Arial"/>
                <w:bCs/>
                <w:sz w:val="16"/>
                <w:szCs w:val="16"/>
              </w:rPr>
            </w:pPr>
            <w:r>
              <w:rPr>
                <w:rFonts w:ascii="Arial" w:hAnsi="Arial"/>
                <w:bCs/>
                <w:sz w:val="16"/>
                <w:szCs w:val="16"/>
              </w:rPr>
              <w:t>6,900</w:t>
            </w:r>
          </w:p>
        </w:tc>
      </w:tr>
      <w:tr w:rsidR="00AC6344" w14:paraId="3C2B48F5"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46826" w14:textId="4BDDA93B" w:rsidR="00AC6344" w:rsidRDefault="00422D91" w:rsidP="00781941">
            <w:pPr>
              <w:widowControl w:val="0"/>
              <w:jc w:val="center"/>
              <w:rPr>
                <w:rFonts w:ascii="Arial" w:hAnsi="Arial" w:cs="Arial"/>
                <w:bCs/>
                <w:sz w:val="16"/>
                <w:szCs w:val="16"/>
              </w:rPr>
            </w:pPr>
            <w:r>
              <w:rPr>
                <w:rFonts w:ascii="Arial" w:hAnsi="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3154" w14:textId="11D19F31" w:rsidR="00AC6344" w:rsidRDefault="00422D91" w:rsidP="00781941">
            <w:pPr>
              <w:widowControl w:val="0"/>
              <w:jc w:val="center"/>
              <w:rPr>
                <w:rFonts w:ascii="Arial" w:hAnsi="Arial" w:cs="Arial"/>
                <w:bCs/>
                <w:sz w:val="16"/>
                <w:szCs w:val="16"/>
              </w:rPr>
            </w:pPr>
            <w:r>
              <w:rPr>
                <w:rFonts w:ascii="Arial" w:hAnsi="Arial"/>
                <w:bCs/>
                <w:sz w:val="16"/>
                <w:szCs w:val="16"/>
              </w:rPr>
              <w:t>Edmund-</w:t>
            </w:r>
            <w:proofErr w:type="spellStart"/>
            <w:r>
              <w:rPr>
                <w:rFonts w:ascii="Arial" w:hAnsi="Arial"/>
                <w:bCs/>
                <w:sz w:val="16"/>
                <w:szCs w:val="16"/>
              </w:rPr>
              <w:t>Rumpler</w:t>
            </w:r>
            <w:proofErr w:type="spellEnd"/>
            <w:r>
              <w:rPr>
                <w:rFonts w:ascii="Arial" w:hAnsi="Arial"/>
                <w:bCs/>
                <w:sz w:val="16"/>
                <w:szCs w:val="16"/>
              </w:rPr>
              <w:t>-</w:t>
            </w:r>
            <w:proofErr w:type="spellStart"/>
            <w:r>
              <w:rPr>
                <w:rFonts w:ascii="Arial" w:hAnsi="Arial"/>
                <w:bCs/>
                <w:sz w:val="16"/>
                <w:szCs w:val="16"/>
              </w:rPr>
              <w:t>Strasse</w:t>
            </w:r>
            <w:proofErr w:type="spellEnd"/>
            <w:r>
              <w:rPr>
                <w:rFonts w:ascii="Arial" w:hAnsi="Arial"/>
                <w:bCs/>
                <w:sz w:val="16"/>
                <w:szCs w:val="16"/>
              </w:rPr>
              <w:t xml:space="preserve"> 6</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D2DD8" w14:textId="5DD39D49" w:rsidR="00AC6344" w:rsidRDefault="00422D91" w:rsidP="00781941">
            <w:pPr>
              <w:widowControl w:val="0"/>
              <w:jc w:val="center"/>
              <w:rPr>
                <w:rFonts w:ascii="Arial" w:hAnsi="Arial" w:cs="Arial"/>
                <w:bCs/>
                <w:sz w:val="16"/>
                <w:szCs w:val="16"/>
              </w:rPr>
            </w:pPr>
            <w:r>
              <w:rPr>
                <w:rFonts w:ascii="Arial" w:hAnsi="Arial"/>
                <w:bCs/>
                <w:sz w:val="16"/>
                <w:szCs w:val="16"/>
              </w:rPr>
              <w:t>Federal agency</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49881" w14:textId="2C6D5D7E" w:rsidR="00AC6344" w:rsidRDefault="00012241" w:rsidP="00781941">
            <w:pPr>
              <w:widowControl w:val="0"/>
              <w:jc w:val="center"/>
              <w:rPr>
                <w:rFonts w:ascii="Arial" w:hAnsi="Arial" w:cs="Arial"/>
                <w:bCs/>
                <w:sz w:val="16"/>
                <w:szCs w:val="16"/>
              </w:rPr>
            </w:pPr>
            <w:r>
              <w:rPr>
                <w:rFonts w:ascii="Arial" w:hAnsi="Arial"/>
                <w:bCs/>
                <w:sz w:val="16"/>
                <w:szCs w:val="16"/>
              </w:rPr>
              <w:t>5,000</w:t>
            </w:r>
          </w:p>
        </w:tc>
      </w:tr>
    </w:tbl>
    <w:p w14:paraId="005F449C" w14:textId="35A11AB1" w:rsidR="005D5FA2" w:rsidRDefault="003A0BD4" w:rsidP="00270DA3">
      <w:pPr>
        <w:widowControl w:val="0"/>
        <w:spacing w:after="0"/>
        <w:rPr>
          <w:rFonts w:ascii="Arial" w:hAnsi="Arial" w:cs="Arial"/>
          <w:sz w:val="16"/>
          <w:szCs w:val="16"/>
        </w:rPr>
      </w:pPr>
      <w:r>
        <w:rPr>
          <w:rFonts w:ascii="Arial" w:hAnsi="Arial"/>
          <w:sz w:val="16"/>
          <w:szCs w:val="16"/>
        </w:rPr>
        <w:lastRenderedPageBreak/>
        <w:t>Source: German Property Partners (GPP)</w:t>
      </w:r>
    </w:p>
    <w:p w14:paraId="5E5A1042" w14:textId="5CDE135F" w:rsidR="00C65127" w:rsidRPr="00DD4941" w:rsidRDefault="00C65127" w:rsidP="0021443F">
      <w:pPr>
        <w:spacing w:after="0" w:line="240" w:lineRule="auto"/>
        <w:rPr>
          <w:rFonts w:ascii="Arial" w:hAnsi="Arial" w:cs="Arial"/>
          <w:sz w:val="16"/>
          <w:szCs w:val="16"/>
        </w:rPr>
      </w:pPr>
      <w:bookmarkStart w:id="4" w:name="_GoBack"/>
      <w:bookmarkEnd w:id="4"/>
      <w:r>
        <w:rPr>
          <w:rFonts w:ascii="Arial" w:hAnsi="Arial"/>
          <w:b/>
          <w:sz w:val="20"/>
          <w:szCs w:val="20"/>
        </w:rPr>
        <w:t>Top 7 cities | 1st quarter of 2021</w:t>
      </w:r>
    </w:p>
    <w:tbl>
      <w:tblPr>
        <w:tblStyle w:val="Tabellenraster"/>
        <w:tblW w:w="5000" w:type="pct"/>
        <w:tblLook w:val="04A0" w:firstRow="1" w:lastRow="0" w:firstColumn="1" w:lastColumn="0" w:noHBand="0" w:noVBand="1"/>
      </w:tblPr>
      <w:tblGrid>
        <w:gridCol w:w="1779"/>
        <w:gridCol w:w="904"/>
        <w:gridCol w:w="928"/>
        <w:gridCol w:w="904"/>
        <w:gridCol w:w="904"/>
        <w:gridCol w:w="905"/>
        <w:gridCol w:w="905"/>
        <w:gridCol w:w="905"/>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Top 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Pr>
                <w:rFonts w:ascii="Arial" w:hAnsi="Arial"/>
                <w:b/>
                <w:sz w:val="16"/>
                <w:szCs w:val="16"/>
              </w:rPr>
              <w:t>Take-up of space</w:t>
            </w:r>
          </w:p>
          <w:p w14:paraId="318DB722" w14:textId="77777777" w:rsidR="00C65127" w:rsidRPr="004D02F0" w:rsidRDefault="00C65127" w:rsidP="00422A01">
            <w:pPr>
              <w:widowControl w:val="0"/>
              <w:rPr>
                <w:rFonts w:ascii="Arial" w:hAnsi="Arial" w:cs="Arial"/>
                <w:b/>
                <w:sz w:val="16"/>
                <w:szCs w:val="16"/>
              </w:rPr>
            </w:pPr>
            <w:r>
              <w:rPr>
                <w:rFonts w:ascii="Arial" w:hAnsi="Arial"/>
                <w:sz w:val="16"/>
                <w:szCs w:val="16"/>
              </w:rPr>
              <w:t>in m²</w:t>
            </w:r>
          </w:p>
        </w:tc>
        <w:tc>
          <w:tcPr>
            <w:tcW w:w="502" w:type="pct"/>
            <w:vAlign w:val="center"/>
          </w:tcPr>
          <w:p w14:paraId="24B76314" w14:textId="39528CFF" w:rsidR="00C65127" w:rsidRPr="004D02F0" w:rsidRDefault="00C73546" w:rsidP="00422A01">
            <w:pPr>
              <w:jc w:val="center"/>
              <w:rPr>
                <w:rFonts w:ascii="Arial" w:hAnsi="Arial" w:cs="Arial"/>
                <w:sz w:val="16"/>
                <w:szCs w:val="16"/>
              </w:rPr>
            </w:pPr>
            <w:r>
              <w:rPr>
                <w:rFonts w:ascii="Arial" w:hAnsi="Arial"/>
                <w:sz w:val="16"/>
                <w:szCs w:val="16"/>
              </w:rPr>
              <w:t>130,000</w:t>
            </w:r>
          </w:p>
        </w:tc>
        <w:tc>
          <w:tcPr>
            <w:tcW w:w="502" w:type="pct"/>
            <w:vAlign w:val="center"/>
          </w:tcPr>
          <w:p w14:paraId="2A60B3EF" w14:textId="3565FE1A" w:rsidR="00C65127" w:rsidRPr="00CF3114" w:rsidRDefault="00C73546" w:rsidP="00422A01">
            <w:pPr>
              <w:jc w:val="center"/>
              <w:rPr>
                <w:rFonts w:ascii="Arial" w:hAnsi="Arial" w:cs="Arial"/>
                <w:sz w:val="16"/>
                <w:szCs w:val="16"/>
                <w:u w:val="single"/>
              </w:rPr>
            </w:pPr>
            <w:r>
              <w:rPr>
                <w:rFonts w:ascii="Arial" w:hAnsi="Arial"/>
                <w:sz w:val="16"/>
                <w:szCs w:val="16"/>
                <w:u w:val="single"/>
              </w:rPr>
              <w:t>160,000</w:t>
            </w:r>
          </w:p>
        </w:tc>
        <w:tc>
          <w:tcPr>
            <w:tcW w:w="502" w:type="pct"/>
            <w:vAlign w:val="center"/>
          </w:tcPr>
          <w:p w14:paraId="5AE39E1B" w14:textId="23D22050" w:rsidR="00C65127" w:rsidRPr="004D02F0" w:rsidRDefault="00C73546" w:rsidP="00422A01">
            <w:pPr>
              <w:jc w:val="center"/>
              <w:rPr>
                <w:rFonts w:ascii="Arial" w:hAnsi="Arial" w:cs="Arial"/>
                <w:sz w:val="16"/>
                <w:szCs w:val="16"/>
              </w:rPr>
            </w:pPr>
            <w:r>
              <w:rPr>
                <w:rFonts w:ascii="Arial" w:hAnsi="Arial"/>
                <w:sz w:val="16"/>
                <w:szCs w:val="16"/>
              </w:rPr>
              <w:t>50,600</w:t>
            </w:r>
          </w:p>
        </w:tc>
        <w:tc>
          <w:tcPr>
            <w:tcW w:w="502" w:type="pct"/>
            <w:vAlign w:val="center"/>
          </w:tcPr>
          <w:p w14:paraId="69355A2E" w14:textId="6DB46A08" w:rsidR="00C65127" w:rsidRPr="004D02F0" w:rsidRDefault="009A401D" w:rsidP="00422A01">
            <w:pPr>
              <w:jc w:val="center"/>
              <w:rPr>
                <w:rFonts w:ascii="Arial" w:hAnsi="Arial" w:cs="Arial"/>
                <w:sz w:val="16"/>
                <w:szCs w:val="16"/>
              </w:rPr>
            </w:pPr>
            <w:r>
              <w:rPr>
                <w:rFonts w:ascii="Arial" w:hAnsi="Arial"/>
                <w:sz w:val="16"/>
                <w:szCs w:val="16"/>
              </w:rPr>
              <w:t>85,000</w:t>
            </w:r>
          </w:p>
        </w:tc>
        <w:tc>
          <w:tcPr>
            <w:tcW w:w="502" w:type="pct"/>
            <w:vAlign w:val="center"/>
          </w:tcPr>
          <w:p w14:paraId="3ED197E3" w14:textId="0A32A621" w:rsidR="00C65127" w:rsidRPr="004D02F0" w:rsidRDefault="00C73546" w:rsidP="00422A01">
            <w:pPr>
              <w:jc w:val="center"/>
              <w:rPr>
                <w:rFonts w:ascii="Arial" w:hAnsi="Arial" w:cs="Arial"/>
                <w:sz w:val="16"/>
                <w:szCs w:val="16"/>
              </w:rPr>
            </w:pPr>
            <w:r>
              <w:rPr>
                <w:rFonts w:ascii="Arial" w:hAnsi="Arial"/>
                <w:sz w:val="16"/>
                <w:szCs w:val="16"/>
              </w:rPr>
              <w:t>96,200</w:t>
            </w:r>
          </w:p>
        </w:tc>
        <w:tc>
          <w:tcPr>
            <w:tcW w:w="502" w:type="pct"/>
            <w:vAlign w:val="center"/>
          </w:tcPr>
          <w:p w14:paraId="09BCBF01" w14:textId="7F31C72D" w:rsidR="00C65127" w:rsidRPr="004D02F0" w:rsidRDefault="00C73546" w:rsidP="00422A01">
            <w:pPr>
              <w:jc w:val="center"/>
              <w:rPr>
                <w:rFonts w:ascii="Arial" w:hAnsi="Arial" w:cs="Arial"/>
                <w:sz w:val="16"/>
                <w:szCs w:val="16"/>
              </w:rPr>
            </w:pPr>
            <w:r>
              <w:rPr>
                <w:rFonts w:ascii="Arial" w:hAnsi="Arial"/>
                <w:sz w:val="16"/>
                <w:szCs w:val="16"/>
              </w:rPr>
              <w:t>33,000</w:t>
            </w:r>
          </w:p>
        </w:tc>
        <w:tc>
          <w:tcPr>
            <w:tcW w:w="502" w:type="pct"/>
            <w:vAlign w:val="center"/>
          </w:tcPr>
          <w:p w14:paraId="28F82D2E" w14:textId="507D1A7A" w:rsidR="00C65127" w:rsidRPr="00CC4940" w:rsidRDefault="009C715E" w:rsidP="00422A01">
            <w:pPr>
              <w:jc w:val="center"/>
              <w:rPr>
                <w:rFonts w:ascii="Arial" w:hAnsi="Arial" w:cs="Arial"/>
                <w:sz w:val="16"/>
                <w:szCs w:val="16"/>
              </w:rPr>
            </w:pPr>
            <w:r>
              <w:rPr>
                <w:rFonts w:ascii="Arial" w:hAnsi="Arial"/>
                <w:sz w:val="16"/>
                <w:szCs w:val="16"/>
              </w:rPr>
              <w:t>100,500</w:t>
            </w:r>
          </w:p>
        </w:tc>
        <w:tc>
          <w:tcPr>
            <w:tcW w:w="502" w:type="pct"/>
            <w:vAlign w:val="center"/>
          </w:tcPr>
          <w:p w14:paraId="53EA10CE" w14:textId="5016552A" w:rsidR="00C65127" w:rsidRPr="00CC4940" w:rsidRDefault="009F7830" w:rsidP="00422A01">
            <w:pPr>
              <w:jc w:val="center"/>
              <w:rPr>
                <w:rFonts w:ascii="Arial" w:hAnsi="Arial" w:cs="Arial"/>
                <w:b/>
                <w:sz w:val="16"/>
                <w:szCs w:val="16"/>
              </w:rPr>
            </w:pPr>
            <w:r>
              <w:rPr>
                <w:rFonts w:ascii="Arial" w:hAnsi="Arial"/>
                <w:b/>
                <w:bCs/>
                <w:sz w:val="16"/>
                <w:szCs w:val="16"/>
              </w:rPr>
              <w:t>655,300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Pr>
                <w:rFonts w:ascii="Arial" w:hAnsi="Arial"/>
                <w:b/>
                <w:sz w:val="16"/>
                <w:szCs w:val="16"/>
              </w:rPr>
              <w:t>Change</w:t>
            </w:r>
          </w:p>
          <w:p w14:paraId="3888A71B" w14:textId="77777777" w:rsidR="00C65127" w:rsidRPr="004D02F0" w:rsidRDefault="00C65127" w:rsidP="00422A01">
            <w:pPr>
              <w:widowControl w:val="0"/>
              <w:rPr>
                <w:rFonts w:ascii="Arial" w:hAnsi="Arial" w:cs="Arial"/>
                <w:b/>
                <w:sz w:val="16"/>
                <w:szCs w:val="16"/>
              </w:rPr>
            </w:pPr>
            <w:r>
              <w:rPr>
                <w:rFonts w:ascii="Arial" w:hAnsi="Arial"/>
                <w:sz w:val="16"/>
                <w:szCs w:val="16"/>
              </w:rPr>
              <w:t xml:space="preserve">against prior </w:t>
            </w:r>
            <w:proofErr w:type="spellStart"/>
            <w:r>
              <w:rPr>
                <w:rFonts w:ascii="Arial" w:hAnsi="Arial"/>
                <w:sz w:val="16"/>
                <w:szCs w:val="16"/>
              </w:rPr>
              <w:t>yr</w:t>
            </w:r>
            <w:proofErr w:type="spellEnd"/>
            <w:r>
              <w:rPr>
                <w:rFonts w:ascii="Arial" w:hAnsi="Arial"/>
                <w:sz w:val="16"/>
                <w:szCs w:val="16"/>
              </w:rPr>
              <w:t xml:space="preserve"> in %</w:t>
            </w:r>
          </w:p>
        </w:tc>
        <w:tc>
          <w:tcPr>
            <w:tcW w:w="502" w:type="pct"/>
            <w:vAlign w:val="center"/>
          </w:tcPr>
          <w:p w14:paraId="6D7F8C99" w14:textId="4FAC1006" w:rsidR="00C65127" w:rsidRPr="004D02F0" w:rsidRDefault="00C73546" w:rsidP="00CF1C01">
            <w:pPr>
              <w:jc w:val="center"/>
              <w:rPr>
                <w:rFonts w:ascii="Arial" w:hAnsi="Arial" w:cs="Arial"/>
                <w:sz w:val="16"/>
                <w:szCs w:val="16"/>
              </w:rPr>
            </w:pPr>
            <w:r>
              <w:rPr>
                <w:rFonts w:ascii="Arial" w:hAnsi="Arial"/>
                <w:sz w:val="16"/>
                <w:szCs w:val="16"/>
              </w:rPr>
              <w:t>+37</w:t>
            </w:r>
          </w:p>
        </w:tc>
        <w:tc>
          <w:tcPr>
            <w:tcW w:w="502" w:type="pct"/>
            <w:vAlign w:val="center"/>
          </w:tcPr>
          <w:p w14:paraId="5141C8F6" w14:textId="242EC26F" w:rsidR="00C65127" w:rsidRPr="004D02F0" w:rsidRDefault="00C73546" w:rsidP="00CF1C01">
            <w:pPr>
              <w:jc w:val="center"/>
              <w:rPr>
                <w:rFonts w:ascii="Arial" w:hAnsi="Arial" w:cs="Arial"/>
                <w:sz w:val="16"/>
                <w:szCs w:val="16"/>
              </w:rPr>
            </w:pPr>
            <w:r>
              <w:rPr>
                <w:rFonts w:ascii="Arial" w:hAnsi="Arial"/>
                <w:sz w:val="16"/>
                <w:szCs w:val="16"/>
              </w:rPr>
              <w:t>+45</w:t>
            </w:r>
          </w:p>
        </w:tc>
        <w:tc>
          <w:tcPr>
            <w:tcW w:w="502" w:type="pct"/>
            <w:vAlign w:val="center"/>
          </w:tcPr>
          <w:p w14:paraId="63C7571D" w14:textId="6DD79A40" w:rsidR="00C65127" w:rsidRPr="004D02F0" w:rsidRDefault="00C73546" w:rsidP="00CF1C01">
            <w:pPr>
              <w:jc w:val="center"/>
              <w:rPr>
                <w:rFonts w:ascii="Arial" w:hAnsi="Arial" w:cs="Arial"/>
                <w:sz w:val="16"/>
                <w:szCs w:val="16"/>
              </w:rPr>
            </w:pPr>
            <w:r>
              <w:rPr>
                <w:rFonts w:ascii="Arial" w:hAnsi="Arial"/>
                <w:sz w:val="16"/>
                <w:szCs w:val="16"/>
              </w:rPr>
              <w:t>-51</w:t>
            </w:r>
          </w:p>
        </w:tc>
        <w:tc>
          <w:tcPr>
            <w:tcW w:w="502" w:type="pct"/>
            <w:vAlign w:val="center"/>
          </w:tcPr>
          <w:p w14:paraId="7165D3E4" w14:textId="2D3D8902" w:rsidR="00C65127" w:rsidRPr="00CF3114" w:rsidRDefault="009A401D" w:rsidP="00CF1C01">
            <w:pPr>
              <w:jc w:val="center"/>
              <w:rPr>
                <w:rFonts w:ascii="Arial" w:hAnsi="Arial" w:cs="Arial"/>
                <w:sz w:val="16"/>
                <w:szCs w:val="16"/>
                <w:u w:val="single"/>
              </w:rPr>
            </w:pPr>
            <w:r>
              <w:rPr>
                <w:rFonts w:ascii="Arial" w:hAnsi="Arial"/>
                <w:b/>
                <w:sz w:val="16"/>
                <w:szCs w:val="16"/>
                <w:u w:val="single"/>
              </w:rPr>
              <w:t>+113</w:t>
            </w:r>
          </w:p>
        </w:tc>
        <w:tc>
          <w:tcPr>
            <w:tcW w:w="502" w:type="pct"/>
            <w:vAlign w:val="center"/>
          </w:tcPr>
          <w:p w14:paraId="6A7EC24B" w14:textId="07A3B2A4" w:rsidR="00C65127" w:rsidRPr="004D02F0" w:rsidRDefault="00C73546" w:rsidP="00CF1C01">
            <w:pPr>
              <w:jc w:val="center"/>
              <w:rPr>
                <w:rFonts w:ascii="Arial" w:hAnsi="Arial" w:cs="Arial"/>
                <w:sz w:val="16"/>
                <w:szCs w:val="16"/>
              </w:rPr>
            </w:pPr>
            <w:r>
              <w:rPr>
                <w:rFonts w:ascii="Arial" w:hAnsi="Arial"/>
                <w:sz w:val="16"/>
                <w:szCs w:val="16"/>
              </w:rPr>
              <w:t>+34</w:t>
            </w:r>
          </w:p>
        </w:tc>
        <w:tc>
          <w:tcPr>
            <w:tcW w:w="502" w:type="pct"/>
            <w:vAlign w:val="center"/>
          </w:tcPr>
          <w:p w14:paraId="1BF0A9D0" w14:textId="2E9F61D3" w:rsidR="00C65127" w:rsidRPr="005A1563" w:rsidRDefault="00C73546" w:rsidP="00CF1C01">
            <w:pPr>
              <w:jc w:val="center"/>
              <w:rPr>
                <w:rFonts w:ascii="Arial" w:hAnsi="Arial" w:cs="Arial"/>
                <w:sz w:val="16"/>
                <w:szCs w:val="16"/>
              </w:rPr>
            </w:pPr>
            <w:r>
              <w:rPr>
                <w:rFonts w:ascii="Arial" w:hAnsi="Arial"/>
                <w:sz w:val="16"/>
                <w:szCs w:val="16"/>
              </w:rPr>
              <w:t>+3</w:t>
            </w:r>
          </w:p>
        </w:tc>
        <w:tc>
          <w:tcPr>
            <w:tcW w:w="502" w:type="pct"/>
            <w:vAlign w:val="center"/>
          </w:tcPr>
          <w:p w14:paraId="7AAF5FFC" w14:textId="04CFCE9B" w:rsidR="00C65127" w:rsidRPr="00CC4940" w:rsidRDefault="009C715E" w:rsidP="00CF1C01">
            <w:pPr>
              <w:jc w:val="center"/>
              <w:rPr>
                <w:rFonts w:ascii="Arial" w:hAnsi="Arial" w:cs="Arial"/>
                <w:sz w:val="16"/>
                <w:szCs w:val="16"/>
              </w:rPr>
            </w:pPr>
            <w:r>
              <w:rPr>
                <w:rFonts w:ascii="Arial" w:hAnsi="Arial"/>
                <w:sz w:val="16"/>
                <w:szCs w:val="16"/>
              </w:rPr>
              <w:t>-48</w:t>
            </w:r>
          </w:p>
        </w:tc>
        <w:tc>
          <w:tcPr>
            <w:tcW w:w="502" w:type="pct"/>
            <w:vAlign w:val="center"/>
          </w:tcPr>
          <w:p w14:paraId="35023511" w14:textId="7DA18437" w:rsidR="00C65127" w:rsidRPr="00CC4940" w:rsidRDefault="009F7830" w:rsidP="00C73546">
            <w:pPr>
              <w:jc w:val="center"/>
              <w:rPr>
                <w:rFonts w:ascii="Arial" w:hAnsi="Arial" w:cs="Arial"/>
                <w:b/>
                <w:sz w:val="16"/>
                <w:szCs w:val="16"/>
              </w:rPr>
            </w:pPr>
            <w:r>
              <w:rPr>
                <w:rFonts w:ascii="Arial" w:hAnsi="Arial"/>
                <w:b/>
                <w:sz w:val="16"/>
                <w:szCs w:val="16"/>
              </w:rPr>
              <w:t>+1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Pr>
                <w:rFonts w:ascii="Arial" w:hAnsi="Arial"/>
                <w:b/>
                <w:sz w:val="16"/>
                <w:szCs w:val="16"/>
              </w:rPr>
              <w:t>Premium rent</w:t>
            </w:r>
          </w:p>
          <w:p w14:paraId="5AAB1763" w14:textId="77777777" w:rsidR="00C65127" w:rsidRPr="004D02F0" w:rsidRDefault="00C65127" w:rsidP="00422A01">
            <w:pPr>
              <w:widowControl w:val="0"/>
              <w:rPr>
                <w:rFonts w:ascii="Arial" w:hAnsi="Arial" w:cs="Arial"/>
                <w:b/>
                <w:sz w:val="16"/>
                <w:szCs w:val="16"/>
              </w:rPr>
            </w:pPr>
            <w:r>
              <w:rPr>
                <w:rFonts w:ascii="Arial" w:hAnsi="Arial"/>
                <w:sz w:val="16"/>
                <w:szCs w:val="16"/>
              </w:rPr>
              <w:t>in €/m²/month</w:t>
            </w:r>
          </w:p>
        </w:tc>
        <w:tc>
          <w:tcPr>
            <w:tcW w:w="502" w:type="pct"/>
            <w:vAlign w:val="center"/>
          </w:tcPr>
          <w:p w14:paraId="70AD1691" w14:textId="566D02BD" w:rsidR="00C65127" w:rsidRPr="004D02F0" w:rsidRDefault="00C73546" w:rsidP="00422A01">
            <w:pPr>
              <w:jc w:val="center"/>
              <w:rPr>
                <w:rFonts w:ascii="Arial" w:hAnsi="Arial" w:cs="Arial"/>
                <w:sz w:val="16"/>
                <w:szCs w:val="16"/>
              </w:rPr>
            </w:pPr>
            <w:r>
              <w:rPr>
                <w:rFonts w:ascii="Arial" w:hAnsi="Arial"/>
                <w:sz w:val="16"/>
                <w:szCs w:val="16"/>
              </w:rPr>
              <w:t>31.00</w:t>
            </w:r>
          </w:p>
        </w:tc>
        <w:tc>
          <w:tcPr>
            <w:tcW w:w="502" w:type="pct"/>
            <w:vAlign w:val="center"/>
          </w:tcPr>
          <w:p w14:paraId="3B47B535" w14:textId="559071F2" w:rsidR="00C65127" w:rsidRPr="004D02F0" w:rsidRDefault="00B523C3" w:rsidP="00422A01">
            <w:pPr>
              <w:jc w:val="center"/>
              <w:rPr>
                <w:rFonts w:ascii="Arial" w:hAnsi="Arial" w:cs="Arial"/>
                <w:sz w:val="16"/>
                <w:szCs w:val="16"/>
              </w:rPr>
            </w:pPr>
            <w:r>
              <w:rPr>
                <w:rFonts w:ascii="Arial" w:hAnsi="Arial"/>
                <w:sz w:val="16"/>
                <w:szCs w:val="16"/>
              </w:rPr>
              <w:t>39.00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Pr>
                <w:rFonts w:ascii="Arial" w:hAnsi="Arial"/>
                <w:sz w:val="16"/>
                <w:szCs w:val="16"/>
              </w:rPr>
              <w:t>26.00</w:t>
            </w:r>
          </w:p>
        </w:tc>
        <w:tc>
          <w:tcPr>
            <w:tcW w:w="502" w:type="pct"/>
            <w:vAlign w:val="center"/>
          </w:tcPr>
          <w:p w14:paraId="2F6819D7" w14:textId="37F95A0E" w:rsidR="00C65127" w:rsidRPr="00CF3114" w:rsidRDefault="009918A6" w:rsidP="00422A01">
            <w:pPr>
              <w:jc w:val="center"/>
              <w:rPr>
                <w:rFonts w:ascii="Arial" w:hAnsi="Arial" w:cs="Arial"/>
                <w:sz w:val="16"/>
                <w:szCs w:val="16"/>
                <w:u w:val="single"/>
              </w:rPr>
            </w:pPr>
            <w:r>
              <w:rPr>
                <w:rFonts w:ascii="Arial" w:hAnsi="Arial"/>
                <w:sz w:val="16"/>
                <w:szCs w:val="16"/>
                <w:u w:val="single"/>
              </w:rPr>
              <w:t>45.00</w:t>
            </w:r>
          </w:p>
        </w:tc>
        <w:tc>
          <w:tcPr>
            <w:tcW w:w="502" w:type="pct"/>
            <w:vAlign w:val="center"/>
          </w:tcPr>
          <w:p w14:paraId="47B42CB7" w14:textId="07721C90" w:rsidR="00C65127" w:rsidRPr="004D02F0" w:rsidRDefault="00B523C3" w:rsidP="00422A01">
            <w:pPr>
              <w:jc w:val="center"/>
              <w:rPr>
                <w:rFonts w:ascii="Arial" w:hAnsi="Arial" w:cs="Arial"/>
                <w:sz w:val="16"/>
                <w:szCs w:val="16"/>
              </w:rPr>
            </w:pPr>
            <w:r>
              <w:rPr>
                <w:rFonts w:ascii="Arial" w:hAnsi="Arial"/>
                <w:sz w:val="16"/>
                <w:szCs w:val="16"/>
              </w:rPr>
              <w:t>25.00</w:t>
            </w:r>
          </w:p>
        </w:tc>
        <w:tc>
          <w:tcPr>
            <w:tcW w:w="502" w:type="pct"/>
            <w:vAlign w:val="center"/>
          </w:tcPr>
          <w:p w14:paraId="662439A0" w14:textId="64E756D6" w:rsidR="00C65127" w:rsidRPr="004D02F0" w:rsidRDefault="00B523C3" w:rsidP="00422A01">
            <w:pPr>
              <w:jc w:val="center"/>
              <w:rPr>
                <w:rFonts w:ascii="Arial" w:hAnsi="Arial" w:cs="Arial"/>
                <w:sz w:val="16"/>
                <w:szCs w:val="16"/>
              </w:rPr>
            </w:pPr>
            <w:r>
              <w:rPr>
                <w:rFonts w:ascii="Arial" w:hAnsi="Arial"/>
                <w:sz w:val="16"/>
                <w:szCs w:val="16"/>
              </w:rPr>
              <w:t>38.25</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Pr>
                <w:rFonts w:ascii="Arial" w:hAnsi="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Pr>
                <w:rFonts w:ascii="Arial" w:hAnsi="Arial"/>
                <w:b/>
                <w:sz w:val="16"/>
                <w:szCs w:val="16"/>
              </w:rPr>
              <w:t xml:space="preserve">Average rent </w:t>
            </w:r>
            <w:r>
              <w:rPr>
                <w:rFonts w:ascii="Arial" w:hAnsi="Arial"/>
                <w:sz w:val="16"/>
                <w:szCs w:val="16"/>
              </w:rPr>
              <w:t>[€/m²/month]</w:t>
            </w:r>
          </w:p>
        </w:tc>
        <w:tc>
          <w:tcPr>
            <w:tcW w:w="502" w:type="pct"/>
            <w:vAlign w:val="center"/>
          </w:tcPr>
          <w:p w14:paraId="3CFBDAD7" w14:textId="15ACA6BA" w:rsidR="00C65127" w:rsidRPr="004D02F0" w:rsidRDefault="00163785" w:rsidP="00422A01">
            <w:pPr>
              <w:jc w:val="center"/>
              <w:rPr>
                <w:rFonts w:ascii="Arial" w:hAnsi="Arial" w:cs="Arial"/>
                <w:sz w:val="16"/>
                <w:szCs w:val="16"/>
              </w:rPr>
            </w:pPr>
            <w:r>
              <w:rPr>
                <w:rFonts w:ascii="Arial" w:hAnsi="Arial"/>
                <w:sz w:val="16"/>
                <w:szCs w:val="16"/>
              </w:rPr>
              <w:t>17.90</w:t>
            </w:r>
          </w:p>
        </w:tc>
        <w:tc>
          <w:tcPr>
            <w:tcW w:w="502" w:type="pct"/>
            <w:vAlign w:val="center"/>
          </w:tcPr>
          <w:p w14:paraId="250741C6" w14:textId="6F33855E" w:rsidR="00C65127" w:rsidRPr="004E53EE" w:rsidRDefault="00B523C3" w:rsidP="00422A01">
            <w:pPr>
              <w:jc w:val="center"/>
              <w:rPr>
                <w:rFonts w:ascii="Arial" w:hAnsi="Arial" w:cs="Arial"/>
                <w:b/>
                <w:sz w:val="16"/>
                <w:szCs w:val="16"/>
                <w:u w:val="single"/>
              </w:rPr>
            </w:pPr>
            <w:r>
              <w:rPr>
                <w:rFonts w:ascii="Arial" w:hAnsi="Arial"/>
                <w:b/>
                <w:sz w:val="16"/>
                <w:szCs w:val="16"/>
                <w:u w:val="single"/>
              </w:rPr>
              <w:t>28.00</w:t>
            </w:r>
          </w:p>
        </w:tc>
        <w:tc>
          <w:tcPr>
            <w:tcW w:w="502" w:type="pct"/>
            <w:vAlign w:val="center"/>
          </w:tcPr>
          <w:p w14:paraId="22731057" w14:textId="39225371" w:rsidR="00C65127" w:rsidRPr="004D02F0" w:rsidRDefault="00B523C3" w:rsidP="00CF1C01">
            <w:pPr>
              <w:jc w:val="center"/>
              <w:rPr>
                <w:rFonts w:ascii="Arial" w:hAnsi="Arial" w:cs="Arial"/>
                <w:sz w:val="16"/>
                <w:szCs w:val="16"/>
              </w:rPr>
            </w:pPr>
            <w:r>
              <w:rPr>
                <w:rFonts w:ascii="Arial" w:hAnsi="Arial"/>
                <w:sz w:val="16"/>
                <w:szCs w:val="16"/>
              </w:rPr>
              <w:t>16.90</w:t>
            </w:r>
          </w:p>
        </w:tc>
        <w:tc>
          <w:tcPr>
            <w:tcW w:w="502" w:type="pct"/>
            <w:vAlign w:val="center"/>
          </w:tcPr>
          <w:p w14:paraId="3346910E" w14:textId="782B3FB0" w:rsidR="00C65127" w:rsidRPr="004D02F0" w:rsidRDefault="00B523C3" w:rsidP="00422A01">
            <w:pPr>
              <w:jc w:val="center"/>
              <w:rPr>
                <w:rFonts w:ascii="Arial" w:hAnsi="Arial" w:cs="Arial"/>
                <w:sz w:val="16"/>
                <w:szCs w:val="16"/>
              </w:rPr>
            </w:pPr>
            <w:r>
              <w:rPr>
                <w:rFonts w:ascii="Arial" w:hAnsi="Arial"/>
                <w:sz w:val="16"/>
                <w:szCs w:val="16"/>
              </w:rPr>
              <w:t>17.50</w:t>
            </w:r>
          </w:p>
        </w:tc>
        <w:tc>
          <w:tcPr>
            <w:tcW w:w="502" w:type="pct"/>
            <w:vAlign w:val="center"/>
          </w:tcPr>
          <w:p w14:paraId="35378973" w14:textId="25B2F30C" w:rsidR="00C65127" w:rsidRPr="004D02F0" w:rsidRDefault="00B523C3" w:rsidP="00422A01">
            <w:pPr>
              <w:jc w:val="center"/>
              <w:rPr>
                <w:rFonts w:ascii="Arial" w:hAnsi="Arial" w:cs="Arial"/>
                <w:sz w:val="16"/>
                <w:szCs w:val="16"/>
              </w:rPr>
            </w:pPr>
            <w:r>
              <w:rPr>
                <w:rFonts w:ascii="Arial" w:hAnsi="Arial"/>
                <w:sz w:val="16"/>
                <w:szCs w:val="16"/>
              </w:rPr>
              <w:t>21.10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Pr>
                <w:rFonts w:ascii="Arial" w:hAnsi="Arial"/>
                <w:sz w:val="16"/>
                <w:szCs w:val="16"/>
              </w:rPr>
              <w:t>16.40</w:t>
            </w:r>
          </w:p>
        </w:tc>
        <w:tc>
          <w:tcPr>
            <w:tcW w:w="502" w:type="pct"/>
            <w:vAlign w:val="center"/>
          </w:tcPr>
          <w:p w14:paraId="67E1FFC1" w14:textId="5EB1BAD4" w:rsidR="00C65127" w:rsidRPr="004D02F0" w:rsidRDefault="009C715E" w:rsidP="00422A01">
            <w:pPr>
              <w:jc w:val="center"/>
              <w:rPr>
                <w:rFonts w:ascii="Arial" w:hAnsi="Arial" w:cs="Arial"/>
                <w:sz w:val="16"/>
                <w:szCs w:val="16"/>
              </w:rPr>
            </w:pPr>
            <w:r>
              <w:rPr>
                <w:rFonts w:ascii="Arial" w:hAnsi="Arial"/>
                <w:sz w:val="16"/>
                <w:szCs w:val="16"/>
              </w:rPr>
              <w:t>21.40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Pr>
                <w:rFonts w:ascii="Arial" w:hAnsi="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Pr>
                <w:rFonts w:ascii="Arial" w:hAnsi="Arial"/>
                <w:b/>
                <w:sz w:val="16"/>
                <w:szCs w:val="16"/>
              </w:rPr>
              <w:t>Stock of office space</w:t>
            </w:r>
            <w:r>
              <w:rPr>
                <w:rFonts w:ascii="Arial" w:hAnsi="Arial"/>
                <w:sz w:val="16"/>
                <w:szCs w:val="16"/>
              </w:rPr>
              <w:t xml:space="preserve"> in millions m²</w:t>
            </w:r>
          </w:p>
        </w:tc>
        <w:tc>
          <w:tcPr>
            <w:tcW w:w="502" w:type="pct"/>
            <w:vAlign w:val="center"/>
          </w:tcPr>
          <w:p w14:paraId="4602080E" w14:textId="71994D75" w:rsidR="00C65127" w:rsidRPr="004D02F0" w:rsidRDefault="4A6EE254" w:rsidP="00CF1C01">
            <w:pPr>
              <w:jc w:val="center"/>
              <w:rPr>
                <w:rFonts w:ascii="Arial" w:hAnsi="Arial" w:cs="Arial"/>
                <w:sz w:val="16"/>
                <w:szCs w:val="16"/>
              </w:rPr>
            </w:pPr>
            <w:r>
              <w:rPr>
                <w:rFonts w:ascii="Arial" w:hAnsi="Arial"/>
                <w:sz w:val="16"/>
                <w:szCs w:val="16"/>
              </w:rPr>
              <w:t>13.95</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sz w:val="16"/>
                <w:szCs w:val="16"/>
              </w:rPr>
              <w:t>20.15</w:t>
            </w:r>
          </w:p>
        </w:tc>
        <w:tc>
          <w:tcPr>
            <w:tcW w:w="502" w:type="pct"/>
            <w:vAlign w:val="center"/>
          </w:tcPr>
          <w:p w14:paraId="147E0521" w14:textId="4E24F60C" w:rsidR="00C65127" w:rsidRPr="004D02F0" w:rsidRDefault="4A6EE254" w:rsidP="00CF1C01">
            <w:pPr>
              <w:jc w:val="center"/>
              <w:rPr>
                <w:rFonts w:ascii="Arial" w:hAnsi="Arial" w:cs="Arial"/>
                <w:sz w:val="16"/>
                <w:szCs w:val="16"/>
              </w:rPr>
            </w:pPr>
            <w:r>
              <w:rPr>
                <w:rFonts w:ascii="Arial" w:hAnsi="Arial"/>
                <w:sz w:val="16"/>
                <w:szCs w:val="16"/>
              </w:rPr>
              <w:t>7.30</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sz w:val="16"/>
                <w:szCs w:val="16"/>
              </w:rPr>
              <w:t>8.00</w:t>
            </w:r>
          </w:p>
        </w:tc>
        <w:tc>
          <w:tcPr>
            <w:tcW w:w="502" w:type="pct"/>
            <w:vAlign w:val="center"/>
          </w:tcPr>
          <w:p w14:paraId="6CCD8C33" w14:textId="56535FAD" w:rsidR="00C65127" w:rsidRPr="004D02F0" w:rsidRDefault="00B523C3" w:rsidP="00CF1C01">
            <w:pPr>
              <w:jc w:val="center"/>
              <w:rPr>
                <w:rFonts w:ascii="Arial" w:hAnsi="Arial" w:cs="Arial"/>
                <w:sz w:val="16"/>
                <w:szCs w:val="16"/>
              </w:rPr>
            </w:pPr>
            <w:r>
              <w:rPr>
                <w:rFonts w:ascii="Arial" w:hAnsi="Arial"/>
                <w:sz w:val="16"/>
                <w:szCs w:val="16"/>
              </w:rPr>
              <w:t>11.64</w:t>
            </w:r>
          </w:p>
        </w:tc>
        <w:tc>
          <w:tcPr>
            <w:tcW w:w="502" w:type="pct"/>
            <w:vAlign w:val="center"/>
          </w:tcPr>
          <w:p w14:paraId="24886C6D" w14:textId="7090BF96" w:rsidR="00C65127" w:rsidRPr="004D02F0" w:rsidRDefault="00B523C3" w:rsidP="0050541B">
            <w:pPr>
              <w:jc w:val="center"/>
              <w:rPr>
                <w:rFonts w:ascii="Arial" w:hAnsi="Arial" w:cs="Arial"/>
                <w:sz w:val="16"/>
                <w:szCs w:val="16"/>
              </w:rPr>
            </w:pPr>
            <w:r>
              <w:rPr>
                <w:rFonts w:ascii="Arial" w:hAnsi="Arial"/>
                <w:sz w:val="16"/>
                <w:szCs w:val="16"/>
              </w:rPr>
              <w:t>8.17</w:t>
            </w:r>
          </w:p>
        </w:tc>
        <w:tc>
          <w:tcPr>
            <w:tcW w:w="502" w:type="pct"/>
            <w:vAlign w:val="center"/>
          </w:tcPr>
          <w:p w14:paraId="20B45AA8" w14:textId="06F368BB" w:rsidR="00C65127" w:rsidRPr="004E53EE" w:rsidRDefault="00B523C3" w:rsidP="0050541B">
            <w:pPr>
              <w:jc w:val="center"/>
              <w:rPr>
                <w:rFonts w:ascii="Arial" w:hAnsi="Arial" w:cs="Arial"/>
                <w:b/>
                <w:sz w:val="16"/>
                <w:szCs w:val="16"/>
                <w:u w:val="single"/>
              </w:rPr>
            </w:pPr>
            <w:r>
              <w:rPr>
                <w:rFonts w:ascii="Arial" w:hAnsi="Arial"/>
                <w:b/>
                <w:sz w:val="16"/>
                <w:szCs w:val="16"/>
                <w:u w:val="single"/>
              </w:rPr>
              <w:t>23.33</w:t>
            </w:r>
          </w:p>
        </w:tc>
        <w:tc>
          <w:tcPr>
            <w:tcW w:w="502" w:type="pct"/>
            <w:vAlign w:val="center"/>
          </w:tcPr>
          <w:p w14:paraId="42069654" w14:textId="022EF7BC" w:rsidR="00C65127" w:rsidRPr="004D02F0" w:rsidRDefault="00B523C3" w:rsidP="0050541B">
            <w:pPr>
              <w:jc w:val="center"/>
              <w:rPr>
                <w:rFonts w:ascii="Arial" w:hAnsi="Arial" w:cs="Arial"/>
                <w:b/>
                <w:sz w:val="16"/>
                <w:szCs w:val="16"/>
              </w:rPr>
            </w:pPr>
            <w:r>
              <w:rPr>
                <w:rFonts w:ascii="Arial" w:hAnsi="Arial"/>
                <w:b/>
                <w:sz w:val="16"/>
                <w:szCs w:val="16"/>
              </w:rPr>
              <w:t>92.54</w:t>
            </w:r>
          </w:p>
        </w:tc>
      </w:tr>
      <w:tr w:rsidR="00154A48" w:rsidRPr="004D02F0" w14:paraId="421419C1" w14:textId="77777777" w:rsidTr="00422A01">
        <w:trPr>
          <w:trHeight w:val="283"/>
        </w:trPr>
        <w:tc>
          <w:tcPr>
            <w:tcW w:w="985" w:type="pct"/>
            <w:vAlign w:val="center"/>
          </w:tcPr>
          <w:p w14:paraId="441DA27B" w14:textId="7B31DA97" w:rsidR="00C65127" w:rsidRPr="004D02F0" w:rsidRDefault="00C65127" w:rsidP="00B523C3">
            <w:pPr>
              <w:widowControl w:val="0"/>
              <w:rPr>
                <w:rFonts w:ascii="Arial" w:hAnsi="Arial" w:cs="Arial"/>
                <w:b/>
                <w:sz w:val="16"/>
                <w:szCs w:val="16"/>
              </w:rPr>
            </w:pPr>
            <w:r>
              <w:rPr>
                <w:rFonts w:ascii="Arial" w:hAnsi="Arial"/>
                <w:b/>
                <w:sz w:val="16"/>
                <w:szCs w:val="16"/>
              </w:rPr>
              <w:t>Vacant space</w:t>
            </w:r>
            <w:r>
              <w:rPr>
                <w:rFonts w:ascii="Arial" w:hAnsi="Arial"/>
                <w:sz w:val="16"/>
                <w:szCs w:val="16"/>
              </w:rPr>
              <w:t xml:space="preserve"> incl. sub-let space [m²]</w:t>
            </w:r>
          </w:p>
        </w:tc>
        <w:tc>
          <w:tcPr>
            <w:tcW w:w="502" w:type="pct"/>
            <w:vAlign w:val="center"/>
          </w:tcPr>
          <w:p w14:paraId="3FEF20A6" w14:textId="3C1BC0B4" w:rsidR="00C65127" w:rsidRPr="004D02F0" w:rsidRDefault="00B523C3" w:rsidP="00422A01">
            <w:pPr>
              <w:jc w:val="center"/>
              <w:rPr>
                <w:rFonts w:ascii="Arial" w:hAnsi="Arial" w:cs="Arial"/>
                <w:sz w:val="16"/>
                <w:szCs w:val="16"/>
              </w:rPr>
            </w:pPr>
            <w:r>
              <w:rPr>
                <w:rFonts w:ascii="Arial" w:hAnsi="Arial"/>
                <w:sz w:val="16"/>
                <w:szCs w:val="16"/>
              </w:rPr>
              <w:t>524,100</w:t>
            </w:r>
          </w:p>
        </w:tc>
        <w:tc>
          <w:tcPr>
            <w:tcW w:w="502" w:type="pct"/>
            <w:vAlign w:val="center"/>
          </w:tcPr>
          <w:p w14:paraId="53C46395" w14:textId="774B6C18" w:rsidR="00C65127" w:rsidRPr="004D02F0" w:rsidRDefault="00B523C3" w:rsidP="00422A01">
            <w:pPr>
              <w:jc w:val="center"/>
              <w:rPr>
                <w:rFonts w:ascii="Arial" w:hAnsi="Arial" w:cs="Arial"/>
                <w:sz w:val="16"/>
                <w:szCs w:val="16"/>
              </w:rPr>
            </w:pPr>
            <w:r>
              <w:rPr>
                <w:rFonts w:ascii="Arial" w:hAnsi="Arial"/>
                <w:sz w:val="16"/>
                <w:szCs w:val="16"/>
              </w:rPr>
              <w:t>470,000</w:t>
            </w:r>
          </w:p>
        </w:tc>
        <w:tc>
          <w:tcPr>
            <w:tcW w:w="502" w:type="pct"/>
            <w:vAlign w:val="center"/>
          </w:tcPr>
          <w:p w14:paraId="302D3ED2" w14:textId="72962C08" w:rsidR="00C65127" w:rsidRPr="004D02F0" w:rsidRDefault="00B523C3" w:rsidP="00422A01">
            <w:pPr>
              <w:jc w:val="center"/>
              <w:rPr>
                <w:rFonts w:ascii="Arial" w:hAnsi="Arial" w:cs="Arial"/>
                <w:sz w:val="16"/>
                <w:szCs w:val="16"/>
              </w:rPr>
            </w:pPr>
            <w:r>
              <w:rPr>
                <w:rFonts w:ascii="Arial" w:hAnsi="Arial"/>
                <w:sz w:val="16"/>
                <w:szCs w:val="16"/>
              </w:rPr>
              <w:t>536,000</w:t>
            </w:r>
          </w:p>
        </w:tc>
        <w:tc>
          <w:tcPr>
            <w:tcW w:w="502" w:type="pct"/>
            <w:vAlign w:val="center"/>
          </w:tcPr>
          <w:p w14:paraId="52CFC326" w14:textId="7EFE20C1" w:rsidR="00C65127" w:rsidRPr="004D02F0" w:rsidRDefault="00B523C3" w:rsidP="00422A01">
            <w:pPr>
              <w:jc w:val="center"/>
              <w:rPr>
                <w:rFonts w:ascii="Arial" w:hAnsi="Arial" w:cs="Arial"/>
                <w:sz w:val="16"/>
                <w:szCs w:val="16"/>
              </w:rPr>
            </w:pPr>
            <w:r>
              <w:rPr>
                <w:rFonts w:ascii="Arial" w:hAnsi="Arial"/>
                <w:sz w:val="16"/>
                <w:szCs w:val="16"/>
              </w:rPr>
              <w:t>235,000</w:t>
            </w:r>
          </w:p>
        </w:tc>
        <w:tc>
          <w:tcPr>
            <w:tcW w:w="502" w:type="pct"/>
            <w:vAlign w:val="center"/>
          </w:tcPr>
          <w:p w14:paraId="077E5FE0" w14:textId="5896954E" w:rsidR="00C65127" w:rsidRPr="00CF3114" w:rsidRDefault="00B523C3" w:rsidP="00422A01">
            <w:pPr>
              <w:jc w:val="center"/>
              <w:rPr>
                <w:rFonts w:ascii="Arial" w:hAnsi="Arial" w:cs="Arial"/>
                <w:b/>
                <w:sz w:val="16"/>
                <w:szCs w:val="16"/>
              </w:rPr>
            </w:pPr>
            <w:r>
              <w:rPr>
                <w:rFonts w:ascii="Arial" w:hAnsi="Arial"/>
                <w:b/>
                <w:sz w:val="16"/>
                <w:szCs w:val="16"/>
              </w:rPr>
              <w:t>967,200</w:t>
            </w:r>
          </w:p>
        </w:tc>
        <w:tc>
          <w:tcPr>
            <w:tcW w:w="502" w:type="pct"/>
            <w:vAlign w:val="center"/>
          </w:tcPr>
          <w:p w14:paraId="1630CA67" w14:textId="296E8526" w:rsidR="00C65127" w:rsidRPr="00514C7B" w:rsidRDefault="00B523C3" w:rsidP="00422A01">
            <w:pPr>
              <w:jc w:val="center"/>
              <w:rPr>
                <w:rFonts w:ascii="Arial" w:hAnsi="Arial" w:cs="Arial"/>
                <w:sz w:val="16"/>
                <w:szCs w:val="16"/>
              </w:rPr>
            </w:pPr>
            <w:r>
              <w:rPr>
                <w:rFonts w:ascii="Arial" w:hAnsi="Arial"/>
                <w:sz w:val="16"/>
                <w:szCs w:val="16"/>
              </w:rPr>
              <w:t>249,400</w:t>
            </w:r>
          </w:p>
        </w:tc>
        <w:tc>
          <w:tcPr>
            <w:tcW w:w="502" w:type="pct"/>
            <w:vAlign w:val="center"/>
          </w:tcPr>
          <w:p w14:paraId="68D18378" w14:textId="103666ED" w:rsidR="00C65127" w:rsidRPr="004D02F0" w:rsidRDefault="00B523C3" w:rsidP="00422A01">
            <w:pPr>
              <w:jc w:val="center"/>
              <w:rPr>
                <w:rFonts w:ascii="Arial" w:hAnsi="Arial" w:cs="Arial"/>
                <w:sz w:val="16"/>
                <w:szCs w:val="16"/>
              </w:rPr>
            </w:pPr>
            <w:r>
              <w:rPr>
                <w:rFonts w:ascii="Arial" w:hAnsi="Arial"/>
                <w:sz w:val="16"/>
                <w:szCs w:val="16"/>
              </w:rPr>
              <w:t>740,000</w:t>
            </w:r>
          </w:p>
        </w:tc>
        <w:tc>
          <w:tcPr>
            <w:tcW w:w="502" w:type="pct"/>
            <w:vAlign w:val="center"/>
          </w:tcPr>
          <w:p w14:paraId="48AD7952" w14:textId="1E45E2BA" w:rsidR="00C65127" w:rsidRPr="004D02F0" w:rsidRDefault="00C005A2" w:rsidP="00B523C3">
            <w:pPr>
              <w:jc w:val="center"/>
              <w:rPr>
                <w:rFonts w:ascii="Arial" w:hAnsi="Arial" w:cs="Arial"/>
                <w:b/>
                <w:sz w:val="16"/>
                <w:szCs w:val="16"/>
              </w:rPr>
            </w:pPr>
            <w:r>
              <w:rPr>
                <w:rFonts w:ascii="Arial" w:hAnsi="Arial"/>
                <w:b/>
                <w:bCs/>
                <w:sz w:val="16"/>
                <w:szCs w:val="16"/>
              </w:rPr>
              <w:t>3,721,700</w:t>
            </w:r>
          </w:p>
        </w:tc>
      </w:tr>
      <w:tr w:rsidR="00154A48" w:rsidRPr="004D02F0" w14:paraId="5C297D08" w14:textId="77777777" w:rsidTr="00422A01">
        <w:trPr>
          <w:trHeight w:val="283"/>
        </w:trPr>
        <w:tc>
          <w:tcPr>
            <w:tcW w:w="985" w:type="pct"/>
            <w:vAlign w:val="center"/>
          </w:tcPr>
          <w:p w14:paraId="0909F4A6" w14:textId="4D584D44" w:rsidR="00C65127" w:rsidRPr="004D02F0" w:rsidRDefault="00C65127" w:rsidP="00B523C3">
            <w:pPr>
              <w:widowControl w:val="0"/>
              <w:rPr>
                <w:rFonts w:ascii="Arial" w:hAnsi="Arial" w:cs="Arial"/>
                <w:b/>
                <w:sz w:val="16"/>
                <w:szCs w:val="16"/>
              </w:rPr>
            </w:pPr>
            <w:r>
              <w:rPr>
                <w:rFonts w:ascii="Arial" w:hAnsi="Arial"/>
                <w:b/>
                <w:sz w:val="16"/>
                <w:szCs w:val="16"/>
              </w:rPr>
              <w:t>Vacancy rate</w:t>
            </w:r>
            <w:r>
              <w:rPr>
                <w:rFonts w:ascii="Arial" w:hAnsi="Arial"/>
                <w:sz w:val="16"/>
                <w:szCs w:val="16"/>
              </w:rPr>
              <w:t xml:space="preserve"> incl. sub-let space [%]</w:t>
            </w:r>
          </w:p>
        </w:tc>
        <w:tc>
          <w:tcPr>
            <w:tcW w:w="502" w:type="pct"/>
            <w:vAlign w:val="center"/>
          </w:tcPr>
          <w:p w14:paraId="5DFB31C9" w14:textId="2D1820D1" w:rsidR="00C65127" w:rsidRPr="004D02F0" w:rsidRDefault="00B523C3" w:rsidP="00422A01">
            <w:pPr>
              <w:jc w:val="center"/>
              <w:rPr>
                <w:rFonts w:ascii="Arial" w:hAnsi="Arial" w:cs="Arial"/>
                <w:sz w:val="16"/>
                <w:szCs w:val="16"/>
              </w:rPr>
            </w:pPr>
            <w:r>
              <w:rPr>
                <w:rFonts w:ascii="Arial" w:hAnsi="Arial"/>
                <w:sz w:val="16"/>
                <w:szCs w:val="16"/>
              </w:rPr>
              <w:t>3.8</w:t>
            </w:r>
          </w:p>
        </w:tc>
        <w:tc>
          <w:tcPr>
            <w:tcW w:w="502" w:type="pct"/>
            <w:vAlign w:val="center"/>
          </w:tcPr>
          <w:p w14:paraId="08B1CFAE" w14:textId="6AC20938" w:rsidR="00C65127" w:rsidRPr="004D02F0" w:rsidRDefault="00B523C3" w:rsidP="00422A01">
            <w:pPr>
              <w:jc w:val="center"/>
              <w:rPr>
                <w:rFonts w:ascii="Arial" w:hAnsi="Arial" w:cs="Arial"/>
                <w:sz w:val="16"/>
                <w:szCs w:val="16"/>
              </w:rPr>
            </w:pPr>
            <w:r>
              <w:rPr>
                <w:rFonts w:ascii="Arial" w:hAnsi="Arial"/>
                <w:sz w:val="16"/>
                <w:szCs w:val="16"/>
              </w:rPr>
              <w:t>2.3</w:t>
            </w:r>
          </w:p>
        </w:tc>
        <w:tc>
          <w:tcPr>
            <w:tcW w:w="502" w:type="pct"/>
            <w:vAlign w:val="center"/>
          </w:tcPr>
          <w:p w14:paraId="2878E9A7" w14:textId="259B037D" w:rsidR="00C65127" w:rsidRPr="004D02F0" w:rsidRDefault="00B523C3" w:rsidP="00422A01">
            <w:pPr>
              <w:jc w:val="center"/>
              <w:rPr>
                <w:rFonts w:ascii="Arial" w:hAnsi="Arial" w:cs="Arial"/>
                <w:sz w:val="16"/>
                <w:szCs w:val="16"/>
              </w:rPr>
            </w:pPr>
            <w:r>
              <w:rPr>
                <w:rFonts w:ascii="Arial" w:hAnsi="Arial"/>
                <w:sz w:val="16"/>
                <w:szCs w:val="16"/>
              </w:rPr>
              <w:t>7.3</w:t>
            </w:r>
          </w:p>
        </w:tc>
        <w:tc>
          <w:tcPr>
            <w:tcW w:w="502" w:type="pct"/>
            <w:vAlign w:val="center"/>
          </w:tcPr>
          <w:p w14:paraId="41A88249" w14:textId="679C4D01" w:rsidR="00C65127" w:rsidRPr="004D02F0" w:rsidRDefault="4A6EE254" w:rsidP="00422A01">
            <w:pPr>
              <w:jc w:val="center"/>
              <w:rPr>
                <w:rFonts w:ascii="Arial" w:hAnsi="Arial" w:cs="Arial"/>
                <w:sz w:val="16"/>
                <w:szCs w:val="16"/>
              </w:rPr>
            </w:pPr>
            <w:r>
              <w:rPr>
                <w:rFonts w:ascii="Arial" w:hAnsi="Arial"/>
                <w:sz w:val="16"/>
                <w:szCs w:val="16"/>
              </w:rPr>
              <w:t>2.9</w:t>
            </w:r>
          </w:p>
        </w:tc>
        <w:tc>
          <w:tcPr>
            <w:tcW w:w="502" w:type="pct"/>
            <w:vAlign w:val="center"/>
          </w:tcPr>
          <w:p w14:paraId="789B0375" w14:textId="61927C5D" w:rsidR="00C65127" w:rsidRPr="004E53EE" w:rsidRDefault="00B523C3" w:rsidP="00422A01">
            <w:pPr>
              <w:jc w:val="center"/>
              <w:rPr>
                <w:rFonts w:ascii="Arial" w:hAnsi="Arial" w:cs="Arial"/>
                <w:b/>
                <w:sz w:val="16"/>
                <w:szCs w:val="16"/>
                <w:u w:val="single"/>
              </w:rPr>
            </w:pPr>
            <w:r>
              <w:rPr>
                <w:rFonts w:ascii="Arial" w:hAnsi="Arial"/>
                <w:b/>
                <w:sz w:val="16"/>
                <w:szCs w:val="16"/>
                <w:u w:val="single"/>
              </w:rPr>
              <w:t>8.3</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sz w:val="16"/>
                <w:szCs w:val="16"/>
              </w:rPr>
              <w:t>3.1</w:t>
            </w:r>
          </w:p>
        </w:tc>
        <w:tc>
          <w:tcPr>
            <w:tcW w:w="502" w:type="pct"/>
            <w:vAlign w:val="center"/>
          </w:tcPr>
          <w:p w14:paraId="5B19EE92" w14:textId="2595C73D" w:rsidR="00C65127" w:rsidRPr="004D02F0" w:rsidRDefault="00B523C3" w:rsidP="003210E3">
            <w:pPr>
              <w:jc w:val="center"/>
              <w:rPr>
                <w:rFonts w:ascii="Arial" w:hAnsi="Arial" w:cs="Arial"/>
                <w:sz w:val="16"/>
                <w:szCs w:val="16"/>
              </w:rPr>
            </w:pPr>
            <w:r>
              <w:rPr>
                <w:rFonts w:ascii="Arial" w:hAnsi="Arial"/>
                <w:sz w:val="16"/>
                <w:szCs w:val="16"/>
              </w:rPr>
              <w:t>3.2</w:t>
            </w:r>
          </w:p>
        </w:tc>
        <w:tc>
          <w:tcPr>
            <w:tcW w:w="502" w:type="pct"/>
            <w:vAlign w:val="center"/>
          </w:tcPr>
          <w:p w14:paraId="0CE22EC9" w14:textId="077706A6" w:rsidR="00C65127" w:rsidRPr="004D02F0" w:rsidRDefault="00B523C3" w:rsidP="00422A01">
            <w:pPr>
              <w:jc w:val="center"/>
              <w:rPr>
                <w:rFonts w:ascii="Arial" w:hAnsi="Arial" w:cs="Arial"/>
                <w:b/>
                <w:sz w:val="16"/>
                <w:szCs w:val="16"/>
              </w:rPr>
            </w:pPr>
            <w:r>
              <w:rPr>
                <w:rFonts w:ascii="Arial" w:hAnsi="Arial"/>
                <w:b/>
                <w:sz w:val="16"/>
                <w:szCs w:val="16"/>
              </w:rPr>
              <w:t>4.0</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b/>
                <w:sz w:val="16"/>
                <w:szCs w:val="16"/>
              </w:rPr>
              <w:t>Completions</w:t>
            </w:r>
          </w:p>
          <w:p w14:paraId="3EAE7599" w14:textId="3AF25A4D" w:rsidR="00C65127" w:rsidRPr="004D02F0" w:rsidRDefault="00C65127" w:rsidP="00422A01">
            <w:pPr>
              <w:widowControl w:val="0"/>
              <w:rPr>
                <w:rFonts w:ascii="Arial" w:hAnsi="Arial" w:cs="Arial"/>
                <w:b/>
                <w:sz w:val="16"/>
                <w:szCs w:val="16"/>
              </w:rPr>
            </w:pPr>
            <w:r>
              <w:rPr>
                <w:rFonts w:ascii="Arial" w:hAnsi="Arial"/>
                <w:b/>
                <w:bCs/>
                <w:sz w:val="16"/>
                <w:szCs w:val="16"/>
              </w:rPr>
              <w:t>2021 + 2022</w:t>
            </w:r>
            <w:r>
              <w:rPr>
                <w:rFonts w:ascii="Arial" w:hAnsi="Arial"/>
                <w:bCs/>
                <w:sz w:val="16"/>
                <w:szCs w:val="16"/>
              </w:rPr>
              <w:t xml:space="preserve"> </w:t>
            </w:r>
            <w:r>
              <w:rPr>
                <w:rFonts w:ascii="Arial" w:hAnsi="Arial"/>
                <w:sz w:val="16"/>
                <w:szCs w:val="16"/>
              </w:rPr>
              <w:t>in m²</w:t>
            </w:r>
          </w:p>
        </w:tc>
        <w:tc>
          <w:tcPr>
            <w:tcW w:w="502" w:type="pct"/>
            <w:vAlign w:val="center"/>
          </w:tcPr>
          <w:p w14:paraId="45E23251" w14:textId="34401C95" w:rsidR="00C65127" w:rsidRPr="004D02F0" w:rsidRDefault="00B523C3" w:rsidP="00422A01">
            <w:pPr>
              <w:jc w:val="center"/>
              <w:rPr>
                <w:rFonts w:ascii="Arial" w:hAnsi="Arial" w:cs="Arial"/>
                <w:sz w:val="16"/>
                <w:szCs w:val="16"/>
              </w:rPr>
            </w:pPr>
            <w:r>
              <w:rPr>
                <w:rFonts w:ascii="Arial" w:hAnsi="Arial"/>
                <w:sz w:val="16"/>
                <w:szCs w:val="16"/>
              </w:rPr>
              <w:t>333,000</w:t>
            </w:r>
          </w:p>
        </w:tc>
        <w:tc>
          <w:tcPr>
            <w:tcW w:w="502" w:type="pct"/>
            <w:vAlign w:val="center"/>
          </w:tcPr>
          <w:p w14:paraId="11B12F0F" w14:textId="7BC43282" w:rsidR="00C65127" w:rsidRPr="00CF3114" w:rsidRDefault="00B523C3" w:rsidP="00422A01">
            <w:pPr>
              <w:jc w:val="center"/>
              <w:rPr>
                <w:rFonts w:ascii="Arial" w:hAnsi="Arial" w:cs="Arial"/>
                <w:sz w:val="16"/>
                <w:szCs w:val="16"/>
                <w:u w:val="single"/>
              </w:rPr>
            </w:pPr>
            <w:r>
              <w:rPr>
                <w:rFonts w:ascii="Arial" w:hAnsi="Arial"/>
                <w:sz w:val="16"/>
                <w:szCs w:val="16"/>
                <w:u w:val="single"/>
              </w:rPr>
              <w:t>1,221,000</w:t>
            </w:r>
          </w:p>
        </w:tc>
        <w:tc>
          <w:tcPr>
            <w:tcW w:w="502" w:type="pct"/>
            <w:vAlign w:val="center"/>
          </w:tcPr>
          <w:p w14:paraId="55671FED" w14:textId="627C8633" w:rsidR="00C65127" w:rsidRPr="004D02F0" w:rsidRDefault="00B523C3" w:rsidP="00422A01">
            <w:pPr>
              <w:jc w:val="center"/>
              <w:rPr>
                <w:rFonts w:ascii="Arial" w:hAnsi="Arial" w:cs="Arial"/>
                <w:sz w:val="16"/>
                <w:szCs w:val="16"/>
              </w:rPr>
            </w:pPr>
            <w:r>
              <w:rPr>
                <w:rFonts w:ascii="Arial" w:hAnsi="Arial"/>
                <w:sz w:val="16"/>
                <w:szCs w:val="16"/>
              </w:rPr>
              <w:t>234,000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sz w:val="16"/>
                <w:szCs w:val="16"/>
              </w:rPr>
              <w:t>200,000</w:t>
            </w:r>
          </w:p>
        </w:tc>
        <w:tc>
          <w:tcPr>
            <w:tcW w:w="502" w:type="pct"/>
            <w:vAlign w:val="center"/>
          </w:tcPr>
          <w:p w14:paraId="795CB503" w14:textId="1595531C" w:rsidR="00C65127" w:rsidRPr="004D02F0" w:rsidRDefault="00B523C3" w:rsidP="00422A01">
            <w:pPr>
              <w:jc w:val="center"/>
              <w:rPr>
                <w:rFonts w:ascii="Arial" w:hAnsi="Arial" w:cs="Arial"/>
                <w:sz w:val="16"/>
                <w:szCs w:val="16"/>
              </w:rPr>
            </w:pPr>
            <w:r>
              <w:rPr>
                <w:rFonts w:ascii="Arial" w:hAnsi="Arial"/>
                <w:sz w:val="16"/>
                <w:szCs w:val="16"/>
              </w:rPr>
              <w:t>487,700</w:t>
            </w:r>
          </w:p>
        </w:tc>
        <w:tc>
          <w:tcPr>
            <w:tcW w:w="502" w:type="pct"/>
            <w:vAlign w:val="center"/>
          </w:tcPr>
          <w:p w14:paraId="74993796" w14:textId="23CBACC0" w:rsidR="00C65127" w:rsidRPr="004D02F0" w:rsidRDefault="00B523C3" w:rsidP="00422A01">
            <w:pPr>
              <w:jc w:val="center"/>
              <w:rPr>
                <w:rFonts w:ascii="Arial" w:hAnsi="Arial" w:cs="Arial"/>
                <w:sz w:val="16"/>
                <w:szCs w:val="16"/>
              </w:rPr>
            </w:pPr>
            <w:r>
              <w:rPr>
                <w:rFonts w:ascii="Arial" w:hAnsi="Arial"/>
                <w:sz w:val="16"/>
                <w:szCs w:val="16"/>
              </w:rPr>
              <w:t>236,000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sz w:val="16"/>
                <w:szCs w:val="16"/>
              </w:rPr>
              <w:t>645,000</w:t>
            </w:r>
          </w:p>
        </w:tc>
        <w:tc>
          <w:tcPr>
            <w:tcW w:w="502" w:type="pct"/>
            <w:vAlign w:val="center"/>
          </w:tcPr>
          <w:p w14:paraId="6CCC0DE5" w14:textId="284EC251" w:rsidR="00C65127" w:rsidRPr="004D02F0" w:rsidRDefault="00B523C3" w:rsidP="00C005A2">
            <w:pPr>
              <w:jc w:val="center"/>
              <w:rPr>
                <w:rFonts w:ascii="Arial" w:hAnsi="Arial" w:cs="Arial"/>
                <w:b/>
                <w:sz w:val="16"/>
                <w:szCs w:val="16"/>
              </w:rPr>
            </w:pPr>
            <w:r>
              <w:rPr>
                <w:rFonts w:ascii="Arial" w:hAnsi="Arial"/>
                <w:b/>
                <w:bCs/>
                <w:sz w:val="16"/>
                <w:szCs w:val="16"/>
              </w:rPr>
              <w:t>3,357,000</w:t>
            </w:r>
          </w:p>
        </w:tc>
      </w:tr>
      <w:tr w:rsidR="00154A48" w:rsidRPr="004D02F0" w14:paraId="083C2563" w14:textId="77777777" w:rsidTr="00422A01">
        <w:trPr>
          <w:trHeight w:val="283"/>
        </w:trPr>
        <w:tc>
          <w:tcPr>
            <w:tcW w:w="985" w:type="pct"/>
            <w:vAlign w:val="center"/>
          </w:tcPr>
          <w:p w14:paraId="0D0D8A5A" w14:textId="6E45E25A" w:rsidR="001C65C1" w:rsidRPr="004D02F0" w:rsidRDefault="001C65C1" w:rsidP="00B523C3">
            <w:pPr>
              <w:widowControl w:val="0"/>
              <w:rPr>
                <w:rFonts w:ascii="Arial" w:hAnsi="Arial" w:cs="Arial"/>
                <w:b/>
                <w:sz w:val="16"/>
                <w:szCs w:val="16"/>
              </w:rPr>
            </w:pPr>
            <w:r>
              <w:rPr>
                <w:rFonts w:ascii="Arial" w:hAnsi="Arial"/>
                <w:b/>
                <w:sz w:val="16"/>
                <w:szCs w:val="16"/>
              </w:rPr>
              <w:t>Pre-letting ratios 2021 + 2022</w:t>
            </w:r>
            <w:r>
              <w:rPr>
                <w:rFonts w:ascii="Arial" w:hAnsi="Arial"/>
                <w:sz w:val="16"/>
                <w:szCs w:val="16"/>
              </w:rPr>
              <w:t xml:space="preserve"> in %</w:t>
            </w:r>
          </w:p>
        </w:tc>
        <w:tc>
          <w:tcPr>
            <w:tcW w:w="502" w:type="pct"/>
            <w:vAlign w:val="center"/>
          </w:tcPr>
          <w:p w14:paraId="5B815624" w14:textId="3F07063E" w:rsidR="001C65C1" w:rsidRPr="004D02F0" w:rsidRDefault="00B523C3" w:rsidP="00422A01">
            <w:pPr>
              <w:jc w:val="center"/>
              <w:rPr>
                <w:rFonts w:ascii="Arial" w:hAnsi="Arial" w:cs="Arial"/>
                <w:sz w:val="16"/>
                <w:szCs w:val="16"/>
              </w:rPr>
            </w:pPr>
            <w:r>
              <w:rPr>
                <w:rFonts w:ascii="Arial" w:hAnsi="Arial"/>
                <w:sz w:val="16"/>
                <w:szCs w:val="16"/>
              </w:rPr>
              <w:t>70</w:t>
            </w:r>
          </w:p>
        </w:tc>
        <w:tc>
          <w:tcPr>
            <w:tcW w:w="502" w:type="pct"/>
            <w:vAlign w:val="center"/>
          </w:tcPr>
          <w:p w14:paraId="0BD28CCE" w14:textId="0A12ACE1" w:rsidR="001C65C1" w:rsidRPr="004D02F0" w:rsidRDefault="00C005A2" w:rsidP="00422A01">
            <w:pPr>
              <w:jc w:val="center"/>
              <w:rPr>
                <w:rFonts w:ascii="Arial" w:hAnsi="Arial" w:cs="Arial"/>
                <w:sz w:val="16"/>
                <w:szCs w:val="16"/>
              </w:rPr>
            </w:pPr>
            <w:r>
              <w:rPr>
                <w:rFonts w:ascii="Arial" w:hAnsi="Arial"/>
                <w:sz w:val="16"/>
                <w:szCs w:val="16"/>
              </w:rPr>
              <w:t>48</w:t>
            </w:r>
          </w:p>
        </w:tc>
        <w:tc>
          <w:tcPr>
            <w:tcW w:w="502" w:type="pct"/>
            <w:vAlign w:val="center"/>
          </w:tcPr>
          <w:p w14:paraId="277079A1" w14:textId="7C4844AE" w:rsidR="001C65C1" w:rsidRPr="004D02F0" w:rsidRDefault="00B523C3" w:rsidP="00422A01">
            <w:pPr>
              <w:jc w:val="center"/>
              <w:rPr>
                <w:rFonts w:ascii="Arial" w:hAnsi="Arial" w:cs="Arial"/>
                <w:sz w:val="16"/>
                <w:szCs w:val="16"/>
              </w:rPr>
            </w:pPr>
            <w:r>
              <w:rPr>
                <w:rFonts w:ascii="Arial" w:hAnsi="Arial"/>
                <w:sz w:val="16"/>
                <w:szCs w:val="16"/>
              </w:rPr>
              <w:t>68</w:t>
            </w:r>
          </w:p>
        </w:tc>
        <w:tc>
          <w:tcPr>
            <w:tcW w:w="502" w:type="pct"/>
            <w:vAlign w:val="center"/>
          </w:tcPr>
          <w:p w14:paraId="20F6D135" w14:textId="6AEDAA2D" w:rsidR="001C65C1" w:rsidRPr="004D02F0" w:rsidRDefault="00C005A2" w:rsidP="00422A01">
            <w:pPr>
              <w:jc w:val="center"/>
              <w:rPr>
                <w:rFonts w:ascii="Arial" w:hAnsi="Arial" w:cs="Arial"/>
                <w:sz w:val="16"/>
                <w:szCs w:val="16"/>
              </w:rPr>
            </w:pPr>
            <w:r>
              <w:rPr>
                <w:rFonts w:ascii="Arial" w:hAnsi="Arial"/>
                <w:sz w:val="16"/>
                <w:szCs w:val="16"/>
              </w:rPr>
              <w:t>50</w:t>
            </w:r>
          </w:p>
        </w:tc>
        <w:tc>
          <w:tcPr>
            <w:tcW w:w="502" w:type="pct"/>
            <w:vAlign w:val="center"/>
          </w:tcPr>
          <w:p w14:paraId="37C4AF2D" w14:textId="7419F8BD" w:rsidR="001C65C1" w:rsidRPr="004D02F0" w:rsidRDefault="00B523C3" w:rsidP="00422A01">
            <w:pPr>
              <w:jc w:val="center"/>
              <w:rPr>
                <w:rFonts w:ascii="Arial" w:hAnsi="Arial" w:cs="Arial"/>
                <w:sz w:val="16"/>
                <w:szCs w:val="16"/>
              </w:rPr>
            </w:pPr>
            <w:r>
              <w:rPr>
                <w:rFonts w:ascii="Arial" w:hAnsi="Arial"/>
                <w:sz w:val="16"/>
                <w:szCs w:val="16"/>
              </w:rPr>
              <w:t>52</w:t>
            </w:r>
          </w:p>
        </w:tc>
        <w:tc>
          <w:tcPr>
            <w:tcW w:w="502" w:type="pct"/>
            <w:vAlign w:val="center"/>
          </w:tcPr>
          <w:p w14:paraId="0F8131C9" w14:textId="30825C27" w:rsidR="001C65C1" w:rsidRPr="00CF3114" w:rsidRDefault="00B523C3" w:rsidP="00422A01">
            <w:pPr>
              <w:jc w:val="center"/>
              <w:rPr>
                <w:rFonts w:ascii="Arial" w:hAnsi="Arial" w:cs="Arial"/>
                <w:sz w:val="16"/>
                <w:szCs w:val="16"/>
                <w:u w:val="single"/>
              </w:rPr>
            </w:pPr>
            <w:r>
              <w:rPr>
                <w:rFonts w:ascii="Arial" w:hAnsi="Arial"/>
                <w:sz w:val="16"/>
                <w:szCs w:val="16"/>
                <w:u w:val="single"/>
              </w:rPr>
              <w:t>73</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sz w:val="16"/>
                <w:szCs w:val="16"/>
              </w:rPr>
              <w:t>62</w:t>
            </w:r>
          </w:p>
        </w:tc>
        <w:tc>
          <w:tcPr>
            <w:tcW w:w="502" w:type="pct"/>
            <w:vAlign w:val="center"/>
          </w:tcPr>
          <w:p w14:paraId="70264BF0" w14:textId="0C1C1614" w:rsidR="001C65C1" w:rsidRPr="004D02F0" w:rsidRDefault="00B523C3" w:rsidP="00422A01">
            <w:pPr>
              <w:jc w:val="center"/>
              <w:rPr>
                <w:rFonts w:ascii="Arial" w:hAnsi="Arial" w:cs="Arial"/>
                <w:b/>
                <w:sz w:val="16"/>
                <w:szCs w:val="16"/>
              </w:rPr>
            </w:pPr>
            <w:r>
              <w:rPr>
                <w:rFonts w:ascii="Arial" w:hAnsi="Arial"/>
                <w:b/>
                <w:sz w:val="16"/>
                <w:szCs w:val="16"/>
              </w:rPr>
              <w:t>57</w:t>
            </w:r>
          </w:p>
        </w:tc>
      </w:tr>
    </w:tbl>
    <w:p w14:paraId="4189EB68" w14:textId="440ECFB4" w:rsidR="00C65127" w:rsidRPr="004D02F0" w:rsidRDefault="00B47474" w:rsidP="004C416A">
      <w:pPr>
        <w:widowControl w:val="0"/>
        <w:spacing w:after="0"/>
        <w:rPr>
          <w:rFonts w:ascii="Arial" w:hAnsi="Arial" w:cs="Arial"/>
          <w:sz w:val="16"/>
          <w:szCs w:val="16"/>
        </w:rPr>
      </w:pPr>
      <w:r>
        <w:rPr>
          <w:rFonts w:ascii="Arial" w:hAnsi="Arial"/>
          <w:sz w:val="16"/>
          <w:szCs w:val="16"/>
        </w:rPr>
        <w:t xml:space="preserve"> Source: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BF5272">
      <w:pPr>
        <w:spacing w:after="0"/>
        <w:jc w:val="both"/>
        <w:rPr>
          <w:b/>
          <w:iCs/>
          <w:sz w:val="16"/>
          <w:szCs w:val="16"/>
        </w:rPr>
      </w:pPr>
      <w:r>
        <w:rPr>
          <w:rFonts w:ascii="Arial" w:hAnsi="Arial"/>
          <w:b/>
          <w:iCs/>
          <w:caps/>
          <w:sz w:val="16"/>
          <w:szCs w:val="16"/>
        </w:rPr>
        <w:t>ABOUT GERMAN PROPERTY PARTNERS</w:t>
      </w:r>
    </w:p>
    <w:p w14:paraId="24D83185" w14:textId="67D80F5E" w:rsidR="32E3C701" w:rsidRPr="00934090" w:rsidRDefault="00AE60E2" w:rsidP="00BF5272">
      <w:pPr>
        <w:jc w:val="both"/>
        <w:rPr>
          <w:rFonts w:ascii="Arial" w:hAnsi="Arial" w:cs="Arial"/>
          <w:i/>
          <w:iCs/>
          <w:sz w:val="20"/>
          <w:szCs w:val="20"/>
        </w:rPr>
      </w:pPr>
      <w:r w:rsidRPr="000C2CFA">
        <w:rPr>
          <w:rFonts w:ascii="Arial" w:hAnsi="Arial" w:cs="Arial"/>
          <w:sz w:val="16"/>
          <w:szCs w:val="16"/>
        </w:rPr>
        <w:t>German Property Partners is a national network of property service providers; they are all leaders in their local markets.</w:t>
      </w:r>
      <w:r w:rsidRPr="000C2CFA">
        <w:rPr>
          <w:rFonts w:ascii="Arial" w:hAnsi="Arial" w:cs="Arial"/>
          <w:iCs/>
          <w:sz w:val="16"/>
          <w:szCs w:val="16"/>
        </w:rPr>
        <w:t xml:space="preserve"> Membership now consists of Grossmann &amp; Berger, Anteon </w:t>
      </w:r>
      <w:proofErr w:type="spellStart"/>
      <w:r w:rsidRPr="000C2CFA">
        <w:rPr>
          <w:rFonts w:ascii="Arial" w:hAnsi="Arial" w:cs="Arial"/>
          <w:iCs/>
          <w:sz w:val="16"/>
          <w:szCs w:val="16"/>
        </w:rPr>
        <w:t>Immobilien</w:t>
      </w:r>
      <w:proofErr w:type="spellEnd"/>
      <w:r w:rsidRPr="000C2CFA">
        <w:rPr>
          <w:rFonts w:ascii="Arial" w:hAnsi="Arial" w:cs="Arial"/>
          <w:iCs/>
          <w:sz w:val="16"/>
          <w:szCs w:val="16"/>
        </w:rPr>
        <w:t xml:space="preserve">, GREIF &amp; CONTZEN </w:t>
      </w:r>
      <w:proofErr w:type="spellStart"/>
      <w:r w:rsidRPr="000C2CFA">
        <w:rPr>
          <w:rFonts w:ascii="Arial" w:hAnsi="Arial" w:cs="Arial"/>
          <w:iCs/>
          <w:sz w:val="16"/>
          <w:szCs w:val="16"/>
        </w:rPr>
        <w:t>Immobilien</w:t>
      </w:r>
      <w:proofErr w:type="spellEnd"/>
      <w:r w:rsidRPr="000C2CFA">
        <w:rPr>
          <w:rFonts w:ascii="Arial" w:hAnsi="Arial" w:cs="Arial"/>
          <w:iCs/>
          <w:sz w:val="16"/>
          <w:szCs w:val="16"/>
        </w:rPr>
        <w:t xml:space="preserve">, </w:t>
      </w:r>
      <w:proofErr w:type="spellStart"/>
      <w:r w:rsidRPr="000C2CFA">
        <w:rPr>
          <w:rFonts w:ascii="Arial" w:hAnsi="Arial" w:cs="Arial"/>
          <w:iCs/>
          <w:sz w:val="16"/>
          <w:szCs w:val="16"/>
        </w:rPr>
        <w:t>blackolive</w:t>
      </w:r>
      <w:proofErr w:type="spellEnd"/>
      <w:r w:rsidRPr="000C2CFA">
        <w:rPr>
          <w:rFonts w:ascii="Arial" w:hAnsi="Arial" w:cs="Arial"/>
          <w:iCs/>
          <w:sz w:val="16"/>
          <w:szCs w:val="16"/>
        </w:rPr>
        <w:t xml:space="preserve"> and E &amp; G Real Estate. The network is remarkable for the members’ intimate knowledge of local markets,</w:t>
      </w:r>
      <w:r>
        <w:rPr>
          <w:rFonts w:ascii="Arial" w:hAnsi="Arial"/>
          <w:iCs/>
          <w:sz w:val="16"/>
          <w:szCs w:val="16"/>
        </w:rPr>
        <w:t xml:space="preserve">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410 property specialists work for the network. Nationwide, German Property Partners brokered lets in </w:t>
      </w:r>
      <w:r>
        <w:rPr>
          <w:rFonts w:ascii="Arial" w:hAnsi="Arial"/>
          <w:b/>
          <w:iCs/>
          <w:sz w:val="16"/>
          <w:szCs w:val="16"/>
        </w:rPr>
        <w:t>2020</w:t>
      </w:r>
      <w:r>
        <w:rPr>
          <w:rFonts w:ascii="Arial" w:hAnsi="Arial"/>
          <w:iCs/>
          <w:sz w:val="16"/>
          <w:szCs w:val="16"/>
        </w:rPr>
        <w:t xml:space="preserve"> involving 462,800 m² of commercial property, and managed investment transactions totalling €2.45bn.</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745A" w14:textId="77777777" w:rsidR="006C43DF" w:rsidRDefault="006C43DF" w:rsidP="0055466B">
      <w:pPr>
        <w:spacing w:after="0" w:line="240" w:lineRule="auto"/>
      </w:pPr>
      <w:r>
        <w:separator/>
      </w:r>
    </w:p>
  </w:endnote>
  <w:endnote w:type="continuationSeparator" w:id="0">
    <w:p w14:paraId="47DE5B8D" w14:textId="77777777" w:rsidR="006C43DF" w:rsidRDefault="006C43DF" w:rsidP="0055466B">
      <w:pPr>
        <w:spacing w:after="0" w:line="240" w:lineRule="auto"/>
      </w:pPr>
      <w:r>
        <w:continuationSeparator/>
      </w:r>
    </w:p>
  </w:endnote>
  <w:endnote w:type="continuationNotice" w:id="1">
    <w:p w14:paraId="7D231CD8" w14:textId="77777777" w:rsidR="006C43DF" w:rsidRDefault="006C4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72E898DF" w:rsidR="00422A01" w:rsidRPr="00DC19BC" w:rsidRDefault="00422A01">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1B180F7"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D36662">
      <w:rPr>
        <w:rFonts w:ascii="Arial" w:hAnsi="Arial" w:cs="Arial"/>
        <w:b/>
        <w:noProof/>
        <w:sz w:val="18"/>
        <w:szCs w:val="18"/>
      </w:rPr>
      <w:t>2</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D36662">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277ED" w14:textId="77777777" w:rsidR="006C43DF" w:rsidRDefault="006C43DF" w:rsidP="0055466B">
      <w:pPr>
        <w:spacing w:after="0" w:line="240" w:lineRule="auto"/>
      </w:pPr>
      <w:r>
        <w:separator/>
      </w:r>
    </w:p>
  </w:footnote>
  <w:footnote w:type="continuationSeparator" w:id="0">
    <w:p w14:paraId="52F955CF" w14:textId="77777777" w:rsidR="006C43DF" w:rsidRDefault="006C43DF" w:rsidP="0055466B">
      <w:pPr>
        <w:spacing w:after="0" w:line="240" w:lineRule="auto"/>
      </w:pPr>
      <w:r>
        <w:continuationSeparator/>
      </w:r>
    </w:p>
  </w:footnote>
  <w:footnote w:type="continuationNotice" w:id="1">
    <w:p w14:paraId="23DBF771" w14:textId="77777777" w:rsidR="006C43DF" w:rsidRDefault="006C4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A719C1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93F4F"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619"/>
    <w:rsid w:val="00010AC9"/>
    <w:rsid w:val="00011F5E"/>
    <w:rsid w:val="000121F0"/>
    <w:rsid w:val="00012241"/>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6D59"/>
    <w:rsid w:val="00036D9F"/>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3C0"/>
    <w:rsid w:val="00060931"/>
    <w:rsid w:val="00060D5B"/>
    <w:rsid w:val="00061B3E"/>
    <w:rsid w:val="000621FA"/>
    <w:rsid w:val="00062407"/>
    <w:rsid w:val="00062C83"/>
    <w:rsid w:val="00062E5F"/>
    <w:rsid w:val="00063130"/>
    <w:rsid w:val="00063652"/>
    <w:rsid w:val="00063905"/>
    <w:rsid w:val="00063D38"/>
    <w:rsid w:val="0006417A"/>
    <w:rsid w:val="000644F1"/>
    <w:rsid w:val="00064A7C"/>
    <w:rsid w:val="00064A83"/>
    <w:rsid w:val="00064B74"/>
    <w:rsid w:val="000668D2"/>
    <w:rsid w:val="00066CAA"/>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2CFA"/>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1904"/>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348F"/>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3F5A"/>
    <w:rsid w:val="0011412C"/>
    <w:rsid w:val="00114530"/>
    <w:rsid w:val="0011455A"/>
    <w:rsid w:val="00114901"/>
    <w:rsid w:val="001152ED"/>
    <w:rsid w:val="00115C97"/>
    <w:rsid w:val="001162BD"/>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566D"/>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267"/>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5E5"/>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19A9"/>
    <w:rsid w:val="00162DCA"/>
    <w:rsid w:val="001632A4"/>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550"/>
    <w:rsid w:val="001B07F0"/>
    <w:rsid w:val="001B0941"/>
    <w:rsid w:val="001B0B17"/>
    <w:rsid w:val="001B0C6B"/>
    <w:rsid w:val="001B0D8D"/>
    <w:rsid w:val="001B0E2B"/>
    <w:rsid w:val="001B1007"/>
    <w:rsid w:val="001B1D1B"/>
    <w:rsid w:val="001B25DE"/>
    <w:rsid w:val="001B274E"/>
    <w:rsid w:val="001B279E"/>
    <w:rsid w:val="001B2F09"/>
    <w:rsid w:val="001B380D"/>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54B"/>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443F"/>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21B"/>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7B9"/>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2C3"/>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6F8"/>
    <w:rsid w:val="002D3BC3"/>
    <w:rsid w:val="002D43F3"/>
    <w:rsid w:val="002D5146"/>
    <w:rsid w:val="002D54F3"/>
    <w:rsid w:val="002D59D1"/>
    <w:rsid w:val="002D66E8"/>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35E"/>
    <w:rsid w:val="00321B34"/>
    <w:rsid w:val="003221A6"/>
    <w:rsid w:val="00322278"/>
    <w:rsid w:val="0032247C"/>
    <w:rsid w:val="00322CF2"/>
    <w:rsid w:val="0032301C"/>
    <w:rsid w:val="0032328D"/>
    <w:rsid w:val="00323571"/>
    <w:rsid w:val="003236B6"/>
    <w:rsid w:val="003239C8"/>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182"/>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A65"/>
    <w:rsid w:val="003D2C2F"/>
    <w:rsid w:val="003D3197"/>
    <w:rsid w:val="003D3439"/>
    <w:rsid w:val="003D4577"/>
    <w:rsid w:val="003D4593"/>
    <w:rsid w:val="003D49B7"/>
    <w:rsid w:val="003D4FD3"/>
    <w:rsid w:val="003D5AD6"/>
    <w:rsid w:val="003D6790"/>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845"/>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1F24"/>
    <w:rsid w:val="0042213D"/>
    <w:rsid w:val="004221D2"/>
    <w:rsid w:val="004222DB"/>
    <w:rsid w:val="00422858"/>
    <w:rsid w:val="00422896"/>
    <w:rsid w:val="00422A01"/>
    <w:rsid w:val="00422D9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32E"/>
    <w:rsid w:val="00455692"/>
    <w:rsid w:val="00455AD2"/>
    <w:rsid w:val="00455B90"/>
    <w:rsid w:val="0045630E"/>
    <w:rsid w:val="00456A44"/>
    <w:rsid w:val="004575C8"/>
    <w:rsid w:val="0045796E"/>
    <w:rsid w:val="00457DEF"/>
    <w:rsid w:val="0046045E"/>
    <w:rsid w:val="00460A7B"/>
    <w:rsid w:val="00460C86"/>
    <w:rsid w:val="00460E0E"/>
    <w:rsid w:val="00460F29"/>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CE"/>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3F5"/>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10F"/>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53EE"/>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10C5"/>
    <w:rsid w:val="00501893"/>
    <w:rsid w:val="00502807"/>
    <w:rsid w:val="00502D63"/>
    <w:rsid w:val="00503A31"/>
    <w:rsid w:val="00504357"/>
    <w:rsid w:val="0050461D"/>
    <w:rsid w:val="00504A8B"/>
    <w:rsid w:val="0050541B"/>
    <w:rsid w:val="005058E5"/>
    <w:rsid w:val="00506693"/>
    <w:rsid w:val="00506C9D"/>
    <w:rsid w:val="005076D0"/>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C7B"/>
    <w:rsid w:val="00514EE0"/>
    <w:rsid w:val="00515A57"/>
    <w:rsid w:val="00515D5B"/>
    <w:rsid w:val="0051694F"/>
    <w:rsid w:val="005175C2"/>
    <w:rsid w:val="00517D77"/>
    <w:rsid w:val="00520184"/>
    <w:rsid w:val="00520539"/>
    <w:rsid w:val="00520E2E"/>
    <w:rsid w:val="00521241"/>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8E"/>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2796"/>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928"/>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5FAB"/>
    <w:rsid w:val="006163B6"/>
    <w:rsid w:val="00616E85"/>
    <w:rsid w:val="006177B3"/>
    <w:rsid w:val="00617B39"/>
    <w:rsid w:val="00620531"/>
    <w:rsid w:val="00620AA6"/>
    <w:rsid w:val="0062114C"/>
    <w:rsid w:val="006217CD"/>
    <w:rsid w:val="00622AFF"/>
    <w:rsid w:val="006231CA"/>
    <w:rsid w:val="00623851"/>
    <w:rsid w:val="00624745"/>
    <w:rsid w:val="006248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40"/>
    <w:rsid w:val="006369FD"/>
    <w:rsid w:val="00636A52"/>
    <w:rsid w:val="0064036E"/>
    <w:rsid w:val="00640A39"/>
    <w:rsid w:val="00640AC3"/>
    <w:rsid w:val="0064195A"/>
    <w:rsid w:val="00641CA5"/>
    <w:rsid w:val="00641EE9"/>
    <w:rsid w:val="0064226D"/>
    <w:rsid w:val="00642687"/>
    <w:rsid w:val="006427DF"/>
    <w:rsid w:val="00642829"/>
    <w:rsid w:val="0064298E"/>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C40"/>
    <w:rsid w:val="00662D74"/>
    <w:rsid w:val="006634E1"/>
    <w:rsid w:val="0066399E"/>
    <w:rsid w:val="0066402A"/>
    <w:rsid w:val="00664FD4"/>
    <w:rsid w:val="0066545F"/>
    <w:rsid w:val="006655F6"/>
    <w:rsid w:val="00665E86"/>
    <w:rsid w:val="00665FBF"/>
    <w:rsid w:val="006661A8"/>
    <w:rsid w:val="00667C87"/>
    <w:rsid w:val="00670716"/>
    <w:rsid w:val="0067154D"/>
    <w:rsid w:val="00671DBA"/>
    <w:rsid w:val="00672EC9"/>
    <w:rsid w:val="0067309C"/>
    <w:rsid w:val="00673293"/>
    <w:rsid w:val="00673857"/>
    <w:rsid w:val="0067436B"/>
    <w:rsid w:val="006747F8"/>
    <w:rsid w:val="00675947"/>
    <w:rsid w:val="00675F0E"/>
    <w:rsid w:val="00676DD4"/>
    <w:rsid w:val="00676F18"/>
    <w:rsid w:val="00677660"/>
    <w:rsid w:val="00677A4A"/>
    <w:rsid w:val="00677BEB"/>
    <w:rsid w:val="00677D88"/>
    <w:rsid w:val="006802FB"/>
    <w:rsid w:val="00680465"/>
    <w:rsid w:val="006806AA"/>
    <w:rsid w:val="00680984"/>
    <w:rsid w:val="00680C40"/>
    <w:rsid w:val="00680DC9"/>
    <w:rsid w:val="00680E9D"/>
    <w:rsid w:val="00680FAE"/>
    <w:rsid w:val="00681086"/>
    <w:rsid w:val="00681190"/>
    <w:rsid w:val="006815B9"/>
    <w:rsid w:val="00681B6C"/>
    <w:rsid w:val="00681D9B"/>
    <w:rsid w:val="006824E4"/>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5CCF"/>
    <w:rsid w:val="00686BFB"/>
    <w:rsid w:val="00687E33"/>
    <w:rsid w:val="0069074B"/>
    <w:rsid w:val="00691481"/>
    <w:rsid w:val="00691A06"/>
    <w:rsid w:val="00691ADA"/>
    <w:rsid w:val="00691B38"/>
    <w:rsid w:val="0069233E"/>
    <w:rsid w:val="00692469"/>
    <w:rsid w:val="00692A04"/>
    <w:rsid w:val="006940A0"/>
    <w:rsid w:val="00694342"/>
    <w:rsid w:val="00694390"/>
    <w:rsid w:val="0069458D"/>
    <w:rsid w:val="00694A40"/>
    <w:rsid w:val="006953B5"/>
    <w:rsid w:val="00695639"/>
    <w:rsid w:val="006958D9"/>
    <w:rsid w:val="00696405"/>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3DF"/>
    <w:rsid w:val="006C4A3F"/>
    <w:rsid w:val="006C4B9B"/>
    <w:rsid w:val="006C4BCB"/>
    <w:rsid w:val="006C58FD"/>
    <w:rsid w:val="006C5E0E"/>
    <w:rsid w:val="006C65F3"/>
    <w:rsid w:val="006C6645"/>
    <w:rsid w:val="006C7BB5"/>
    <w:rsid w:val="006C7D9B"/>
    <w:rsid w:val="006C7EFD"/>
    <w:rsid w:val="006D037E"/>
    <w:rsid w:val="006D0574"/>
    <w:rsid w:val="006D06DB"/>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74D"/>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A78"/>
    <w:rsid w:val="00710EA8"/>
    <w:rsid w:val="00711177"/>
    <w:rsid w:val="0071137D"/>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471B"/>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76C47"/>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955"/>
    <w:rsid w:val="007B0B05"/>
    <w:rsid w:val="007B0DFF"/>
    <w:rsid w:val="007B1663"/>
    <w:rsid w:val="007B1D02"/>
    <w:rsid w:val="007B1EFC"/>
    <w:rsid w:val="007B2523"/>
    <w:rsid w:val="007B25D2"/>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B7"/>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A56"/>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1D56"/>
    <w:rsid w:val="007F25AB"/>
    <w:rsid w:val="007F2C99"/>
    <w:rsid w:val="007F2CB8"/>
    <w:rsid w:val="007F377A"/>
    <w:rsid w:val="007F3844"/>
    <w:rsid w:val="007F3BF5"/>
    <w:rsid w:val="007F45DB"/>
    <w:rsid w:val="007F4709"/>
    <w:rsid w:val="007F48D9"/>
    <w:rsid w:val="007F4C6C"/>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AB7"/>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1CCB"/>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532"/>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67F50"/>
    <w:rsid w:val="0087057B"/>
    <w:rsid w:val="00871C96"/>
    <w:rsid w:val="00871F02"/>
    <w:rsid w:val="008722C8"/>
    <w:rsid w:val="00872F8E"/>
    <w:rsid w:val="00873115"/>
    <w:rsid w:val="00873285"/>
    <w:rsid w:val="00873E55"/>
    <w:rsid w:val="00874006"/>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1EAE"/>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4B5"/>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76"/>
    <w:rsid w:val="00932488"/>
    <w:rsid w:val="0093384A"/>
    <w:rsid w:val="00933BD6"/>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91"/>
    <w:rsid w:val="00971F96"/>
    <w:rsid w:val="00972081"/>
    <w:rsid w:val="00972FE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01D"/>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3714"/>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CF0"/>
    <w:rsid w:val="009C6D7A"/>
    <w:rsid w:val="009C6ED3"/>
    <w:rsid w:val="009C715E"/>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9F7830"/>
    <w:rsid w:val="00A0096F"/>
    <w:rsid w:val="00A00F22"/>
    <w:rsid w:val="00A011D0"/>
    <w:rsid w:val="00A01590"/>
    <w:rsid w:val="00A01611"/>
    <w:rsid w:val="00A01BF8"/>
    <w:rsid w:val="00A03218"/>
    <w:rsid w:val="00A03519"/>
    <w:rsid w:val="00A035D3"/>
    <w:rsid w:val="00A0372F"/>
    <w:rsid w:val="00A03B6E"/>
    <w:rsid w:val="00A043D5"/>
    <w:rsid w:val="00A0480A"/>
    <w:rsid w:val="00A04AAC"/>
    <w:rsid w:val="00A04ABC"/>
    <w:rsid w:val="00A05307"/>
    <w:rsid w:val="00A0573D"/>
    <w:rsid w:val="00A05C83"/>
    <w:rsid w:val="00A06028"/>
    <w:rsid w:val="00A06ADB"/>
    <w:rsid w:val="00A073CB"/>
    <w:rsid w:val="00A0742C"/>
    <w:rsid w:val="00A074F0"/>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3FA0"/>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468"/>
    <w:rsid w:val="00A646E7"/>
    <w:rsid w:val="00A64BBC"/>
    <w:rsid w:val="00A64CF4"/>
    <w:rsid w:val="00A651A7"/>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85D"/>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235"/>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D1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833"/>
    <w:rsid w:val="00AD0D0D"/>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0E2"/>
    <w:rsid w:val="00AE616C"/>
    <w:rsid w:val="00AE6C31"/>
    <w:rsid w:val="00AE70EB"/>
    <w:rsid w:val="00AF05AF"/>
    <w:rsid w:val="00AF12D7"/>
    <w:rsid w:val="00AF13C0"/>
    <w:rsid w:val="00AF147C"/>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4F7"/>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10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3C3"/>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1D52"/>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116"/>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096D"/>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0A0"/>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6CA4"/>
    <w:rsid w:val="00BD7F23"/>
    <w:rsid w:val="00BE0208"/>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91E"/>
    <w:rsid w:val="00BF0236"/>
    <w:rsid w:val="00BF02C9"/>
    <w:rsid w:val="00BF0A17"/>
    <w:rsid w:val="00BF1552"/>
    <w:rsid w:val="00BF1585"/>
    <w:rsid w:val="00BF1B3A"/>
    <w:rsid w:val="00BF1CB4"/>
    <w:rsid w:val="00BF1D41"/>
    <w:rsid w:val="00BF1E76"/>
    <w:rsid w:val="00BF233B"/>
    <w:rsid w:val="00BF2C11"/>
    <w:rsid w:val="00BF30AA"/>
    <w:rsid w:val="00BF3544"/>
    <w:rsid w:val="00BF3D3D"/>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37AA"/>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B88"/>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3AE"/>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46"/>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7D9"/>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0E34"/>
    <w:rsid w:val="00CC284A"/>
    <w:rsid w:val="00CC2CBB"/>
    <w:rsid w:val="00CC2F84"/>
    <w:rsid w:val="00CC34B4"/>
    <w:rsid w:val="00CC3D43"/>
    <w:rsid w:val="00CC4162"/>
    <w:rsid w:val="00CC4940"/>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0DE2"/>
    <w:rsid w:val="00CF1C01"/>
    <w:rsid w:val="00CF1E93"/>
    <w:rsid w:val="00CF3114"/>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27C6"/>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662"/>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2F"/>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35D"/>
    <w:rsid w:val="00DA5D8E"/>
    <w:rsid w:val="00DA6055"/>
    <w:rsid w:val="00DA66F5"/>
    <w:rsid w:val="00DA6E7A"/>
    <w:rsid w:val="00DA6F4D"/>
    <w:rsid w:val="00DA7B0F"/>
    <w:rsid w:val="00DA7CBB"/>
    <w:rsid w:val="00DA7DA1"/>
    <w:rsid w:val="00DA7FFA"/>
    <w:rsid w:val="00DB0C37"/>
    <w:rsid w:val="00DB0CF2"/>
    <w:rsid w:val="00DB1FE4"/>
    <w:rsid w:val="00DB2034"/>
    <w:rsid w:val="00DB2418"/>
    <w:rsid w:val="00DB2D17"/>
    <w:rsid w:val="00DB3489"/>
    <w:rsid w:val="00DB44EE"/>
    <w:rsid w:val="00DB4525"/>
    <w:rsid w:val="00DB45B1"/>
    <w:rsid w:val="00DB4D9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5FE0"/>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5E88"/>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885"/>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09AF"/>
    <w:rsid w:val="00E11367"/>
    <w:rsid w:val="00E113C8"/>
    <w:rsid w:val="00E1149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A32"/>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6E5"/>
    <w:rsid w:val="00E43754"/>
    <w:rsid w:val="00E445F1"/>
    <w:rsid w:val="00E44C44"/>
    <w:rsid w:val="00E46368"/>
    <w:rsid w:val="00E464CF"/>
    <w:rsid w:val="00E4666C"/>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0F5"/>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1BF"/>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A7A14"/>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6E32"/>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491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1FC6"/>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664"/>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2DEB"/>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01"/>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0B2E"/>
    <w:rsid w:val="00FF1167"/>
    <w:rsid w:val="00FF1232"/>
    <w:rsid w:val="00FF1398"/>
    <w:rsid w:val="00FF19B3"/>
    <w:rsid w:val="00FF1D51"/>
    <w:rsid w:val="00FF2AE0"/>
    <w:rsid w:val="00FF5477"/>
    <w:rsid w:val="00FF557D"/>
    <w:rsid w:val="00FF6321"/>
    <w:rsid w:val="00FF6939"/>
    <w:rsid w:val="00FF6F5B"/>
    <w:rsid w:val="00FF74C9"/>
    <w:rsid w:val="00FF7903"/>
    <w:rsid w:val="00FF7C8C"/>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2DD5"/>
  <w15:docId w15:val="{35201786-F7D9-43D2-BBEB-CF307D6B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4919914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8E6C-18B5-4F44-8B1B-3F6669F1BA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4aed6d6-a926-4909-ae89-377442fd3b88"/>
    <ds:schemaRef ds:uri="http://www.w3.org/XML/1998/namespace"/>
    <ds:schemaRef ds:uri="http://purl.org/dc/dcmitype/"/>
  </ds:schemaRefs>
</ds:datastoreItem>
</file>

<file path=customXml/itemProps4.xml><?xml version="1.0" encoding="utf-8"?>
<ds:datastoreItem xmlns:ds="http://schemas.openxmlformats.org/officeDocument/2006/customXml" ds:itemID="{9A008C92-6122-47C9-89F5-CDD971EB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3</cp:revision>
  <cp:lastPrinted>2021-04-07T09:24:00Z</cp:lastPrinted>
  <dcterms:created xsi:type="dcterms:W3CDTF">2021-04-07T09:57:00Z</dcterms:created>
  <dcterms:modified xsi:type="dcterms:W3CDTF">2021-04-07T10:01:00Z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