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11552E99"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35058472"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AB5958">
                        <w:rPr>
                          <w:rFonts w:ascii="Arial" w:hAnsi="Arial" w:cs="Arial"/>
                          <w:color w:val="808080" w:themeColor="background1" w:themeShade="80"/>
                          <w:sz w:val="16"/>
                          <w:szCs w:val="16"/>
                        </w:rPr>
                        <w:t>Berit Friedrich</w:t>
                      </w:r>
                    </w:p>
                    <w:p w14:paraId="35F2F7FA" w14:textId="29177542"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sidR="00AB5958">
                        <w:rPr>
                          <w:rFonts w:ascii="Arial" w:hAnsi="Arial" w:cs="Arial"/>
                          <w:color w:val="808080" w:themeColor="background1" w:themeShade="80"/>
                          <w:sz w:val="16"/>
                          <w:szCs w:val="16"/>
                        </w:rPr>
                        <w:t>350 80 2-620</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C73546">
        <w:rPr>
          <w:rFonts w:ascii="Arial" w:hAnsi="Arial" w:cs="Arial"/>
          <w:color w:val="000000" w:themeColor="text1"/>
          <w:sz w:val="40"/>
          <w:szCs w:val="40"/>
        </w:rPr>
        <w:t>1</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BF1E76">
        <w:rPr>
          <w:rFonts w:ascii="Arial" w:hAnsi="Arial" w:cs="Arial"/>
          <w:color w:val="000000" w:themeColor="text1"/>
          <w:sz w:val="40"/>
          <w:szCs w:val="40"/>
        </w:rPr>
        <w:t>21</w:t>
      </w:r>
    </w:p>
    <w:p w14:paraId="3B735A9E" w14:textId="33274689" w:rsidR="00073A8E" w:rsidRPr="004D02F0" w:rsidRDefault="00460F29"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zwischen boom</w:t>
      </w:r>
      <w:r w:rsidR="009B3714">
        <w:rPr>
          <w:rFonts w:ascii="Arial" w:hAnsi="Arial" w:cs="Arial"/>
          <w:b/>
          <w:caps/>
          <w:color w:val="000000" w:themeColor="text1"/>
          <w:sz w:val="40"/>
          <w:szCs w:val="40"/>
        </w:rPr>
        <w:t xml:space="preserve"> </w:t>
      </w:r>
      <w:r>
        <w:rPr>
          <w:rFonts w:ascii="Arial" w:hAnsi="Arial" w:cs="Arial"/>
          <w:b/>
          <w:caps/>
          <w:color w:val="000000" w:themeColor="text1"/>
          <w:sz w:val="40"/>
          <w:szCs w:val="40"/>
        </w:rPr>
        <w:t>und</w:t>
      </w:r>
      <w:r w:rsidR="009B3714">
        <w:rPr>
          <w:rFonts w:ascii="Arial" w:hAnsi="Arial" w:cs="Arial"/>
          <w:b/>
          <w:caps/>
          <w:color w:val="000000" w:themeColor="text1"/>
          <w:sz w:val="40"/>
          <w:szCs w:val="40"/>
        </w:rPr>
        <w:t xml:space="preserve"> </w:t>
      </w:r>
      <w:r w:rsidR="007F1D56">
        <w:rPr>
          <w:rFonts w:ascii="Arial" w:hAnsi="Arial" w:cs="Arial"/>
          <w:b/>
          <w:caps/>
          <w:color w:val="000000" w:themeColor="text1"/>
          <w:sz w:val="40"/>
          <w:szCs w:val="40"/>
        </w:rPr>
        <w:t>Flaute</w:t>
      </w:r>
    </w:p>
    <w:p w14:paraId="28BEC29F" w14:textId="574B258C"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1FCA0A6">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3BDFA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9F7830">
        <w:rPr>
          <w:noProof/>
          <w:lang w:eastAsia="de-DE"/>
        </w:rPr>
        <w:drawing>
          <wp:inline distT="0" distB="0" distL="0" distR="0" wp14:anchorId="78EC46BF" wp14:editId="0A0A97AB">
            <wp:extent cx="4388400" cy="252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8400" cy="2520000"/>
                    </a:xfrm>
                    <a:prstGeom prst="rect">
                      <a:avLst/>
                    </a:prstGeom>
                  </pic:spPr>
                </pic:pic>
              </a:graphicData>
            </a:graphic>
          </wp:inline>
        </w:drawing>
      </w:r>
    </w:p>
    <w:p w14:paraId="2BF2BAD1" w14:textId="0E1D2A7C" w:rsidR="00CA1303" w:rsidRDefault="00CA1303" w:rsidP="00BF5272">
      <w:pPr>
        <w:widowControl w:val="0"/>
        <w:spacing w:after="120"/>
        <w:jc w:val="both"/>
        <w:rPr>
          <w:rFonts w:ascii="Arial" w:hAnsi="Arial" w:cs="Arial"/>
          <w:b/>
          <w:sz w:val="20"/>
          <w:szCs w:val="20"/>
        </w:rPr>
      </w:pPr>
    </w:p>
    <w:p w14:paraId="01ECFAA3" w14:textId="4E855CAF" w:rsidR="004E304A" w:rsidRDefault="00C73546" w:rsidP="00BF5272">
      <w:pPr>
        <w:widowControl w:val="0"/>
        <w:spacing w:after="120"/>
        <w:jc w:val="both"/>
        <w:rPr>
          <w:rFonts w:ascii="Arial" w:hAnsi="Arial" w:cs="Arial"/>
          <w:bCs/>
          <w:color w:val="000000" w:themeColor="text1"/>
          <w:sz w:val="20"/>
          <w:szCs w:val="20"/>
        </w:rPr>
      </w:pPr>
      <w:r>
        <w:rPr>
          <w:rFonts w:ascii="Arial" w:hAnsi="Arial" w:cs="Arial"/>
          <w:b/>
          <w:sz w:val="20"/>
          <w:szCs w:val="20"/>
        </w:rPr>
        <w:t>7.</w:t>
      </w:r>
      <w:r w:rsidR="00205F77" w:rsidRPr="004D02F0">
        <w:rPr>
          <w:rFonts w:ascii="Arial" w:hAnsi="Arial" w:cs="Arial"/>
          <w:b/>
          <w:sz w:val="20"/>
          <w:szCs w:val="20"/>
        </w:rPr>
        <w:t xml:space="preserve"> </w:t>
      </w:r>
      <w:r>
        <w:rPr>
          <w:rFonts w:ascii="Arial" w:hAnsi="Arial" w:cs="Arial"/>
          <w:b/>
          <w:sz w:val="20"/>
          <w:szCs w:val="20"/>
        </w:rPr>
        <w:t xml:space="preserve">April </w:t>
      </w:r>
      <w:r w:rsidR="00205F77" w:rsidRPr="004D02F0">
        <w:rPr>
          <w:rFonts w:ascii="Arial" w:hAnsi="Arial" w:cs="Arial"/>
          <w:b/>
          <w:sz w:val="20"/>
          <w:szCs w:val="20"/>
        </w:rPr>
        <w:t>20</w:t>
      </w:r>
      <w:r w:rsidR="00AB5958">
        <w:rPr>
          <w:rFonts w:ascii="Arial" w:hAnsi="Arial" w:cs="Arial"/>
          <w:b/>
          <w:sz w:val="20"/>
          <w:szCs w:val="20"/>
        </w:rPr>
        <w:t>21</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696405" w:rsidRPr="00CC4940">
        <w:rPr>
          <w:rFonts w:ascii="Arial" w:hAnsi="Arial" w:cs="Arial"/>
          <w:bCs/>
          <w:sz w:val="20"/>
          <w:szCs w:val="20"/>
        </w:rPr>
        <w:t xml:space="preserve">Allen </w:t>
      </w:r>
      <w:r w:rsidR="000F348F" w:rsidRPr="00CC4940">
        <w:rPr>
          <w:rFonts w:ascii="Arial" w:hAnsi="Arial" w:cs="Arial"/>
          <w:bCs/>
          <w:sz w:val="20"/>
          <w:szCs w:val="20"/>
        </w:rPr>
        <w:t>Unsicherheiten</w:t>
      </w:r>
      <w:r w:rsidR="00696405" w:rsidRPr="00CC4940">
        <w:rPr>
          <w:rFonts w:ascii="Arial" w:hAnsi="Arial" w:cs="Arial"/>
          <w:bCs/>
          <w:sz w:val="20"/>
          <w:szCs w:val="20"/>
        </w:rPr>
        <w:t xml:space="preserve"> zum Trotz</w:t>
      </w:r>
      <w:r w:rsidR="000F348F" w:rsidRPr="00CC4940">
        <w:rPr>
          <w:rFonts w:ascii="Arial" w:hAnsi="Arial" w:cs="Arial"/>
          <w:bCs/>
          <w:sz w:val="20"/>
          <w:szCs w:val="20"/>
        </w:rPr>
        <w:t xml:space="preserve"> </w:t>
      </w:r>
      <w:r w:rsidR="009C715E" w:rsidRPr="00CC4940">
        <w:rPr>
          <w:rFonts w:ascii="Arial" w:hAnsi="Arial" w:cs="Arial"/>
          <w:bCs/>
          <w:sz w:val="20"/>
          <w:szCs w:val="20"/>
        </w:rPr>
        <w:t>zeigte sich</w:t>
      </w:r>
      <w:r w:rsidR="00E11498" w:rsidRPr="00CC4940">
        <w:rPr>
          <w:rFonts w:ascii="Arial" w:hAnsi="Arial" w:cs="Arial"/>
          <w:bCs/>
          <w:sz w:val="20"/>
          <w:szCs w:val="20"/>
        </w:rPr>
        <w:t xml:space="preserve"> der T</w:t>
      </w:r>
      <w:r w:rsidR="00696405" w:rsidRPr="00CC4940">
        <w:rPr>
          <w:rFonts w:ascii="Arial" w:hAnsi="Arial" w:cs="Arial"/>
          <w:bCs/>
          <w:sz w:val="20"/>
          <w:szCs w:val="20"/>
        </w:rPr>
        <w:t>op-7-Büro</w:t>
      </w:r>
      <w:r w:rsidR="00E11498" w:rsidRPr="00CC4940">
        <w:rPr>
          <w:rFonts w:ascii="Arial" w:hAnsi="Arial" w:cs="Arial"/>
          <w:bCs/>
          <w:sz w:val="20"/>
          <w:szCs w:val="20"/>
        </w:rPr>
        <w:t xml:space="preserve">flächensumatz am Ende des 1. Jahresviertels 2021 </w:t>
      </w:r>
      <w:r w:rsidR="009C715E" w:rsidRPr="00CC4940">
        <w:rPr>
          <w:rFonts w:ascii="Arial" w:hAnsi="Arial" w:cs="Arial"/>
          <w:bCs/>
          <w:sz w:val="20"/>
          <w:szCs w:val="20"/>
        </w:rPr>
        <w:t>mit</w:t>
      </w:r>
      <w:r w:rsidR="00E11498" w:rsidRPr="00CC4940">
        <w:rPr>
          <w:rFonts w:ascii="Arial" w:hAnsi="Arial" w:cs="Arial"/>
          <w:bCs/>
          <w:sz w:val="20"/>
          <w:szCs w:val="20"/>
        </w:rPr>
        <w:t xml:space="preserve"> </w:t>
      </w:r>
      <w:r w:rsidR="009C715E" w:rsidRPr="00CC4940">
        <w:rPr>
          <w:rFonts w:ascii="Arial" w:hAnsi="Arial" w:cs="Arial"/>
          <w:bCs/>
          <w:sz w:val="20"/>
          <w:szCs w:val="20"/>
        </w:rPr>
        <w:t>+</w:t>
      </w:r>
      <w:r w:rsidR="009A401D" w:rsidRPr="00CC4940">
        <w:rPr>
          <w:rFonts w:ascii="Arial" w:hAnsi="Arial" w:cs="Arial"/>
          <w:bCs/>
          <w:sz w:val="20"/>
          <w:szCs w:val="20"/>
        </w:rPr>
        <w:t>1</w:t>
      </w:r>
      <w:r w:rsidR="00E11498" w:rsidRPr="00CC4940">
        <w:rPr>
          <w:rFonts w:ascii="Arial" w:hAnsi="Arial" w:cs="Arial"/>
          <w:bCs/>
          <w:sz w:val="20"/>
          <w:szCs w:val="20"/>
        </w:rPr>
        <w:t xml:space="preserve"> % </w:t>
      </w:r>
      <w:r w:rsidR="009C715E" w:rsidRPr="00CC4940">
        <w:rPr>
          <w:rFonts w:ascii="Arial" w:hAnsi="Arial" w:cs="Arial"/>
          <w:bCs/>
          <w:sz w:val="20"/>
          <w:szCs w:val="20"/>
        </w:rPr>
        <w:t xml:space="preserve">gegenüber dem </w:t>
      </w:r>
      <w:r w:rsidR="00E11498" w:rsidRPr="00CC4940">
        <w:rPr>
          <w:rFonts w:ascii="Arial" w:hAnsi="Arial" w:cs="Arial"/>
          <w:bCs/>
          <w:sz w:val="20"/>
          <w:szCs w:val="20"/>
        </w:rPr>
        <w:t>Vorjahres</w:t>
      </w:r>
      <w:r w:rsidR="009C715E" w:rsidRPr="00CC4940">
        <w:rPr>
          <w:rFonts w:ascii="Arial" w:hAnsi="Arial" w:cs="Arial"/>
          <w:bCs/>
          <w:sz w:val="20"/>
          <w:szCs w:val="20"/>
        </w:rPr>
        <w:t>quartal stabil</w:t>
      </w:r>
      <w:r w:rsidRPr="00CC4940">
        <w:rPr>
          <w:rFonts w:ascii="Arial" w:hAnsi="Arial" w:cs="Arial"/>
          <w:bCs/>
          <w:sz w:val="20"/>
          <w:szCs w:val="20"/>
        </w:rPr>
        <w:t>.</w:t>
      </w:r>
      <w:r w:rsidR="00E11498" w:rsidRPr="00CC4940">
        <w:rPr>
          <w:rFonts w:ascii="Arial" w:hAnsi="Arial" w:cs="Arial"/>
          <w:bCs/>
          <w:sz w:val="20"/>
          <w:szCs w:val="20"/>
        </w:rPr>
        <w:t xml:space="preserve"> Insgesamt </w:t>
      </w:r>
      <w:r w:rsidR="009C715E" w:rsidRPr="00CC4940">
        <w:rPr>
          <w:rFonts w:ascii="Arial" w:hAnsi="Arial" w:cs="Arial"/>
          <w:bCs/>
          <w:sz w:val="20"/>
          <w:szCs w:val="20"/>
        </w:rPr>
        <w:t>655.3</w:t>
      </w:r>
      <w:r w:rsidR="009A401D" w:rsidRPr="00CC4940">
        <w:rPr>
          <w:rFonts w:ascii="Arial" w:hAnsi="Arial" w:cs="Arial"/>
          <w:bCs/>
          <w:sz w:val="20"/>
          <w:szCs w:val="20"/>
        </w:rPr>
        <w:t>00</w:t>
      </w:r>
      <w:r w:rsidR="009C715E" w:rsidRPr="009C715E">
        <w:rPr>
          <w:rFonts w:ascii="Arial" w:hAnsi="Arial" w:cs="Arial"/>
          <w:bCs/>
          <w:color w:val="FF0000"/>
          <w:sz w:val="20"/>
          <w:szCs w:val="20"/>
        </w:rPr>
        <w:t> </w:t>
      </w:r>
      <w:r w:rsidR="00E11498">
        <w:rPr>
          <w:rFonts w:ascii="Arial" w:hAnsi="Arial" w:cs="Arial"/>
          <w:bCs/>
          <w:sz w:val="20"/>
          <w:szCs w:val="20"/>
        </w:rPr>
        <w:t xml:space="preserve">m² Bürofläche wurden in Hamburg, Berlin, Düsseldorf, Köln, Frankfurt, Stuttgart und München angemietet. </w:t>
      </w:r>
      <w:r w:rsidR="00E11498" w:rsidRPr="00521241">
        <w:rPr>
          <w:rFonts w:ascii="Arial" w:hAnsi="Arial" w:cs="Arial"/>
          <w:bCs/>
          <w:i/>
          <w:sz w:val="20"/>
          <w:szCs w:val="20"/>
        </w:rPr>
        <w:t>„</w:t>
      </w:r>
      <w:r w:rsidR="00521241">
        <w:rPr>
          <w:rFonts w:ascii="Arial" w:hAnsi="Arial" w:cs="Arial"/>
          <w:bCs/>
          <w:i/>
          <w:sz w:val="20"/>
          <w:szCs w:val="20"/>
        </w:rPr>
        <w:t>D</w:t>
      </w:r>
      <w:r w:rsidR="00E11498" w:rsidRPr="00521241">
        <w:rPr>
          <w:rFonts w:ascii="Arial" w:hAnsi="Arial" w:cs="Arial"/>
          <w:bCs/>
          <w:i/>
          <w:sz w:val="20"/>
          <w:szCs w:val="20"/>
        </w:rPr>
        <w:t xml:space="preserve">er </w:t>
      </w:r>
      <w:r w:rsidR="00DA535D">
        <w:rPr>
          <w:rFonts w:ascii="Arial" w:hAnsi="Arial" w:cs="Arial"/>
          <w:bCs/>
          <w:i/>
          <w:sz w:val="20"/>
          <w:szCs w:val="20"/>
        </w:rPr>
        <w:t>Top-7-</w:t>
      </w:r>
      <w:r w:rsidR="00E11498" w:rsidRPr="00521241">
        <w:rPr>
          <w:rFonts w:ascii="Arial" w:hAnsi="Arial" w:cs="Arial"/>
          <w:bCs/>
          <w:i/>
          <w:sz w:val="20"/>
          <w:szCs w:val="20"/>
        </w:rPr>
        <w:t xml:space="preserve">Büroflächenumsatz im ersten Quartal </w:t>
      </w:r>
      <w:r w:rsidR="00521241">
        <w:rPr>
          <w:rFonts w:ascii="Arial" w:hAnsi="Arial" w:cs="Arial"/>
          <w:bCs/>
          <w:i/>
          <w:sz w:val="20"/>
          <w:szCs w:val="20"/>
        </w:rPr>
        <w:t xml:space="preserve">scheint sich </w:t>
      </w:r>
      <w:r w:rsidR="00E11498" w:rsidRPr="00521241">
        <w:rPr>
          <w:rFonts w:ascii="Arial" w:hAnsi="Arial" w:cs="Arial"/>
          <w:bCs/>
          <w:i/>
          <w:sz w:val="20"/>
          <w:szCs w:val="20"/>
        </w:rPr>
        <w:t xml:space="preserve">nach den Höhenflügen </w:t>
      </w:r>
      <w:r w:rsidR="0071137D">
        <w:rPr>
          <w:rFonts w:ascii="Arial" w:hAnsi="Arial" w:cs="Arial"/>
          <w:bCs/>
          <w:i/>
          <w:sz w:val="20"/>
          <w:szCs w:val="20"/>
        </w:rPr>
        <w:t>von</w:t>
      </w:r>
      <w:r w:rsidR="00E11498" w:rsidRPr="00521241">
        <w:rPr>
          <w:rFonts w:ascii="Arial" w:hAnsi="Arial" w:cs="Arial"/>
          <w:bCs/>
          <w:i/>
          <w:sz w:val="20"/>
          <w:szCs w:val="20"/>
        </w:rPr>
        <w:t xml:space="preserve"> 2016 </w:t>
      </w:r>
      <w:r w:rsidR="0071137D">
        <w:rPr>
          <w:rFonts w:ascii="Arial" w:hAnsi="Arial" w:cs="Arial"/>
          <w:bCs/>
          <w:i/>
          <w:sz w:val="20"/>
          <w:szCs w:val="20"/>
        </w:rPr>
        <w:t>bis</w:t>
      </w:r>
      <w:r w:rsidR="00E11498" w:rsidRPr="00521241">
        <w:rPr>
          <w:rFonts w:ascii="Arial" w:hAnsi="Arial" w:cs="Arial"/>
          <w:bCs/>
          <w:i/>
          <w:sz w:val="20"/>
          <w:szCs w:val="20"/>
        </w:rPr>
        <w:t xml:space="preserve"> 2019 auf einem niedrigeren Niveau ein</w:t>
      </w:r>
      <w:r w:rsidR="00521241">
        <w:rPr>
          <w:rFonts w:ascii="Arial" w:hAnsi="Arial" w:cs="Arial"/>
          <w:bCs/>
          <w:i/>
          <w:sz w:val="20"/>
          <w:szCs w:val="20"/>
        </w:rPr>
        <w:t>zu</w:t>
      </w:r>
      <w:r w:rsidR="00E11498" w:rsidRPr="00521241">
        <w:rPr>
          <w:rFonts w:ascii="Arial" w:hAnsi="Arial" w:cs="Arial"/>
          <w:bCs/>
          <w:i/>
          <w:sz w:val="20"/>
          <w:szCs w:val="20"/>
        </w:rPr>
        <w:t>pendel</w:t>
      </w:r>
      <w:r w:rsidR="00521241">
        <w:rPr>
          <w:rFonts w:ascii="Arial" w:hAnsi="Arial" w:cs="Arial"/>
          <w:bCs/>
          <w:i/>
          <w:sz w:val="20"/>
          <w:szCs w:val="20"/>
        </w:rPr>
        <w:t>n</w:t>
      </w:r>
      <w:r w:rsidR="00E11498" w:rsidRPr="00521241">
        <w:rPr>
          <w:rFonts w:ascii="Arial" w:hAnsi="Arial" w:cs="Arial"/>
          <w:bCs/>
          <w:i/>
          <w:sz w:val="20"/>
          <w:szCs w:val="20"/>
        </w:rPr>
        <w:t>“,</w:t>
      </w:r>
      <w:r w:rsidR="00E11498">
        <w:rPr>
          <w:rFonts w:ascii="Arial" w:hAnsi="Arial" w:cs="Arial"/>
          <w:bCs/>
          <w:sz w:val="20"/>
          <w:szCs w:val="20"/>
        </w:rPr>
        <w:t xml:space="preserve"> kommentiert</w:t>
      </w:r>
      <w:r w:rsidR="00521241">
        <w:rPr>
          <w:rFonts w:ascii="Arial" w:hAnsi="Arial" w:cs="Arial"/>
          <w:bCs/>
          <w:sz w:val="20"/>
          <w:szCs w:val="20"/>
        </w:rPr>
        <w:t xml:space="preserve"> Sprecher</w:t>
      </w:r>
      <w:r w:rsidR="00E11498">
        <w:rPr>
          <w:rFonts w:ascii="Arial" w:hAnsi="Arial" w:cs="Arial"/>
          <w:bCs/>
          <w:sz w:val="20"/>
          <w:szCs w:val="20"/>
        </w:rPr>
        <w:t xml:space="preserve"> </w:t>
      </w:r>
      <w:r w:rsidR="00E11498" w:rsidRPr="00B41AA1">
        <w:rPr>
          <w:rFonts w:ascii="Arial" w:hAnsi="Arial" w:cs="Arial"/>
          <w:b/>
          <w:sz w:val="20"/>
          <w:szCs w:val="20"/>
        </w:rPr>
        <w:t>Oliver Schön</w:t>
      </w:r>
      <w:r w:rsidR="00E11498">
        <w:rPr>
          <w:rFonts w:ascii="Arial" w:hAnsi="Arial" w:cs="Arial"/>
          <w:sz w:val="20"/>
          <w:szCs w:val="20"/>
        </w:rPr>
        <w:t xml:space="preserve"> die </w:t>
      </w:r>
      <w:r w:rsidR="00521241">
        <w:rPr>
          <w:rFonts w:ascii="Arial" w:hAnsi="Arial" w:cs="Arial"/>
          <w:sz w:val="20"/>
          <w:szCs w:val="20"/>
        </w:rPr>
        <w:t>Daten</w:t>
      </w:r>
      <w:r w:rsidR="00E11498">
        <w:rPr>
          <w:rFonts w:ascii="Arial" w:hAnsi="Arial" w:cs="Arial"/>
          <w:sz w:val="20"/>
          <w:szCs w:val="20"/>
        </w:rPr>
        <w:t xml:space="preserve">, die German Property Partners (GPP) </w:t>
      </w:r>
      <w:r w:rsidR="00664FD4">
        <w:rPr>
          <w:rFonts w:ascii="Arial" w:hAnsi="Arial" w:cs="Arial"/>
          <w:sz w:val="20"/>
          <w:szCs w:val="20"/>
        </w:rPr>
        <w:t xml:space="preserve">zu den Top-7-Büromärkten </w:t>
      </w:r>
      <w:r w:rsidR="00E11498">
        <w:rPr>
          <w:rFonts w:ascii="Arial" w:hAnsi="Arial" w:cs="Arial"/>
          <w:sz w:val="20"/>
          <w:szCs w:val="20"/>
        </w:rPr>
        <w:t>ermittelt hat.</w:t>
      </w:r>
      <w:r w:rsidR="00521241">
        <w:rPr>
          <w:rFonts w:ascii="Arial" w:hAnsi="Arial" w:cs="Arial"/>
          <w:sz w:val="20"/>
          <w:szCs w:val="20"/>
        </w:rPr>
        <w:t xml:space="preserve"> </w:t>
      </w:r>
      <w:r w:rsidR="00521241">
        <w:rPr>
          <w:rFonts w:ascii="Arial" w:hAnsi="Arial" w:cs="Arial"/>
          <w:bCs/>
          <w:sz w:val="20"/>
          <w:szCs w:val="20"/>
        </w:rPr>
        <w:t>Partner</w:t>
      </w:r>
      <w:r w:rsidR="0012566D">
        <w:rPr>
          <w:rFonts w:ascii="Arial" w:hAnsi="Arial" w:cs="Arial"/>
          <w:bCs/>
          <w:sz w:val="20"/>
          <w:szCs w:val="20"/>
        </w:rPr>
        <w:t>unternehmen</w:t>
      </w:r>
      <w:r w:rsidR="00521241">
        <w:rPr>
          <w:rFonts w:ascii="Arial" w:hAnsi="Arial" w:cs="Arial"/>
          <w:bCs/>
          <w:sz w:val="20"/>
          <w:szCs w:val="20"/>
        </w:rPr>
        <w:t xml:space="preserve"> des Gewerbeimmobiliennetzwerks GPP sind</w:t>
      </w:r>
      <w:r w:rsidR="00E90122">
        <w:rPr>
          <w:rFonts w:ascii="Arial" w:hAnsi="Arial" w:cs="Arial"/>
          <w:bCs/>
          <w:sz w:val="20"/>
          <w:szCs w:val="20"/>
        </w:rPr>
        <w:t xml:space="preserve"> Grossmann &amp; Berger, </w:t>
      </w:r>
      <w:proofErr w:type="spellStart"/>
      <w:r w:rsidR="00E90122">
        <w:rPr>
          <w:rFonts w:ascii="Arial" w:hAnsi="Arial" w:cs="Arial"/>
          <w:bCs/>
          <w:sz w:val="20"/>
          <w:szCs w:val="20"/>
        </w:rPr>
        <w:t>Anteon</w:t>
      </w:r>
      <w:proofErr w:type="spellEnd"/>
      <w:r w:rsidR="00F858E9">
        <w:rPr>
          <w:rFonts w:ascii="Arial" w:hAnsi="Arial" w:cs="Arial"/>
          <w:bCs/>
          <w:sz w:val="20"/>
          <w:szCs w:val="20"/>
        </w:rPr>
        <w:t xml:space="preserve"> Immobilien</w:t>
      </w:r>
      <w:r w:rsidR="00E90122">
        <w:rPr>
          <w:rFonts w:ascii="Arial" w:hAnsi="Arial" w:cs="Arial"/>
          <w:bCs/>
          <w:sz w:val="20"/>
          <w:szCs w:val="20"/>
        </w:rPr>
        <w:t xml:space="preserve">, GREIF &amp; CONTZEN Immobilien, </w:t>
      </w:r>
      <w:proofErr w:type="spellStart"/>
      <w:r w:rsidR="00E90122">
        <w:rPr>
          <w:rFonts w:ascii="Arial" w:hAnsi="Arial" w:cs="Arial"/>
          <w:bCs/>
          <w:sz w:val="20"/>
          <w:szCs w:val="20"/>
        </w:rPr>
        <w:t>blackolive</w:t>
      </w:r>
      <w:proofErr w:type="spellEnd"/>
      <w:r w:rsidR="00E90122">
        <w:rPr>
          <w:rFonts w:ascii="Arial" w:hAnsi="Arial" w:cs="Arial"/>
          <w:bCs/>
          <w:sz w:val="20"/>
          <w:szCs w:val="20"/>
        </w:rPr>
        <w:t xml:space="preserve"> und E &amp; G Real Estate.</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666E96FD" w:rsidR="004C1EFC" w:rsidRPr="00487ECE" w:rsidRDefault="00685CCF"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 xml:space="preserve">extrem auseinanderklaffende </w:t>
      </w:r>
      <w:r w:rsidR="00F4491B">
        <w:rPr>
          <w:rFonts w:ascii="Arial" w:hAnsi="Arial" w:cs="Arial"/>
          <w:b/>
          <w:bCs/>
          <w:caps/>
          <w:sz w:val="20"/>
          <w:szCs w:val="20"/>
        </w:rPr>
        <w:t>umsatzentwicklung</w:t>
      </w:r>
      <w:r w:rsidR="005D0928">
        <w:rPr>
          <w:rFonts w:ascii="Arial" w:hAnsi="Arial" w:cs="Arial"/>
          <w:b/>
          <w:bCs/>
          <w:caps/>
          <w:sz w:val="20"/>
          <w:szCs w:val="20"/>
        </w:rPr>
        <w:t xml:space="preserve"> </w:t>
      </w:r>
    </w:p>
    <w:p w14:paraId="465237C3" w14:textId="77777777" w:rsidR="00A035D3" w:rsidRDefault="00A035D3" w:rsidP="00487ECE">
      <w:pPr>
        <w:widowControl w:val="0"/>
        <w:spacing w:after="0"/>
        <w:rPr>
          <w:rFonts w:ascii="Arial" w:hAnsi="Arial" w:cs="Arial"/>
          <w:sz w:val="20"/>
          <w:szCs w:val="20"/>
        </w:rPr>
      </w:pPr>
    </w:p>
    <w:p w14:paraId="7D7D1515" w14:textId="3FCF9855" w:rsidR="00A043D5" w:rsidRPr="00B134F7" w:rsidRDefault="00710A78" w:rsidP="00BF5272">
      <w:pPr>
        <w:widowControl w:val="0"/>
        <w:spacing w:after="0"/>
        <w:jc w:val="both"/>
        <w:rPr>
          <w:rFonts w:ascii="Arial" w:hAnsi="Arial" w:cs="Arial"/>
          <w:sz w:val="20"/>
          <w:szCs w:val="20"/>
        </w:rPr>
      </w:pPr>
      <w:r>
        <w:rPr>
          <w:rFonts w:ascii="Arial" w:hAnsi="Arial" w:cs="Arial"/>
          <w:sz w:val="20"/>
          <w:szCs w:val="20"/>
        </w:rPr>
        <w:t xml:space="preserve">Die </w:t>
      </w:r>
      <w:r w:rsidR="0012566D">
        <w:rPr>
          <w:rFonts w:ascii="Arial" w:hAnsi="Arial" w:cs="Arial"/>
          <w:sz w:val="20"/>
          <w:szCs w:val="20"/>
        </w:rPr>
        <w:t>Flächenumsätze</w:t>
      </w:r>
      <w:r w:rsidR="007D2A56">
        <w:rPr>
          <w:rFonts w:ascii="Arial" w:hAnsi="Arial" w:cs="Arial"/>
          <w:sz w:val="20"/>
          <w:szCs w:val="20"/>
        </w:rPr>
        <w:t xml:space="preserve"> der einzelnen Top-7-Standorte entwickel</w:t>
      </w:r>
      <w:r w:rsidR="00DA535D">
        <w:rPr>
          <w:rFonts w:ascii="Arial" w:hAnsi="Arial" w:cs="Arial"/>
          <w:sz w:val="20"/>
          <w:szCs w:val="20"/>
        </w:rPr>
        <w:t>te</w:t>
      </w:r>
      <w:r w:rsidR="007D2A56">
        <w:rPr>
          <w:rFonts w:ascii="Arial" w:hAnsi="Arial" w:cs="Arial"/>
          <w:sz w:val="20"/>
          <w:szCs w:val="20"/>
        </w:rPr>
        <w:t xml:space="preserve">n sich </w:t>
      </w:r>
      <w:r w:rsidR="00DA535D">
        <w:rPr>
          <w:rFonts w:ascii="Arial" w:hAnsi="Arial" w:cs="Arial"/>
          <w:sz w:val="20"/>
          <w:szCs w:val="20"/>
        </w:rPr>
        <w:t xml:space="preserve">im 1. Quartal </w:t>
      </w:r>
      <w:r w:rsidR="00501893">
        <w:rPr>
          <w:rFonts w:ascii="Arial" w:hAnsi="Arial" w:cs="Arial"/>
          <w:sz w:val="20"/>
          <w:szCs w:val="20"/>
        </w:rPr>
        <w:t xml:space="preserve">sehr </w:t>
      </w:r>
      <w:r w:rsidR="007D2A56">
        <w:rPr>
          <w:rFonts w:ascii="Arial" w:hAnsi="Arial" w:cs="Arial"/>
          <w:sz w:val="20"/>
          <w:szCs w:val="20"/>
        </w:rPr>
        <w:t>unterschiedlich</w:t>
      </w:r>
      <w:r w:rsidR="0012566D">
        <w:rPr>
          <w:rFonts w:ascii="Arial" w:hAnsi="Arial" w:cs="Arial"/>
          <w:sz w:val="20"/>
          <w:szCs w:val="20"/>
        </w:rPr>
        <w:t>: Während sie sich in München und Düsseldorf halbiert</w:t>
      </w:r>
      <w:r w:rsidR="007D2A56">
        <w:rPr>
          <w:rFonts w:ascii="Arial" w:hAnsi="Arial" w:cs="Arial"/>
          <w:sz w:val="20"/>
          <w:szCs w:val="20"/>
        </w:rPr>
        <w:t>e</w:t>
      </w:r>
      <w:r w:rsidR="0012566D">
        <w:rPr>
          <w:rFonts w:ascii="Arial" w:hAnsi="Arial" w:cs="Arial"/>
          <w:sz w:val="20"/>
          <w:szCs w:val="20"/>
        </w:rPr>
        <w:t>n, verdoppelte sich der Flächenumsatz in Köln</w:t>
      </w:r>
      <w:r w:rsidR="00616E85">
        <w:rPr>
          <w:rFonts w:ascii="Arial" w:hAnsi="Arial" w:cs="Arial"/>
          <w:sz w:val="20"/>
          <w:szCs w:val="20"/>
        </w:rPr>
        <w:t>.</w:t>
      </w:r>
      <w:r w:rsidR="0011412C">
        <w:rPr>
          <w:rFonts w:ascii="Arial" w:hAnsi="Arial" w:cs="Arial"/>
          <w:sz w:val="20"/>
          <w:szCs w:val="20"/>
        </w:rPr>
        <w:t xml:space="preserve"> </w:t>
      </w:r>
      <w:r w:rsidR="0012566D" w:rsidRPr="00B41AA1">
        <w:rPr>
          <w:rFonts w:ascii="Arial" w:hAnsi="Arial" w:cs="Arial"/>
          <w:i/>
          <w:sz w:val="20"/>
          <w:szCs w:val="20"/>
        </w:rPr>
        <w:t>„</w:t>
      </w:r>
      <w:r w:rsidR="00DA535D">
        <w:rPr>
          <w:rFonts w:ascii="Arial" w:hAnsi="Arial" w:cs="Arial"/>
          <w:i/>
          <w:sz w:val="20"/>
          <w:szCs w:val="20"/>
        </w:rPr>
        <w:t xml:space="preserve">Sowohl in München als auch in Düsseldorf </w:t>
      </w:r>
      <w:r w:rsidR="00412845">
        <w:rPr>
          <w:rFonts w:ascii="Arial" w:hAnsi="Arial" w:cs="Arial"/>
          <w:i/>
          <w:sz w:val="20"/>
          <w:szCs w:val="20"/>
        </w:rPr>
        <w:t>zeigen sich</w:t>
      </w:r>
      <w:r w:rsidR="00DA535D">
        <w:rPr>
          <w:rFonts w:ascii="Arial" w:hAnsi="Arial" w:cs="Arial"/>
          <w:i/>
          <w:sz w:val="20"/>
          <w:szCs w:val="20"/>
        </w:rPr>
        <w:t xml:space="preserve"> die Nutzer </w:t>
      </w:r>
      <w:r w:rsidR="00834532">
        <w:rPr>
          <w:rFonts w:ascii="Arial" w:hAnsi="Arial" w:cs="Arial"/>
          <w:i/>
          <w:sz w:val="20"/>
          <w:szCs w:val="20"/>
        </w:rPr>
        <w:t xml:space="preserve">besonders </w:t>
      </w:r>
      <w:r w:rsidR="00DB4D91">
        <w:rPr>
          <w:rFonts w:ascii="Arial" w:hAnsi="Arial" w:cs="Arial"/>
          <w:i/>
          <w:sz w:val="20"/>
          <w:szCs w:val="20"/>
        </w:rPr>
        <w:t>ab</w:t>
      </w:r>
      <w:r w:rsidR="00412845">
        <w:rPr>
          <w:rFonts w:ascii="Arial" w:hAnsi="Arial" w:cs="Arial"/>
          <w:i/>
          <w:sz w:val="20"/>
          <w:szCs w:val="20"/>
        </w:rPr>
        <w:t>wartend</w:t>
      </w:r>
      <w:r w:rsidR="00DA535D">
        <w:rPr>
          <w:rFonts w:ascii="Arial" w:hAnsi="Arial" w:cs="Arial"/>
          <w:i/>
          <w:sz w:val="20"/>
          <w:szCs w:val="20"/>
        </w:rPr>
        <w:t xml:space="preserve"> und verschieben ihre Entscheidungen ins dritte oder vierte Quartal. In beiden Städten gab es nicht einen einzigen Abschluss über 5.000 Quadratmeter</w:t>
      </w:r>
      <w:r w:rsidR="0012566D" w:rsidRPr="00B41AA1">
        <w:rPr>
          <w:rFonts w:ascii="Arial" w:hAnsi="Arial" w:cs="Arial"/>
          <w:i/>
          <w:sz w:val="20"/>
          <w:szCs w:val="20"/>
        </w:rPr>
        <w:t>“,</w:t>
      </w:r>
      <w:r w:rsidR="0012566D">
        <w:rPr>
          <w:rFonts w:ascii="Arial" w:hAnsi="Arial" w:cs="Arial"/>
          <w:sz w:val="20"/>
          <w:szCs w:val="20"/>
        </w:rPr>
        <w:t xml:space="preserve"> </w:t>
      </w:r>
      <w:r w:rsidR="00DA535D">
        <w:rPr>
          <w:rFonts w:ascii="Arial" w:hAnsi="Arial" w:cs="Arial"/>
          <w:sz w:val="20"/>
          <w:szCs w:val="20"/>
        </w:rPr>
        <w:t>sagt</w:t>
      </w:r>
      <w:r w:rsidR="0012566D">
        <w:rPr>
          <w:rFonts w:ascii="Arial" w:hAnsi="Arial" w:cs="Arial"/>
          <w:sz w:val="20"/>
          <w:szCs w:val="20"/>
        </w:rPr>
        <w:t xml:space="preserve"> </w:t>
      </w:r>
      <w:r w:rsidR="0012566D" w:rsidRPr="00B41AA1">
        <w:rPr>
          <w:rFonts w:ascii="Arial" w:hAnsi="Arial" w:cs="Arial"/>
          <w:b/>
          <w:sz w:val="20"/>
          <w:szCs w:val="20"/>
        </w:rPr>
        <w:t>Schön</w:t>
      </w:r>
      <w:r w:rsidR="0012566D">
        <w:rPr>
          <w:rFonts w:ascii="Arial" w:hAnsi="Arial" w:cs="Arial"/>
          <w:sz w:val="20"/>
          <w:szCs w:val="20"/>
        </w:rPr>
        <w:t xml:space="preserve"> </w:t>
      </w:r>
      <w:r w:rsidR="00DA535D">
        <w:rPr>
          <w:rFonts w:ascii="Arial" w:hAnsi="Arial" w:cs="Arial"/>
          <w:sz w:val="20"/>
          <w:szCs w:val="20"/>
        </w:rPr>
        <w:t>dazu</w:t>
      </w:r>
      <w:r w:rsidR="0012566D">
        <w:rPr>
          <w:rFonts w:ascii="Arial" w:hAnsi="Arial" w:cs="Arial"/>
          <w:sz w:val="20"/>
          <w:szCs w:val="20"/>
        </w:rPr>
        <w:t>.</w:t>
      </w:r>
      <w:r w:rsidR="00DA535D">
        <w:rPr>
          <w:rFonts w:ascii="Arial" w:hAnsi="Arial" w:cs="Arial"/>
          <w:sz w:val="20"/>
          <w:szCs w:val="20"/>
        </w:rPr>
        <w:t xml:space="preserve"> </w:t>
      </w:r>
      <w:r w:rsidR="00DA535D" w:rsidRPr="00DA535D">
        <w:rPr>
          <w:rFonts w:ascii="Arial" w:hAnsi="Arial" w:cs="Arial"/>
          <w:i/>
          <w:sz w:val="20"/>
          <w:szCs w:val="20"/>
        </w:rPr>
        <w:t xml:space="preserve">„In Köln hingegen schlossen </w:t>
      </w:r>
      <w:r w:rsidR="00834532">
        <w:rPr>
          <w:rFonts w:ascii="Arial" w:hAnsi="Arial" w:cs="Arial"/>
          <w:i/>
          <w:sz w:val="20"/>
          <w:szCs w:val="20"/>
        </w:rPr>
        <w:t xml:space="preserve">gleich </w:t>
      </w:r>
      <w:r w:rsidR="00DA535D" w:rsidRPr="00DA535D">
        <w:rPr>
          <w:rFonts w:ascii="Arial" w:hAnsi="Arial" w:cs="Arial"/>
          <w:i/>
          <w:sz w:val="20"/>
          <w:szCs w:val="20"/>
        </w:rPr>
        <w:t xml:space="preserve">drei </w:t>
      </w:r>
      <w:r w:rsidR="00B134F7">
        <w:rPr>
          <w:rFonts w:ascii="Arial" w:hAnsi="Arial" w:cs="Arial"/>
          <w:i/>
          <w:sz w:val="20"/>
          <w:szCs w:val="20"/>
        </w:rPr>
        <w:t>Institutionen des Bundes</w:t>
      </w:r>
      <w:r w:rsidR="00DA535D" w:rsidRPr="00DA535D">
        <w:rPr>
          <w:rFonts w:ascii="Arial" w:hAnsi="Arial" w:cs="Arial"/>
          <w:i/>
          <w:sz w:val="20"/>
          <w:szCs w:val="20"/>
        </w:rPr>
        <w:t xml:space="preserve"> Verträge mit Volumina zwischen 5.000 und 13.000 Quadratmeter</w:t>
      </w:r>
      <w:r w:rsidR="00FF7C8C">
        <w:rPr>
          <w:rFonts w:ascii="Arial" w:hAnsi="Arial" w:cs="Arial"/>
          <w:i/>
          <w:sz w:val="20"/>
          <w:szCs w:val="20"/>
        </w:rPr>
        <w:t>n</w:t>
      </w:r>
      <w:r w:rsidR="00DA535D" w:rsidRPr="00DA535D">
        <w:rPr>
          <w:rFonts w:ascii="Arial" w:hAnsi="Arial" w:cs="Arial"/>
          <w:i/>
          <w:sz w:val="20"/>
          <w:szCs w:val="20"/>
        </w:rPr>
        <w:t xml:space="preserve"> Bürofläche ab</w:t>
      </w:r>
      <w:r w:rsidR="00B134F7">
        <w:rPr>
          <w:rFonts w:ascii="Arial" w:hAnsi="Arial" w:cs="Arial"/>
          <w:i/>
          <w:sz w:val="20"/>
          <w:szCs w:val="20"/>
        </w:rPr>
        <w:t xml:space="preserve">. </w:t>
      </w:r>
      <w:r w:rsidR="00DB4D91">
        <w:rPr>
          <w:rFonts w:ascii="Arial" w:hAnsi="Arial" w:cs="Arial"/>
          <w:i/>
          <w:sz w:val="20"/>
          <w:szCs w:val="20"/>
        </w:rPr>
        <w:t>Auf d</w:t>
      </w:r>
      <w:r w:rsidR="00B134F7">
        <w:rPr>
          <w:rFonts w:ascii="Arial" w:hAnsi="Arial" w:cs="Arial"/>
          <w:i/>
          <w:sz w:val="20"/>
          <w:szCs w:val="20"/>
        </w:rPr>
        <w:t xml:space="preserve">ie Öffentliche Hand </w:t>
      </w:r>
      <w:r w:rsidR="00DB4D91">
        <w:rPr>
          <w:rFonts w:ascii="Arial" w:hAnsi="Arial" w:cs="Arial"/>
          <w:i/>
          <w:sz w:val="20"/>
          <w:szCs w:val="20"/>
        </w:rPr>
        <w:t>ging</w:t>
      </w:r>
      <w:r w:rsidR="00B134F7">
        <w:rPr>
          <w:rFonts w:ascii="Arial" w:hAnsi="Arial" w:cs="Arial"/>
          <w:i/>
          <w:sz w:val="20"/>
          <w:szCs w:val="20"/>
        </w:rPr>
        <w:t xml:space="preserve"> damit </w:t>
      </w:r>
      <w:r w:rsidR="009A401D">
        <w:rPr>
          <w:rFonts w:ascii="Arial" w:hAnsi="Arial" w:cs="Arial"/>
          <w:i/>
          <w:sz w:val="20"/>
          <w:szCs w:val="20"/>
        </w:rPr>
        <w:t>über 40 Prozent</w:t>
      </w:r>
      <w:r w:rsidR="00B134F7">
        <w:rPr>
          <w:rFonts w:ascii="Arial" w:hAnsi="Arial" w:cs="Arial"/>
          <w:i/>
          <w:sz w:val="20"/>
          <w:szCs w:val="20"/>
        </w:rPr>
        <w:t xml:space="preserve"> des Büroflächenumsatzes der </w:t>
      </w:r>
      <w:r w:rsidR="003C2182" w:rsidRPr="00CC4940">
        <w:rPr>
          <w:rFonts w:ascii="Arial" w:hAnsi="Arial" w:cs="Arial"/>
          <w:i/>
          <w:sz w:val="20"/>
          <w:szCs w:val="20"/>
        </w:rPr>
        <w:t>Rhein</w:t>
      </w:r>
      <w:r w:rsidR="00B134F7" w:rsidRPr="00CC4940">
        <w:rPr>
          <w:rFonts w:ascii="Arial" w:hAnsi="Arial" w:cs="Arial"/>
          <w:i/>
          <w:sz w:val="20"/>
          <w:szCs w:val="20"/>
        </w:rPr>
        <w:t>metropole</w:t>
      </w:r>
      <w:r w:rsidR="00DB4D91" w:rsidRPr="00CC4940">
        <w:rPr>
          <w:rFonts w:ascii="Arial" w:hAnsi="Arial" w:cs="Arial"/>
          <w:i/>
          <w:sz w:val="20"/>
          <w:szCs w:val="20"/>
        </w:rPr>
        <w:t xml:space="preserve"> </w:t>
      </w:r>
      <w:r w:rsidR="00DB4D91">
        <w:rPr>
          <w:rFonts w:ascii="Arial" w:hAnsi="Arial" w:cs="Arial"/>
          <w:i/>
          <w:sz w:val="20"/>
          <w:szCs w:val="20"/>
        </w:rPr>
        <w:t>zurück</w:t>
      </w:r>
      <w:r w:rsidR="00DA535D" w:rsidRPr="00DA535D">
        <w:rPr>
          <w:rFonts w:ascii="Arial" w:hAnsi="Arial" w:cs="Arial"/>
          <w:i/>
          <w:sz w:val="20"/>
          <w:szCs w:val="20"/>
        </w:rPr>
        <w:t>.“</w:t>
      </w:r>
      <w:r w:rsidR="00B134F7">
        <w:rPr>
          <w:rFonts w:ascii="Arial" w:hAnsi="Arial" w:cs="Arial"/>
          <w:i/>
          <w:sz w:val="20"/>
          <w:szCs w:val="20"/>
        </w:rPr>
        <w:t xml:space="preserve"> </w:t>
      </w:r>
      <w:r w:rsidR="00B134F7">
        <w:rPr>
          <w:rFonts w:ascii="Arial" w:hAnsi="Arial" w:cs="Arial"/>
          <w:sz w:val="20"/>
          <w:szCs w:val="20"/>
        </w:rPr>
        <w:t xml:space="preserve">Auch in Stuttgart (28 %) und Hamburg (18 %) erwies sich die Öffentliche Hand als </w:t>
      </w:r>
      <w:r w:rsidR="00DB4D91">
        <w:rPr>
          <w:rFonts w:ascii="Arial" w:hAnsi="Arial" w:cs="Arial"/>
          <w:sz w:val="20"/>
          <w:szCs w:val="20"/>
        </w:rPr>
        <w:t>Hauptn</w:t>
      </w:r>
      <w:r w:rsidR="00B134F7">
        <w:rPr>
          <w:rFonts w:ascii="Arial" w:hAnsi="Arial" w:cs="Arial"/>
          <w:sz w:val="20"/>
          <w:szCs w:val="20"/>
        </w:rPr>
        <w:t>achfrager</w:t>
      </w:r>
      <w:r w:rsidR="002B32C3">
        <w:rPr>
          <w:rFonts w:ascii="Arial" w:hAnsi="Arial" w:cs="Arial"/>
          <w:sz w:val="20"/>
          <w:szCs w:val="20"/>
        </w:rPr>
        <w:t>, wenn auch deutlich weniger ausgeprägt</w:t>
      </w:r>
      <w:r w:rsidR="00B134F7">
        <w:rPr>
          <w:rFonts w:ascii="Arial" w:hAnsi="Arial" w:cs="Arial"/>
          <w:sz w:val="20"/>
          <w:szCs w:val="20"/>
        </w:rPr>
        <w:t>.</w:t>
      </w:r>
    </w:p>
    <w:p w14:paraId="441E0ACC" w14:textId="4D03E2A2" w:rsidR="00487ECE" w:rsidRPr="00487ECE" w:rsidRDefault="006E274D" w:rsidP="00487ECE">
      <w:pPr>
        <w:widowControl w:val="0"/>
        <w:spacing w:after="0"/>
        <w:jc w:val="center"/>
        <w:rPr>
          <w:rFonts w:ascii="Arial" w:hAnsi="Arial" w:cs="Arial"/>
          <w:b/>
          <w:bCs/>
          <w:caps/>
          <w:sz w:val="20"/>
          <w:szCs w:val="20"/>
        </w:rPr>
      </w:pPr>
      <w:r>
        <w:rPr>
          <w:rFonts w:ascii="Arial" w:hAnsi="Arial" w:cs="Arial"/>
          <w:b/>
          <w:bCs/>
          <w:caps/>
          <w:sz w:val="20"/>
          <w:szCs w:val="20"/>
        </w:rPr>
        <w:lastRenderedPageBreak/>
        <w:t xml:space="preserve">keine </w:t>
      </w:r>
      <w:r w:rsidR="00932476">
        <w:rPr>
          <w:rFonts w:ascii="Arial" w:hAnsi="Arial" w:cs="Arial"/>
          <w:b/>
          <w:bCs/>
          <w:caps/>
          <w:sz w:val="20"/>
          <w:szCs w:val="20"/>
        </w:rPr>
        <w:t>flächenschwemme</w:t>
      </w:r>
    </w:p>
    <w:p w14:paraId="1FB7C3C1" w14:textId="77777777" w:rsidR="006B7430" w:rsidRDefault="006B7430" w:rsidP="00487ECE">
      <w:pPr>
        <w:widowControl w:val="0"/>
        <w:spacing w:after="0"/>
        <w:rPr>
          <w:rFonts w:ascii="Arial" w:hAnsi="Arial" w:cs="Arial"/>
          <w:sz w:val="20"/>
          <w:szCs w:val="20"/>
        </w:rPr>
      </w:pPr>
    </w:p>
    <w:p w14:paraId="6FEA213A" w14:textId="094E12F6" w:rsidR="004926CE" w:rsidRDefault="00C533AE" w:rsidP="00BF5272">
      <w:pPr>
        <w:widowControl w:val="0"/>
        <w:spacing w:after="0"/>
        <w:jc w:val="both"/>
        <w:rPr>
          <w:rFonts w:ascii="Arial" w:hAnsi="Arial" w:cs="Arial"/>
          <w:sz w:val="20"/>
          <w:szCs w:val="20"/>
        </w:rPr>
      </w:pPr>
      <w:r>
        <w:rPr>
          <w:rFonts w:ascii="Arial" w:hAnsi="Arial" w:cs="Arial"/>
          <w:sz w:val="20"/>
          <w:szCs w:val="20"/>
        </w:rPr>
        <w:t>Das Angebot an kurzfristig verfügbaren Büroflächen hat erwartungsgemäß an allen Top-7-Standorten zuge</w:t>
      </w:r>
      <w:r w:rsidR="006802FB">
        <w:rPr>
          <w:rFonts w:ascii="Arial" w:hAnsi="Arial" w:cs="Arial"/>
          <w:sz w:val="20"/>
          <w:szCs w:val="20"/>
        </w:rPr>
        <w:t>nommen</w:t>
      </w:r>
      <w:r w:rsidR="0053138E">
        <w:rPr>
          <w:rFonts w:ascii="Arial" w:hAnsi="Arial" w:cs="Arial"/>
          <w:sz w:val="20"/>
          <w:szCs w:val="20"/>
        </w:rPr>
        <w:t xml:space="preserve">. Mit einem Plus </w:t>
      </w:r>
      <w:r w:rsidR="00A23FA0">
        <w:rPr>
          <w:rFonts w:ascii="Arial" w:hAnsi="Arial" w:cs="Arial"/>
          <w:sz w:val="20"/>
          <w:szCs w:val="20"/>
        </w:rPr>
        <w:t xml:space="preserve">zwischen </w:t>
      </w:r>
      <w:r w:rsidR="00CC4940">
        <w:rPr>
          <w:rFonts w:ascii="Arial" w:hAnsi="Arial" w:cs="Arial"/>
          <w:sz w:val="20"/>
          <w:szCs w:val="20"/>
        </w:rPr>
        <w:t>0,</w:t>
      </w:r>
      <w:r w:rsidR="00A23FA0">
        <w:rPr>
          <w:rFonts w:ascii="Arial" w:hAnsi="Arial" w:cs="Arial"/>
          <w:sz w:val="20"/>
          <w:szCs w:val="20"/>
        </w:rPr>
        <w:t xml:space="preserve">4 Prozentpunkten in Düsseldorf und </w:t>
      </w:r>
      <w:r w:rsidR="0053138E">
        <w:rPr>
          <w:rFonts w:ascii="Arial" w:hAnsi="Arial" w:cs="Arial"/>
          <w:sz w:val="20"/>
          <w:szCs w:val="20"/>
        </w:rPr>
        <w:t>1</w:t>
      </w:r>
      <w:r w:rsidR="00CC4940">
        <w:rPr>
          <w:rFonts w:ascii="Arial" w:hAnsi="Arial" w:cs="Arial"/>
          <w:sz w:val="20"/>
          <w:szCs w:val="20"/>
        </w:rPr>
        <w:t>,</w:t>
      </w:r>
      <w:r w:rsidR="0053138E">
        <w:rPr>
          <w:rFonts w:ascii="Arial" w:hAnsi="Arial" w:cs="Arial"/>
          <w:sz w:val="20"/>
          <w:szCs w:val="20"/>
        </w:rPr>
        <w:t xml:space="preserve">6 Prozentpunkten in Frankfurt blieb die Veränderung </w:t>
      </w:r>
      <w:r w:rsidR="0023121B">
        <w:rPr>
          <w:rFonts w:ascii="Arial" w:hAnsi="Arial" w:cs="Arial"/>
          <w:sz w:val="20"/>
          <w:szCs w:val="20"/>
        </w:rPr>
        <w:t xml:space="preserve">insgesamt </w:t>
      </w:r>
      <w:r>
        <w:rPr>
          <w:rFonts w:ascii="Arial" w:hAnsi="Arial" w:cs="Arial"/>
          <w:sz w:val="20"/>
          <w:szCs w:val="20"/>
        </w:rPr>
        <w:t>moderat</w:t>
      </w:r>
      <w:r w:rsidR="00A23FA0">
        <w:rPr>
          <w:rFonts w:ascii="Arial" w:hAnsi="Arial" w:cs="Arial"/>
          <w:sz w:val="20"/>
          <w:szCs w:val="20"/>
        </w:rPr>
        <w:t xml:space="preserve">. </w:t>
      </w:r>
      <w:r w:rsidR="00FF7C8C">
        <w:rPr>
          <w:rFonts w:ascii="Arial" w:hAnsi="Arial" w:cs="Arial"/>
          <w:sz w:val="20"/>
          <w:szCs w:val="20"/>
        </w:rPr>
        <w:t>F</w:t>
      </w:r>
      <w:r w:rsidR="00A23FA0">
        <w:rPr>
          <w:rFonts w:ascii="Arial" w:hAnsi="Arial" w:cs="Arial"/>
          <w:sz w:val="20"/>
          <w:szCs w:val="20"/>
        </w:rPr>
        <w:t xml:space="preserve">ür </w:t>
      </w:r>
      <w:r w:rsidR="00EA21BF">
        <w:rPr>
          <w:rFonts w:ascii="Arial" w:hAnsi="Arial" w:cs="Arial"/>
          <w:sz w:val="20"/>
          <w:szCs w:val="20"/>
        </w:rPr>
        <w:t xml:space="preserve">das Finanzzentrum </w:t>
      </w:r>
      <w:r w:rsidR="00A23FA0">
        <w:rPr>
          <w:rFonts w:ascii="Arial" w:hAnsi="Arial" w:cs="Arial"/>
          <w:sz w:val="20"/>
          <w:szCs w:val="20"/>
        </w:rPr>
        <w:t xml:space="preserve">selbst </w:t>
      </w:r>
      <w:r w:rsidR="00FF7C8C">
        <w:rPr>
          <w:rFonts w:ascii="Arial" w:hAnsi="Arial" w:cs="Arial"/>
          <w:sz w:val="20"/>
          <w:szCs w:val="20"/>
        </w:rPr>
        <w:t xml:space="preserve">war die Steigerung </w:t>
      </w:r>
      <w:r w:rsidR="00662C40">
        <w:rPr>
          <w:rFonts w:ascii="Arial" w:hAnsi="Arial" w:cs="Arial"/>
          <w:sz w:val="20"/>
          <w:szCs w:val="20"/>
        </w:rPr>
        <w:t>historisch betrachtet vergleichsweise</w:t>
      </w:r>
      <w:r w:rsidR="00A23FA0">
        <w:rPr>
          <w:rFonts w:ascii="Arial" w:hAnsi="Arial" w:cs="Arial"/>
          <w:sz w:val="20"/>
          <w:szCs w:val="20"/>
        </w:rPr>
        <w:t xml:space="preserve"> hoch</w:t>
      </w:r>
      <w:r w:rsidR="006802FB">
        <w:rPr>
          <w:rFonts w:ascii="Arial" w:hAnsi="Arial" w:cs="Arial"/>
          <w:sz w:val="20"/>
          <w:szCs w:val="20"/>
        </w:rPr>
        <w:t xml:space="preserve">. Dies lag am absoluten </w:t>
      </w:r>
      <w:proofErr w:type="spellStart"/>
      <w:r w:rsidR="006802FB">
        <w:rPr>
          <w:rFonts w:ascii="Arial" w:hAnsi="Arial" w:cs="Arial"/>
          <w:sz w:val="20"/>
          <w:szCs w:val="20"/>
        </w:rPr>
        <w:t>Leerstandstief</w:t>
      </w:r>
      <w:proofErr w:type="spellEnd"/>
      <w:r w:rsidR="00FF7C8C">
        <w:rPr>
          <w:rFonts w:ascii="Arial" w:hAnsi="Arial" w:cs="Arial"/>
          <w:sz w:val="20"/>
          <w:szCs w:val="20"/>
        </w:rPr>
        <w:t xml:space="preserve"> im Vorjahreszeitraum und deutlich </w:t>
      </w:r>
      <w:r w:rsidR="00662C40">
        <w:rPr>
          <w:rFonts w:ascii="Arial" w:hAnsi="Arial" w:cs="Arial"/>
          <w:sz w:val="20"/>
          <w:szCs w:val="20"/>
        </w:rPr>
        <w:t>mehr Fertigstellungen 2020</w:t>
      </w:r>
      <w:r>
        <w:rPr>
          <w:rFonts w:ascii="Arial" w:hAnsi="Arial" w:cs="Arial"/>
          <w:sz w:val="20"/>
          <w:szCs w:val="20"/>
        </w:rPr>
        <w:t xml:space="preserve">. </w:t>
      </w:r>
      <w:r w:rsidR="00D027C6">
        <w:rPr>
          <w:rFonts w:ascii="Arial" w:hAnsi="Arial" w:cs="Arial"/>
          <w:sz w:val="20"/>
          <w:szCs w:val="20"/>
        </w:rPr>
        <w:t xml:space="preserve">So wies </w:t>
      </w:r>
      <w:r w:rsidR="00EA21BF">
        <w:rPr>
          <w:rFonts w:ascii="Arial" w:hAnsi="Arial" w:cs="Arial"/>
          <w:sz w:val="20"/>
          <w:szCs w:val="20"/>
        </w:rPr>
        <w:t xml:space="preserve">Frankfurt </w:t>
      </w:r>
      <w:r w:rsidR="0053138E">
        <w:rPr>
          <w:rFonts w:ascii="Arial" w:hAnsi="Arial" w:cs="Arial"/>
          <w:sz w:val="20"/>
          <w:szCs w:val="20"/>
        </w:rPr>
        <w:t xml:space="preserve">mit 8,3 % die höchste </w:t>
      </w:r>
      <w:r w:rsidR="00FA1138">
        <w:rPr>
          <w:rFonts w:ascii="Arial" w:hAnsi="Arial" w:cs="Arial"/>
          <w:sz w:val="20"/>
          <w:szCs w:val="20"/>
        </w:rPr>
        <w:t xml:space="preserve">Leerstandsquote </w:t>
      </w:r>
      <w:r w:rsidR="0053138E">
        <w:rPr>
          <w:rFonts w:ascii="Arial" w:hAnsi="Arial" w:cs="Arial"/>
          <w:sz w:val="20"/>
          <w:szCs w:val="20"/>
        </w:rPr>
        <w:t xml:space="preserve">auf. </w:t>
      </w:r>
      <w:r w:rsidR="00C13B88">
        <w:rPr>
          <w:rFonts w:ascii="Arial" w:hAnsi="Arial" w:cs="Arial"/>
          <w:sz w:val="20"/>
          <w:szCs w:val="20"/>
        </w:rPr>
        <w:t xml:space="preserve">Die Top-7-Leerstandsquote kletterte innerhalb eines Jahres von 2,9 auf 4,0 %. </w:t>
      </w:r>
    </w:p>
    <w:p w14:paraId="45C9DB34" w14:textId="77777777" w:rsidR="004926CE" w:rsidRDefault="004926CE" w:rsidP="00BF5272">
      <w:pPr>
        <w:widowControl w:val="0"/>
        <w:spacing w:after="0"/>
        <w:jc w:val="both"/>
        <w:rPr>
          <w:rFonts w:ascii="Arial" w:hAnsi="Arial" w:cs="Arial"/>
          <w:sz w:val="20"/>
          <w:szCs w:val="20"/>
        </w:rPr>
      </w:pPr>
    </w:p>
    <w:p w14:paraId="315941F7" w14:textId="317ACF32" w:rsidR="00DB6FB3" w:rsidRDefault="0053138E" w:rsidP="00BF5272">
      <w:pPr>
        <w:widowControl w:val="0"/>
        <w:spacing w:after="0"/>
        <w:jc w:val="both"/>
        <w:rPr>
          <w:rFonts w:ascii="Arial" w:hAnsi="Arial" w:cs="Arial"/>
          <w:i/>
          <w:sz w:val="20"/>
          <w:szCs w:val="20"/>
        </w:rPr>
      </w:pPr>
      <w:r w:rsidRPr="0053138E">
        <w:rPr>
          <w:rFonts w:ascii="Arial" w:hAnsi="Arial" w:cs="Arial"/>
          <w:i/>
          <w:sz w:val="20"/>
          <w:szCs w:val="20"/>
        </w:rPr>
        <w:t>„Noch ist unklar, welche Rolle Untermietflächen im weiteren Jahresverlauf spielen werden“,</w:t>
      </w:r>
      <w:r>
        <w:rPr>
          <w:rFonts w:ascii="Arial" w:hAnsi="Arial" w:cs="Arial"/>
          <w:sz w:val="20"/>
          <w:szCs w:val="20"/>
        </w:rPr>
        <w:t xml:space="preserve"> so </w:t>
      </w:r>
      <w:r w:rsidRPr="0053138E">
        <w:rPr>
          <w:rFonts w:ascii="Arial" w:hAnsi="Arial" w:cs="Arial"/>
          <w:b/>
          <w:sz w:val="20"/>
          <w:szCs w:val="20"/>
        </w:rPr>
        <w:t>Schön</w:t>
      </w:r>
      <w:r>
        <w:rPr>
          <w:rFonts w:ascii="Arial" w:hAnsi="Arial" w:cs="Arial"/>
          <w:sz w:val="20"/>
          <w:szCs w:val="20"/>
        </w:rPr>
        <w:t xml:space="preserve">. </w:t>
      </w:r>
      <w:r w:rsidR="00A0372F">
        <w:rPr>
          <w:rFonts w:ascii="Arial" w:hAnsi="Arial" w:cs="Arial"/>
          <w:sz w:val="20"/>
          <w:szCs w:val="20"/>
        </w:rPr>
        <w:t xml:space="preserve">Bis auf Köln ist die Schwankungsbreite sowohl bei der Durchschnitts- als auch bei der Spitzenmiete an allen Standorten bereits wesentlich geringer als in den Vorjahren. </w:t>
      </w:r>
      <w:r w:rsidR="00D45D2F">
        <w:rPr>
          <w:rFonts w:ascii="Arial" w:hAnsi="Arial" w:cs="Arial"/>
          <w:sz w:val="20"/>
          <w:szCs w:val="20"/>
        </w:rPr>
        <w:t xml:space="preserve">Unter </w:t>
      </w:r>
      <w:r w:rsidR="00D45D2F" w:rsidRPr="00CC4940">
        <w:rPr>
          <w:rFonts w:ascii="Arial" w:hAnsi="Arial" w:cs="Arial"/>
          <w:sz w:val="20"/>
          <w:szCs w:val="20"/>
        </w:rPr>
        <w:t xml:space="preserve">anderem </w:t>
      </w:r>
      <w:r w:rsidR="003C2182" w:rsidRPr="00CC4940">
        <w:rPr>
          <w:rFonts w:ascii="Arial" w:hAnsi="Arial" w:cs="Arial"/>
          <w:sz w:val="20"/>
          <w:szCs w:val="20"/>
        </w:rPr>
        <w:t xml:space="preserve">ließen </w:t>
      </w:r>
      <w:r w:rsidR="00D45D2F" w:rsidRPr="00CC4940">
        <w:rPr>
          <w:rFonts w:ascii="Arial" w:hAnsi="Arial" w:cs="Arial"/>
          <w:sz w:val="20"/>
          <w:szCs w:val="20"/>
        </w:rPr>
        <w:t>d</w:t>
      </w:r>
      <w:r w:rsidR="00B4310E" w:rsidRPr="00CC4940">
        <w:rPr>
          <w:rFonts w:ascii="Arial" w:hAnsi="Arial" w:cs="Arial"/>
          <w:sz w:val="20"/>
          <w:szCs w:val="20"/>
        </w:rPr>
        <w:t>ie</w:t>
      </w:r>
      <w:r w:rsidR="003C2182" w:rsidRPr="00CC4940">
        <w:rPr>
          <w:rFonts w:ascii="Arial" w:hAnsi="Arial" w:cs="Arial"/>
          <w:sz w:val="20"/>
          <w:szCs w:val="20"/>
        </w:rPr>
        <w:t xml:space="preserve"> sehr großen</w:t>
      </w:r>
      <w:r w:rsidR="00B4310E" w:rsidRPr="00CC4940">
        <w:rPr>
          <w:rFonts w:ascii="Arial" w:hAnsi="Arial" w:cs="Arial"/>
          <w:sz w:val="20"/>
          <w:szCs w:val="20"/>
        </w:rPr>
        <w:t xml:space="preserve"> Abschlüsse der Öffentlichen Hand mit Mehrwertsteuerschäden bei den Nominalmieten die Durchschnittsmiete in der Domstadt </w:t>
      </w:r>
      <w:r w:rsidR="00AE60E2">
        <w:rPr>
          <w:rFonts w:ascii="Arial" w:hAnsi="Arial" w:cs="Arial"/>
          <w:sz w:val="20"/>
          <w:szCs w:val="20"/>
        </w:rPr>
        <w:t>auf 17,50 €/m²/Monat ansteigen.</w:t>
      </w:r>
      <w:r w:rsidR="003C2182" w:rsidRPr="00CC4940">
        <w:rPr>
          <w:rFonts w:ascii="Arial" w:hAnsi="Arial" w:cs="Arial"/>
          <w:sz w:val="20"/>
          <w:szCs w:val="20"/>
        </w:rPr>
        <w:t xml:space="preserve"> Gegenüber dem vergleichsweise niedrigen Wert des Vorjahreszeitraums entspricht dies einem Wachstum </w:t>
      </w:r>
      <w:r w:rsidR="00B4310E" w:rsidRPr="00CC4940">
        <w:rPr>
          <w:rFonts w:ascii="Arial" w:hAnsi="Arial" w:cs="Arial"/>
          <w:sz w:val="20"/>
          <w:szCs w:val="20"/>
        </w:rPr>
        <w:t xml:space="preserve">um 17 %. </w:t>
      </w:r>
      <w:r w:rsidR="00A0372F" w:rsidRPr="00CC4940">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4E919AF9" w14:textId="74F39513" w:rsidR="00970DB3" w:rsidRPr="00487ECE" w:rsidRDefault="00AF147C" w:rsidP="00970DB3">
      <w:pPr>
        <w:widowControl w:val="0"/>
        <w:spacing w:after="0" w:line="240" w:lineRule="auto"/>
        <w:jc w:val="center"/>
        <w:rPr>
          <w:rFonts w:ascii="Arial" w:hAnsi="Arial" w:cs="Arial"/>
          <w:b/>
          <w:bCs/>
          <w:caps/>
          <w:sz w:val="20"/>
          <w:szCs w:val="20"/>
        </w:rPr>
      </w:pPr>
      <w:r>
        <w:rPr>
          <w:rFonts w:ascii="Arial" w:hAnsi="Arial" w:cs="Arial"/>
          <w:b/>
          <w:bCs/>
          <w:caps/>
          <w:sz w:val="20"/>
          <w:szCs w:val="20"/>
        </w:rPr>
        <w:t>optimismus für weiteren jahresverlauf</w:t>
      </w:r>
    </w:p>
    <w:p w14:paraId="0B4A2806" w14:textId="1434125C" w:rsidR="00D6747B" w:rsidRDefault="00D6747B" w:rsidP="00487ECE">
      <w:pPr>
        <w:widowControl w:val="0"/>
        <w:spacing w:after="0"/>
        <w:rPr>
          <w:rFonts w:ascii="Arial" w:eastAsiaTheme="minorEastAsia" w:hAnsi="Arial" w:cs="Arial"/>
          <w:sz w:val="20"/>
          <w:szCs w:val="20"/>
          <w:lang w:eastAsia="de-DE"/>
        </w:rPr>
      </w:pPr>
    </w:p>
    <w:p w14:paraId="35477533" w14:textId="2B50E9C6" w:rsidR="001823AA" w:rsidRDefault="005076D0" w:rsidP="00EA21BF">
      <w:pPr>
        <w:widowControl w:val="0"/>
        <w:spacing w:after="0"/>
        <w:jc w:val="both"/>
        <w:rPr>
          <w:rFonts w:ascii="Arial" w:hAnsi="Arial" w:cs="Arial"/>
          <w:sz w:val="20"/>
          <w:szCs w:val="20"/>
        </w:rPr>
      </w:pPr>
      <w:r>
        <w:rPr>
          <w:rFonts w:ascii="Arial" w:eastAsiaTheme="minorEastAsia" w:hAnsi="Arial" w:cs="Arial"/>
          <w:sz w:val="20"/>
          <w:szCs w:val="20"/>
          <w:lang w:eastAsia="de-DE"/>
        </w:rPr>
        <w:t>Der</w:t>
      </w:r>
      <w:r w:rsidR="00F61FC6">
        <w:rPr>
          <w:rFonts w:ascii="Arial" w:eastAsiaTheme="minorEastAsia" w:hAnsi="Arial" w:cs="Arial"/>
          <w:sz w:val="20"/>
          <w:szCs w:val="20"/>
          <w:lang w:eastAsia="de-DE"/>
        </w:rPr>
        <w:t xml:space="preserve"> Bauboom bei Bürogebäuden an den Top-7-Standorten </w:t>
      </w:r>
      <w:r w:rsidR="00672EC9">
        <w:rPr>
          <w:rFonts w:ascii="Arial" w:eastAsiaTheme="minorEastAsia" w:hAnsi="Arial" w:cs="Arial"/>
          <w:sz w:val="20"/>
          <w:szCs w:val="20"/>
          <w:lang w:eastAsia="de-DE"/>
        </w:rPr>
        <w:t>hält</w:t>
      </w:r>
      <w:r>
        <w:rPr>
          <w:rFonts w:ascii="Arial" w:eastAsiaTheme="minorEastAsia" w:hAnsi="Arial" w:cs="Arial"/>
          <w:sz w:val="20"/>
          <w:szCs w:val="20"/>
          <w:lang w:eastAsia="de-DE"/>
        </w:rPr>
        <w:t xml:space="preserve"> </w:t>
      </w:r>
      <w:r w:rsidR="003D6790">
        <w:rPr>
          <w:rFonts w:ascii="Arial" w:eastAsiaTheme="minorEastAsia" w:hAnsi="Arial" w:cs="Arial"/>
          <w:sz w:val="20"/>
          <w:szCs w:val="20"/>
          <w:lang w:eastAsia="de-DE"/>
        </w:rPr>
        <w:t xml:space="preserve">dieses und nächstes Jahr </w:t>
      </w:r>
      <w:r>
        <w:rPr>
          <w:rFonts w:ascii="Arial" w:eastAsiaTheme="minorEastAsia" w:hAnsi="Arial" w:cs="Arial"/>
          <w:sz w:val="20"/>
          <w:szCs w:val="20"/>
          <w:lang w:eastAsia="de-DE"/>
        </w:rPr>
        <w:t>ungeachtet der</w:t>
      </w:r>
      <w:r w:rsidR="00F61FC6">
        <w:rPr>
          <w:rFonts w:ascii="Arial" w:eastAsiaTheme="minorEastAsia" w:hAnsi="Arial" w:cs="Arial"/>
          <w:sz w:val="20"/>
          <w:szCs w:val="20"/>
          <w:lang w:eastAsia="de-DE"/>
        </w:rPr>
        <w:t xml:space="preserve"> </w:t>
      </w:r>
      <w:r w:rsidR="003D6790">
        <w:rPr>
          <w:rFonts w:ascii="Arial" w:eastAsiaTheme="minorEastAsia" w:hAnsi="Arial" w:cs="Arial"/>
          <w:sz w:val="20"/>
          <w:szCs w:val="20"/>
          <w:lang w:eastAsia="de-DE"/>
        </w:rPr>
        <w:t xml:space="preserve">unsicheren </w:t>
      </w:r>
      <w:r w:rsidR="00F61FC6">
        <w:rPr>
          <w:rFonts w:ascii="Arial" w:eastAsiaTheme="minorEastAsia" w:hAnsi="Arial" w:cs="Arial"/>
          <w:sz w:val="20"/>
          <w:szCs w:val="20"/>
          <w:lang w:eastAsia="de-DE"/>
        </w:rPr>
        <w:t xml:space="preserve">wirtschaftlichen </w:t>
      </w:r>
      <w:r w:rsidR="003D6790">
        <w:rPr>
          <w:rFonts w:ascii="Arial" w:eastAsiaTheme="minorEastAsia" w:hAnsi="Arial" w:cs="Arial"/>
          <w:sz w:val="20"/>
          <w:szCs w:val="20"/>
          <w:lang w:eastAsia="de-DE"/>
        </w:rPr>
        <w:t xml:space="preserve">Aussichten </w:t>
      </w:r>
      <w:r w:rsidR="007F1D56">
        <w:rPr>
          <w:rFonts w:ascii="Arial" w:eastAsiaTheme="minorEastAsia" w:hAnsi="Arial" w:cs="Arial"/>
          <w:sz w:val="20"/>
          <w:szCs w:val="20"/>
          <w:lang w:eastAsia="de-DE"/>
        </w:rPr>
        <w:t xml:space="preserve">nahezu </w:t>
      </w:r>
      <w:r>
        <w:rPr>
          <w:rFonts w:ascii="Arial" w:eastAsiaTheme="minorEastAsia" w:hAnsi="Arial" w:cs="Arial"/>
          <w:sz w:val="20"/>
          <w:szCs w:val="20"/>
          <w:lang w:eastAsia="de-DE"/>
        </w:rPr>
        <w:t xml:space="preserve">unverändert an. Das Top-7-Fertigstellungsvolumen </w:t>
      </w:r>
      <w:r w:rsidR="00FD2DEB">
        <w:rPr>
          <w:rFonts w:ascii="Arial" w:eastAsiaTheme="minorEastAsia" w:hAnsi="Arial" w:cs="Arial"/>
          <w:sz w:val="20"/>
          <w:szCs w:val="20"/>
          <w:lang w:eastAsia="de-DE"/>
        </w:rPr>
        <w:t xml:space="preserve">für 2021 und 2022 </w:t>
      </w:r>
      <w:r w:rsidR="003C2182">
        <w:rPr>
          <w:rFonts w:ascii="Arial" w:eastAsiaTheme="minorEastAsia" w:hAnsi="Arial" w:cs="Arial"/>
          <w:sz w:val="20"/>
          <w:szCs w:val="20"/>
          <w:lang w:eastAsia="de-DE"/>
        </w:rPr>
        <w:t>summiert</w:t>
      </w:r>
      <w:r>
        <w:rPr>
          <w:rFonts w:ascii="Arial" w:eastAsiaTheme="minorEastAsia" w:hAnsi="Arial" w:cs="Arial"/>
          <w:sz w:val="20"/>
          <w:szCs w:val="20"/>
          <w:lang w:eastAsia="de-DE"/>
        </w:rPr>
        <w:t xml:space="preserve"> sich auf 3,36 Mio. m²</w:t>
      </w:r>
      <w:r w:rsidR="00A6130C">
        <w:rPr>
          <w:rFonts w:ascii="Arial" w:eastAsiaTheme="minorEastAsia" w:hAnsi="Arial" w:cs="Arial"/>
          <w:sz w:val="20"/>
          <w:szCs w:val="20"/>
          <w:lang w:eastAsia="de-DE"/>
        </w:rPr>
        <w:t>.</w:t>
      </w:r>
      <w:r>
        <w:rPr>
          <w:rFonts w:ascii="Arial" w:eastAsiaTheme="minorEastAsia" w:hAnsi="Arial" w:cs="Arial"/>
          <w:sz w:val="20"/>
          <w:szCs w:val="20"/>
          <w:lang w:eastAsia="de-DE"/>
        </w:rPr>
        <w:t xml:space="preserve"> Hiervon sind </w:t>
      </w:r>
      <w:r w:rsidR="00DE6885">
        <w:rPr>
          <w:rFonts w:ascii="Arial" w:eastAsiaTheme="minorEastAsia" w:hAnsi="Arial" w:cs="Arial"/>
          <w:sz w:val="20"/>
          <w:szCs w:val="20"/>
          <w:lang w:eastAsia="de-DE"/>
        </w:rPr>
        <w:t xml:space="preserve">mit </w:t>
      </w:r>
      <w:r w:rsidR="00BF3D3D">
        <w:rPr>
          <w:rFonts w:ascii="Arial" w:eastAsiaTheme="minorEastAsia" w:hAnsi="Arial" w:cs="Arial"/>
          <w:sz w:val="20"/>
          <w:szCs w:val="20"/>
          <w:lang w:eastAsia="de-DE"/>
        </w:rPr>
        <w:t xml:space="preserve">57 % </w:t>
      </w:r>
      <w:r w:rsidR="00DE6885">
        <w:rPr>
          <w:rFonts w:ascii="Arial" w:eastAsiaTheme="minorEastAsia" w:hAnsi="Arial" w:cs="Arial"/>
          <w:sz w:val="20"/>
          <w:szCs w:val="20"/>
          <w:lang w:eastAsia="de-DE"/>
        </w:rPr>
        <w:t xml:space="preserve">vier Prozentpunkte mehr </w:t>
      </w:r>
      <w:r>
        <w:rPr>
          <w:rFonts w:ascii="Arial" w:eastAsiaTheme="minorEastAsia" w:hAnsi="Arial" w:cs="Arial"/>
          <w:sz w:val="20"/>
          <w:szCs w:val="20"/>
          <w:lang w:eastAsia="de-DE"/>
        </w:rPr>
        <w:t>vertraglich gebunden</w:t>
      </w:r>
      <w:r w:rsidR="00DE6885">
        <w:rPr>
          <w:rFonts w:ascii="Arial" w:eastAsiaTheme="minorEastAsia" w:hAnsi="Arial" w:cs="Arial"/>
          <w:sz w:val="20"/>
          <w:szCs w:val="20"/>
          <w:lang w:eastAsia="de-DE"/>
        </w:rPr>
        <w:t xml:space="preserve"> als im</w:t>
      </w:r>
      <w:r w:rsidR="00E4666C">
        <w:rPr>
          <w:rFonts w:ascii="Arial" w:eastAsiaTheme="minorEastAsia" w:hAnsi="Arial" w:cs="Arial"/>
          <w:sz w:val="20"/>
          <w:szCs w:val="20"/>
          <w:lang w:eastAsia="de-DE"/>
        </w:rPr>
        <w:t xml:space="preserve"> Vorquartal.</w:t>
      </w:r>
      <w:bookmarkEnd w:id="1"/>
      <w:bookmarkEnd w:id="3"/>
      <w:r w:rsidR="00CF3114">
        <w:rPr>
          <w:rFonts w:ascii="Arial" w:eastAsiaTheme="minorEastAsia" w:hAnsi="Arial" w:cs="Arial"/>
          <w:sz w:val="20"/>
          <w:szCs w:val="20"/>
          <w:lang w:eastAsia="de-DE"/>
        </w:rPr>
        <w:t xml:space="preserve"> </w:t>
      </w:r>
      <w:r w:rsidR="000A7B82" w:rsidRPr="00A715AB">
        <w:rPr>
          <w:rFonts w:ascii="Arial" w:hAnsi="Arial" w:cs="Arial"/>
          <w:i/>
          <w:sz w:val="20"/>
          <w:szCs w:val="20"/>
        </w:rPr>
        <w:t>„</w:t>
      </w:r>
      <w:r w:rsidR="00FF0B2E">
        <w:rPr>
          <w:rFonts w:ascii="Arial" w:hAnsi="Arial" w:cs="Arial"/>
          <w:i/>
          <w:sz w:val="20"/>
          <w:szCs w:val="20"/>
        </w:rPr>
        <w:t>Der vorsichtige Optimismus am Jahresende</w:t>
      </w:r>
      <w:r w:rsidR="004926CE">
        <w:rPr>
          <w:rFonts w:ascii="Arial" w:hAnsi="Arial" w:cs="Arial"/>
          <w:i/>
          <w:sz w:val="20"/>
          <w:szCs w:val="20"/>
        </w:rPr>
        <w:t xml:space="preserve"> </w:t>
      </w:r>
      <w:r w:rsidR="005010C5">
        <w:rPr>
          <w:rFonts w:ascii="Arial" w:hAnsi="Arial" w:cs="Arial"/>
          <w:i/>
          <w:sz w:val="20"/>
          <w:szCs w:val="20"/>
        </w:rPr>
        <w:t>war</w:t>
      </w:r>
      <w:r w:rsidR="004926CE">
        <w:rPr>
          <w:rFonts w:ascii="Arial" w:hAnsi="Arial" w:cs="Arial"/>
          <w:i/>
          <w:sz w:val="20"/>
          <w:szCs w:val="20"/>
        </w:rPr>
        <w:t xml:space="preserve"> berechtigt.</w:t>
      </w:r>
      <w:r w:rsidR="00776C47">
        <w:rPr>
          <w:rFonts w:ascii="Arial" w:hAnsi="Arial" w:cs="Arial"/>
          <w:i/>
          <w:sz w:val="20"/>
          <w:szCs w:val="20"/>
        </w:rPr>
        <w:t xml:space="preserve"> </w:t>
      </w:r>
      <w:r w:rsidR="005010C5">
        <w:rPr>
          <w:rFonts w:ascii="Arial" w:hAnsi="Arial" w:cs="Arial"/>
          <w:i/>
          <w:sz w:val="20"/>
          <w:szCs w:val="20"/>
        </w:rPr>
        <w:t>Statt</w:t>
      </w:r>
      <w:r w:rsidR="004C13F5">
        <w:rPr>
          <w:rFonts w:ascii="Arial" w:hAnsi="Arial" w:cs="Arial"/>
          <w:i/>
          <w:sz w:val="20"/>
          <w:szCs w:val="20"/>
        </w:rPr>
        <w:t xml:space="preserve"> </w:t>
      </w:r>
      <w:r w:rsidR="005010C5">
        <w:rPr>
          <w:rFonts w:ascii="Arial" w:hAnsi="Arial" w:cs="Arial"/>
          <w:i/>
          <w:sz w:val="20"/>
          <w:szCs w:val="20"/>
        </w:rPr>
        <w:t xml:space="preserve">einem </w:t>
      </w:r>
      <w:r w:rsidR="00FE1101">
        <w:rPr>
          <w:rFonts w:ascii="Arial" w:hAnsi="Arial" w:cs="Arial"/>
          <w:i/>
          <w:sz w:val="20"/>
          <w:szCs w:val="20"/>
        </w:rPr>
        <w:t xml:space="preserve">marktbeherrschenden </w:t>
      </w:r>
      <w:r w:rsidR="005010C5">
        <w:rPr>
          <w:rFonts w:ascii="Arial" w:hAnsi="Arial" w:cs="Arial"/>
          <w:i/>
          <w:sz w:val="20"/>
          <w:szCs w:val="20"/>
        </w:rPr>
        <w:t xml:space="preserve">Gesamttrend </w:t>
      </w:r>
      <w:r w:rsidR="00BC50A0">
        <w:rPr>
          <w:rFonts w:ascii="Arial" w:hAnsi="Arial" w:cs="Arial"/>
          <w:i/>
          <w:sz w:val="20"/>
          <w:szCs w:val="20"/>
        </w:rPr>
        <w:t xml:space="preserve">zu unterliegen, </w:t>
      </w:r>
      <w:r w:rsidR="005010C5">
        <w:rPr>
          <w:rFonts w:ascii="Arial" w:hAnsi="Arial" w:cs="Arial"/>
          <w:i/>
          <w:sz w:val="20"/>
          <w:szCs w:val="20"/>
        </w:rPr>
        <w:t>entwickeln sich die</w:t>
      </w:r>
      <w:r w:rsidR="00FF19B3">
        <w:rPr>
          <w:rFonts w:ascii="Arial" w:hAnsi="Arial" w:cs="Arial"/>
          <w:i/>
          <w:sz w:val="20"/>
          <w:szCs w:val="20"/>
        </w:rPr>
        <w:t xml:space="preserve"> Standort</w:t>
      </w:r>
      <w:r w:rsidR="005010C5">
        <w:rPr>
          <w:rFonts w:ascii="Arial" w:hAnsi="Arial" w:cs="Arial"/>
          <w:i/>
          <w:sz w:val="20"/>
          <w:szCs w:val="20"/>
        </w:rPr>
        <w:t>e je nach</w:t>
      </w:r>
      <w:r w:rsidR="00FF19B3">
        <w:rPr>
          <w:rFonts w:ascii="Arial" w:hAnsi="Arial" w:cs="Arial"/>
          <w:i/>
          <w:sz w:val="20"/>
          <w:szCs w:val="20"/>
        </w:rPr>
        <w:t xml:space="preserve"> Branche</w:t>
      </w:r>
      <w:r w:rsidR="00FE1101">
        <w:rPr>
          <w:rFonts w:ascii="Arial" w:hAnsi="Arial" w:cs="Arial"/>
          <w:i/>
          <w:sz w:val="20"/>
          <w:szCs w:val="20"/>
        </w:rPr>
        <w:t xml:space="preserve"> und Teilm</w:t>
      </w:r>
      <w:r w:rsidR="00BC50A0">
        <w:rPr>
          <w:rFonts w:ascii="Arial" w:hAnsi="Arial" w:cs="Arial"/>
          <w:i/>
          <w:sz w:val="20"/>
          <w:szCs w:val="20"/>
        </w:rPr>
        <w:t>a</w:t>
      </w:r>
      <w:r w:rsidR="00FE1101">
        <w:rPr>
          <w:rFonts w:ascii="Arial" w:hAnsi="Arial" w:cs="Arial"/>
          <w:i/>
          <w:sz w:val="20"/>
          <w:szCs w:val="20"/>
        </w:rPr>
        <w:t>r</w:t>
      </w:r>
      <w:r w:rsidR="00BC50A0">
        <w:rPr>
          <w:rFonts w:ascii="Arial" w:hAnsi="Arial" w:cs="Arial"/>
          <w:i/>
          <w:sz w:val="20"/>
          <w:szCs w:val="20"/>
        </w:rPr>
        <w:t xml:space="preserve">kt </w:t>
      </w:r>
      <w:r w:rsidR="00BE0208">
        <w:rPr>
          <w:rFonts w:ascii="Arial" w:hAnsi="Arial" w:cs="Arial"/>
          <w:i/>
          <w:sz w:val="20"/>
          <w:szCs w:val="20"/>
        </w:rPr>
        <w:t xml:space="preserve">sehr </w:t>
      </w:r>
      <w:r w:rsidR="00FE1101">
        <w:rPr>
          <w:rFonts w:ascii="Arial" w:hAnsi="Arial" w:cs="Arial"/>
          <w:i/>
          <w:sz w:val="20"/>
          <w:szCs w:val="20"/>
        </w:rPr>
        <w:t>unterschiedlich</w:t>
      </w:r>
      <w:r w:rsidR="004C13F5">
        <w:rPr>
          <w:rFonts w:ascii="Arial" w:hAnsi="Arial" w:cs="Arial"/>
          <w:i/>
          <w:sz w:val="20"/>
          <w:szCs w:val="20"/>
        </w:rPr>
        <w:t xml:space="preserve">. </w:t>
      </w:r>
      <w:r w:rsidR="00FE1101">
        <w:rPr>
          <w:rFonts w:ascii="Arial" w:hAnsi="Arial" w:cs="Arial"/>
          <w:i/>
          <w:sz w:val="20"/>
          <w:szCs w:val="20"/>
        </w:rPr>
        <w:t xml:space="preserve">Dabei gibt </w:t>
      </w:r>
      <w:r w:rsidR="004C13F5">
        <w:rPr>
          <w:rFonts w:ascii="Arial" w:hAnsi="Arial" w:cs="Arial"/>
          <w:i/>
          <w:sz w:val="20"/>
          <w:szCs w:val="20"/>
        </w:rPr>
        <w:t xml:space="preserve">es </w:t>
      </w:r>
      <w:r w:rsidR="00CC4940">
        <w:rPr>
          <w:rFonts w:ascii="Arial" w:hAnsi="Arial" w:cs="Arial"/>
          <w:i/>
          <w:sz w:val="20"/>
          <w:szCs w:val="20"/>
        </w:rPr>
        <w:t xml:space="preserve">zwar </w:t>
      </w:r>
      <w:r w:rsidR="004C13F5">
        <w:rPr>
          <w:rFonts w:ascii="Arial" w:hAnsi="Arial" w:cs="Arial"/>
          <w:i/>
          <w:sz w:val="20"/>
          <w:szCs w:val="20"/>
        </w:rPr>
        <w:t>sowohl</w:t>
      </w:r>
      <w:r w:rsidR="00AF147C">
        <w:rPr>
          <w:rFonts w:ascii="Arial" w:hAnsi="Arial" w:cs="Arial"/>
          <w:i/>
          <w:sz w:val="20"/>
          <w:szCs w:val="20"/>
        </w:rPr>
        <w:t xml:space="preserve"> Großgesuche </w:t>
      </w:r>
      <w:r w:rsidR="00FF19B3">
        <w:rPr>
          <w:rFonts w:ascii="Arial" w:hAnsi="Arial" w:cs="Arial"/>
          <w:i/>
          <w:sz w:val="20"/>
          <w:szCs w:val="20"/>
        </w:rPr>
        <w:t>als</w:t>
      </w:r>
      <w:r w:rsidR="00CC4940">
        <w:rPr>
          <w:rFonts w:ascii="Arial" w:hAnsi="Arial" w:cs="Arial"/>
          <w:i/>
          <w:sz w:val="20"/>
          <w:szCs w:val="20"/>
        </w:rPr>
        <w:t xml:space="preserve"> aber</w:t>
      </w:r>
      <w:r w:rsidR="00FF19B3">
        <w:rPr>
          <w:rFonts w:ascii="Arial" w:hAnsi="Arial" w:cs="Arial"/>
          <w:i/>
          <w:sz w:val="20"/>
          <w:szCs w:val="20"/>
        </w:rPr>
        <w:t xml:space="preserve"> auch </w:t>
      </w:r>
      <w:r w:rsidR="00AF147C">
        <w:rPr>
          <w:rFonts w:ascii="Arial" w:hAnsi="Arial" w:cs="Arial"/>
          <w:i/>
          <w:sz w:val="20"/>
          <w:szCs w:val="20"/>
        </w:rPr>
        <w:t xml:space="preserve">Unternehmen, die </w:t>
      </w:r>
      <w:r w:rsidR="00BE0208">
        <w:rPr>
          <w:rFonts w:ascii="Arial" w:hAnsi="Arial" w:cs="Arial"/>
          <w:i/>
          <w:sz w:val="20"/>
          <w:szCs w:val="20"/>
        </w:rPr>
        <w:t xml:space="preserve">bis zur Klärung ihrer Marktlage </w:t>
      </w:r>
      <w:r w:rsidR="00AF147C">
        <w:rPr>
          <w:rFonts w:ascii="Arial" w:hAnsi="Arial" w:cs="Arial"/>
          <w:i/>
          <w:sz w:val="20"/>
          <w:szCs w:val="20"/>
        </w:rPr>
        <w:t>abwarten</w:t>
      </w:r>
      <w:r w:rsidR="00BE0208">
        <w:rPr>
          <w:rFonts w:ascii="Arial" w:hAnsi="Arial" w:cs="Arial"/>
          <w:i/>
          <w:sz w:val="20"/>
          <w:szCs w:val="20"/>
        </w:rPr>
        <w:t xml:space="preserve">. Aufgrund der Umwälzungen in der Arbeitswelt dürfte der Gesamtflächenumsatz an den Top-7-Standorten aber deutlich </w:t>
      </w:r>
      <w:r w:rsidR="009064B5">
        <w:rPr>
          <w:rFonts w:ascii="Arial" w:hAnsi="Arial" w:cs="Arial"/>
          <w:i/>
          <w:sz w:val="20"/>
          <w:szCs w:val="20"/>
        </w:rPr>
        <w:t>unter dem Niveau von vor 2019 bleiben</w:t>
      </w:r>
      <w:r w:rsidR="000A7B82" w:rsidRPr="00A715AB">
        <w:rPr>
          <w:rFonts w:ascii="Arial" w:hAnsi="Arial" w:cs="Arial"/>
          <w:i/>
          <w:sz w:val="20"/>
          <w:szCs w:val="20"/>
        </w:rPr>
        <w:t>“,</w:t>
      </w:r>
      <w:r w:rsidR="000A7B82">
        <w:rPr>
          <w:rFonts w:ascii="Arial" w:hAnsi="Arial" w:cs="Arial"/>
          <w:sz w:val="20"/>
          <w:szCs w:val="20"/>
        </w:rPr>
        <w:t xml:space="preserve"> </w:t>
      </w:r>
      <w:r w:rsidR="00AF147C">
        <w:rPr>
          <w:rFonts w:ascii="Arial" w:hAnsi="Arial" w:cs="Arial"/>
          <w:sz w:val="20"/>
          <w:szCs w:val="20"/>
        </w:rPr>
        <w:t>erwartet</w:t>
      </w:r>
      <w:r w:rsidR="000A7B82">
        <w:rPr>
          <w:rFonts w:ascii="Arial" w:hAnsi="Arial" w:cs="Arial"/>
          <w:sz w:val="20"/>
          <w:szCs w:val="20"/>
        </w:rPr>
        <w:t xml:space="preserve"> </w:t>
      </w:r>
      <w:r w:rsidR="000A7B82" w:rsidRPr="00A715AB">
        <w:rPr>
          <w:rFonts w:ascii="Arial" w:hAnsi="Arial" w:cs="Arial"/>
          <w:b/>
          <w:sz w:val="20"/>
          <w:szCs w:val="20"/>
        </w:rPr>
        <w:t>Schön</w:t>
      </w:r>
      <w:r w:rsidR="000A7B82">
        <w:rPr>
          <w:rFonts w:ascii="Arial" w:hAnsi="Arial" w:cs="Arial"/>
          <w:sz w:val="20"/>
          <w:szCs w:val="20"/>
        </w:rPr>
        <w:t>.</w:t>
      </w:r>
    </w:p>
    <w:p w14:paraId="0BE30C96" w14:textId="21466292" w:rsidR="000A7B82" w:rsidRDefault="000A7B82" w:rsidP="00487ECE">
      <w:pPr>
        <w:spacing w:after="0" w:line="240" w:lineRule="auto"/>
        <w:rPr>
          <w:rFonts w:ascii="Arial" w:hAnsi="Arial" w:cs="Arial"/>
          <w:b/>
          <w:sz w:val="20"/>
          <w:szCs w:val="20"/>
        </w:rPr>
      </w:pPr>
    </w:p>
    <w:p w14:paraId="2820E23F" w14:textId="2ACD8EC0"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AC6344">
        <w:rPr>
          <w:rFonts w:ascii="Arial" w:hAnsi="Arial" w:cs="Arial"/>
          <w:b/>
          <w:sz w:val="20"/>
          <w:szCs w:val="20"/>
        </w:rPr>
        <w:t>5</w:t>
      </w:r>
      <w:r>
        <w:rPr>
          <w:rFonts w:ascii="Arial" w:hAnsi="Arial" w:cs="Arial"/>
          <w:b/>
          <w:sz w:val="20"/>
          <w:szCs w:val="20"/>
        </w:rPr>
        <w:t>.000 m² | Top-7-Standorte | 1</w:t>
      </w:r>
      <w:r w:rsidR="00C73546">
        <w:rPr>
          <w:rFonts w:ascii="Arial" w:hAnsi="Arial" w:cs="Arial"/>
          <w:b/>
          <w:sz w:val="20"/>
          <w:szCs w:val="20"/>
        </w:rPr>
        <w:t>. Q</w:t>
      </w:r>
      <w:r>
        <w:rPr>
          <w:rFonts w:ascii="Arial" w:hAnsi="Arial" w:cs="Arial"/>
          <w:b/>
          <w:sz w:val="20"/>
          <w:szCs w:val="20"/>
        </w:rPr>
        <w:t>uartal 20</w:t>
      </w:r>
      <w:r w:rsidR="00C73546">
        <w:rPr>
          <w:rFonts w:ascii="Arial" w:hAnsi="Arial" w:cs="Arial"/>
          <w:b/>
          <w:sz w:val="20"/>
          <w:szCs w:val="20"/>
        </w:rPr>
        <w:t>21</w:t>
      </w:r>
    </w:p>
    <w:tbl>
      <w:tblPr>
        <w:tblStyle w:val="Tabellenraster"/>
        <w:tblW w:w="5000" w:type="pct"/>
        <w:tblLook w:val="04A0" w:firstRow="1" w:lastRow="0" w:firstColumn="1" w:lastColumn="0" w:noHBand="0" w:noVBand="1"/>
      </w:tblPr>
      <w:tblGrid>
        <w:gridCol w:w="818"/>
        <w:gridCol w:w="3845"/>
        <w:gridCol w:w="3400"/>
        <w:gridCol w:w="999"/>
      </w:tblGrid>
      <w:tr w:rsidR="003A0BD4" w14:paraId="2227A3D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121"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87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1"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2A077193" w14:textId="1362F08B" w:rsidR="00A4078F" w:rsidRPr="001D6864" w:rsidRDefault="003D2A65">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7A9CE758" w14:textId="32CE789F" w:rsidR="00A4078F" w:rsidRPr="001D6864" w:rsidRDefault="003D2A65">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Upbeat</w:t>
            </w:r>
            <w:proofErr w:type="spellEnd"/>
            <w:r>
              <w:rPr>
                <w:rFonts w:ascii="Arial" w:hAnsi="Arial" w:cs="Arial"/>
                <w:bCs/>
                <w:sz w:val="16"/>
                <w:szCs w:val="16"/>
              </w:rPr>
              <w:t>“, Heidestraße</w:t>
            </w:r>
          </w:p>
        </w:tc>
        <w:tc>
          <w:tcPr>
            <w:tcW w:w="1876" w:type="pct"/>
            <w:tcBorders>
              <w:top w:val="single" w:sz="4" w:space="0" w:color="auto"/>
              <w:left w:val="single" w:sz="4" w:space="0" w:color="auto"/>
              <w:bottom w:val="single" w:sz="4" w:space="0" w:color="auto"/>
              <w:right w:val="single" w:sz="4" w:space="0" w:color="auto"/>
            </w:tcBorders>
            <w:vAlign w:val="center"/>
          </w:tcPr>
          <w:p w14:paraId="70641E17" w14:textId="7D0E7FC9" w:rsidR="00A4078F" w:rsidRPr="001D6864" w:rsidRDefault="003D2A65">
            <w:pPr>
              <w:widowControl w:val="0"/>
              <w:jc w:val="center"/>
              <w:rPr>
                <w:rFonts w:ascii="Arial" w:hAnsi="Arial" w:cs="Arial"/>
                <w:bCs/>
                <w:sz w:val="16"/>
                <w:szCs w:val="16"/>
              </w:rPr>
            </w:pPr>
            <w:r>
              <w:rPr>
                <w:rFonts w:ascii="Arial" w:hAnsi="Arial" w:cs="Arial"/>
                <w:bCs/>
                <w:sz w:val="16"/>
                <w:szCs w:val="16"/>
              </w:rPr>
              <w:t>DKB Bank</w:t>
            </w:r>
          </w:p>
        </w:tc>
        <w:tc>
          <w:tcPr>
            <w:tcW w:w="551" w:type="pct"/>
            <w:tcBorders>
              <w:top w:val="single" w:sz="4" w:space="0" w:color="auto"/>
              <w:left w:val="single" w:sz="4" w:space="0" w:color="auto"/>
              <w:bottom w:val="single" w:sz="4" w:space="0" w:color="auto"/>
              <w:right w:val="single" w:sz="4" w:space="0" w:color="auto"/>
            </w:tcBorders>
            <w:vAlign w:val="center"/>
          </w:tcPr>
          <w:p w14:paraId="4BE353C3" w14:textId="13FAA7D4" w:rsidR="00A4078F" w:rsidRPr="001D6864" w:rsidRDefault="003D2A65">
            <w:pPr>
              <w:widowControl w:val="0"/>
              <w:jc w:val="center"/>
              <w:rPr>
                <w:rFonts w:ascii="Arial" w:hAnsi="Arial" w:cs="Arial"/>
                <w:bCs/>
                <w:sz w:val="16"/>
                <w:szCs w:val="16"/>
              </w:rPr>
            </w:pPr>
            <w:r>
              <w:rPr>
                <w:rFonts w:ascii="Arial" w:hAnsi="Arial" w:cs="Arial"/>
                <w:bCs/>
                <w:sz w:val="16"/>
                <w:szCs w:val="16"/>
              </w:rPr>
              <w:t>34.850</w:t>
            </w:r>
          </w:p>
        </w:tc>
      </w:tr>
      <w:tr w:rsidR="0064195A" w14:paraId="0211064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0D8B762" w14:textId="64418235"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vAlign w:val="center"/>
          </w:tcPr>
          <w:p w14:paraId="03098BAF" w14:textId="77777777" w:rsidR="00572796" w:rsidRPr="00B90116" w:rsidRDefault="00422D91" w:rsidP="00422D91">
            <w:pPr>
              <w:widowControl w:val="0"/>
              <w:jc w:val="center"/>
              <w:rPr>
                <w:rFonts w:ascii="Arial" w:hAnsi="Arial" w:cs="Arial"/>
                <w:bCs/>
                <w:sz w:val="16"/>
                <w:szCs w:val="16"/>
                <w:lang w:val="en-GB"/>
              </w:rPr>
            </w:pPr>
            <w:r w:rsidRPr="00B90116">
              <w:rPr>
                <w:rFonts w:ascii="Arial" w:hAnsi="Arial" w:cs="Arial"/>
                <w:bCs/>
                <w:sz w:val="16"/>
                <w:szCs w:val="16"/>
                <w:lang w:val="en-GB"/>
              </w:rPr>
              <w:t>„The Move Blue“, Gatewa</w:t>
            </w:r>
            <w:r w:rsidR="00012241" w:rsidRPr="00B90116">
              <w:rPr>
                <w:rFonts w:ascii="Arial" w:hAnsi="Arial" w:cs="Arial"/>
                <w:bCs/>
                <w:sz w:val="16"/>
                <w:szCs w:val="16"/>
                <w:lang w:val="en-GB"/>
              </w:rPr>
              <w:t>y Gardens</w:t>
            </w:r>
            <w:r w:rsidR="00572796" w:rsidRPr="00B90116">
              <w:rPr>
                <w:rFonts w:ascii="Arial" w:hAnsi="Arial" w:cs="Arial"/>
                <w:bCs/>
                <w:sz w:val="16"/>
                <w:szCs w:val="16"/>
                <w:lang w:val="en-GB"/>
              </w:rPr>
              <w:t xml:space="preserve">, </w:t>
            </w:r>
          </w:p>
          <w:p w14:paraId="64FFF168" w14:textId="24BD08DB" w:rsidR="0064195A" w:rsidRPr="001D6864" w:rsidRDefault="00422D91" w:rsidP="00422D91">
            <w:pPr>
              <w:widowControl w:val="0"/>
              <w:jc w:val="center"/>
              <w:rPr>
                <w:rFonts w:ascii="Arial" w:hAnsi="Arial" w:cs="Arial"/>
                <w:bCs/>
                <w:sz w:val="16"/>
                <w:szCs w:val="16"/>
              </w:rPr>
            </w:pPr>
            <w:r w:rsidRPr="00CC4940">
              <w:rPr>
                <w:rFonts w:ascii="Arial" w:hAnsi="Arial" w:cs="Arial"/>
                <w:bCs/>
                <w:sz w:val="16"/>
                <w:szCs w:val="16"/>
              </w:rPr>
              <w:t>De-Saint-</w:t>
            </w:r>
            <w:proofErr w:type="spellStart"/>
            <w:r w:rsidRPr="00CC4940">
              <w:rPr>
                <w:rFonts w:ascii="Arial" w:hAnsi="Arial" w:cs="Arial"/>
                <w:bCs/>
                <w:sz w:val="16"/>
                <w:szCs w:val="16"/>
              </w:rPr>
              <w:t>Exupèry</w:t>
            </w:r>
            <w:proofErr w:type="spellEnd"/>
            <w:r w:rsidRPr="00CC4940">
              <w:rPr>
                <w:rFonts w:ascii="Arial" w:hAnsi="Arial" w:cs="Arial"/>
                <w:bCs/>
                <w:sz w:val="16"/>
                <w:szCs w:val="16"/>
              </w:rPr>
              <w:t>-Straße 3, 5-7</w:t>
            </w:r>
          </w:p>
        </w:tc>
        <w:tc>
          <w:tcPr>
            <w:tcW w:w="1876" w:type="pct"/>
            <w:tcBorders>
              <w:top w:val="single" w:sz="4" w:space="0" w:color="auto"/>
              <w:left w:val="single" w:sz="4" w:space="0" w:color="auto"/>
              <w:bottom w:val="single" w:sz="4" w:space="0" w:color="auto"/>
              <w:right w:val="single" w:sz="4" w:space="0" w:color="auto"/>
            </w:tcBorders>
            <w:vAlign w:val="center"/>
          </w:tcPr>
          <w:p w14:paraId="49DD1592" w14:textId="10F03FCC"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Siemens (Eigennutzer)</w:t>
            </w:r>
          </w:p>
        </w:tc>
        <w:tc>
          <w:tcPr>
            <w:tcW w:w="551" w:type="pct"/>
            <w:tcBorders>
              <w:top w:val="single" w:sz="4" w:space="0" w:color="auto"/>
              <w:left w:val="single" w:sz="4" w:space="0" w:color="auto"/>
              <w:bottom w:val="single" w:sz="4" w:space="0" w:color="auto"/>
              <w:right w:val="single" w:sz="4" w:space="0" w:color="auto"/>
            </w:tcBorders>
            <w:vAlign w:val="center"/>
          </w:tcPr>
          <w:p w14:paraId="4191665E" w14:textId="14394B21" w:rsidR="0064195A" w:rsidRPr="001D6864" w:rsidRDefault="00422D91" w:rsidP="0064195A">
            <w:pPr>
              <w:widowControl w:val="0"/>
              <w:jc w:val="center"/>
              <w:rPr>
                <w:rFonts w:ascii="Arial" w:hAnsi="Arial" w:cs="Arial"/>
                <w:bCs/>
                <w:sz w:val="16"/>
                <w:szCs w:val="16"/>
              </w:rPr>
            </w:pPr>
            <w:r>
              <w:rPr>
                <w:rFonts w:ascii="Arial" w:hAnsi="Arial" w:cs="Arial"/>
                <w:bCs/>
                <w:sz w:val="16"/>
                <w:szCs w:val="16"/>
              </w:rPr>
              <w:t>15.000</w:t>
            </w:r>
          </w:p>
        </w:tc>
      </w:tr>
      <w:tr w:rsidR="0064195A" w14:paraId="4C96267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42345A5" w14:textId="153DFE9B" w:rsidR="0064195A" w:rsidRPr="007D3839" w:rsidRDefault="00422D91" w:rsidP="0064195A">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vAlign w:val="center"/>
          </w:tcPr>
          <w:p w14:paraId="28339426" w14:textId="7B138FD6" w:rsidR="0064195A" w:rsidRPr="007D3839" w:rsidRDefault="00422D91" w:rsidP="0064195A">
            <w:pPr>
              <w:widowControl w:val="0"/>
              <w:jc w:val="center"/>
              <w:rPr>
                <w:rFonts w:ascii="Arial" w:hAnsi="Arial" w:cs="Arial"/>
                <w:bCs/>
                <w:sz w:val="16"/>
                <w:szCs w:val="16"/>
              </w:rPr>
            </w:pPr>
            <w:r w:rsidRPr="00422D91">
              <w:rPr>
                <w:rFonts w:ascii="Arial" w:hAnsi="Arial" w:cs="Arial"/>
                <w:bCs/>
                <w:sz w:val="16"/>
                <w:szCs w:val="16"/>
              </w:rPr>
              <w:t>Josef-</w:t>
            </w:r>
            <w:proofErr w:type="spellStart"/>
            <w:r w:rsidRPr="00422D91">
              <w:rPr>
                <w:rFonts w:ascii="Arial" w:hAnsi="Arial" w:cs="Arial"/>
                <w:bCs/>
                <w:sz w:val="16"/>
                <w:szCs w:val="16"/>
              </w:rPr>
              <w:t>Lammerting</w:t>
            </w:r>
            <w:proofErr w:type="spellEnd"/>
            <w:r w:rsidRPr="00422D91">
              <w:rPr>
                <w:rFonts w:ascii="Arial" w:hAnsi="Arial" w:cs="Arial"/>
                <w:bCs/>
                <w:sz w:val="16"/>
                <w:szCs w:val="16"/>
              </w:rPr>
              <w:t>-Allee 24-34</w:t>
            </w:r>
          </w:p>
        </w:tc>
        <w:tc>
          <w:tcPr>
            <w:tcW w:w="1876" w:type="pct"/>
            <w:tcBorders>
              <w:top w:val="single" w:sz="4" w:space="0" w:color="auto"/>
              <w:left w:val="single" w:sz="4" w:space="0" w:color="auto"/>
              <w:bottom w:val="single" w:sz="4" w:space="0" w:color="auto"/>
              <w:right w:val="single" w:sz="4" w:space="0" w:color="auto"/>
            </w:tcBorders>
            <w:vAlign w:val="center"/>
          </w:tcPr>
          <w:p w14:paraId="5DC73B09" w14:textId="344B10CF" w:rsidR="0064195A" w:rsidRPr="007D3839" w:rsidRDefault="006824E4" w:rsidP="0064195A">
            <w:pPr>
              <w:widowControl w:val="0"/>
              <w:jc w:val="center"/>
              <w:rPr>
                <w:rFonts w:ascii="Arial" w:hAnsi="Arial" w:cs="Arial"/>
                <w:bCs/>
                <w:sz w:val="16"/>
                <w:szCs w:val="16"/>
              </w:rPr>
            </w:pPr>
            <w:r>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vAlign w:val="center"/>
          </w:tcPr>
          <w:p w14:paraId="3F30C22E" w14:textId="6D61559C" w:rsidR="0064195A" w:rsidRPr="007D3839" w:rsidRDefault="00422D91" w:rsidP="0064195A">
            <w:pPr>
              <w:widowControl w:val="0"/>
              <w:jc w:val="center"/>
              <w:rPr>
                <w:rFonts w:ascii="Arial" w:hAnsi="Arial" w:cs="Arial"/>
                <w:bCs/>
                <w:sz w:val="16"/>
                <w:szCs w:val="16"/>
              </w:rPr>
            </w:pPr>
            <w:r>
              <w:rPr>
                <w:rFonts w:ascii="Arial" w:hAnsi="Arial" w:cs="Arial"/>
                <w:bCs/>
                <w:sz w:val="16"/>
                <w:szCs w:val="16"/>
              </w:rPr>
              <w:t>13.000</w:t>
            </w:r>
          </w:p>
        </w:tc>
      </w:tr>
      <w:tr w:rsidR="00AC6344" w:rsidRPr="00012241" w14:paraId="2ECD8943"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9BA17" w14:textId="53A5AC4C" w:rsidR="00AC6344" w:rsidRDefault="00422D91" w:rsidP="0064195A">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4E8D6" w14:textId="595F8EC2" w:rsidR="00AC6344" w:rsidRDefault="00012241"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Shed</w:t>
            </w:r>
            <w:proofErr w:type="spellEnd"/>
            <w:r>
              <w:rPr>
                <w:rFonts w:ascii="Arial" w:hAnsi="Arial" w:cs="Arial"/>
                <w:bCs/>
                <w:sz w:val="16"/>
                <w:szCs w:val="16"/>
              </w:rPr>
              <w:t>“</w:t>
            </w:r>
            <w:r w:rsidR="00422D91" w:rsidRPr="00422D91">
              <w:rPr>
                <w:rFonts w:ascii="Arial" w:hAnsi="Arial" w:cs="Arial"/>
                <w:bCs/>
                <w:sz w:val="16"/>
                <w:szCs w:val="16"/>
              </w:rPr>
              <w:t>, Sonnenallee 221</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5238C" w14:textId="084FEA39" w:rsidR="00AC6344" w:rsidRPr="00012241" w:rsidRDefault="00422D91" w:rsidP="0064195A">
            <w:pPr>
              <w:widowControl w:val="0"/>
              <w:jc w:val="center"/>
              <w:rPr>
                <w:rFonts w:ascii="Arial" w:hAnsi="Arial" w:cs="Arial"/>
                <w:bCs/>
                <w:sz w:val="16"/>
                <w:szCs w:val="16"/>
                <w:lang w:val="en-GB"/>
              </w:rPr>
            </w:pPr>
            <w:r w:rsidRPr="00012241">
              <w:rPr>
                <w:rFonts w:ascii="Arial" w:hAnsi="Arial" w:cs="Arial"/>
                <w:bCs/>
                <w:sz w:val="16"/>
                <w:szCs w:val="16"/>
                <w:lang w:val="en-GB"/>
              </w:rPr>
              <w:t>SRH Berlin University of Applied Sciences</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B1887A" w14:textId="53901AE8" w:rsidR="00AC6344" w:rsidRPr="00012241" w:rsidRDefault="00422D91" w:rsidP="0064195A">
            <w:pPr>
              <w:widowControl w:val="0"/>
              <w:jc w:val="center"/>
              <w:rPr>
                <w:rFonts w:ascii="Arial" w:hAnsi="Arial" w:cs="Arial"/>
                <w:bCs/>
                <w:sz w:val="16"/>
                <w:szCs w:val="16"/>
              </w:rPr>
            </w:pPr>
            <w:r w:rsidRPr="00012241">
              <w:rPr>
                <w:rFonts w:ascii="Arial" w:hAnsi="Arial" w:cs="Arial"/>
                <w:bCs/>
                <w:sz w:val="16"/>
                <w:szCs w:val="16"/>
              </w:rPr>
              <w:t>13.000</w:t>
            </w:r>
          </w:p>
        </w:tc>
      </w:tr>
      <w:tr w:rsidR="00AC6344" w:rsidRPr="00012241" w14:paraId="1767CC0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1056A" w14:textId="1BE87D20" w:rsidR="00AC6344" w:rsidRDefault="00422D91" w:rsidP="0064195A">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99B49" w14:textId="5C3989D9" w:rsidR="00AC6344" w:rsidRDefault="00012241" w:rsidP="00012241">
            <w:pPr>
              <w:widowControl w:val="0"/>
              <w:jc w:val="center"/>
              <w:rPr>
                <w:rFonts w:ascii="Arial" w:hAnsi="Arial" w:cs="Arial"/>
                <w:bCs/>
                <w:sz w:val="16"/>
                <w:szCs w:val="16"/>
              </w:rPr>
            </w:pPr>
            <w:r>
              <w:rPr>
                <w:rFonts w:ascii="Arial" w:hAnsi="Arial" w:cs="Arial"/>
                <w:bCs/>
                <w:sz w:val="16"/>
                <w:szCs w:val="16"/>
              </w:rPr>
              <w:t xml:space="preserve">„Ovum“, </w:t>
            </w:r>
            <w:r w:rsidR="00422D91" w:rsidRPr="00422D91">
              <w:rPr>
                <w:rFonts w:ascii="Arial" w:hAnsi="Arial" w:cs="Arial"/>
                <w:bCs/>
                <w:sz w:val="16"/>
                <w:szCs w:val="16"/>
              </w:rPr>
              <w:t>Stolberger Straße</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708F4" w14:textId="5FBD96C3" w:rsidR="00AC6344" w:rsidRDefault="00422D91" w:rsidP="006824E4">
            <w:pPr>
              <w:widowControl w:val="0"/>
              <w:jc w:val="center"/>
              <w:rPr>
                <w:rFonts w:ascii="Arial" w:hAnsi="Arial" w:cs="Arial"/>
                <w:bCs/>
                <w:sz w:val="16"/>
                <w:szCs w:val="16"/>
              </w:rPr>
            </w:pPr>
            <w:proofErr w:type="spellStart"/>
            <w:r w:rsidRPr="00422D91">
              <w:rPr>
                <w:rFonts w:ascii="Arial" w:hAnsi="Arial" w:cs="Arial"/>
                <w:bCs/>
                <w:sz w:val="16"/>
                <w:szCs w:val="16"/>
              </w:rPr>
              <w:t>Bima</w:t>
            </w:r>
            <w:proofErr w:type="spellEnd"/>
            <w:r w:rsidRPr="00422D91">
              <w:rPr>
                <w:rFonts w:ascii="Arial" w:hAnsi="Arial" w:cs="Arial"/>
                <w:bCs/>
                <w:sz w:val="16"/>
                <w:szCs w:val="16"/>
              </w:rPr>
              <w:t xml:space="preserve"> für </w:t>
            </w:r>
            <w:r w:rsidR="006824E4">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F2C6B" w14:textId="73C53EC7" w:rsidR="00AC6344" w:rsidRDefault="00422D91" w:rsidP="0064195A">
            <w:pPr>
              <w:widowControl w:val="0"/>
              <w:jc w:val="center"/>
              <w:rPr>
                <w:rFonts w:ascii="Arial" w:hAnsi="Arial" w:cs="Arial"/>
                <w:bCs/>
                <w:sz w:val="16"/>
                <w:szCs w:val="16"/>
              </w:rPr>
            </w:pPr>
            <w:r>
              <w:rPr>
                <w:rFonts w:ascii="Arial" w:hAnsi="Arial" w:cs="Arial"/>
                <w:bCs/>
                <w:sz w:val="16"/>
                <w:szCs w:val="16"/>
              </w:rPr>
              <w:t>12.000</w:t>
            </w:r>
          </w:p>
        </w:tc>
      </w:tr>
      <w:tr w:rsidR="00AC6344" w:rsidRPr="00012241" w14:paraId="37C7024D"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312F6" w14:textId="4E41D378" w:rsidR="00AC6344" w:rsidRDefault="001545E5" w:rsidP="0064195A">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B48EC" w14:textId="74360AF4" w:rsidR="00AC6344" w:rsidRDefault="00012241" w:rsidP="0064195A">
            <w:pPr>
              <w:widowControl w:val="0"/>
              <w:jc w:val="center"/>
              <w:rPr>
                <w:rFonts w:ascii="Arial" w:hAnsi="Arial" w:cs="Arial"/>
                <w:bCs/>
                <w:sz w:val="16"/>
                <w:szCs w:val="16"/>
              </w:rPr>
            </w:pPr>
            <w:r>
              <w:rPr>
                <w:rFonts w:ascii="Arial" w:hAnsi="Arial" w:cs="Arial"/>
                <w:bCs/>
                <w:sz w:val="16"/>
                <w:szCs w:val="16"/>
              </w:rPr>
              <w:t>„</w:t>
            </w:r>
            <w:proofErr w:type="spellStart"/>
            <w:r>
              <w:rPr>
                <w:rFonts w:ascii="Arial" w:hAnsi="Arial" w:cs="Arial"/>
                <w:bCs/>
                <w:sz w:val="16"/>
                <w:szCs w:val="16"/>
              </w:rPr>
              <w:t>denk.mal</w:t>
            </w:r>
            <w:proofErr w:type="spellEnd"/>
            <w:r>
              <w:rPr>
                <w:rFonts w:ascii="Arial" w:hAnsi="Arial" w:cs="Arial"/>
                <w:bCs/>
                <w:sz w:val="16"/>
                <w:szCs w:val="16"/>
              </w:rPr>
              <w:t xml:space="preserve"> Hannoverscher Bahnhof“,</w:t>
            </w:r>
            <w:r>
              <w:rPr>
                <w:rFonts w:ascii="Arial" w:hAnsi="Arial" w:cs="Arial"/>
                <w:bCs/>
                <w:sz w:val="16"/>
                <w:szCs w:val="16"/>
              </w:rPr>
              <w:br/>
            </w:r>
            <w:r w:rsidR="00422D91" w:rsidRPr="00422D91">
              <w:rPr>
                <w:rFonts w:ascii="Arial" w:hAnsi="Arial" w:cs="Arial"/>
                <w:bCs/>
                <w:sz w:val="16"/>
                <w:szCs w:val="16"/>
              </w:rPr>
              <w:t xml:space="preserve">Am </w:t>
            </w:r>
            <w:proofErr w:type="spellStart"/>
            <w:r w:rsidR="00422D91" w:rsidRPr="00422D91">
              <w:rPr>
                <w:rFonts w:ascii="Arial" w:hAnsi="Arial" w:cs="Arial"/>
                <w:bCs/>
                <w:sz w:val="16"/>
                <w:szCs w:val="16"/>
              </w:rPr>
              <w:t>Lohsepark</w:t>
            </w:r>
            <w:proofErr w:type="spellEnd"/>
            <w:r w:rsidR="00422D91" w:rsidRPr="00422D91">
              <w:rPr>
                <w:rFonts w:ascii="Arial" w:hAnsi="Arial" w:cs="Arial"/>
                <w:bCs/>
                <w:sz w:val="16"/>
                <w:szCs w:val="16"/>
              </w:rPr>
              <w:t xml:space="preserve"> 67-69</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972C1" w14:textId="52BAD9EF" w:rsidR="00AC6344" w:rsidRDefault="00422D91" w:rsidP="0064195A">
            <w:pPr>
              <w:widowControl w:val="0"/>
              <w:jc w:val="center"/>
              <w:rPr>
                <w:rFonts w:ascii="Arial" w:hAnsi="Arial" w:cs="Arial"/>
                <w:bCs/>
                <w:sz w:val="16"/>
                <w:szCs w:val="16"/>
              </w:rPr>
            </w:pPr>
            <w:r w:rsidRPr="00422D91">
              <w:rPr>
                <w:rFonts w:ascii="Arial" w:hAnsi="Arial" w:cs="Arial"/>
                <w:bCs/>
                <w:sz w:val="16"/>
                <w:szCs w:val="16"/>
              </w:rPr>
              <w:t xml:space="preserve">Wintershall </w:t>
            </w:r>
            <w:proofErr w:type="spellStart"/>
            <w:r w:rsidRPr="00422D91">
              <w:rPr>
                <w:rFonts w:ascii="Arial" w:hAnsi="Arial" w:cs="Arial"/>
                <w:bCs/>
                <w:sz w:val="16"/>
                <w:szCs w:val="16"/>
              </w:rPr>
              <w:t>Dea</w:t>
            </w:r>
            <w:proofErr w:type="spellEnd"/>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3AF7" w14:textId="6E3C4F87" w:rsidR="00AC6344" w:rsidRDefault="00422D91" w:rsidP="0064195A">
            <w:pPr>
              <w:widowControl w:val="0"/>
              <w:jc w:val="center"/>
              <w:rPr>
                <w:rFonts w:ascii="Arial" w:hAnsi="Arial" w:cs="Arial"/>
                <w:bCs/>
                <w:sz w:val="16"/>
                <w:szCs w:val="16"/>
              </w:rPr>
            </w:pPr>
            <w:r>
              <w:rPr>
                <w:rFonts w:ascii="Arial" w:hAnsi="Arial" w:cs="Arial"/>
                <w:bCs/>
                <w:sz w:val="16"/>
                <w:szCs w:val="16"/>
              </w:rPr>
              <w:t>11.350</w:t>
            </w:r>
          </w:p>
        </w:tc>
      </w:tr>
      <w:tr w:rsidR="0064195A" w14:paraId="72202694"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vAlign w:val="center"/>
          </w:tcPr>
          <w:p w14:paraId="134BE444" w14:textId="6BE90A12" w:rsidR="0064195A" w:rsidRDefault="00422D91" w:rsidP="0064195A">
            <w:pPr>
              <w:widowControl w:val="0"/>
              <w:jc w:val="center"/>
              <w:rPr>
                <w:rFonts w:ascii="Arial" w:hAnsi="Arial" w:cs="Arial"/>
                <w:bCs/>
                <w:sz w:val="16"/>
                <w:szCs w:val="16"/>
              </w:rPr>
            </w:pPr>
            <w:r>
              <w:rPr>
                <w:rFonts w:ascii="Arial" w:hAnsi="Arial" w:cs="Arial"/>
                <w:bCs/>
                <w:sz w:val="16"/>
                <w:szCs w:val="16"/>
              </w:rPr>
              <w:t>BER</w:t>
            </w:r>
          </w:p>
        </w:tc>
        <w:tc>
          <w:tcPr>
            <w:tcW w:w="2121" w:type="pct"/>
            <w:tcBorders>
              <w:top w:val="single" w:sz="4" w:space="0" w:color="auto"/>
              <w:left w:val="single" w:sz="4" w:space="0" w:color="auto"/>
              <w:bottom w:val="single" w:sz="4" w:space="0" w:color="auto"/>
              <w:right w:val="single" w:sz="4" w:space="0" w:color="auto"/>
            </w:tcBorders>
            <w:vAlign w:val="center"/>
          </w:tcPr>
          <w:p w14:paraId="6180CAAF" w14:textId="3613DD7A" w:rsidR="0064195A" w:rsidRDefault="00422D91" w:rsidP="0064195A">
            <w:pPr>
              <w:widowControl w:val="0"/>
              <w:jc w:val="center"/>
              <w:rPr>
                <w:rFonts w:ascii="Arial" w:hAnsi="Arial" w:cs="Arial"/>
                <w:bCs/>
                <w:sz w:val="16"/>
                <w:szCs w:val="16"/>
              </w:rPr>
            </w:pPr>
            <w:r w:rsidRPr="00422D91">
              <w:rPr>
                <w:rFonts w:ascii="Arial" w:hAnsi="Arial" w:cs="Arial"/>
                <w:bCs/>
                <w:sz w:val="16"/>
                <w:szCs w:val="16"/>
              </w:rPr>
              <w:t>Rohrdamm 22</w:t>
            </w:r>
          </w:p>
        </w:tc>
        <w:tc>
          <w:tcPr>
            <w:tcW w:w="1876" w:type="pct"/>
            <w:tcBorders>
              <w:top w:val="single" w:sz="4" w:space="0" w:color="auto"/>
              <w:left w:val="single" w:sz="4" w:space="0" w:color="auto"/>
              <w:bottom w:val="single" w:sz="4" w:space="0" w:color="auto"/>
              <w:right w:val="single" w:sz="4" w:space="0" w:color="auto"/>
            </w:tcBorders>
            <w:vAlign w:val="center"/>
          </w:tcPr>
          <w:p w14:paraId="24EC8E71" w14:textId="17D3116E" w:rsidR="0064195A" w:rsidRDefault="00422D91" w:rsidP="0064195A">
            <w:pPr>
              <w:widowControl w:val="0"/>
              <w:jc w:val="center"/>
              <w:rPr>
                <w:rFonts w:ascii="Arial" w:hAnsi="Arial" w:cs="Arial"/>
                <w:bCs/>
                <w:sz w:val="16"/>
                <w:szCs w:val="16"/>
              </w:rPr>
            </w:pPr>
            <w:r w:rsidRPr="00422D91">
              <w:rPr>
                <w:rFonts w:ascii="Arial" w:hAnsi="Arial" w:cs="Arial"/>
                <w:bCs/>
                <w:sz w:val="16"/>
                <w:szCs w:val="16"/>
              </w:rPr>
              <w:t>Hochschule der Bundesrentenanstalt</w:t>
            </w:r>
          </w:p>
        </w:tc>
        <w:tc>
          <w:tcPr>
            <w:tcW w:w="551" w:type="pct"/>
            <w:tcBorders>
              <w:top w:val="single" w:sz="4" w:space="0" w:color="auto"/>
              <w:left w:val="single" w:sz="4" w:space="0" w:color="auto"/>
              <w:bottom w:val="single" w:sz="4" w:space="0" w:color="auto"/>
              <w:right w:val="single" w:sz="4" w:space="0" w:color="auto"/>
            </w:tcBorders>
            <w:vAlign w:val="center"/>
          </w:tcPr>
          <w:p w14:paraId="222149FD" w14:textId="73BDCA3A" w:rsidR="0064195A" w:rsidRDefault="00422D91" w:rsidP="0064195A">
            <w:pPr>
              <w:widowControl w:val="0"/>
              <w:jc w:val="center"/>
              <w:rPr>
                <w:rFonts w:ascii="Arial" w:hAnsi="Arial" w:cs="Arial"/>
                <w:bCs/>
                <w:sz w:val="16"/>
                <w:szCs w:val="16"/>
              </w:rPr>
            </w:pPr>
            <w:r>
              <w:rPr>
                <w:rFonts w:ascii="Arial" w:hAnsi="Arial" w:cs="Arial"/>
                <w:bCs/>
                <w:sz w:val="16"/>
                <w:szCs w:val="16"/>
              </w:rPr>
              <w:t>10.315</w:t>
            </w:r>
          </w:p>
        </w:tc>
      </w:tr>
      <w:tr w:rsidR="00AC6344" w14:paraId="70DDA16F"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816FC" w14:textId="4C88412A" w:rsidR="00AC6344" w:rsidRDefault="001545E5" w:rsidP="00781941">
            <w:pPr>
              <w:widowControl w:val="0"/>
              <w:jc w:val="center"/>
              <w:rPr>
                <w:rFonts w:ascii="Arial" w:hAnsi="Arial" w:cs="Arial"/>
                <w:bCs/>
                <w:sz w:val="16"/>
                <w:szCs w:val="16"/>
              </w:rPr>
            </w:pPr>
            <w:r>
              <w:rPr>
                <w:rFonts w:ascii="Arial" w:hAnsi="Arial" w:cs="Arial"/>
                <w:bCs/>
                <w:sz w:val="16"/>
                <w:szCs w:val="16"/>
              </w:rPr>
              <w:t>HAM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6A905" w14:textId="18408EBC" w:rsidR="00AC6344" w:rsidRDefault="00012241" w:rsidP="00012241">
            <w:pPr>
              <w:widowControl w:val="0"/>
              <w:jc w:val="center"/>
              <w:rPr>
                <w:rFonts w:ascii="Arial" w:hAnsi="Arial" w:cs="Arial"/>
                <w:bCs/>
                <w:sz w:val="16"/>
                <w:szCs w:val="16"/>
              </w:rPr>
            </w:pPr>
            <w:r>
              <w:rPr>
                <w:rFonts w:ascii="Arial" w:hAnsi="Arial" w:cs="Arial"/>
                <w:bCs/>
                <w:sz w:val="16"/>
                <w:szCs w:val="16"/>
              </w:rPr>
              <w:t>„</w:t>
            </w:r>
            <w:r w:rsidR="00422D91" w:rsidRPr="00422D91">
              <w:rPr>
                <w:rFonts w:ascii="Arial" w:hAnsi="Arial" w:cs="Arial"/>
                <w:bCs/>
                <w:sz w:val="16"/>
                <w:szCs w:val="16"/>
              </w:rPr>
              <w:t>Oval Office</w:t>
            </w:r>
            <w:r>
              <w:rPr>
                <w:rFonts w:ascii="Arial" w:hAnsi="Arial" w:cs="Arial"/>
                <w:bCs/>
                <w:sz w:val="16"/>
                <w:szCs w:val="16"/>
              </w:rPr>
              <w:t>“</w:t>
            </w:r>
            <w:r w:rsidR="00422D91" w:rsidRPr="00422D91">
              <w:rPr>
                <w:rFonts w:ascii="Arial" w:hAnsi="Arial" w:cs="Arial"/>
                <w:bCs/>
                <w:sz w:val="16"/>
                <w:szCs w:val="16"/>
              </w:rPr>
              <w:t>, Überseering 10</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5F1F19" w14:textId="46087F52"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Deutsche Bank</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8ECB5" w14:textId="7735A19A" w:rsidR="00AC6344" w:rsidRDefault="00422D91" w:rsidP="00781941">
            <w:pPr>
              <w:widowControl w:val="0"/>
              <w:jc w:val="center"/>
              <w:rPr>
                <w:rFonts w:ascii="Arial" w:hAnsi="Arial" w:cs="Arial"/>
                <w:bCs/>
                <w:sz w:val="16"/>
                <w:szCs w:val="16"/>
              </w:rPr>
            </w:pPr>
            <w:r>
              <w:rPr>
                <w:rFonts w:ascii="Arial" w:hAnsi="Arial" w:cs="Arial"/>
                <w:bCs/>
                <w:sz w:val="16"/>
                <w:szCs w:val="16"/>
              </w:rPr>
              <w:t>9.600</w:t>
            </w:r>
          </w:p>
        </w:tc>
      </w:tr>
      <w:tr w:rsidR="00AC6344" w14:paraId="4F64A150"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E9060" w14:textId="4BB02585" w:rsidR="00AC6344" w:rsidRDefault="00422D91" w:rsidP="00781941">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58033" w14:textId="0AD29786" w:rsidR="00AC6344" w:rsidRDefault="00012241" w:rsidP="00781941">
            <w:pPr>
              <w:widowControl w:val="0"/>
              <w:jc w:val="center"/>
              <w:rPr>
                <w:rFonts w:ascii="Arial" w:hAnsi="Arial" w:cs="Arial"/>
                <w:bCs/>
                <w:sz w:val="16"/>
                <w:szCs w:val="16"/>
              </w:rPr>
            </w:pPr>
            <w:r>
              <w:rPr>
                <w:rFonts w:ascii="Arial" w:hAnsi="Arial" w:cs="Arial"/>
                <w:bCs/>
                <w:sz w:val="16"/>
                <w:szCs w:val="16"/>
              </w:rPr>
              <w:t xml:space="preserve">„Palazzo </w:t>
            </w:r>
            <w:proofErr w:type="spellStart"/>
            <w:r>
              <w:rPr>
                <w:rFonts w:ascii="Arial" w:hAnsi="Arial" w:cs="Arial"/>
                <w:bCs/>
                <w:sz w:val="16"/>
                <w:szCs w:val="16"/>
              </w:rPr>
              <w:t>Fiorentino</w:t>
            </w:r>
            <w:proofErr w:type="spellEnd"/>
            <w:r>
              <w:rPr>
                <w:rFonts w:ascii="Arial" w:hAnsi="Arial" w:cs="Arial"/>
                <w:bCs/>
                <w:sz w:val="16"/>
                <w:szCs w:val="16"/>
              </w:rPr>
              <w:t>“</w:t>
            </w:r>
            <w:r w:rsidR="00422D91" w:rsidRPr="00422D91">
              <w:rPr>
                <w:rFonts w:ascii="Arial" w:hAnsi="Arial" w:cs="Arial"/>
                <w:bCs/>
                <w:sz w:val="16"/>
                <w:szCs w:val="16"/>
              </w:rPr>
              <w:t xml:space="preserve">, </w:t>
            </w:r>
            <w:proofErr w:type="spellStart"/>
            <w:r w:rsidR="00422D91" w:rsidRPr="00422D91">
              <w:rPr>
                <w:rFonts w:ascii="Arial" w:hAnsi="Arial" w:cs="Arial"/>
                <w:bCs/>
                <w:sz w:val="16"/>
                <w:szCs w:val="16"/>
              </w:rPr>
              <w:t>Gerbermühlstraße</w:t>
            </w:r>
            <w:proofErr w:type="spellEnd"/>
            <w:r w:rsidR="00422D91" w:rsidRPr="00422D91">
              <w:rPr>
                <w:rFonts w:ascii="Arial" w:hAnsi="Arial" w:cs="Arial"/>
                <w:bCs/>
                <w:sz w:val="16"/>
                <w:szCs w:val="16"/>
              </w:rPr>
              <w:t xml:space="preserve"> 3-5</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40FC0" w14:textId="4AC64721"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Städtische Einheit</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0FD1" w14:textId="1068C613" w:rsidR="00AC6344" w:rsidRDefault="00012241" w:rsidP="00781941">
            <w:pPr>
              <w:widowControl w:val="0"/>
              <w:jc w:val="center"/>
              <w:rPr>
                <w:rFonts w:ascii="Arial" w:hAnsi="Arial" w:cs="Arial"/>
                <w:bCs/>
                <w:sz w:val="16"/>
                <w:szCs w:val="16"/>
              </w:rPr>
            </w:pPr>
            <w:r>
              <w:rPr>
                <w:rFonts w:ascii="Arial" w:hAnsi="Arial" w:cs="Arial"/>
                <w:bCs/>
                <w:sz w:val="16"/>
                <w:szCs w:val="16"/>
              </w:rPr>
              <w:t>7.600</w:t>
            </w:r>
          </w:p>
        </w:tc>
      </w:tr>
      <w:tr w:rsidR="00781941" w14:paraId="59AB7ADE"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64FAD95" w14:textId="671454FD" w:rsidR="00781941" w:rsidRDefault="00422D91" w:rsidP="00781941">
            <w:pPr>
              <w:widowControl w:val="0"/>
              <w:jc w:val="center"/>
              <w:rPr>
                <w:rFonts w:ascii="Arial" w:hAnsi="Arial" w:cs="Arial"/>
                <w:bCs/>
                <w:sz w:val="16"/>
                <w:szCs w:val="16"/>
              </w:rPr>
            </w:pPr>
            <w:r>
              <w:rPr>
                <w:rFonts w:ascii="Arial" w:hAnsi="Arial" w:cs="Arial"/>
                <w:bCs/>
                <w:sz w:val="16"/>
                <w:szCs w:val="16"/>
              </w:rPr>
              <w:t>FFM</w:t>
            </w:r>
          </w:p>
        </w:tc>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49C31D4C" w14:textId="34F985BA" w:rsidR="00781941" w:rsidRDefault="00422D91" w:rsidP="00781941">
            <w:pPr>
              <w:widowControl w:val="0"/>
              <w:jc w:val="center"/>
              <w:rPr>
                <w:rFonts w:ascii="Arial" w:hAnsi="Arial" w:cs="Arial"/>
                <w:bCs/>
                <w:sz w:val="16"/>
                <w:szCs w:val="16"/>
              </w:rPr>
            </w:pPr>
            <w:r w:rsidRPr="00422D91">
              <w:rPr>
                <w:rFonts w:ascii="Arial" w:hAnsi="Arial" w:cs="Arial"/>
                <w:bCs/>
                <w:sz w:val="16"/>
                <w:szCs w:val="16"/>
              </w:rPr>
              <w:t>Solmsstraße 16-22</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5D47C33A" w14:textId="2594D846" w:rsidR="00781941" w:rsidRDefault="00422D91" w:rsidP="00781941">
            <w:pPr>
              <w:widowControl w:val="0"/>
              <w:jc w:val="center"/>
              <w:rPr>
                <w:rFonts w:ascii="Arial" w:hAnsi="Arial" w:cs="Arial"/>
                <w:bCs/>
                <w:sz w:val="16"/>
                <w:szCs w:val="16"/>
              </w:rPr>
            </w:pPr>
            <w:r w:rsidRPr="00422D91">
              <w:rPr>
                <w:rFonts w:ascii="Arial" w:hAnsi="Arial" w:cs="Arial"/>
                <w:bCs/>
                <w:sz w:val="16"/>
                <w:szCs w:val="16"/>
              </w:rPr>
              <w:t>Mainova</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5196103" w14:textId="6F32B95E" w:rsidR="00781941" w:rsidRDefault="00012241" w:rsidP="00781941">
            <w:pPr>
              <w:widowControl w:val="0"/>
              <w:jc w:val="center"/>
              <w:rPr>
                <w:rFonts w:ascii="Arial" w:hAnsi="Arial" w:cs="Arial"/>
                <w:bCs/>
                <w:sz w:val="16"/>
                <w:szCs w:val="16"/>
              </w:rPr>
            </w:pPr>
            <w:r>
              <w:rPr>
                <w:rFonts w:ascii="Arial" w:hAnsi="Arial" w:cs="Arial"/>
                <w:bCs/>
                <w:sz w:val="16"/>
                <w:szCs w:val="16"/>
              </w:rPr>
              <w:t>6.900</w:t>
            </w:r>
          </w:p>
        </w:tc>
      </w:tr>
      <w:tr w:rsidR="00AC6344" w14:paraId="3C2B48F5" w14:textId="77777777" w:rsidTr="00B90116">
        <w:trPr>
          <w:trHeight w:val="227"/>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46826" w14:textId="4BDDA93B" w:rsidR="00AC6344" w:rsidRDefault="00422D91" w:rsidP="00781941">
            <w:pPr>
              <w:widowControl w:val="0"/>
              <w:jc w:val="center"/>
              <w:rPr>
                <w:rFonts w:ascii="Arial" w:hAnsi="Arial" w:cs="Arial"/>
                <w:bCs/>
                <w:sz w:val="16"/>
                <w:szCs w:val="16"/>
              </w:rPr>
            </w:pPr>
            <w:r>
              <w:rPr>
                <w:rFonts w:ascii="Arial" w:hAnsi="Arial" w:cs="Arial"/>
                <w:bCs/>
                <w:sz w:val="16"/>
                <w:szCs w:val="16"/>
              </w:rPr>
              <w:t>CGN</w:t>
            </w:r>
          </w:p>
        </w:tc>
        <w:tc>
          <w:tcPr>
            <w:tcW w:w="21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3154" w14:textId="11D19F31"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Edmund-Rumpler-Straße 6</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D2DD8" w14:textId="5DD39D49" w:rsidR="00AC6344" w:rsidRDefault="00422D91" w:rsidP="00781941">
            <w:pPr>
              <w:widowControl w:val="0"/>
              <w:jc w:val="center"/>
              <w:rPr>
                <w:rFonts w:ascii="Arial" w:hAnsi="Arial" w:cs="Arial"/>
                <w:bCs/>
                <w:sz w:val="16"/>
                <w:szCs w:val="16"/>
              </w:rPr>
            </w:pPr>
            <w:r w:rsidRPr="00422D91">
              <w:rPr>
                <w:rFonts w:ascii="Arial" w:hAnsi="Arial" w:cs="Arial"/>
                <w:bCs/>
                <w:sz w:val="16"/>
                <w:szCs w:val="16"/>
              </w:rPr>
              <w:t>Bundesbehörde</w:t>
            </w:r>
          </w:p>
        </w:tc>
        <w:tc>
          <w:tcPr>
            <w:tcW w:w="5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49881" w14:textId="2C6D5D7E" w:rsidR="00AC6344" w:rsidRDefault="00012241" w:rsidP="00781941">
            <w:pPr>
              <w:widowControl w:val="0"/>
              <w:jc w:val="center"/>
              <w:rPr>
                <w:rFonts w:ascii="Arial" w:hAnsi="Arial" w:cs="Arial"/>
                <w:bCs/>
                <w:sz w:val="16"/>
                <w:szCs w:val="16"/>
              </w:rPr>
            </w:pPr>
            <w:r>
              <w:rPr>
                <w:rFonts w:ascii="Arial" w:hAnsi="Arial" w:cs="Arial"/>
                <w:bCs/>
                <w:sz w:val="16"/>
                <w:szCs w:val="16"/>
              </w:rPr>
              <w:t>5.000</w:t>
            </w:r>
          </w:p>
        </w:tc>
      </w:tr>
    </w:tbl>
    <w:p w14:paraId="005F449C" w14:textId="35A11AB1" w:rsidR="005D5FA2" w:rsidRDefault="003A0BD4" w:rsidP="00270DA3">
      <w:pPr>
        <w:widowControl w:val="0"/>
        <w:spacing w:after="0"/>
        <w:rPr>
          <w:rFonts w:ascii="Arial" w:hAnsi="Arial" w:cs="Arial"/>
          <w:sz w:val="16"/>
          <w:szCs w:val="16"/>
          <w:lang w:val="en-GB"/>
        </w:rPr>
      </w:pPr>
      <w:r w:rsidRPr="00A11F53">
        <w:rPr>
          <w:rFonts w:ascii="Arial" w:hAnsi="Arial" w:cs="Arial"/>
          <w:sz w:val="16"/>
          <w:szCs w:val="16"/>
          <w:lang w:val="en-GB"/>
        </w:rPr>
        <w:t>Quelle: German Property Partners (GPP)</w:t>
      </w:r>
    </w:p>
    <w:p w14:paraId="0089D118" w14:textId="77777777" w:rsidR="001619A9" w:rsidRPr="00270DA3" w:rsidRDefault="001619A9" w:rsidP="00270DA3">
      <w:pPr>
        <w:widowControl w:val="0"/>
        <w:spacing w:after="0"/>
        <w:rPr>
          <w:rFonts w:ascii="Arial" w:hAnsi="Arial" w:cs="Arial"/>
          <w:sz w:val="16"/>
          <w:szCs w:val="16"/>
          <w:lang w:val="en-GB"/>
        </w:rPr>
      </w:pPr>
    </w:p>
    <w:p w14:paraId="5E5A1042" w14:textId="5CDE135F" w:rsidR="00C65127" w:rsidRPr="00DD4941" w:rsidRDefault="00C65127" w:rsidP="0021443F">
      <w:pPr>
        <w:spacing w:after="0" w:line="240" w:lineRule="auto"/>
        <w:rPr>
          <w:rFonts w:ascii="Arial" w:hAnsi="Arial" w:cs="Arial"/>
          <w:sz w:val="16"/>
          <w:szCs w:val="16"/>
        </w:rPr>
      </w:pPr>
      <w:r w:rsidRPr="00C73546">
        <w:rPr>
          <w:rFonts w:ascii="Arial" w:hAnsi="Arial" w:cs="Arial"/>
          <w:b/>
          <w:sz w:val="20"/>
          <w:szCs w:val="20"/>
        </w:rPr>
        <w:lastRenderedPageBreak/>
        <w:t xml:space="preserve">Top-7-Standorte | 1. </w:t>
      </w:r>
      <w:r w:rsidRPr="00487ECE">
        <w:rPr>
          <w:rFonts w:ascii="Arial" w:hAnsi="Arial" w:cs="Arial"/>
          <w:b/>
          <w:sz w:val="20"/>
          <w:szCs w:val="20"/>
        </w:rPr>
        <w:t>Quartal 20</w:t>
      </w:r>
      <w:r w:rsidR="00C73546">
        <w:rPr>
          <w:rFonts w:ascii="Arial" w:hAnsi="Arial" w:cs="Arial"/>
          <w:b/>
          <w:sz w:val="20"/>
          <w:szCs w:val="20"/>
        </w:rPr>
        <w:t>21</w:t>
      </w:r>
      <w:bookmarkStart w:id="4" w:name="_GoBack"/>
      <w:bookmarkEnd w:id="4"/>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39528CFF" w:rsidR="00C65127" w:rsidRPr="004D02F0" w:rsidRDefault="00C73546" w:rsidP="00422A01">
            <w:pPr>
              <w:jc w:val="center"/>
              <w:rPr>
                <w:rFonts w:ascii="Arial" w:hAnsi="Arial" w:cs="Arial"/>
                <w:sz w:val="16"/>
                <w:szCs w:val="16"/>
              </w:rPr>
            </w:pPr>
            <w:r>
              <w:rPr>
                <w:rFonts w:ascii="Arial" w:hAnsi="Arial" w:cs="Arial"/>
                <w:sz w:val="16"/>
                <w:szCs w:val="16"/>
              </w:rPr>
              <w:t>130</w:t>
            </w:r>
            <w:r w:rsidR="00351CB2">
              <w:rPr>
                <w:rFonts w:ascii="Arial" w:hAnsi="Arial" w:cs="Arial"/>
                <w:sz w:val="16"/>
                <w:szCs w:val="16"/>
              </w:rPr>
              <w:t>.000</w:t>
            </w:r>
          </w:p>
        </w:tc>
        <w:tc>
          <w:tcPr>
            <w:tcW w:w="502" w:type="pct"/>
            <w:vAlign w:val="center"/>
          </w:tcPr>
          <w:p w14:paraId="2A60B3EF" w14:textId="3565FE1A" w:rsidR="00C65127" w:rsidRPr="00CF3114" w:rsidRDefault="00C73546" w:rsidP="00422A01">
            <w:pPr>
              <w:jc w:val="center"/>
              <w:rPr>
                <w:rFonts w:ascii="Arial" w:hAnsi="Arial" w:cs="Arial"/>
                <w:sz w:val="16"/>
                <w:szCs w:val="16"/>
                <w:u w:val="single"/>
              </w:rPr>
            </w:pPr>
            <w:r w:rsidRPr="00CF3114">
              <w:rPr>
                <w:rFonts w:ascii="Arial" w:hAnsi="Arial" w:cs="Arial"/>
                <w:sz w:val="16"/>
                <w:szCs w:val="16"/>
                <w:u w:val="single"/>
              </w:rPr>
              <w:t>160</w:t>
            </w:r>
            <w:r w:rsidR="009918A6" w:rsidRPr="00CF3114">
              <w:rPr>
                <w:rFonts w:ascii="Arial" w:hAnsi="Arial" w:cs="Arial"/>
                <w:sz w:val="16"/>
                <w:szCs w:val="16"/>
                <w:u w:val="single"/>
              </w:rPr>
              <w:t>.000</w:t>
            </w:r>
          </w:p>
        </w:tc>
        <w:tc>
          <w:tcPr>
            <w:tcW w:w="502" w:type="pct"/>
            <w:vAlign w:val="center"/>
          </w:tcPr>
          <w:p w14:paraId="5AE39E1B" w14:textId="23D22050" w:rsidR="00C65127" w:rsidRPr="004D02F0" w:rsidRDefault="00C73546" w:rsidP="00422A01">
            <w:pPr>
              <w:jc w:val="center"/>
              <w:rPr>
                <w:rFonts w:ascii="Arial" w:hAnsi="Arial" w:cs="Arial"/>
                <w:sz w:val="16"/>
                <w:szCs w:val="16"/>
              </w:rPr>
            </w:pPr>
            <w:r>
              <w:rPr>
                <w:rFonts w:ascii="Arial" w:hAnsi="Arial" w:cs="Arial"/>
                <w:sz w:val="16"/>
                <w:szCs w:val="16"/>
              </w:rPr>
              <w:t>50.600</w:t>
            </w:r>
          </w:p>
        </w:tc>
        <w:tc>
          <w:tcPr>
            <w:tcW w:w="502" w:type="pct"/>
            <w:vAlign w:val="center"/>
          </w:tcPr>
          <w:p w14:paraId="69355A2E" w14:textId="6DB46A08" w:rsidR="00C65127" w:rsidRPr="004D02F0" w:rsidRDefault="009A401D" w:rsidP="00422A01">
            <w:pPr>
              <w:jc w:val="center"/>
              <w:rPr>
                <w:rFonts w:ascii="Arial" w:hAnsi="Arial" w:cs="Arial"/>
                <w:sz w:val="16"/>
                <w:szCs w:val="16"/>
              </w:rPr>
            </w:pPr>
            <w:r>
              <w:rPr>
                <w:rFonts w:ascii="Arial" w:hAnsi="Arial" w:cs="Arial"/>
                <w:sz w:val="16"/>
                <w:szCs w:val="16"/>
              </w:rPr>
              <w:t>85.000</w:t>
            </w:r>
          </w:p>
        </w:tc>
        <w:tc>
          <w:tcPr>
            <w:tcW w:w="502" w:type="pct"/>
            <w:vAlign w:val="center"/>
          </w:tcPr>
          <w:p w14:paraId="3ED197E3" w14:textId="0A32A621" w:rsidR="00C65127" w:rsidRPr="004D02F0" w:rsidRDefault="00C73546" w:rsidP="00422A01">
            <w:pPr>
              <w:jc w:val="center"/>
              <w:rPr>
                <w:rFonts w:ascii="Arial" w:hAnsi="Arial" w:cs="Arial"/>
                <w:sz w:val="16"/>
                <w:szCs w:val="16"/>
              </w:rPr>
            </w:pPr>
            <w:r>
              <w:rPr>
                <w:rFonts w:ascii="Arial" w:hAnsi="Arial" w:cs="Arial"/>
                <w:sz w:val="16"/>
                <w:szCs w:val="16"/>
              </w:rPr>
              <w:t>96.200</w:t>
            </w:r>
          </w:p>
        </w:tc>
        <w:tc>
          <w:tcPr>
            <w:tcW w:w="502" w:type="pct"/>
            <w:vAlign w:val="center"/>
          </w:tcPr>
          <w:p w14:paraId="09BCBF01" w14:textId="7F31C72D" w:rsidR="00C65127" w:rsidRPr="004D02F0" w:rsidRDefault="00C73546" w:rsidP="00422A01">
            <w:pPr>
              <w:jc w:val="center"/>
              <w:rPr>
                <w:rFonts w:ascii="Arial" w:hAnsi="Arial" w:cs="Arial"/>
                <w:sz w:val="16"/>
                <w:szCs w:val="16"/>
              </w:rPr>
            </w:pPr>
            <w:r>
              <w:rPr>
                <w:rFonts w:ascii="Arial" w:hAnsi="Arial" w:cs="Arial"/>
                <w:sz w:val="16"/>
                <w:szCs w:val="16"/>
              </w:rPr>
              <w:t>33</w:t>
            </w:r>
            <w:r w:rsidR="00351CB2">
              <w:rPr>
                <w:rFonts w:ascii="Arial" w:hAnsi="Arial" w:cs="Arial"/>
                <w:sz w:val="16"/>
                <w:szCs w:val="16"/>
              </w:rPr>
              <w:t>.000</w:t>
            </w:r>
          </w:p>
        </w:tc>
        <w:tc>
          <w:tcPr>
            <w:tcW w:w="502" w:type="pct"/>
            <w:vAlign w:val="center"/>
          </w:tcPr>
          <w:p w14:paraId="28F82D2E" w14:textId="507D1A7A" w:rsidR="00C65127" w:rsidRPr="00CC4940" w:rsidRDefault="009C715E" w:rsidP="00422A01">
            <w:pPr>
              <w:jc w:val="center"/>
              <w:rPr>
                <w:rFonts w:ascii="Arial" w:hAnsi="Arial" w:cs="Arial"/>
                <w:sz w:val="16"/>
                <w:szCs w:val="16"/>
              </w:rPr>
            </w:pPr>
            <w:r w:rsidRPr="00CC4940">
              <w:rPr>
                <w:rFonts w:ascii="Arial" w:hAnsi="Arial" w:cs="Arial"/>
                <w:sz w:val="16"/>
                <w:szCs w:val="16"/>
              </w:rPr>
              <w:t>100.5</w:t>
            </w:r>
            <w:r w:rsidR="00CF1C01" w:rsidRPr="00CC4940">
              <w:rPr>
                <w:rFonts w:ascii="Arial" w:hAnsi="Arial" w:cs="Arial"/>
                <w:sz w:val="16"/>
                <w:szCs w:val="16"/>
              </w:rPr>
              <w:t>00</w:t>
            </w:r>
          </w:p>
        </w:tc>
        <w:tc>
          <w:tcPr>
            <w:tcW w:w="502" w:type="pct"/>
            <w:vAlign w:val="center"/>
          </w:tcPr>
          <w:p w14:paraId="53EA10CE" w14:textId="5016552A" w:rsidR="00C65127" w:rsidRPr="00CC4940" w:rsidRDefault="009F7830" w:rsidP="00422A01">
            <w:pPr>
              <w:jc w:val="center"/>
              <w:rPr>
                <w:rFonts w:ascii="Arial" w:hAnsi="Arial" w:cs="Arial"/>
                <w:b/>
                <w:sz w:val="16"/>
                <w:szCs w:val="16"/>
              </w:rPr>
            </w:pPr>
            <w:r w:rsidRPr="00CC4940">
              <w:rPr>
                <w:rFonts w:ascii="Arial" w:hAnsi="Arial" w:cs="Arial"/>
                <w:b/>
                <w:bCs/>
                <w:sz w:val="16"/>
                <w:szCs w:val="16"/>
              </w:rPr>
              <w:t>655.3</w:t>
            </w:r>
            <w:r w:rsidR="009A401D" w:rsidRPr="00CC4940">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proofErr w:type="spellStart"/>
            <w:r w:rsidRPr="00487ECE">
              <w:rPr>
                <w:rFonts w:ascii="Arial" w:hAnsi="Arial" w:cs="Arial"/>
                <w:sz w:val="16"/>
                <w:szCs w:val="16"/>
              </w:rPr>
              <w:t>ggü</w:t>
            </w:r>
            <w:proofErr w:type="spellEnd"/>
            <w:r w:rsidRPr="00487ECE">
              <w:rPr>
                <w:rFonts w:ascii="Arial" w:hAnsi="Arial" w:cs="Arial"/>
                <w:sz w:val="16"/>
                <w:szCs w:val="16"/>
              </w:rPr>
              <w:t>.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4FAC1006" w:rsidR="00C65127" w:rsidRPr="004D02F0" w:rsidRDefault="00C73546" w:rsidP="00CF1C01">
            <w:pPr>
              <w:jc w:val="center"/>
              <w:rPr>
                <w:rFonts w:ascii="Arial" w:hAnsi="Arial" w:cs="Arial"/>
                <w:sz w:val="16"/>
                <w:szCs w:val="16"/>
              </w:rPr>
            </w:pPr>
            <w:r>
              <w:rPr>
                <w:rFonts w:ascii="Arial" w:hAnsi="Arial" w:cs="Arial"/>
                <w:sz w:val="16"/>
                <w:szCs w:val="16"/>
              </w:rPr>
              <w:t>+37</w:t>
            </w:r>
          </w:p>
        </w:tc>
        <w:tc>
          <w:tcPr>
            <w:tcW w:w="502" w:type="pct"/>
            <w:vAlign w:val="center"/>
          </w:tcPr>
          <w:p w14:paraId="5141C8F6" w14:textId="242EC26F" w:rsidR="00C65127" w:rsidRPr="004D02F0" w:rsidRDefault="00C73546" w:rsidP="00CF1C01">
            <w:pPr>
              <w:jc w:val="center"/>
              <w:rPr>
                <w:rFonts w:ascii="Arial" w:hAnsi="Arial" w:cs="Arial"/>
                <w:sz w:val="16"/>
                <w:szCs w:val="16"/>
              </w:rPr>
            </w:pPr>
            <w:r>
              <w:rPr>
                <w:rFonts w:ascii="Arial" w:hAnsi="Arial" w:cs="Arial"/>
                <w:sz w:val="16"/>
                <w:szCs w:val="16"/>
              </w:rPr>
              <w:t>+45</w:t>
            </w:r>
          </w:p>
        </w:tc>
        <w:tc>
          <w:tcPr>
            <w:tcW w:w="502" w:type="pct"/>
            <w:vAlign w:val="center"/>
          </w:tcPr>
          <w:p w14:paraId="63C7571D" w14:textId="6DD79A40" w:rsidR="00C65127" w:rsidRPr="004D02F0" w:rsidRDefault="00C73546" w:rsidP="00CF1C01">
            <w:pPr>
              <w:jc w:val="center"/>
              <w:rPr>
                <w:rFonts w:ascii="Arial" w:hAnsi="Arial" w:cs="Arial"/>
                <w:sz w:val="16"/>
                <w:szCs w:val="16"/>
              </w:rPr>
            </w:pPr>
            <w:r>
              <w:rPr>
                <w:rFonts w:ascii="Arial" w:hAnsi="Arial" w:cs="Arial"/>
                <w:sz w:val="16"/>
                <w:szCs w:val="16"/>
              </w:rPr>
              <w:t>-51</w:t>
            </w:r>
          </w:p>
        </w:tc>
        <w:tc>
          <w:tcPr>
            <w:tcW w:w="502" w:type="pct"/>
            <w:vAlign w:val="center"/>
          </w:tcPr>
          <w:p w14:paraId="7165D3E4" w14:textId="2D3D8902" w:rsidR="00C65127" w:rsidRPr="00CF3114" w:rsidRDefault="009A401D" w:rsidP="00CF1C01">
            <w:pPr>
              <w:jc w:val="center"/>
              <w:rPr>
                <w:rFonts w:ascii="Arial" w:hAnsi="Arial" w:cs="Arial"/>
                <w:sz w:val="16"/>
                <w:szCs w:val="16"/>
                <w:u w:val="single"/>
              </w:rPr>
            </w:pPr>
            <w:r>
              <w:rPr>
                <w:rFonts w:ascii="Arial" w:hAnsi="Arial" w:cs="Arial"/>
                <w:b/>
                <w:sz w:val="16"/>
                <w:szCs w:val="16"/>
                <w:u w:val="single"/>
              </w:rPr>
              <w:t>+113</w:t>
            </w:r>
          </w:p>
        </w:tc>
        <w:tc>
          <w:tcPr>
            <w:tcW w:w="502" w:type="pct"/>
            <w:vAlign w:val="center"/>
          </w:tcPr>
          <w:p w14:paraId="6A7EC24B" w14:textId="07A3B2A4" w:rsidR="00C65127" w:rsidRPr="004D02F0" w:rsidRDefault="00C73546" w:rsidP="00CF1C01">
            <w:pPr>
              <w:jc w:val="center"/>
              <w:rPr>
                <w:rFonts w:ascii="Arial" w:hAnsi="Arial" w:cs="Arial"/>
                <w:sz w:val="16"/>
                <w:szCs w:val="16"/>
              </w:rPr>
            </w:pPr>
            <w:r>
              <w:rPr>
                <w:rFonts w:ascii="Arial" w:hAnsi="Arial" w:cs="Arial"/>
                <w:sz w:val="16"/>
                <w:szCs w:val="16"/>
              </w:rPr>
              <w:t>+34</w:t>
            </w:r>
          </w:p>
        </w:tc>
        <w:tc>
          <w:tcPr>
            <w:tcW w:w="502" w:type="pct"/>
            <w:vAlign w:val="center"/>
          </w:tcPr>
          <w:p w14:paraId="1BF0A9D0" w14:textId="2E9F61D3" w:rsidR="00C65127" w:rsidRPr="005A1563" w:rsidRDefault="00C73546" w:rsidP="00CF1C01">
            <w:pPr>
              <w:jc w:val="center"/>
              <w:rPr>
                <w:rFonts w:ascii="Arial" w:hAnsi="Arial" w:cs="Arial"/>
                <w:sz w:val="16"/>
                <w:szCs w:val="16"/>
              </w:rPr>
            </w:pPr>
            <w:r>
              <w:rPr>
                <w:rFonts w:ascii="Arial" w:hAnsi="Arial" w:cs="Arial"/>
                <w:sz w:val="16"/>
                <w:szCs w:val="16"/>
              </w:rPr>
              <w:t>+3</w:t>
            </w:r>
          </w:p>
        </w:tc>
        <w:tc>
          <w:tcPr>
            <w:tcW w:w="502" w:type="pct"/>
            <w:vAlign w:val="center"/>
          </w:tcPr>
          <w:p w14:paraId="7AAF5FFC" w14:textId="04CFCE9B" w:rsidR="00C65127" w:rsidRPr="00CC4940" w:rsidRDefault="009C715E" w:rsidP="00CF1C01">
            <w:pPr>
              <w:jc w:val="center"/>
              <w:rPr>
                <w:rFonts w:ascii="Arial" w:hAnsi="Arial" w:cs="Arial"/>
                <w:sz w:val="16"/>
                <w:szCs w:val="16"/>
              </w:rPr>
            </w:pPr>
            <w:r w:rsidRPr="00CC4940">
              <w:rPr>
                <w:rFonts w:ascii="Arial" w:hAnsi="Arial" w:cs="Arial"/>
                <w:sz w:val="16"/>
                <w:szCs w:val="16"/>
              </w:rPr>
              <w:t>-4</w:t>
            </w:r>
            <w:r w:rsidR="00C73546" w:rsidRPr="00CC4940">
              <w:rPr>
                <w:rFonts w:ascii="Arial" w:hAnsi="Arial" w:cs="Arial"/>
                <w:sz w:val="16"/>
                <w:szCs w:val="16"/>
              </w:rPr>
              <w:t>8</w:t>
            </w:r>
          </w:p>
        </w:tc>
        <w:tc>
          <w:tcPr>
            <w:tcW w:w="502" w:type="pct"/>
            <w:vAlign w:val="center"/>
          </w:tcPr>
          <w:p w14:paraId="35023511" w14:textId="7DA18437" w:rsidR="00C65127" w:rsidRPr="00CC4940" w:rsidRDefault="009F7830" w:rsidP="00C73546">
            <w:pPr>
              <w:jc w:val="center"/>
              <w:rPr>
                <w:rFonts w:ascii="Arial" w:hAnsi="Arial" w:cs="Arial"/>
                <w:b/>
                <w:sz w:val="16"/>
                <w:szCs w:val="16"/>
              </w:rPr>
            </w:pPr>
            <w:r w:rsidRPr="00CC4940">
              <w:rPr>
                <w:rFonts w:ascii="Arial" w:hAnsi="Arial" w:cs="Arial"/>
                <w:b/>
                <w:sz w:val="16"/>
                <w:szCs w:val="16"/>
              </w:rPr>
              <w:t>+</w:t>
            </w:r>
            <w:r w:rsidR="009A401D" w:rsidRPr="00CC4940">
              <w:rPr>
                <w:rFonts w:ascii="Arial" w:hAnsi="Arial" w:cs="Arial"/>
                <w:b/>
                <w:sz w:val="16"/>
                <w:szCs w:val="16"/>
              </w:rPr>
              <w:t>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566D02BD" w:rsidR="00C65127" w:rsidRPr="004D02F0" w:rsidRDefault="00C73546" w:rsidP="00422A01">
            <w:pPr>
              <w:jc w:val="center"/>
              <w:rPr>
                <w:rFonts w:ascii="Arial" w:hAnsi="Arial" w:cs="Arial"/>
                <w:sz w:val="16"/>
                <w:szCs w:val="16"/>
              </w:rPr>
            </w:pPr>
            <w:r>
              <w:rPr>
                <w:rFonts w:ascii="Arial" w:hAnsi="Arial" w:cs="Arial"/>
                <w:sz w:val="16"/>
                <w:szCs w:val="16"/>
              </w:rPr>
              <w:t>31,00</w:t>
            </w:r>
          </w:p>
        </w:tc>
        <w:tc>
          <w:tcPr>
            <w:tcW w:w="502" w:type="pct"/>
            <w:vAlign w:val="center"/>
          </w:tcPr>
          <w:p w14:paraId="3B47B535" w14:textId="559071F2" w:rsidR="00C65127" w:rsidRPr="004D02F0" w:rsidRDefault="00B523C3" w:rsidP="00422A01">
            <w:pPr>
              <w:jc w:val="center"/>
              <w:rPr>
                <w:rFonts w:ascii="Arial" w:hAnsi="Arial" w:cs="Arial"/>
                <w:sz w:val="16"/>
                <w:szCs w:val="16"/>
              </w:rPr>
            </w:pPr>
            <w:r>
              <w:rPr>
                <w:rFonts w:ascii="Arial" w:hAnsi="Arial" w:cs="Arial"/>
                <w:sz w:val="16"/>
                <w:szCs w:val="16"/>
              </w:rPr>
              <w:t>39,00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CF3114" w:rsidRDefault="009918A6" w:rsidP="00422A01">
            <w:pPr>
              <w:jc w:val="center"/>
              <w:rPr>
                <w:rFonts w:ascii="Arial" w:hAnsi="Arial" w:cs="Arial"/>
                <w:sz w:val="16"/>
                <w:szCs w:val="16"/>
                <w:u w:val="single"/>
              </w:rPr>
            </w:pPr>
            <w:r w:rsidRPr="00CF3114">
              <w:rPr>
                <w:rFonts w:ascii="Arial" w:hAnsi="Arial" w:cs="Arial"/>
                <w:sz w:val="16"/>
                <w:szCs w:val="16"/>
                <w:u w:val="single"/>
              </w:rPr>
              <w:t>4</w:t>
            </w:r>
            <w:r w:rsidR="00530208" w:rsidRPr="00CF3114">
              <w:rPr>
                <w:rFonts w:ascii="Arial" w:hAnsi="Arial" w:cs="Arial"/>
                <w:sz w:val="16"/>
                <w:szCs w:val="16"/>
                <w:u w:val="single"/>
              </w:rPr>
              <w:t>5</w:t>
            </w:r>
            <w:r w:rsidRPr="00CF3114">
              <w:rPr>
                <w:rFonts w:ascii="Arial" w:hAnsi="Arial" w:cs="Arial"/>
                <w:sz w:val="16"/>
                <w:szCs w:val="16"/>
                <w:u w:val="single"/>
              </w:rPr>
              <w:t>,00</w:t>
            </w:r>
          </w:p>
        </w:tc>
        <w:tc>
          <w:tcPr>
            <w:tcW w:w="502" w:type="pct"/>
            <w:vAlign w:val="center"/>
          </w:tcPr>
          <w:p w14:paraId="47B42CB7" w14:textId="07721C90" w:rsidR="00C65127" w:rsidRPr="004D02F0" w:rsidRDefault="00B523C3" w:rsidP="00422A01">
            <w:pPr>
              <w:jc w:val="center"/>
              <w:rPr>
                <w:rFonts w:ascii="Arial" w:hAnsi="Arial" w:cs="Arial"/>
                <w:sz w:val="16"/>
                <w:szCs w:val="16"/>
              </w:rPr>
            </w:pPr>
            <w:r>
              <w:rPr>
                <w:rFonts w:ascii="Arial" w:hAnsi="Arial" w:cs="Arial"/>
                <w:sz w:val="16"/>
                <w:szCs w:val="16"/>
              </w:rPr>
              <w:t>25,00</w:t>
            </w:r>
          </w:p>
        </w:tc>
        <w:tc>
          <w:tcPr>
            <w:tcW w:w="502" w:type="pct"/>
            <w:vAlign w:val="center"/>
          </w:tcPr>
          <w:p w14:paraId="662439A0" w14:textId="64E756D6" w:rsidR="00C65127" w:rsidRPr="004D02F0" w:rsidRDefault="00B523C3" w:rsidP="00422A01">
            <w:pPr>
              <w:jc w:val="center"/>
              <w:rPr>
                <w:rFonts w:ascii="Arial" w:hAnsi="Arial" w:cs="Arial"/>
                <w:sz w:val="16"/>
                <w:szCs w:val="16"/>
              </w:rPr>
            </w:pPr>
            <w:r>
              <w:rPr>
                <w:rFonts w:ascii="Arial" w:hAnsi="Arial" w:cs="Arial"/>
                <w:sz w:val="16"/>
                <w:szCs w:val="16"/>
              </w:rPr>
              <w:t>38,25</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15ACA6BA"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B523C3">
              <w:rPr>
                <w:rFonts w:ascii="Arial" w:hAnsi="Arial" w:cs="Arial"/>
                <w:sz w:val="16"/>
                <w:szCs w:val="16"/>
              </w:rPr>
              <w:t>9</w:t>
            </w:r>
            <w:r w:rsidR="00530208">
              <w:rPr>
                <w:rFonts w:ascii="Arial" w:hAnsi="Arial" w:cs="Arial"/>
                <w:sz w:val="16"/>
                <w:szCs w:val="16"/>
              </w:rPr>
              <w:t>0</w:t>
            </w:r>
          </w:p>
        </w:tc>
        <w:tc>
          <w:tcPr>
            <w:tcW w:w="502" w:type="pct"/>
            <w:vAlign w:val="center"/>
          </w:tcPr>
          <w:p w14:paraId="250741C6" w14:textId="6F33855E" w:rsidR="00C65127" w:rsidRPr="004E53EE" w:rsidRDefault="00B523C3" w:rsidP="00422A01">
            <w:pPr>
              <w:jc w:val="center"/>
              <w:rPr>
                <w:rFonts w:ascii="Arial" w:hAnsi="Arial" w:cs="Arial"/>
                <w:b/>
                <w:sz w:val="16"/>
                <w:szCs w:val="16"/>
                <w:u w:val="single"/>
              </w:rPr>
            </w:pPr>
            <w:r w:rsidRPr="004E53EE">
              <w:rPr>
                <w:rFonts w:ascii="Arial" w:hAnsi="Arial" w:cs="Arial"/>
                <w:b/>
                <w:sz w:val="16"/>
                <w:szCs w:val="16"/>
                <w:u w:val="single"/>
              </w:rPr>
              <w:t>28,00</w:t>
            </w:r>
          </w:p>
        </w:tc>
        <w:tc>
          <w:tcPr>
            <w:tcW w:w="502" w:type="pct"/>
            <w:vAlign w:val="center"/>
          </w:tcPr>
          <w:p w14:paraId="22731057" w14:textId="39225371" w:rsidR="00C65127" w:rsidRPr="004D02F0" w:rsidRDefault="00B523C3" w:rsidP="00CF1C01">
            <w:pPr>
              <w:jc w:val="center"/>
              <w:rPr>
                <w:rFonts w:ascii="Arial" w:hAnsi="Arial" w:cs="Arial"/>
                <w:sz w:val="16"/>
                <w:szCs w:val="16"/>
              </w:rPr>
            </w:pPr>
            <w:r>
              <w:rPr>
                <w:rFonts w:ascii="Arial" w:hAnsi="Arial" w:cs="Arial"/>
                <w:sz w:val="16"/>
                <w:szCs w:val="16"/>
              </w:rPr>
              <w:t>16,90</w:t>
            </w:r>
          </w:p>
        </w:tc>
        <w:tc>
          <w:tcPr>
            <w:tcW w:w="502" w:type="pct"/>
            <w:vAlign w:val="center"/>
          </w:tcPr>
          <w:p w14:paraId="3346910E" w14:textId="782B3FB0" w:rsidR="00C65127" w:rsidRPr="004D02F0" w:rsidRDefault="00B523C3" w:rsidP="00422A01">
            <w:pPr>
              <w:jc w:val="center"/>
              <w:rPr>
                <w:rFonts w:ascii="Arial" w:hAnsi="Arial" w:cs="Arial"/>
                <w:sz w:val="16"/>
                <w:szCs w:val="16"/>
              </w:rPr>
            </w:pPr>
            <w:r>
              <w:rPr>
                <w:rFonts w:ascii="Arial" w:hAnsi="Arial" w:cs="Arial"/>
                <w:sz w:val="16"/>
                <w:szCs w:val="16"/>
              </w:rPr>
              <w:t>17,50</w:t>
            </w:r>
          </w:p>
        </w:tc>
        <w:tc>
          <w:tcPr>
            <w:tcW w:w="502" w:type="pct"/>
            <w:vAlign w:val="center"/>
          </w:tcPr>
          <w:p w14:paraId="35378973" w14:textId="25B2F30C" w:rsidR="00C65127" w:rsidRPr="004D02F0" w:rsidRDefault="00B523C3" w:rsidP="00422A01">
            <w:pPr>
              <w:jc w:val="center"/>
              <w:rPr>
                <w:rFonts w:ascii="Arial" w:hAnsi="Arial" w:cs="Arial"/>
                <w:sz w:val="16"/>
                <w:szCs w:val="16"/>
              </w:rPr>
            </w:pPr>
            <w:r>
              <w:rPr>
                <w:rFonts w:ascii="Arial" w:hAnsi="Arial" w:cs="Arial"/>
                <w:sz w:val="16"/>
                <w:szCs w:val="16"/>
              </w:rPr>
              <w:t>21,10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5EB1BAD4" w:rsidR="00C65127" w:rsidRPr="004D02F0" w:rsidRDefault="009C715E" w:rsidP="00422A01">
            <w:pPr>
              <w:jc w:val="center"/>
              <w:rPr>
                <w:rFonts w:ascii="Arial" w:hAnsi="Arial" w:cs="Arial"/>
                <w:sz w:val="16"/>
                <w:szCs w:val="16"/>
              </w:rPr>
            </w:pPr>
            <w:r>
              <w:rPr>
                <w:rFonts w:ascii="Arial" w:hAnsi="Arial" w:cs="Arial"/>
                <w:sz w:val="16"/>
                <w:szCs w:val="16"/>
              </w:rPr>
              <w:t>21,40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71994D75" w:rsidR="00C65127" w:rsidRPr="004D02F0" w:rsidRDefault="4A6EE254" w:rsidP="00CF1C01">
            <w:pPr>
              <w:jc w:val="center"/>
              <w:rPr>
                <w:rFonts w:ascii="Arial" w:hAnsi="Arial" w:cs="Arial"/>
                <w:sz w:val="16"/>
                <w:szCs w:val="16"/>
              </w:rPr>
            </w:pPr>
            <w:r w:rsidRPr="004D02F0">
              <w:rPr>
                <w:rFonts w:ascii="Arial" w:hAnsi="Arial" w:cs="Arial"/>
                <w:sz w:val="16"/>
                <w:szCs w:val="16"/>
              </w:rPr>
              <w:t>13,</w:t>
            </w:r>
            <w:r w:rsidR="00B523C3">
              <w:rPr>
                <w:rFonts w:ascii="Arial" w:hAnsi="Arial" w:cs="Arial"/>
                <w:sz w:val="16"/>
                <w:szCs w:val="16"/>
              </w:rPr>
              <w:t>95</w:t>
            </w:r>
          </w:p>
        </w:tc>
        <w:tc>
          <w:tcPr>
            <w:tcW w:w="502" w:type="pct"/>
            <w:vAlign w:val="center"/>
          </w:tcPr>
          <w:p w14:paraId="56FBC9EA" w14:textId="0CCDAD5E" w:rsidR="00C65127" w:rsidRPr="004D02F0" w:rsidRDefault="00CF1C01" w:rsidP="0050541B">
            <w:pPr>
              <w:jc w:val="center"/>
              <w:rPr>
                <w:rFonts w:ascii="Arial" w:hAnsi="Arial" w:cs="Arial"/>
                <w:sz w:val="16"/>
                <w:szCs w:val="16"/>
              </w:rPr>
            </w:pPr>
            <w:r>
              <w:rPr>
                <w:rFonts w:ascii="Arial" w:hAnsi="Arial" w:cs="Arial"/>
                <w:sz w:val="16"/>
                <w:szCs w:val="16"/>
              </w:rPr>
              <w:t>20,15</w:t>
            </w:r>
          </w:p>
        </w:tc>
        <w:tc>
          <w:tcPr>
            <w:tcW w:w="502" w:type="pct"/>
            <w:vAlign w:val="center"/>
          </w:tcPr>
          <w:p w14:paraId="147E0521" w14:textId="4E24F60C" w:rsidR="00C65127" w:rsidRPr="004D02F0" w:rsidRDefault="4A6EE254" w:rsidP="00CF1C01">
            <w:pPr>
              <w:jc w:val="center"/>
              <w:rPr>
                <w:rFonts w:ascii="Arial" w:hAnsi="Arial" w:cs="Arial"/>
                <w:sz w:val="16"/>
                <w:szCs w:val="16"/>
              </w:rPr>
            </w:pPr>
            <w:r w:rsidRPr="004D02F0">
              <w:rPr>
                <w:rFonts w:ascii="Arial" w:hAnsi="Arial" w:cs="Arial"/>
                <w:sz w:val="16"/>
                <w:szCs w:val="16"/>
              </w:rPr>
              <w:t>7,</w:t>
            </w:r>
            <w:r w:rsidR="00CF1C01">
              <w:rPr>
                <w:rFonts w:ascii="Arial" w:hAnsi="Arial" w:cs="Arial"/>
                <w:sz w:val="16"/>
                <w:szCs w:val="16"/>
              </w:rPr>
              <w:t>30</w:t>
            </w:r>
          </w:p>
        </w:tc>
        <w:tc>
          <w:tcPr>
            <w:tcW w:w="502" w:type="pct"/>
            <w:vAlign w:val="center"/>
          </w:tcPr>
          <w:p w14:paraId="419784C7" w14:textId="1836FAA5" w:rsidR="00C65127" w:rsidRPr="004D02F0" w:rsidRDefault="00CF1C01" w:rsidP="0050541B">
            <w:pPr>
              <w:jc w:val="center"/>
              <w:rPr>
                <w:rFonts w:ascii="Arial" w:hAnsi="Arial" w:cs="Arial"/>
                <w:sz w:val="16"/>
                <w:szCs w:val="16"/>
              </w:rPr>
            </w:pPr>
            <w:r>
              <w:rPr>
                <w:rFonts w:ascii="Arial" w:hAnsi="Arial" w:cs="Arial"/>
                <w:sz w:val="16"/>
                <w:szCs w:val="16"/>
              </w:rPr>
              <w:t>8,00</w:t>
            </w:r>
          </w:p>
        </w:tc>
        <w:tc>
          <w:tcPr>
            <w:tcW w:w="502" w:type="pct"/>
            <w:vAlign w:val="center"/>
          </w:tcPr>
          <w:p w14:paraId="6CCD8C33" w14:textId="56535FAD" w:rsidR="00C65127" w:rsidRPr="004D02F0" w:rsidRDefault="00B523C3" w:rsidP="00CF1C01">
            <w:pPr>
              <w:jc w:val="center"/>
              <w:rPr>
                <w:rFonts w:ascii="Arial" w:hAnsi="Arial" w:cs="Arial"/>
                <w:sz w:val="16"/>
                <w:szCs w:val="16"/>
              </w:rPr>
            </w:pPr>
            <w:r>
              <w:rPr>
                <w:rFonts w:ascii="Arial" w:hAnsi="Arial" w:cs="Arial"/>
                <w:sz w:val="16"/>
                <w:szCs w:val="16"/>
              </w:rPr>
              <w:t>11,64</w:t>
            </w:r>
          </w:p>
        </w:tc>
        <w:tc>
          <w:tcPr>
            <w:tcW w:w="502" w:type="pct"/>
            <w:vAlign w:val="center"/>
          </w:tcPr>
          <w:p w14:paraId="24886C6D" w14:textId="7090BF96" w:rsidR="00C65127" w:rsidRPr="004D02F0" w:rsidRDefault="00B523C3" w:rsidP="0050541B">
            <w:pPr>
              <w:jc w:val="center"/>
              <w:rPr>
                <w:rFonts w:ascii="Arial" w:hAnsi="Arial" w:cs="Arial"/>
                <w:sz w:val="16"/>
                <w:szCs w:val="16"/>
              </w:rPr>
            </w:pPr>
            <w:r>
              <w:rPr>
                <w:rFonts w:ascii="Arial" w:hAnsi="Arial" w:cs="Arial"/>
                <w:sz w:val="16"/>
                <w:szCs w:val="16"/>
              </w:rPr>
              <w:t>8,17</w:t>
            </w:r>
          </w:p>
        </w:tc>
        <w:tc>
          <w:tcPr>
            <w:tcW w:w="502" w:type="pct"/>
            <w:vAlign w:val="center"/>
          </w:tcPr>
          <w:p w14:paraId="20B45AA8" w14:textId="06F368BB" w:rsidR="00C65127" w:rsidRPr="004E53EE" w:rsidRDefault="00B523C3" w:rsidP="0050541B">
            <w:pPr>
              <w:jc w:val="center"/>
              <w:rPr>
                <w:rFonts w:ascii="Arial" w:hAnsi="Arial" w:cs="Arial"/>
                <w:b/>
                <w:sz w:val="16"/>
                <w:szCs w:val="16"/>
                <w:u w:val="single"/>
              </w:rPr>
            </w:pPr>
            <w:r w:rsidRPr="004E53EE">
              <w:rPr>
                <w:rFonts w:ascii="Arial" w:hAnsi="Arial" w:cs="Arial"/>
                <w:b/>
                <w:sz w:val="16"/>
                <w:szCs w:val="16"/>
                <w:u w:val="single"/>
              </w:rPr>
              <w:t>23,33</w:t>
            </w:r>
          </w:p>
        </w:tc>
        <w:tc>
          <w:tcPr>
            <w:tcW w:w="502" w:type="pct"/>
            <w:vAlign w:val="center"/>
          </w:tcPr>
          <w:p w14:paraId="42069654" w14:textId="022EF7BC" w:rsidR="00C65127" w:rsidRPr="004D02F0" w:rsidRDefault="00B523C3" w:rsidP="0050541B">
            <w:pPr>
              <w:jc w:val="center"/>
              <w:rPr>
                <w:rFonts w:ascii="Arial" w:hAnsi="Arial" w:cs="Arial"/>
                <w:b/>
                <w:sz w:val="16"/>
                <w:szCs w:val="16"/>
              </w:rPr>
            </w:pPr>
            <w:r>
              <w:rPr>
                <w:rFonts w:ascii="Arial" w:hAnsi="Arial" w:cs="Arial"/>
                <w:b/>
                <w:sz w:val="16"/>
                <w:szCs w:val="16"/>
              </w:rPr>
              <w:t>92,54</w:t>
            </w:r>
          </w:p>
        </w:tc>
      </w:tr>
      <w:tr w:rsidR="00154A48" w:rsidRPr="004D02F0" w14:paraId="421419C1" w14:textId="77777777" w:rsidTr="00422A01">
        <w:trPr>
          <w:trHeight w:val="283"/>
        </w:trPr>
        <w:tc>
          <w:tcPr>
            <w:tcW w:w="985" w:type="pct"/>
            <w:vAlign w:val="center"/>
          </w:tcPr>
          <w:p w14:paraId="441DA27B" w14:textId="7B31DA97" w:rsidR="00C65127" w:rsidRPr="004D02F0" w:rsidRDefault="00C65127" w:rsidP="00B523C3">
            <w:pPr>
              <w:widowControl w:val="0"/>
              <w:rPr>
                <w:rFonts w:ascii="Arial" w:hAnsi="Arial" w:cs="Arial"/>
                <w:b/>
                <w:sz w:val="16"/>
                <w:szCs w:val="16"/>
              </w:rPr>
            </w:pPr>
            <w:r w:rsidRPr="004D02F0">
              <w:rPr>
                <w:rFonts w:ascii="Arial" w:hAnsi="Arial" w:cs="Arial"/>
                <w:b/>
                <w:sz w:val="16"/>
                <w:szCs w:val="16"/>
              </w:rPr>
              <w:t>Leerstand</w:t>
            </w:r>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m²</w:t>
            </w:r>
          </w:p>
        </w:tc>
        <w:tc>
          <w:tcPr>
            <w:tcW w:w="502" w:type="pct"/>
            <w:vAlign w:val="center"/>
          </w:tcPr>
          <w:p w14:paraId="3FEF20A6" w14:textId="3C1BC0B4" w:rsidR="00C65127" w:rsidRPr="004D02F0" w:rsidRDefault="00B523C3" w:rsidP="00422A01">
            <w:pPr>
              <w:jc w:val="center"/>
              <w:rPr>
                <w:rFonts w:ascii="Arial" w:hAnsi="Arial" w:cs="Arial"/>
                <w:sz w:val="16"/>
                <w:szCs w:val="16"/>
              </w:rPr>
            </w:pPr>
            <w:r>
              <w:rPr>
                <w:rFonts w:ascii="Arial" w:hAnsi="Arial" w:cs="Arial"/>
                <w:sz w:val="16"/>
                <w:szCs w:val="16"/>
              </w:rPr>
              <w:t>524.100</w:t>
            </w:r>
          </w:p>
        </w:tc>
        <w:tc>
          <w:tcPr>
            <w:tcW w:w="502" w:type="pct"/>
            <w:vAlign w:val="center"/>
          </w:tcPr>
          <w:p w14:paraId="53C46395" w14:textId="774B6C18" w:rsidR="00C65127" w:rsidRPr="004D02F0" w:rsidRDefault="00B523C3" w:rsidP="00422A01">
            <w:pPr>
              <w:jc w:val="center"/>
              <w:rPr>
                <w:rFonts w:ascii="Arial" w:hAnsi="Arial" w:cs="Arial"/>
                <w:sz w:val="16"/>
                <w:szCs w:val="16"/>
              </w:rPr>
            </w:pPr>
            <w:r>
              <w:rPr>
                <w:rFonts w:ascii="Arial" w:hAnsi="Arial" w:cs="Arial"/>
                <w:sz w:val="16"/>
                <w:szCs w:val="16"/>
              </w:rPr>
              <w:t>470.000</w:t>
            </w:r>
          </w:p>
        </w:tc>
        <w:tc>
          <w:tcPr>
            <w:tcW w:w="502" w:type="pct"/>
            <w:vAlign w:val="center"/>
          </w:tcPr>
          <w:p w14:paraId="302D3ED2" w14:textId="72962C08" w:rsidR="00C65127" w:rsidRPr="004D02F0" w:rsidRDefault="00B523C3" w:rsidP="00422A01">
            <w:pPr>
              <w:jc w:val="center"/>
              <w:rPr>
                <w:rFonts w:ascii="Arial" w:hAnsi="Arial" w:cs="Arial"/>
                <w:sz w:val="16"/>
                <w:szCs w:val="16"/>
              </w:rPr>
            </w:pPr>
            <w:r>
              <w:rPr>
                <w:rFonts w:ascii="Arial" w:hAnsi="Arial" w:cs="Arial"/>
                <w:sz w:val="16"/>
                <w:szCs w:val="16"/>
              </w:rPr>
              <w:t>536.000</w:t>
            </w:r>
          </w:p>
        </w:tc>
        <w:tc>
          <w:tcPr>
            <w:tcW w:w="502" w:type="pct"/>
            <w:vAlign w:val="center"/>
          </w:tcPr>
          <w:p w14:paraId="52CFC326" w14:textId="7EFE20C1" w:rsidR="00C65127" w:rsidRPr="004D02F0" w:rsidRDefault="00B523C3" w:rsidP="00422A01">
            <w:pPr>
              <w:jc w:val="center"/>
              <w:rPr>
                <w:rFonts w:ascii="Arial" w:hAnsi="Arial" w:cs="Arial"/>
                <w:sz w:val="16"/>
                <w:szCs w:val="16"/>
              </w:rPr>
            </w:pPr>
            <w:r>
              <w:rPr>
                <w:rFonts w:ascii="Arial" w:hAnsi="Arial" w:cs="Arial"/>
                <w:sz w:val="16"/>
                <w:szCs w:val="16"/>
              </w:rPr>
              <w:t>235.000</w:t>
            </w:r>
          </w:p>
        </w:tc>
        <w:tc>
          <w:tcPr>
            <w:tcW w:w="502" w:type="pct"/>
            <w:vAlign w:val="center"/>
          </w:tcPr>
          <w:p w14:paraId="077E5FE0" w14:textId="5896954E" w:rsidR="00C65127" w:rsidRPr="00CF3114" w:rsidRDefault="00B523C3" w:rsidP="00422A01">
            <w:pPr>
              <w:jc w:val="center"/>
              <w:rPr>
                <w:rFonts w:ascii="Arial" w:hAnsi="Arial" w:cs="Arial"/>
                <w:b/>
                <w:sz w:val="16"/>
                <w:szCs w:val="16"/>
              </w:rPr>
            </w:pPr>
            <w:r w:rsidRPr="00CF3114">
              <w:rPr>
                <w:rFonts w:ascii="Arial" w:hAnsi="Arial" w:cs="Arial"/>
                <w:b/>
                <w:sz w:val="16"/>
                <w:szCs w:val="16"/>
              </w:rPr>
              <w:t>967.200</w:t>
            </w:r>
          </w:p>
        </w:tc>
        <w:tc>
          <w:tcPr>
            <w:tcW w:w="502" w:type="pct"/>
            <w:vAlign w:val="center"/>
          </w:tcPr>
          <w:p w14:paraId="1630CA67" w14:textId="296E8526" w:rsidR="00C65127" w:rsidRPr="00514C7B" w:rsidRDefault="00B523C3" w:rsidP="00422A01">
            <w:pPr>
              <w:jc w:val="center"/>
              <w:rPr>
                <w:rFonts w:ascii="Arial" w:hAnsi="Arial" w:cs="Arial"/>
                <w:sz w:val="16"/>
                <w:szCs w:val="16"/>
              </w:rPr>
            </w:pPr>
            <w:r w:rsidRPr="00514C7B">
              <w:rPr>
                <w:rFonts w:ascii="Arial" w:hAnsi="Arial" w:cs="Arial"/>
                <w:sz w:val="16"/>
                <w:szCs w:val="16"/>
              </w:rPr>
              <w:t>249.4</w:t>
            </w:r>
            <w:r w:rsidR="00C005A2" w:rsidRPr="00514C7B">
              <w:rPr>
                <w:rFonts w:ascii="Arial" w:hAnsi="Arial" w:cs="Arial"/>
                <w:sz w:val="16"/>
                <w:szCs w:val="16"/>
              </w:rPr>
              <w:t>00</w:t>
            </w:r>
          </w:p>
        </w:tc>
        <w:tc>
          <w:tcPr>
            <w:tcW w:w="502" w:type="pct"/>
            <w:vAlign w:val="center"/>
          </w:tcPr>
          <w:p w14:paraId="68D18378" w14:textId="103666ED" w:rsidR="00C65127" w:rsidRPr="004D02F0" w:rsidRDefault="00B523C3" w:rsidP="00422A01">
            <w:pPr>
              <w:jc w:val="center"/>
              <w:rPr>
                <w:rFonts w:ascii="Arial" w:hAnsi="Arial" w:cs="Arial"/>
                <w:sz w:val="16"/>
                <w:szCs w:val="16"/>
              </w:rPr>
            </w:pPr>
            <w:r>
              <w:rPr>
                <w:rFonts w:ascii="Arial" w:hAnsi="Arial" w:cs="Arial"/>
                <w:sz w:val="16"/>
                <w:szCs w:val="16"/>
              </w:rPr>
              <w:t>740.000</w:t>
            </w:r>
          </w:p>
        </w:tc>
        <w:tc>
          <w:tcPr>
            <w:tcW w:w="502" w:type="pct"/>
            <w:vAlign w:val="center"/>
          </w:tcPr>
          <w:p w14:paraId="48AD7952" w14:textId="1E45E2BA" w:rsidR="00C65127" w:rsidRPr="004D02F0" w:rsidRDefault="00C005A2" w:rsidP="00B523C3">
            <w:pPr>
              <w:jc w:val="center"/>
              <w:rPr>
                <w:rFonts w:ascii="Arial" w:hAnsi="Arial" w:cs="Arial"/>
                <w:b/>
                <w:sz w:val="16"/>
                <w:szCs w:val="16"/>
              </w:rPr>
            </w:pPr>
            <w:r>
              <w:rPr>
                <w:rFonts w:ascii="Arial" w:hAnsi="Arial" w:cs="Arial"/>
                <w:b/>
                <w:bCs/>
                <w:sz w:val="16"/>
                <w:szCs w:val="16"/>
              </w:rPr>
              <w:t>3</w:t>
            </w:r>
            <w:r w:rsidR="00550AD1">
              <w:rPr>
                <w:rFonts w:ascii="Arial" w:hAnsi="Arial" w:cs="Arial"/>
                <w:b/>
                <w:bCs/>
                <w:sz w:val="16"/>
                <w:szCs w:val="16"/>
              </w:rPr>
              <w:t>.</w:t>
            </w:r>
            <w:r w:rsidR="00B523C3">
              <w:rPr>
                <w:rFonts w:ascii="Arial" w:hAnsi="Arial" w:cs="Arial"/>
                <w:b/>
                <w:bCs/>
                <w:sz w:val="16"/>
                <w:szCs w:val="16"/>
              </w:rPr>
              <w:t>721.700</w:t>
            </w:r>
          </w:p>
        </w:tc>
      </w:tr>
      <w:tr w:rsidR="00154A48" w:rsidRPr="004D02F0" w14:paraId="5C297D08" w14:textId="77777777" w:rsidTr="00422A01">
        <w:trPr>
          <w:trHeight w:val="283"/>
        </w:trPr>
        <w:tc>
          <w:tcPr>
            <w:tcW w:w="985" w:type="pct"/>
            <w:vAlign w:val="center"/>
          </w:tcPr>
          <w:p w14:paraId="0909F4A6" w14:textId="4D584D44" w:rsidR="00C65127" w:rsidRPr="004D02F0" w:rsidRDefault="00C65127" w:rsidP="00B523C3">
            <w:pPr>
              <w:widowControl w:val="0"/>
              <w:rPr>
                <w:rFonts w:ascii="Arial" w:hAnsi="Arial" w:cs="Arial"/>
                <w:b/>
                <w:sz w:val="16"/>
                <w:szCs w:val="16"/>
              </w:rPr>
            </w:pPr>
            <w:proofErr w:type="spellStart"/>
            <w:r w:rsidRPr="004D02F0">
              <w:rPr>
                <w:rFonts w:ascii="Arial" w:hAnsi="Arial" w:cs="Arial"/>
                <w:b/>
                <w:sz w:val="16"/>
                <w:szCs w:val="16"/>
              </w:rPr>
              <w:t>Leerstandsrate</w:t>
            </w:r>
            <w:proofErr w:type="spellEnd"/>
            <w:r w:rsidR="00B523C3">
              <w:rPr>
                <w:rFonts w:ascii="Arial" w:hAnsi="Arial" w:cs="Arial"/>
                <w:b/>
                <w:sz w:val="16"/>
                <w:szCs w:val="16"/>
              </w:rPr>
              <w:t xml:space="preserve"> </w:t>
            </w:r>
            <w:r w:rsidR="00B523C3" w:rsidRPr="00B523C3">
              <w:rPr>
                <w:rFonts w:ascii="Arial" w:hAnsi="Arial" w:cs="Arial"/>
                <w:sz w:val="16"/>
                <w:szCs w:val="16"/>
              </w:rPr>
              <w:t>inkl. Untermietflächen</w:t>
            </w:r>
            <w:r w:rsidR="00B523C3">
              <w:rPr>
                <w:rFonts w:ascii="Arial" w:hAnsi="Arial" w:cs="Arial"/>
                <w:sz w:val="16"/>
                <w:szCs w:val="16"/>
              </w:rPr>
              <w:t xml:space="preserve"> </w:t>
            </w:r>
            <w:r w:rsidRPr="004D02F0">
              <w:rPr>
                <w:rFonts w:ascii="Arial" w:hAnsi="Arial" w:cs="Arial"/>
                <w:sz w:val="16"/>
                <w:szCs w:val="16"/>
              </w:rPr>
              <w:t>in %</w:t>
            </w:r>
          </w:p>
        </w:tc>
        <w:tc>
          <w:tcPr>
            <w:tcW w:w="502" w:type="pct"/>
            <w:vAlign w:val="center"/>
          </w:tcPr>
          <w:p w14:paraId="5DFB31C9" w14:textId="2D1820D1" w:rsidR="00C65127" w:rsidRPr="004D02F0" w:rsidRDefault="00B523C3" w:rsidP="00422A01">
            <w:pPr>
              <w:jc w:val="center"/>
              <w:rPr>
                <w:rFonts w:ascii="Arial" w:hAnsi="Arial" w:cs="Arial"/>
                <w:sz w:val="16"/>
                <w:szCs w:val="16"/>
              </w:rPr>
            </w:pPr>
            <w:r>
              <w:rPr>
                <w:rFonts w:ascii="Arial" w:hAnsi="Arial" w:cs="Arial"/>
                <w:sz w:val="16"/>
                <w:szCs w:val="16"/>
              </w:rPr>
              <w:t>3,8</w:t>
            </w:r>
          </w:p>
        </w:tc>
        <w:tc>
          <w:tcPr>
            <w:tcW w:w="502" w:type="pct"/>
            <w:vAlign w:val="center"/>
          </w:tcPr>
          <w:p w14:paraId="08B1CFAE" w14:textId="6AC20938" w:rsidR="00C65127" w:rsidRPr="004D02F0" w:rsidRDefault="00B523C3" w:rsidP="00422A01">
            <w:pPr>
              <w:jc w:val="center"/>
              <w:rPr>
                <w:rFonts w:ascii="Arial" w:hAnsi="Arial" w:cs="Arial"/>
                <w:sz w:val="16"/>
                <w:szCs w:val="16"/>
              </w:rPr>
            </w:pPr>
            <w:r>
              <w:rPr>
                <w:rFonts w:ascii="Arial" w:hAnsi="Arial" w:cs="Arial"/>
                <w:sz w:val="16"/>
                <w:szCs w:val="16"/>
              </w:rPr>
              <w:t>2,3</w:t>
            </w:r>
          </w:p>
        </w:tc>
        <w:tc>
          <w:tcPr>
            <w:tcW w:w="502" w:type="pct"/>
            <w:vAlign w:val="center"/>
          </w:tcPr>
          <w:p w14:paraId="2878E9A7" w14:textId="259B037D" w:rsidR="00C65127" w:rsidRPr="004D02F0" w:rsidRDefault="00B523C3" w:rsidP="00422A01">
            <w:pPr>
              <w:jc w:val="center"/>
              <w:rPr>
                <w:rFonts w:ascii="Arial" w:hAnsi="Arial" w:cs="Arial"/>
                <w:sz w:val="16"/>
                <w:szCs w:val="16"/>
              </w:rPr>
            </w:pPr>
            <w:r>
              <w:rPr>
                <w:rFonts w:ascii="Arial" w:hAnsi="Arial" w:cs="Arial"/>
                <w:sz w:val="16"/>
                <w:szCs w:val="16"/>
              </w:rPr>
              <w:t>7,3</w:t>
            </w:r>
          </w:p>
        </w:tc>
        <w:tc>
          <w:tcPr>
            <w:tcW w:w="502" w:type="pct"/>
            <w:vAlign w:val="center"/>
          </w:tcPr>
          <w:p w14:paraId="41A88249" w14:textId="679C4D01"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C005A2">
              <w:rPr>
                <w:rFonts w:ascii="Arial" w:hAnsi="Arial" w:cs="Arial"/>
                <w:sz w:val="16"/>
                <w:szCs w:val="16"/>
              </w:rPr>
              <w:t>9</w:t>
            </w:r>
          </w:p>
        </w:tc>
        <w:tc>
          <w:tcPr>
            <w:tcW w:w="502" w:type="pct"/>
            <w:vAlign w:val="center"/>
          </w:tcPr>
          <w:p w14:paraId="789B0375" w14:textId="61927C5D" w:rsidR="00C65127" w:rsidRPr="004E53EE" w:rsidRDefault="00B523C3" w:rsidP="00422A01">
            <w:pPr>
              <w:jc w:val="center"/>
              <w:rPr>
                <w:rFonts w:ascii="Arial" w:hAnsi="Arial" w:cs="Arial"/>
                <w:b/>
                <w:sz w:val="16"/>
                <w:szCs w:val="16"/>
                <w:u w:val="single"/>
              </w:rPr>
            </w:pPr>
            <w:r w:rsidRPr="004E53EE">
              <w:rPr>
                <w:rFonts w:ascii="Arial" w:hAnsi="Arial" w:cs="Arial"/>
                <w:b/>
                <w:sz w:val="16"/>
                <w:szCs w:val="16"/>
                <w:u w:val="single"/>
              </w:rPr>
              <w:t>8,3</w:t>
            </w:r>
          </w:p>
        </w:tc>
        <w:tc>
          <w:tcPr>
            <w:tcW w:w="502" w:type="pct"/>
            <w:vAlign w:val="center"/>
          </w:tcPr>
          <w:p w14:paraId="6DE090A5" w14:textId="119FA6A6" w:rsidR="00C65127" w:rsidRPr="004D02F0" w:rsidRDefault="00C005A2" w:rsidP="00422A01">
            <w:pPr>
              <w:jc w:val="center"/>
              <w:rPr>
                <w:rFonts w:ascii="Arial" w:hAnsi="Arial" w:cs="Arial"/>
                <w:sz w:val="16"/>
                <w:szCs w:val="16"/>
              </w:rPr>
            </w:pPr>
            <w:r>
              <w:rPr>
                <w:rFonts w:ascii="Arial" w:hAnsi="Arial" w:cs="Arial"/>
                <w:sz w:val="16"/>
                <w:szCs w:val="16"/>
              </w:rPr>
              <w:t>3</w:t>
            </w:r>
            <w:r w:rsidR="00264158">
              <w:rPr>
                <w:rFonts w:ascii="Arial" w:hAnsi="Arial" w:cs="Arial"/>
                <w:sz w:val="16"/>
                <w:szCs w:val="16"/>
              </w:rPr>
              <w:t>,</w:t>
            </w:r>
            <w:r w:rsidR="00180A27">
              <w:rPr>
                <w:rFonts w:ascii="Arial" w:hAnsi="Arial" w:cs="Arial"/>
                <w:sz w:val="16"/>
                <w:szCs w:val="16"/>
              </w:rPr>
              <w:t>1</w:t>
            </w:r>
          </w:p>
        </w:tc>
        <w:tc>
          <w:tcPr>
            <w:tcW w:w="502" w:type="pct"/>
            <w:vAlign w:val="center"/>
          </w:tcPr>
          <w:p w14:paraId="5B19EE92" w14:textId="2595C73D" w:rsidR="00C65127" w:rsidRPr="004D02F0" w:rsidRDefault="00B523C3" w:rsidP="003210E3">
            <w:pPr>
              <w:jc w:val="center"/>
              <w:rPr>
                <w:rFonts w:ascii="Arial" w:hAnsi="Arial" w:cs="Arial"/>
                <w:sz w:val="16"/>
                <w:szCs w:val="16"/>
              </w:rPr>
            </w:pPr>
            <w:r>
              <w:rPr>
                <w:rFonts w:ascii="Arial" w:hAnsi="Arial" w:cs="Arial"/>
                <w:sz w:val="16"/>
                <w:szCs w:val="16"/>
              </w:rPr>
              <w:t>3,2</w:t>
            </w:r>
          </w:p>
        </w:tc>
        <w:tc>
          <w:tcPr>
            <w:tcW w:w="502" w:type="pct"/>
            <w:vAlign w:val="center"/>
          </w:tcPr>
          <w:p w14:paraId="0CE22EC9" w14:textId="077706A6" w:rsidR="00C65127" w:rsidRPr="004D02F0" w:rsidRDefault="00B523C3" w:rsidP="00422A01">
            <w:pPr>
              <w:jc w:val="center"/>
              <w:rPr>
                <w:rFonts w:ascii="Arial" w:hAnsi="Arial" w:cs="Arial"/>
                <w:b/>
                <w:sz w:val="16"/>
                <w:szCs w:val="16"/>
              </w:rPr>
            </w:pPr>
            <w:r>
              <w:rPr>
                <w:rFonts w:ascii="Arial" w:hAnsi="Arial" w:cs="Arial"/>
                <w:b/>
                <w:sz w:val="16"/>
                <w:szCs w:val="16"/>
              </w:rPr>
              <w:t>4,0</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3AF25A4D"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34401C95" w:rsidR="00C65127" w:rsidRPr="004D02F0" w:rsidRDefault="00B523C3" w:rsidP="00422A01">
            <w:pPr>
              <w:jc w:val="center"/>
              <w:rPr>
                <w:rFonts w:ascii="Arial" w:hAnsi="Arial" w:cs="Arial"/>
                <w:sz w:val="16"/>
                <w:szCs w:val="16"/>
              </w:rPr>
            </w:pPr>
            <w:r>
              <w:rPr>
                <w:rFonts w:ascii="Arial" w:hAnsi="Arial" w:cs="Arial"/>
                <w:sz w:val="16"/>
                <w:szCs w:val="16"/>
              </w:rPr>
              <w:t>333.000</w:t>
            </w:r>
          </w:p>
        </w:tc>
        <w:tc>
          <w:tcPr>
            <w:tcW w:w="502" w:type="pct"/>
            <w:vAlign w:val="center"/>
          </w:tcPr>
          <w:p w14:paraId="11B12F0F" w14:textId="7BC43282" w:rsidR="00C65127" w:rsidRPr="00CF3114" w:rsidRDefault="00B523C3" w:rsidP="00422A01">
            <w:pPr>
              <w:jc w:val="center"/>
              <w:rPr>
                <w:rFonts w:ascii="Arial" w:hAnsi="Arial" w:cs="Arial"/>
                <w:sz w:val="16"/>
                <w:szCs w:val="16"/>
                <w:u w:val="single"/>
              </w:rPr>
            </w:pPr>
            <w:r w:rsidRPr="00CF3114">
              <w:rPr>
                <w:rFonts w:ascii="Arial" w:hAnsi="Arial" w:cs="Arial"/>
                <w:sz w:val="16"/>
                <w:szCs w:val="16"/>
                <w:u w:val="single"/>
              </w:rPr>
              <w:t>1.221.000</w:t>
            </w:r>
          </w:p>
        </w:tc>
        <w:tc>
          <w:tcPr>
            <w:tcW w:w="502" w:type="pct"/>
            <w:vAlign w:val="center"/>
          </w:tcPr>
          <w:p w14:paraId="55671FED" w14:textId="627C8633" w:rsidR="00C65127" w:rsidRPr="004D02F0" w:rsidRDefault="00B523C3" w:rsidP="00422A01">
            <w:pPr>
              <w:jc w:val="center"/>
              <w:rPr>
                <w:rFonts w:ascii="Arial" w:hAnsi="Arial" w:cs="Arial"/>
                <w:sz w:val="16"/>
                <w:szCs w:val="16"/>
              </w:rPr>
            </w:pPr>
            <w:r>
              <w:rPr>
                <w:rFonts w:ascii="Arial" w:hAnsi="Arial" w:cs="Arial"/>
                <w:sz w:val="16"/>
                <w:szCs w:val="16"/>
              </w:rPr>
              <w:t>234.000</w:t>
            </w:r>
          </w:p>
        </w:tc>
        <w:tc>
          <w:tcPr>
            <w:tcW w:w="502" w:type="pct"/>
            <w:vAlign w:val="center"/>
          </w:tcPr>
          <w:p w14:paraId="704099E4" w14:textId="2AF91F8A" w:rsidR="00C65127" w:rsidRPr="004D02F0" w:rsidRDefault="00C005A2" w:rsidP="00422A01">
            <w:pPr>
              <w:jc w:val="center"/>
              <w:rPr>
                <w:rFonts w:ascii="Arial" w:hAnsi="Arial" w:cs="Arial"/>
                <w:sz w:val="16"/>
                <w:szCs w:val="16"/>
              </w:rPr>
            </w:pPr>
            <w:r>
              <w:rPr>
                <w:rFonts w:ascii="Arial" w:hAnsi="Arial" w:cs="Arial"/>
                <w:sz w:val="16"/>
                <w:szCs w:val="16"/>
              </w:rPr>
              <w:t>200</w:t>
            </w:r>
            <w:r w:rsidR="00264158">
              <w:rPr>
                <w:rFonts w:ascii="Arial" w:hAnsi="Arial" w:cs="Arial"/>
                <w:sz w:val="16"/>
                <w:szCs w:val="16"/>
              </w:rPr>
              <w:t>.000</w:t>
            </w:r>
          </w:p>
        </w:tc>
        <w:tc>
          <w:tcPr>
            <w:tcW w:w="502" w:type="pct"/>
            <w:vAlign w:val="center"/>
          </w:tcPr>
          <w:p w14:paraId="795CB503" w14:textId="1595531C" w:rsidR="00C65127" w:rsidRPr="004D02F0" w:rsidRDefault="00B523C3" w:rsidP="00422A01">
            <w:pPr>
              <w:jc w:val="center"/>
              <w:rPr>
                <w:rFonts w:ascii="Arial" w:hAnsi="Arial" w:cs="Arial"/>
                <w:sz w:val="16"/>
                <w:szCs w:val="16"/>
              </w:rPr>
            </w:pPr>
            <w:r>
              <w:rPr>
                <w:rFonts w:ascii="Arial" w:hAnsi="Arial" w:cs="Arial"/>
                <w:sz w:val="16"/>
                <w:szCs w:val="16"/>
              </w:rPr>
              <w:t>487.700</w:t>
            </w:r>
          </w:p>
        </w:tc>
        <w:tc>
          <w:tcPr>
            <w:tcW w:w="502" w:type="pct"/>
            <w:vAlign w:val="center"/>
          </w:tcPr>
          <w:p w14:paraId="74993796" w14:textId="23CBACC0" w:rsidR="00C65127" w:rsidRPr="004D02F0" w:rsidRDefault="00B523C3" w:rsidP="00422A01">
            <w:pPr>
              <w:jc w:val="center"/>
              <w:rPr>
                <w:rFonts w:ascii="Arial" w:hAnsi="Arial" w:cs="Arial"/>
                <w:sz w:val="16"/>
                <w:szCs w:val="16"/>
              </w:rPr>
            </w:pPr>
            <w:r>
              <w:rPr>
                <w:rFonts w:ascii="Arial" w:hAnsi="Arial" w:cs="Arial"/>
                <w:sz w:val="16"/>
                <w:szCs w:val="16"/>
              </w:rPr>
              <w:t>236.000</w:t>
            </w:r>
          </w:p>
        </w:tc>
        <w:tc>
          <w:tcPr>
            <w:tcW w:w="502" w:type="pct"/>
            <w:vAlign w:val="center"/>
          </w:tcPr>
          <w:p w14:paraId="34F66D4E" w14:textId="6AF97B4B" w:rsidR="00C65127" w:rsidRPr="004D02F0" w:rsidRDefault="00C005A2" w:rsidP="00422A01">
            <w:pPr>
              <w:jc w:val="center"/>
              <w:rPr>
                <w:rFonts w:ascii="Arial" w:hAnsi="Arial" w:cs="Arial"/>
                <w:sz w:val="16"/>
                <w:szCs w:val="16"/>
              </w:rPr>
            </w:pPr>
            <w:r>
              <w:rPr>
                <w:rFonts w:ascii="Arial" w:hAnsi="Arial" w:cs="Arial"/>
                <w:sz w:val="16"/>
                <w:szCs w:val="16"/>
              </w:rPr>
              <w:t>645.000</w:t>
            </w:r>
          </w:p>
        </w:tc>
        <w:tc>
          <w:tcPr>
            <w:tcW w:w="502" w:type="pct"/>
            <w:vAlign w:val="center"/>
          </w:tcPr>
          <w:p w14:paraId="6CCC0DE5" w14:textId="284EC251" w:rsidR="00C65127" w:rsidRPr="004D02F0" w:rsidRDefault="00B523C3" w:rsidP="00C005A2">
            <w:pPr>
              <w:jc w:val="center"/>
              <w:rPr>
                <w:rFonts w:ascii="Arial" w:hAnsi="Arial" w:cs="Arial"/>
                <w:b/>
                <w:sz w:val="16"/>
                <w:szCs w:val="16"/>
              </w:rPr>
            </w:pPr>
            <w:r>
              <w:rPr>
                <w:rFonts w:ascii="Arial" w:hAnsi="Arial" w:cs="Arial"/>
                <w:b/>
                <w:bCs/>
                <w:sz w:val="16"/>
                <w:szCs w:val="16"/>
              </w:rPr>
              <w:t>3.357.000</w:t>
            </w:r>
          </w:p>
        </w:tc>
      </w:tr>
      <w:tr w:rsidR="00154A48" w:rsidRPr="004D02F0" w14:paraId="083C2563" w14:textId="77777777" w:rsidTr="00422A01">
        <w:trPr>
          <w:trHeight w:val="283"/>
        </w:trPr>
        <w:tc>
          <w:tcPr>
            <w:tcW w:w="985" w:type="pct"/>
            <w:vAlign w:val="center"/>
          </w:tcPr>
          <w:p w14:paraId="0D0D8A5A" w14:textId="6E45E25A" w:rsidR="001C65C1" w:rsidRPr="004D02F0" w:rsidRDefault="001C65C1" w:rsidP="00B523C3">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B523C3">
              <w:rPr>
                <w:rFonts w:ascii="Arial" w:hAnsi="Arial" w:cs="Arial"/>
                <w:b/>
                <w:sz w:val="16"/>
                <w:szCs w:val="16"/>
              </w:rPr>
              <w:t>21</w:t>
            </w:r>
            <w:r w:rsidRPr="004D02F0">
              <w:rPr>
                <w:rFonts w:ascii="Arial" w:hAnsi="Arial" w:cs="Arial"/>
                <w:b/>
                <w:sz w:val="16"/>
                <w:szCs w:val="16"/>
              </w:rPr>
              <w:t xml:space="preserve"> </w:t>
            </w:r>
            <w:r w:rsidR="4A6EE254" w:rsidRPr="004D02F0">
              <w:rPr>
                <w:rFonts w:ascii="Arial" w:hAnsi="Arial" w:cs="Arial"/>
                <w:b/>
                <w:bCs/>
                <w:sz w:val="16"/>
                <w:szCs w:val="16"/>
              </w:rPr>
              <w:t>+ 202</w:t>
            </w:r>
            <w:r w:rsidR="00B523C3">
              <w:rPr>
                <w:rFonts w:ascii="Arial" w:hAnsi="Arial" w:cs="Arial"/>
                <w:b/>
                <w:bCs/>
                <w:sz w:val="16"/>
                <w:szCs w:val="16"/>
              </w:rPr>
              <w:t>2</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3F07063E" w:rsidR="001C65C1" w:rsidRPr="004D02F0" w:rsidRDefault="00B523C3" w:rsidP="00422A01">
            <w:pPr>
              <w:jc w:val="center"/>
              <w:rPr>
                <w:rFonts w:ascii="Arial" w:hAnsi="Arial" w:cs="Arial"/>
                <w:sz w:val="16"/>
                <w:szCs w:val="16"/>
              </w:rPr>
            </w:pPr>
            <w:r>
              <w:rPr>
                <w:rFonts w:ascii="Arial" w:hAnsi="Arial" w:cs="Arial"/>
                <w:sz w:val="16"/>
                <w:szCs w:val="16"/>
              </w:rPr>
              <w:t>70</w:t>
            </w:r>
          </w:p>
        </w:tc>
        <w:tc>
          <w:tcPr>
            <w:tcW w:w="502" w:type="pct"/>
            <w:vAlign w:val="center"/>
          </w:tcPr>
          <w:p w14:paraId="0BD28CCE" w14:textId="0A12ACE1" w:rsidR="001C65C1" w:rsidRPr="004D02F0" w:rsidRDefault="00C005A2" w:rsidP="00422A01">
            <w:pPr>
              <w:jc w:val="center"/>
              <w:rPr>
                <w:rFonts w:ascii="Arial" w:hAnsi="Arial" w:cs="Arial"/>
                <w:sz w:val="16"/>
                <w:szCs w:val="16"/>
              </w:rPr>
            </w:pPr>
            <w:r>
              <w:rPr>
                <w:rFonts w:ascii="Arial" w:hAnsi="Arial" w:cs="Arial"/>
                <w:sz w:val="16"/>
                <w:szCs w:val="16"/>
              </w:rPr>
              <w:t>48</w:t>
            </w:r>
          </w:p>
        </w:tc>
        <w:tc>
          <w:tcPr>
            <w:tcW w:w="502" w:type="pct"/>
            <w:vAlign w:val="center"/>
          </w:tcPr>
          <w:p w14:paraId="277079A1" w14:textId="7C4844AE" w:rsidR="001C65C1" w:rsidRPr="004D02F0" w:rsidRDefault="00B523C3" w:rsidP="00422A01">
            <w:pPr>
              <w:jc w:val="center"/>
              <w:rPr>
                <w:rFonts w:ascii="Arial" w:hAnsi="Arial" w:cs="Arial"/>
                <w:sz w:val="16"/>
                <w:szCs w:val="16"/>
              </w:rPr>
            </w:pPr>
            <w:r>
              <w:rPr>
                <w:rFonts w:ascii="Arial" w:hAnsi="Arial" w:cs="Arial"/>
                <w:sz w:val="16"/>
                <w:szCs w:val="16"/>
              </w:rPr>
              <w:t>68</w:t>
            </w:r>
          </w:p>
        </w:tc>
        <w:tc>
          <w:tcPr>
            <w:tcW w:w="502" w:type="pct"/>
            <w:vAlign w:val="center"/>
          </w:tcPr>
          <w:p w14:paraId="20F6D135" w14:textId="6AEDAA2D" w:rsidR="001C65C1" w:rsidRPr="004D02F0" w:rsidRDefault="00C005A2" w:rsidP="00422A01">
            <w:pPr>
              <w:jc w:val="center"/>
              <w:rPr>
                <w:rFonts w:ascii="Arial" w:hAnsi="Arial" w:cs="Arial"/>
                <w:sz w:val="16"/>
                <w:szCs w:val="16"/>
              </w:rPr>
            </w:pPr>
            <w:r>
              <w:rPr>
                <w:rFonts w:ascii="Arial" w:hAnsi="Arial" w:cs="Arial"/>
                <w:sz w:val="16"/>
                <w:szCs w:val="16"/>
              </w:rPr>
              <w:t>50</w:t>
            </w:r>
          </w:p>
        </w:tc>
        <w:tc>
          <w:tcPr>
            <w:tcW w:w="502" w:type="pct"/>
            <w:vAlign w:val="center"/>
          </w:tcPr>
          <w:p w14:paraId="37C4AF2D" w14:textId="7419F8BD" w:rsidR="001C65C1" w:rsidRPr="004D02F0" w:rsidRDefault="00B523C3" w:rsidP="00422A01">
            <w:pPr>
              <w:jc w:val="center"/>
              <w:rPr>
                <w:rFonts w:ascii="Arial" w:hAnsi="Arial" w:cs="Arial"/>
                <w:sz w:val="16"/>
                <w:szCs w:val="16"/>
              </w:rPr>
            </w:pPr>
            <w:r>
              <w:rPr>
                <w:rFonts w:ascii="Arial" w:hAnsi="Arial" w:cs="Arial"/>
                <w:sz w:val="16"/>
                <w:szCs w:val="16"/>
              </w:rPr>
              <w:t>52</w:t>
            </w:r>
          </w:p>
        </w:tc>
        <w:tc>
          <w:tcPr>
            <w:tcW w:w="502" w:type="pct"/>
            <w:vAlign w:val="center"/>
          </w:tcPr>
          <w:p w14:paraId="0F8131C9" w14:textId="30825C27" w:rsidR="001C65C1" w:rsidRPr="00CF3114" w:rsidRDefault="00B523C3" w:rsidP="00422A01">
            <w:pPr>
              <w:jc w:val="center"/>
              <w:rPr>
                <w:rFonts w:ascii="Arial" w:hAnsi="Arial" w:cs="Arial"/>
                <w:sz w:val="16"/>
                <w:szCs w:val="16"/>
                <w:u w:val="single"/>
              </w:rPr>
            </w:pPr>
            <w:r w:rsidRPr="00CF3114">
              <w:rPr>
                <w:rFonts w:ascii="Arial" w:hAnsi="Arial" w:cs="Arial"/>
                <w:sz w:val="16"/>
                <w:szCs w:val="16"/>
                <w:u w:val="single"/>
              </w:rPr>
              <w:t>73</w:t>
            </w:r>
          </w:p>
        </w:tc>
        <w:tc>
          <w:tcPr>
            <w:tcW w:w="502" w:type="pct"/>
            <w:vAlign w:val="center"/>
          </w:tcPr>
          <w:p w14:paraId="6A5F96BA" w14:textId="69FB3769" w:rsidR="001C65C1" w:rsidRPr="004D02F0" w:rsidRDefault="00C005A2" w:rsidP="00422A01">
            <w:pPr>
              <w:jc w:val="center"/>
              <w:rPr>
                <w:rFonts w:ascii="Arial" w:hAnsi="Arial" w:cs="Arial"/>
                <w:sz w:val="16"/>
                <w:szCs w:val="16"/>
              </w:rPr>
            </w:pPr>
            <w:r>
              <w:rPr>
                <w:rFonts w:ascii="Arial" w:hAnsi="Arial" w:cs="Arial"/>
                <w:sz w:val="16"/>
                <w:szCs w:val="16"/>
              </w:rPr>
              <w:t>62</w:t>
            </w:r>
          </w:p>
        </w:tc>
        <w:tc>
          <w:tcPr>
            <w:tcW w:w="502" w:type="pct"/>
            <w:vAlign w:val="center"/>
          </w:tcPr>
          <w:p w14:paraId="70264BF0" w14:textId="0C1C1614" w:rsidR="001C65C1" w:rsidRPr="004D02F0" w:rsidRDefault="00B523C3" w:rsidP="00422A01">
            <w:pPr>
              <w:jc w:val="center"/>
              <w:rPr>
                <w:rFonts w:ascii="Arial" w:hAnsi="Arial" w:cs="Arial"/>
                <w:b/>
                <w:sz w:val="16"/>
                <w:szCs w:val="16"/>
              </w:rPr>
            </w:pPr>
            <w:r>
              <w:rPr>
                <w:rFonts w:ascii="Arial" w:hAnsi="Arial" w:cs="Arial"/>
                <w:b/>
                <w:sz w:val="16"/>
                <w:szCs w:val="16"/>
              </w:rPr>
              <w:t>57</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2"/>
    <w:p w14:paraId="4AAB2CD2" w14:textId="7320BF91" w:rsidR="32E3C701" w:rsidRPr="00487ECE" w:rsidRDefault="32E3C701" w:rsidP="00BF5272">
      <w:pPr>
        <w:spacing w:after="0"/>
        <w:jc w:val="both"/>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5A406D95" w14:textId="7F3174BF" w:rsidR="00F446B8" w:rsidRPr="00F446B8" w:rsidRDefault="00F96A6E" w:rsidP="00BF5272">
      <w:pPr>
        <w:jc w:val="both"/>
        <w:rPr>
          <w:rFonts w:ascii="Arial" w:eastAsia="Arial" w:hAnsi="Arial" w:cs="Arial"/>
          <w:iCs/>
          <w:sz w:val="16"/>
          <w:szCs w:val="16"/>
          <w:lang w:val="de"/>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w:t>
      </w:r>
      <w:proofErr w:type="spellStart"/>
      <w:r w:rsidR="32E3C701" w:rsidRPr="00487ECE">
        <w:rPr>
          <w:rFonts w:ascii="Arial" w:eastAsia="Arial" w:hAnsi="Arial" w:cs="Arial"/>
          <w:iCs/>
          <w:sz w:val="16"/>
          <w:szCs w:val="16"/>
          <w:lang w:val="de"/>
        </w:rPr>
        <w:t>Anteon</w:t>
      </w:r>
      <w:proofErr w:type="spellEnd"/>
      <w:r w:rsidR="32E3C701" w:rsidRPr="00487ECE">
        <w:rPr>
          <w:rFonts w:ascii="Arial" w:eastAsia="Arial" w:hAnsi="Arial" w:cs="Arial"/>
          <w:iCs/>
          <w:sz w:val="16"/>
          <w:szCs w:val="16"/>
          <w:lang w:val="de"/>
        </w:rPr>
        <w:t xml:space="preserve"> Immobilien, GREIF &amp; CONTZEN Immobilien, </w:t>
      </w:r>
      <w:proofErr w:type="spellStart"/>
      <w:r w:rsidR="32E3C701" w:rsidRPr="00487ECE">
        <w:rPr>
          <w:rFonts w:ascii="Arial" w:eastAsia="Arial" w:hAnsi="Arial" w:cs="Arial"/>
          <w:iCs/>
          <w:sz w:val="16"/>
          <w:szCs w:val="16"/>
          <w:lang w:val="de"/>
        </w:rPr>
        <w:t>blackolive</w:t>
      </w:r>
      <w:proofErr w:type="spellEnd"/>
      <w:r w:rsidR="32E3C701" w:rsidRPr="00487ECE">
        <w:rPr>
          <w:rFonts w:ascii="Arial" w:eastAsia="Arial" w:hAnsi="Arial" w:cs="Arial"/>
          <w:iCs/>
          <w:sz w:val="16"/>
          <w:szCs w:val="16"/>
          <w:lang w:val="de"/>
        </w:rPr>
        <w:t xml:space="preser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w:t>
      </w:r>
      <w:proofErr w:type="spellStart"/>
      <w:r w:rsidR="32E3C701" w:rsidRPr="00487ECE">
        <w:rPr>
          <w:rFonts w:ascii="Arial" w:eastAsia="Arial" w:hAnsi="Arial" w:cs="Arial"/>
          <w:iCs/>
          <w:sz w:val="16"/>
          <w:szCs w:val="16"/>
          <w:lang w:val="de"/>
        </w:rPr>
        <w:t>Köln|Bonn</w:t>
      </w:r>
      <w:proofErr w:type="spellEnd"/>
      <w:r w:rsidR="32E3C701" w:rsidRPr="00487ECE">
        <w:rPr>
          <w:rFonts w:ascii="Arial" w:eastAsia="Arial" w:hAnsi="Arial" w:cs="Arial"/>
          <w:iCs/>
          <w:sz w:val="16"/>
          <w:szCs w:val="16"/>
          <w:lang w:val="de"/>
        </w:rPr>
        <w:t xml:space="preserve">,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w:t>
      </w:r>
      <w:r w:rsidR="00C73546">
        <w:rPr>
          <w:rFonts w:ascii="Arial" w:eastAsia="Arial" w:hAnsi="Arial" w:cs="Arial"/>
          <w:iCs/>
          <w:sz w:val="16"/>
          <w:szCs w:val="16"/>
          <w:lang w:val="de"/>
        </w:rPr>
        <w:t>410</w:t>
      </w:r>
      <w:r w:rsidR="32E3C701" w:rsidRPr="00487ECE">
        <w:rPr>
          <w:rFonts w:ascii="Arial" w:eastAsia="Arial" w:hAnsi="Arial" w:cs="Arial"/>
          <w:iCs/>
          <w:sz w:val="16"/>
          <w:szCs w:val="16"/>
          <w:lang w:val="de"/>
        </w:rPr>
        <w:t xml:space="preserve"> Immobilienspezialisten für das Netzwerk tätig. </w:t>
      </w:r>
      <w:r w:rsidR="00C73546">
        <w:rPr>
          <w:rFonts w:ascii="Arial" w:eastAsia="Arial" w:hAnsi="Arial" w:cs="Arial"/>
          <w:b/>
          <w:bCs/>
          <w:iCs/>
          <w:sz w:val="16"/>
          <w:szCs w:val="16"/>
          <w:lang w:val="de"/>
        </w:rPr>
        <w:t>2020</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73546">
        <w:rPr>
          <w:rFonts w:ascii="Arial" w:eastAsia="Arial" w:hAnsi="Arial" w:cs="Arial"/>
          <w:iCs/>
          <w:sz w:val="16"/>
          <w:szCs w:val="16"/>
          <w:lang w:val="de"/>
        </w:rPr>
        <w:t>46</w:t>
      </w:r>
      <w:r w:rsidR="00C31217" w:rsidRPr="00487ECE">
        <w:rPr>
          <w:rFonts w:ascii="Arial" w:eastAsia="Arial" w:hAnsi="Arial" w:cs="Arial"/>
          <w:iCs/>
          <w:sz w:val="16"/>
          <w:szCs w:val="16"/>
          <w:lang w:val="de"/>
        </w:rPr>
        <w:t>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0021443F">
        <w:rPr>
          <w:rFonts w:ascii="Arial" w:eastAsia="Arial" w:hAnsi="Arial" w:cs="Arial"/>
          <w:iCs/>
          <w:sz w:val="16"/>
          <w:szCs w:val="16"/>
          <w:lang w:val="de"/>
        </w:rPr>
        <w:t>00 </w:t>
      </w:r>
      <w:r w:rsidR="32E3C701" w:rsidRPr="00487ECE">
        <w:rPr>
          <w:rFonts w:ascii="Arial" w:eastAsia="Arial" w:hAnsi="Arial" w:cs="Arial"/>
          <w:iCs/>
          <w:sz w:val="16"/>
          <w:szCs w:val="16"/>
          <w:lang w:val="de"/>
        </w:rPr>
        <w:t>m² Gewerbefläche und betreute ein Transaktionsvolumen in Höhe von rund 2,</w:t>
      </w:r>
      <w:r w:rsidR="00C73546">
        <w:rPr>
          <w:rFonts w:ascii="Arial" w:eastAsia="Arial" w:hAnsi="Arial" w:cs="Arial"/>
          <w:iCs/>
          <w:sz w:val="16"/>
          <w:szCs w:val="16"/>
          <w:lang w:val="de"/>
        </w:rPr>
        <w:t>45</w:t>
      </w:r>
      <w:r w:rsidR="0071679E">
        <w:rPr>
          <w:rFonts w:ascii="Arial" w:eastAsia="Arial" w:hAnsi="Arial" w:cs="Arial"/>
          <w:iCs/>
          <w:sz w:val="16"/>
          <w:szCs w:val="16"/>
          <w:lang w:val="de"/>
        </w:rPr>
        <w:t xml:space="preserve"> Mrd. €.</w:t>
      </w:r>
    </w:p>
    <w:sectPr w:rsidR="00F446B8" w:rsidRPr="00F446B8"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59F0586A"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F96A6E">
      <w:rPr>
        <w:rFonts w:ascii="Arial" w:hAnsi="Arial" w:cs="Arial"/>
        <w:b/>
        <w:noProof/>
        <w:sz w:val="18"/>
        <w:szCs w:val="18"/>
      </w:rPr>
      <w:t>3</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F96A6E">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619"/>
    <w:rsid w:val="00010AC9"/>
    <w:rsid w:val="00011F5E"/>
    <w:rsid w:val="000121F0"/>
    <w:rsid w:val="00012241"/>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6D59"/>
    <w:rsid w:val="00036D9F"/>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3C0"/>
    <w:rsid w:val="00060931"/>
    <w:rsid w:val="00060D5B"/>
    <w:rsid w:val="00061B3E"/>
    <w:rsid w:val="000621FA"/>
    <w:rsid w:val="00062407"/>
    <w:rsid w:val="00062C83"/>
    <w:rsid w:val="00062E5F"/>
    <w:rsid w:val="00063130"/>
    <w:rsid w:val="00063652"/>
    <w:rsid w:val="00063905"/>
    <w:rsid w:val="00063D38"/>
    <w:rsid w:val="0006417A"/>
    <w:rsid w:val="000644F1"/>
    <w:rsid w:val="00064A7C"/>
    <w:rsid w:val="00064A83"/>
    <w:rsid w:val="00064B74"/>
    <w:rsid w:val="000668D2"/>
    <w:rsid w:val="00066CAA"/>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69B"/>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B82"/>
    <w:rsid w:val="000A7E1F"/>
    <w:rsid w:val="000B0168"/>
    <w:rsid w:val="000B1AD6"/>
    <w:rsid w:val="000B1DE5"/>
    <w:rsid w:val="000B1E51"/>
    <w:rsid w:val="000B242E"/>
    <w:rsid w:val="000B356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133"/>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1904"/>
    <w:rsid w:val="000D221C"/>
    <w:rsid w:val="000D2E28"/>
    <w:rsid w:val="000D2E3A"/>
    <w:rsid w:val="000D39F4"/>
    <w:rsid w:val="000D3D70"/>
    <w:rsid w:val="000D3D8D"/>
    <w:rsid w:val="000D3D97"/>
    <w:rsid w:val="000D3E42"/>
    <w:rsid w:val="000D430B"/>
    <w:rsid w:val="000D4AB0"/>
    <w:rsid w:val="000D4CB5"/>
    <w:rsid w:val="000D4DDB"/>
    <w:rsid w:val="000D4F25"/>
    <w:rsid w:val="000D52E5"/>
    <w:rsid w:val="000D6E0A"/>
    <w:rsid w:val="000D779D"/>
    <w:rsid w:val="000E02D0"/>
    <w:rsid w:val="000E078E"/>
    <w:rsid w:val="000E1162"/>
    <w:rsid w:val="000E1522"/>
    <w:rsid w:val="000E1B5A"/>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348F"/>
    <w:rsid w:val="000F4805"/>
    <w:rsid w:val="000F4CE1"/>
    <w:rsid w:val="000F4DD0"/>
    <w:rsid w:val="000F4EED"/>
    <w:rsid w:val="000F541F"/>
    <w:rsid w:val="000F6159"/>
    <w:rsid w:val="000F6342"/>
    <w:rsid w:val="000F6642"/>
    <w:rsid w:val="000F69ED"/>
    <w:rsid w:val="000F7060"/>
    <w:rsid w:val="000F73B0"/>
    <w:rsid w:val="000F7D7D"/>
    <w:rsid w:val="000F7EF9"/>
    <w:rsid w:val="001007AB"/>
    <w:rsid w:val="00100D69"/>
    <w:rsid w:val="001017B6"/>
    <w:rsid w:val="00101AD4"/>
    <w:rsid w:val="00102C03"/>
    <w:rsid w:val="00102C27"/>
    <w:rsid w:val="00102D24"/>
    <w:rsid w:val="00102FD3"/>
    <w:rsid w:val="00103F2B"/>
    <w:rsid w:val="001049F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3F5A"/>
    <w:rsid w:val="0011412C"/>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566D"/>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267"/>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5E5"/>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19A9"/>
    <w:rsid w:val="00162DCA"/>
    <w:rsid w:val="001632A4"/>
    <w:rsid w:val="00163785"/>
    <w:rsid w:val="001640D9"/>
    <w:rsid w:val="00164526"/>
    <w:rsid w:val="00165126"/>
    <w:rsid w:val="001654FA"/>
    <w:rsid w:val="00165E27"/>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550"/>
    <w:rsid w:val="001B07F0"/>
    <w:rsid w:val="001B0941"/>
    <w:rsid w:val="001B0B17"/>
    <w:rsid w:val="001B0C6B"/>
    <w:rsid w:val="001B0D8D"/>
    <w:rsid w:val="001B0E2B"/>
    <w:rsid w:val="001B1007"/>
    <w:rsid w:val="001B1D1B"/>
    <w:rsid w:val="001B25DE"/>
    <w:rsid w:val="001B274E"/>
    <w:rsid w:val="001B279E"/>
    <w:rsid w:val="001B2F09"/>
    <w:rsid w:val="001B380D"/>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1A9"/>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54B"/>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443F"/>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21B"/>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5D"/>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432"/>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790"/>
    <w:rsid w:val="00296C50"/>
    <w:rsid w:val="00297375"/>
    <w:rsid w:val="002A015B"/>
    <w:rsid w:val="002A0481"/>
    <w:rsid w:val="002A07B9"/>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2C3"/>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9BC"/>
    <w:rsid w:val="002C5A4B"/>
    <w:rsid w:val="002C6274"/>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6F8"/>
    <w:rsid w:val="002D3BC3"/>
    <w:rsid w:val="002D43F3"/>
    <w:rsid w:val="002D5146"/>
    <w:rsid w:val="002D54F3"/>
    <w:rsid w:val="002D59D1"/>
    <w:rsid w:val="002D66E8"/>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4F44"/>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28D"/>
    <w:rsid w:val="00323571"/>
    <w:rsid w:val="003236B6"/>
    <w:rsid w:val="003239C8"/>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3F"/>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182"/>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A65"/>
    <w:rsid w:val="003D2C2F"/>
    <w:rsid w:val="003D3197"/>
    <w:rsid w:val="003D3439"/>
    <w:rsid w:val="003D4577"/>
    <w:rsid w:val="003D4593"/>
    <w:rsid w:val="003D49B7"/>
    <w:rsid w:val="003D4FD3"/>
    <w:rsid w:val="003D5AD6"/>
    <w:rsid w:val="003D6790"/>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734"/>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845"/>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1F24"/>
    <w:rsid w:val="0042213D"/>
    <w:rsid w:val="004221D2"/>
    <w:rsid w:val="004222DB"/>
    <w:rsid w:val="00422858"/>
    <w:rsid w:val="00422896"/>
    <w:rsid w:val="00422A01"/>
    <w:rsid w:val="00422D91"/>
    <w:rsid w:val="0042331C"/>
    <w:rsid w:val="00423832"/>
    <w:rsid w:val="00423DEF"/>
    <w:rsid w:val="004243B1"/>
    <w:rsid w:val="0042602D"/>
    <w:rsid w:val="0042611E"/>
    <w:rsid w:val="00426B18"/>
    <w:rsid w:val="00427650"/>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32E"/>
    <w:rsid w:val="00455692"/>
    <w:rsid w:val="00455AD2"/>
    <w:rsid w:val="00455B90"/>
    <w:rsid w:val="0045630E"/>
    <w:rsid w:val="00456A44"/>
    <w:rsid w:val="004575C8"/>
    <w:rsid w:val="0045796E"/>
    <w:rsid w:val="00457DEF"/>
    <w:rsid w:val="0046045E"/>
    <w:rsid w:val="00460A7B"/>
    <w:rsid w:val="00460C86"/>
    <w:rsid w:val="00460E0E"/>
    <w:rsid w:val="00460F29"/>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CE"/>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24BC"/>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3F5"/>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10F"/>
    <w:rsid w:val="004D77DD"/>
    <w:rsid w:val="004E0808"/>
    <w:rsid w:val="004E0B2C"/>
    <w:rsid w:val="004E0EE6"/>
    <w:rsid w:val="004E151A"/>
    <w:rsid w:val="004E1670"/>
    <w:rsid w:val="004E172C"/>
    <w:rsid w:val="004E1B13"/>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53EE"/>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10C5"/>
    <w:rsid w:val="00501893"/>
    <w:rsid w:val="00502807"/>
    <w:rsid w:val="00502D63"/>
    <w:rsid w:val="00503A31"/>
    <w:rsid w:val="00504357"/>
    <w:rsid w:val="0050461D"/>
    <w:rsid w:val="00504A8B"/>
    <w:rsid w:val="0050541B"/>
    <w:rsid w:val="005058E5"/>
    <w:rsid w:val="00506693"/>
    <w:rsid w:val="00506C9D"/>
    <w:rsid w:val="005076D0"/>
    <w:rsid w:val="00507D2F"/>
    <w:rsid w:val="0051013F"/>
    <w:rsid w:val="00510346"/>
    <w:rsid w:val="005106FC"/>
    <w:rsid w:val="00510DCB"/>
    <w:rsid w:val="00511F38"/>
    <w:rsid w:val="005120AE"/>
    <w:rsid w:val="005121A9"/>
    <w:rsid w:val="00512686"/>
    <w:rsid w:val="005128C7"/>
    <w:rsid w:val="005130B1"/>
    <w:rsid w:val="0051310A"/>
    <w:rsid w:val="0051342E"/>
    <w:rsid w:val="005134B6"/>
    <w:rsid w:val="00513A70"/>
    <w:rsid w:val="00513BEA"/>
    <w:rsid w:val="00513BF4"/>
    <w:rsid w:val="005140CE"/>
    <w:rsid w:val="00514554"/>
    <w:rsid w:val="00514C7B"/>
    <w:rsid w:val="00514EE0"/>
    <w:rsid w:val="00515A57"/>
    <w:rsid w:val="00515D5B"/>
    <w:rsid w:val="0051694F"/>
    <w:rsid w:val="005175C2"/>
    <w:rsid w:val="00517D77"/>
    <w:rsid w:val="00520184"/>
    <w:rsid w:val="00520539"/>
    <w:rsid w:val="00520E2E"/>
    <w:rsid w:val="00521241"/>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8E"/>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148"/>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2796"/>
    <w:rsid w:val="0057536F"/>
    <w:rsid w:val="0057570B"/>
    <w:rsid w:val="00575760"/>
    <w:rsid w:val="00575987"/>
    <w:rsid w:val="00575AF8"/>
    <w:rsid w:val="005760C2"/>
    <w:rsid w:val="00577C1B"/>
    <w:rsid w:val="00577EAF"/>
    <w:rsid w:val="00577EEB"/>
    <w:rsid w:val="005804EA"/>
    <w:rsid w:val="00580AFE"/>
    <w:rsid w:val="00580B9F"/>
    <w:rsid w:val="0058103C"/>
    <w:rsid w:val="00581206"/>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19C4"/>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A75F3"/>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928"/>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69C"/>
    <w:rsid w:val="005F2AB1"/>
    <w:rsid w:val="005F31F8"/>
    <w:rsid w:val="005F33D5"/>
    <w:rsid w:val="005F3CA6"/>
    <w:rsid w:val="005F3D95"/>
    <w:rsid w:val="005F441F"/>
    <w:rsid w:val="005F4F3D"/>
    <w:rsid w:val="005F5ED5"/>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5FAB"/>
    <w:rsid w:val="006163B6"/>
    <w:rsid w:val="00616E85"/>
    <w:rsid w:val="006177B3"/>
    <w:rsid w:val="00617B39"/>
    <w:rsid w:val="00620531"/>
    <w:rsid w:val="00620AA6"/>
    <w:rsid w:val="0062114C"/>
    <w:rsid w:val="006217CD"/>
    <w:rsid w:val="00622AFF"/>
    <w:rsid w:val="006231CA"/>
    <w:rsid w:val="00623851"/>
    <w:rsid w:val="00624745"/>
    <w:rsid w:val="006248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40"/>
    <w:rsid w:val="006369FD"/>
    <w:rsid w:val="00636A52"/>
    <w:rsid w:val="0064036E"/>
    <w:rsid w:val="00640A39"/>
    <w:rsid w:val="00640AC3"/>
    <w:rsid w:val="0064195A"/>
    <w:rsid w:val="00641CA5"/>
    <w:rsid w:val="00641EE9"/>
    <w:rsid w:val="0064226D"/>
    <w:rsid w:val="00642687"/>
    <w:rsid w:val="006427DF"/>
    <w:rsid w:val="00642829"/>
    <w:rsid w:val="0064298E"/>
    <w:rsid w:val="00643999"/>
    <w:rsid w:val="006448D2"/>
    <w:rsid w:val="00644F47"/>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C40"/>
    <w:rsid w:val="00662D74"/>
    <w:rsid w:val="006634E1"/>
    <w:rsid w:val="0066399E"/>
    <w:rsid w:val="0066402A"/>
    <w:rsid w:val="00664FD4"/>
    <w:rsid w:val="0066545F"/>
    <w:rsid w:val="006655F6"/>
    <w:rsid w:val="00665E86"/>
    <w:rsid w:val="00665FBF"/>
    <w:rsid w:val="006661A8"/>
    <w:rsid w:val="00667C87"/>
    <w:rsid w:val="00670716"/>
    <w:rsid w:val="0067154D"/>
    <w:rsid w:val="00671DBA"/>
    <w:rsid w:val="00672EC9"/>
    <w:rsid w:val="0067309C"/>
    <w:rsid w:val="00673293"/>
    <w:rsid w:val="00673857"/>
    <w:rsid w:val="0067436B"/>
    <w:rsid w:val="006747F8"/>
    <w:rsid w:val="00675947"/>
    <w:rsid w:val="00675F0E"/>
    <w:rsid w:val="00676DD4"/>
    <w:rsid w:val="00676F18"/>
    <w:rsid w:val="00677660"/>
    <w:rsid w:val="00677A4A"/>
    <w:rsid w:val="00677BEB"/>
    <w:rsid w:val="00677D88"/>
    <w:rsid w:val="006802FB"/>
    <w:rsid w:val="00680465"/>
    <w:rsid w:val="006806AA"/>
    <w:rsid w:val="00680984"/>
    <w:rsid w:val="00680C40"/>
    <w:rsid w:val="00680DC9"/>
    <w:rsid w:val="00680E9D"/>
    <w:rsid w:val="00680FAE"/>
    <w:rsid w:val="00681086"/>
    <w:rsid w:val="00681190"/>
    <w:rsid w:val="006815B9"/>
    <w:rsid w:val="00681B6C"/>
    <w:rsid w:val="00681D9B"/>
    <w:rsid w:val="006824E4"/>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5CCF"/>
    <w:rsid w:val="00686BFB"/>
    <w:rsid w:val="00687E33"/>
    <w:rsid w:val="0069074B"/>
    <w:rsid w:val="00691481"/>
    <w:rsid w:val="00691A06"/>
    <w:rsid w:val="00691ADA"/>
    <w:rsid w:val="00691B38"/>
    <w:rsid w:val="0069233E"/>
    <w:rsid w:val="00692469"/>
    <w:rsid w:val="00692A04"/>
    <w:rsid w:val="006940A0"/>
    <w:rsid w:val="00694342"/>
    <w:rsid w:val="00694390"/>
    <w:rsid w:val="0069458D"/>
    <w:rsid w:val="00694A40"/>
    <w:rsid w:val="006953B5"/>
    <w:rsid w:val="00695639"/>
    <w:rsid w:val="006958D9"/>
    <w:rsid w:val="00696405"/>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400"/>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6DB"/>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74D"/>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A78"/>
    <w:rsid w:val="00710EA8"/>
    <w:rsid w:val="00711177"/>
    <w:rsid w:val="0071137D"/>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0D8A"/>
    <w:rsid w:val="0072133E"/>
    <w:rsid w:val="0072168A"/>
    <w:rsid w:val="007219B2"/>
    <w:rsid w:val="00721E17"/>
    <w:rsid w:val="007221BB"/>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697"/>
    <w:rsid w:val="00743913"/>
    <w:rsid w:val="00743D33"/>
    <w:rsid w:val="00744671"/>
    <w:rsid w:val="0074471B"/>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76C47"/>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955"/>
    <w:rsid w:val="007B0B05"/>
    <w:rsid w:val="007B0DFF"/>
    <w:rsid w:val="007B1663"/>
    <w:rsid w:val="007B1D02"/>
    <w:rsid w:val="007B1EFC"/>
    <w:rsid w:val="007B2523"/>
    <w:rsid w:val="007B25D2"/>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B7"/>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0AD"/>
    <w:rsid w:val="007D2311"/>
    <w:rsid w:val="007D28B4"/>
    <w:rsid w:val="007D2A56"/>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93"/>
    <w:rsid w:val="007F0DCC"/>
    <w:rsid w:val="007F0FCF"/>
    <w:rsid w:val="007F1914"/>
    <w:rsid w:val="007F1B2F"/>
    <w:rsid w:val="007F1CED"/>
    <w:rsid w:val="007F1D56"/>
    <w:rsid w:val="007F25AB"/>
    <w:rsid w:val="007F2C99"/>
    <w:rsid w:val="007F2CB8"/>
    <w:rsid w:val="007F377A"/>
    <w:rsid w:val="007F3844"/>
    <w:rsid w:val="007F3BF5"/>
    <w:rsid w:val="007F45DB"/>
    <w:rsid w:val="007F4709"/>
    <w:rsid w:val="007F48D9"/>
    <w:rsid w:val="007F4C6C"/>
    <w:rsid w:val="007F4CE2"/>
    <w:rsid w:val="007F549B"/>
    <w:rsid w:val="007F596C"/>
    <w:rsid w:val="007F5EC4"/>
    <w:rsid w:val="007F646C"/>
    <w:rsid w:val="007F67F9"/>
    <w:rsid w:val="007F6CB7"/>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AB7"/>
    <w:rsid w:val="00804C8E"/>
    <w:rsid w:val="00804FE9"/>
    <w:rsid w:val="0080544F"/>
    <w:rsid w:val="0080564F"/>
    <w:rsid w:val="00805D93"/>
    <w:rsid w:val="00806204"/>
    <w:rsid w:val="008065D4"/>
    <w:rsid w:val="008068DF"/>
    <w:rsid w:val="00806CBB"/>
    <w:rsid w:val="00807CCD"/>
    <w:rsid w:val="008101B1"/>
    <w:rsid w:val="008101FA"/>
    <w:rsid w:val="00810325"/>
    <w:rsid w:val="00811996"/>
    <w:rsid w:val="00811AFD"/>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532"/>
    <w:rsid w:val="00834B01"/>
    <w:rsid w:val="00834F8D"/>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67F50"/>
    <w:rsid w:val="0087057B"/>
    <w:rsid w:val="00871C96"/>
    <w:rsid w:val="00871F02"/>
    <w:rsid w:val="008722C8"/>
    <w:rsid w:val="00872F8E"/>
    <w:rsid w:val="00873115"/>
    <w:rsid w:val="00873285"/>
    <w:rsid w:val="00873E55"/>
    <w:rsid w:val="00874006"/>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8DF"/>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738"/>
    <w:rsid w:val="008D49C5"/>
    <w:rsid w:val="008D4E0C"/>
    <w:rsid w:val="008D5A42"/>
    <w:rsid w:val="008D5F38"/>
    <w:rsid w:val="008D6433"/>
    <w:rsid w:val="008D7043"/>
    <w:rsid w:val="008D77C4"/>
    <w:rsid w:val="008D7CA4"/>
    <w:rsid w:val="008D7E81"/>
    <w:rsid w:val="008E1141"/>
    <w:rsid w:val="008E12D2"/>
    <w:rsid w:val="008E144B"/>
    <w:rsid w:val="008E1EAE"/>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0EA3"/>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1D1"/>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4B5"/>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76"/>
    <w:rsid w:val="00932488"/>
    <w:rsid w:val="0093384A"/>
    <w:rsid w:val="00933BD6"/>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0F51"/>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D9B"/>
    <w:rsid w:val="00966FDA"/>
    <w:rsid w:val="00967132"/>
    <w:rsid w:val="009673A4"/>
    <w:rsid w:val="009673B3"/>
    <w:rsid w:val="00967922"/>
    <w:rsid w:val="00967AF3"/>
    <w:rsid w:val="00967FF4"/>
    <w:rsid w:val="009706EF"/>
    <w:rsid w:val="00970DB3"/>
    <w:rsid w:val="00971E91"/>
    <w:rsid w:val="00971F96"/>
    <w:rsid w:val="00972081"/>
    <w:rsid w:val="00972FE7"/>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5893"/>
    <w:rsid w:val="00996628"/>
    <w:rsid w:val="00996936"/>
    <w:rsid w:val="00996C34"/>
    <w:rsid w:val="00996C87"/>
    <w:rsid w:val="00997A8C"/>
    <w:rsid w:val="009A007D"/>
    <w:rsid w:val="009A0101"/>
    <w:rsid w:val="009A0841"/>
    <w:rsid w:val="009A185F"/>
    <w:rsid w:val="009A2906"/>
    <w:rsid w:val="009A37E2"/>
    <w:rsid w:val="009A3E58"/>
    <w:rsid w:val="009A401D"/>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3714"/>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CF0"/>
    <w:rsid w:val="009C6D7A"/>
    <w:rsid w:val="009C6ED3"/>
    <w:rsid w:val="009C715E"/>
    <w:rsid w:val="009D12AF"/>
    <w:rsid w:val="009D14EA"/>
    <w:rsid w:val="009D1A3F"/>
    <w:rsid w:val="009D1BFC"/>
    <w:rsid w:val="009D1C82"/>
    <w:rsid w:val="009D1D38"/>
    <w:rsid w:val="009D1D64"/>
    <w:rsid w:val="009D2276"/>
    <w:rsid w:val="009D2800"/>
    <w:rsid w:val="009D32A9"/>
    <w:rsid w:val="009D3430"/>
    <w:rsid w:val="009D34E9"/>
    <w:rsid w:val="009D390A"/>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9F7830"/>
    <w:rsid w:val="00A0096F"/>
    <w:rsid w:val="00A00F22"/>
    <w:rsid w:val="00A011D0"/>
    <w:rsid w:val="00A01590"/>
    <w:rsid w:val="00A01611"/>
    <w:rsid w:val="00A01BF8"/>
    <w:rsid w:val="00A03218"/>
    <w:rsid w:val="00A03519"/>
    <w:rsid w:val="00A035D3"/>
    <w:rsid w:val="00A0372F"/>
    <w:rsid w:val="00A03B6E"/>
    <w:rsid w:val="00A043D5"/>
    <w:rsid w:val="00A0480A"/>
    <w:rsid w:val="00A04AAC"/>
    <w:rsid w:val="00A04ABC"/>
    <w:rsid w:val="00A05307"/>
    <w:rsid w:val="00A0573D"/>
    <w:rsid w:val="00A05C83"/>
    <w:rsid w:val="00A06028"/>
    <w:rsid w:val="00A06ADB"/>
    <w:rsid w:val="00A073CB"/>
    <w:rsid w:val="00A0742C"/>
    <w:rsid w:val="00A074F0"/>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3FA0"/>
    <w:rsid w:val="00A24546"/>
    <w:rsid w:val="00A252DA"/>
    <w:rsid w:val="00A25494"/>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3A5"/>
    <w:rsid w:val="00A34E19"/>
    <w:rsid w:val="00A34EEA"/>
    <w:rsid w:val="00A354F5"/>
    <w:rsid w:val="00A35580"/>
    <w:rsid w:val="00A356B9"/>
    <w:rsid w:val="00A363BC"/>
    <w:rsid w:val="00A36C7D"/>
    <w:rsid w:val="00A36D7D"/>
    <w:rsid w:val="00A36E80"/>
    <w:rsid w:val="00A36FB8"/>
    <w:rsid w:val="00A3728A"/>
    <w:rsid w:val="00A3789F"/>
    <w:rsid w:val="00A40216"/>
    <w:rsid w:val="00A403A9"/>
    <w:rsid w:val="00A4075D"/>
    <w:rsid w:val="00A4078F"/>
    <w:rsid w:val="00A408F6"/>
    <w:rsid w:val="00A40A21"/>
    <w:rsid w:val="00A41248"/>
    <w:rsid w:val="00A41A77"/>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30C"/>
    <w:rsid w:val="00A61EC2"/>
    <w:rsid w:val="00A622CD"/>
    <w:rsid w:val="00A62C92"/>
    <w:rsid w:val="00A62DBF"/>
    <w:rsid w:val="00A62EDB"/>
    <w:rsid w:val="00A6379E"/>
    <w:rsid w:val="00A64233"/>
    <w:rsid w:val="00A64468"/>
    <w:rsid w:val="00A646E7"/>
    <w:rsid w:val="00A64BBC"/>
    <w:rsid w:val="00A64CF4"/>
    <w:rsid w:val="00A651A7"/>
    <w:rsid w:val="00A65B43"/>
    <w:rsid w:val="00A660A1"/>
    <w:rsid w:val="00A662BF"/>
    <w:rsid w:val="00A66D95"/>
    <w:rsid w:val="00A676B7"/>
    <w:rsid w:val="00A70288"/>
    <w:rsid w:val="00A70EEC"/>
    <w:rsid w:val="00A71478"/>
    <w:rsid w:val="00A7157F"/>
    <w:rsid w:val="00A715AB"/>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85D"/>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235"/>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958"/>
    <w:rsid w:val="00AB5AA3"/>
    <w:rsid w:val="00AB5AE1"/>
    <w:rsid w:val="00AB63F3"/>
    <w:rsid w:val="00AB6517"/>
    <w:rsid w:val="00AB7288"/>
    <w:rsid w:val="00AC0375"/>
    <w:rsid w:val="00AC047B"/>
    <w:rsid w:val="00AC0774"/>
    <w:rsid w:val="00AC0846"/>
    <w:rsid w:val="00AC1B3E"/>
    <w:rsid w:val="00AC1F17"/>
    <w:rsid w:val="00AC2328"/>
    <w:rsid w:val="00AC2A87"/>
    <w:rsid w:val="00AC2D17"/>
    <w:rsid w:val="00AC2E2F"/>
    <w:rsid w:val="00AC35A7"/>
    <w:rsid w:val="00AC3A7D"/>
    <w:rsid w:val="00AC3B3B"/>
    <w:rsid w:val="00AC3D05"/>
    <w:rsid w:val="00AC3DAD"/>
    <w:rsid w:val="00AC40C0"/>
    <w:rsid w:val="00AC4F2C"/>
    <w:rsid w:val="00AC4FF3"/>
    <w:rsid w:val="00AC5A56"/>
    <w:rsid w:val="00AC6055"/>
    <w:rsid w:val="00AC6344"/>
    <w:rsid w:val="00AC7854"/>
    <w:rsid w:val="00AD04DF"/>
    <w:rsid w:val="00AD0555"/>
    <w:rsid w:val="00AD0833"/>
    <w:rsid w:val="00AD0D0D"/>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3AEA"/>
    <w:rsid w:val="00AE4819"/>
    <w:rsid w:val="00AE4B55"/>
    <w:rsid w:val="00AE4DBE"/>
    <w:rsid w:val="00AE513D"/>
    <w:rsid w:val="00AE5AC1"/>
    <w:rsid w:val="00AE5B31"/>
    <w:rsid w:val="00AE5FA7"/>
    <w:rsid w:val="00AE60E2"/>
    <w:rsid w:val="00AE616C"/>
    <w:rsid w:val="00AE6C31"/>
    <w:rsid w:val="00AE70EB"/>
    <w:rsid w:val="00AF05AF"/>
    <w:rsid w:val="00AF12D7"/>
    <w:rsid w:val="00AF13C0"/>
    <w:rsid w:val="00AF147C"/>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4F7"/>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AA1"/>
    <w:rsid w:val="00B41DF7"/>
    <w:rsid w:val="00B4234E"/>
    <w:rsid w:val="00B4310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3C3"/>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1D52"/>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116"/>
    <w:rsid w:val="00B903DA"/>
    <w:rsid w:val="00B9045B"/>
    <w:rsid w:val="00B912BB"/>
    <w:rsid w:val="00B91301"/>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096D"/>
    <w:rsid w:val="00BA1A32"/>
    <w:rsid w:val="00BA1AA5"/>
    <w:rsid w:val="00BA1CE2"/>
    <w:rsid w:val="00BA20BE"/>
    <w:rsid w:val="00BA260E"/>
    <w:rsid w:val="00BA29E1"/>
    <w:rsid w:val="00BA31B5"/>
    <w:rsid w:val="00BA337C"/>
    <w:rsid w:val="00BA3AE5"/>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0A0"/>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4836"/>
    <w:rsid w:val="00BD55A4"/>
    <w:rsid w:val="00BD5F72"/>
    <w:rsid w:val="00BD6CA4"/>
    <w:rsid w:val="00BD7F23"/>
    <w:rsid w:val="00BE0208"/>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E7780"/>
    <w:rsid w:val="00BE791E"/>
    <w:rsid w:val="00BF0236"/>
    <w:rsid w:val="00BF02C9"/>
    <w:rsid w:val="00BF0A17"/>
    <w:rsid w:val="00BF1552"/>
    <w:rsid w:val="00BF1585"/>
    <w:rsid w:val="00BF1B3A"/>
    <w:rsid w:val="00BF1CB4"/>
    <w:rsid w:val="00BF1D41"/>
    <w:rsid w:val="00BF1E76"/>
    <w:rsid w:val="00BF233B"/>
    <w:rsid w:val="00BF2C11"/>
    <w:rsid w:val="00BF30AA"/>
    <w:rsid w:val="00BF3544"/>
    <w:rsid w:val="00BF3D3D"/>
    <w:rsid w:val="00BF41D1"/>
    <w:rsid w:val="00BF4219"/>
    <w:rsid w:val="00BF45FF"/>
    <w:rsid w:val="00BF48FF"/>
    <w:rsid w:val="00BF49B5"/>
    <w:rsid w:val="00BF500E"/>
    <w:rsid w:val="00BF5272"/>
    <w:rsid w:val="00BF61E8"/>
    <w:rsid w:val="00BF6932"/>
    <w:rsid w:val="00BF6A1A"/>
    <w:rsid w:val="00BF7317"/>
    <w:rsid w:val="00BF7580"/>
    <w:rsid w:val="00BF79E1"/>
    <w:rsid w:val="00C00319"/>
    <w:rsid w:val="00C003B7"/>
    <w:rsid w:val="00C005A2"/>
    <w:rsid w:val="00C005FB"/>
    <w:rsid w:val="00C00DA8"/>
    <w:rsid w:val="00C00EA7"/>
    <w:rsid w:val="00C02A24"/>
    <w:rsid w:val="00C02FC1"/>
    <w:rsid w:val="00C037AA"/>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B88"/>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2740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3AE"/>
    <w:rsid w:val="00C539D4"/>
    <w:rsid w:val="00C54DE0"/>
    <w:rsid w:val="00C552CA"/>
    <w:rsid w:val="00C553F6"/>
    <w:rsid w:val="00C56176"/>
    <w:rsid w:val="00C57CF2"/>
    <w:rsid w:val="00C60584"/>
    <w:rsid w:val="00C615A4"/>
    <w:rsid w:val="00C61A8D"/>
    <w:rsid w:val="00C61C61"/>
    <w:rsid w:val="00C62ADF"/>
    <w:rsid w:val="00C62B2E"/>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46"/>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7D9"/>
    <w:rsid w:val="00C96C52"/>
    <w:rsid w:val="00C97C8D"/>
    <w:rsid w:val="00CA1303"/>
    <w:rsid w:val="00CA1BAD"/>
    <w:rsid w:val="00CA2AE4"/>
    <w:rsid w:val="00CA3147"/>
    <w:rsid w:val="00CA358B"/>
    <w:rsid w:val="00CA4510"/>
    <w:rsid w:val="00CA47CC"/>
    <w:rsid w:val="00CA4877"/>
    <w:rsid w:val="00CA4C40"/>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0E8"/>
    <w:rsid w:val="00CB415F"/>
    <w:rsid w:val="00CB4882"/>
    <w:rsid w:val="00CB5282"/>
    <w:rsid w:val="00CB719F"/>
    <w:rsid w:val="00CB73D0"/>
    <w:rsid w:val="00CB7442"/>
    <w:rsid w:val="00CB7477"/>
    <w:rsid w:val="00CB753D"/>
    <w:rsid w:val="00CC0E34"/>
    <w:rsid w:val="00CC284A"/>
    <w:rsid w:val="00CC2CBB"/>
    <w:rsid w:val="00CC2F84"/>
    <w:rsid w:val="00CC34B4"/>
    <w:rsid w:val="00CC3D43"/>
    <w:rsid w:val="00CC4162"/>
    <w:rsid w:val="00CC4940"/>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811"/>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0DE2"/>
    <w:rsid w:val="00CF1C01"/>
    <w:rsid w:val="00CF1E93"/>
    <w:rsid w:val="00CF3114"/>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27C6"/>
    <w:rsid w:val="00D03202"/>
    <w:rsid w:val="00D0326F"/>
    <w:rsid w:val="00D035EE"/>
    <w:rsid w:val="00D03B87"/>
    <w:rsid w:val="00D04628"/>
    <w:rsid w:val="00D04A81"/>
    <w:rsid w:val="00D04E9D"/>
    <w:rsid w:val="00D05077"/>
    <w:rsid w:val="00D0545E"/>
    <w:rsid w:val="00D05662"/>
    <w:rsid w:val="00D05732"/>
    <w:rsid w:val="00D05EA2"/>
    <w:rsid w:val="00D06688"/>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20D"/>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57"/>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3CCE"/>
    <w:rsid w:val="00D44211"/>
    <w:rsid w:val="00D4485B"/>
    <w:rsid w:val="00D44A8C"/>
    <w:rsid w:val="00D44BDD"/>
    <w:rsid w:val="00D44CB0"/>
    <w:rsid w:val="00D450B0"/>
    <w:rsid w:val="00D45409"/>
    <w:rsid w:val="00D45A72"/>
    <w:rsid w:val="00D45D2F"/>
    <w:rsid w:val="00D45D58"/>
    <w:rsid w:val="00D45E25"/>
    <w:rsid w:val="00D4610C"/>
    <w:rsid w:val="00D461B1"/>
    <w:rsid w:val="00D4662E"/>
    <w:rsid w:val="00D46A28"/>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6F47"/>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67F79"/>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5F06"/>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35D"/>
    <w:rsid w:val="00DA5D8E"/>
    <w:rsid w:val="00DA6055"/>
    <w:rsid w:val="00DA66F5"/>
    <w:rsid w:val="00DA6E7A"/>
    <w:rsid w:val="00DA6F4D"/>
    <w:rsid w:val="00DA7B0F"/>
    <w:rsid w:val="00DA7CBB"/>
    <w:rsid w:val="00DA7DA1"/>
    <w:rsid w:val="00DA7FFA"/>
    <w:rsid w:val="00DB0C37"/>
    <w:rsid w:val="00DB0CF2"/>
    <w:rsid w:val="00DB1FE4"/>
    <w:rsid w:val="00DB2034"/>
    <w:rsid w:val="00DB2418"/>
    <w:rsid w:val="00DB2D17"/>
    <w:rsid w:val="00DB3489"/>
    <w:rsid w:val="00DB44EE"/>
    <w:rsid w:val="00DB4525"/>
    <w:rsid w:val="00DB45B1"/>
    <w:rsid w:val="00DB4D91"/>
    <w:rsid w:val="00DB6FB3"/>
    <w:rsid w:val="00DB7073"/>
    <w:rsid w:val="00DB76AB"/>
    <w:rsid w:val="00DC049E"/>
    <w:rsid w:val="00DC1242"/>
    <w:rsid w:val="00DC1620"/>
    <w:rsid w:val="00DC19BC"/>
    <w:rsid w:val="00DC1B27"/>
    <w:rsid w:val="00DC1F8E"/>
    <w:rsid w:val="00DC2312"/>
    <w:rsid w:val="00DC279C"/>
    <w:rsid w:val="00DC280A"/>
    <w:rsid w:val="00DC2A4B"/>
    <w:rsid w:val="00DC2A84"/>
    <w:rsid w:val="00DC2B29"/>
    <w:rsid w:val="00DC3248"/>
    <w:rsid w:val="00DC3393"/>
    <w:rsid w:val="00DC3462"/>
    <w:rsid w:val="00DC34E9"/>
    <w:rsid w:val="00DC3561"/>
    <w:rsid w:val="00DC35F4"/>
    <w:rsid w:val="00DC3779"/>
    <w:rsid w:val="00DC3B9C"/>
    <w:rsid w:val="00DC43AD"/>
    <w:rsid w:val="00DC48BE"/>
    <w:rsid w:val="00DC4B73"/>
    <w:rsid w:val="00DC596C"/>
    <w:rsid w:val="00DC5FE0"/>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5E88"/>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2C4D"/>
    <w:rsid w:val="00DE3066"/>
    <w:rsid w:val="00DE350A"/>
    <w:rsid w:val="00DE37CB"/>
    <w:rsid w:val="00DE44BD"/>
    <w:rsid w:val="00DE4541"/>
    <w:rsid w:val="00DE4DC3"/>
    <w:rsid w:val="00DE54A8"/>
    <w:rsid w:val="00DE5558"/>
    <w:rsid w:val="00DE6885"/>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09AF"/>
    <w:rsid w:val="00E11367"/>
    <w:rsid w:val="00E113C8"/>
    <w:rsid w:val="00E1149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A32"/>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6E5"/>
    <w:rsid w:val="00E43754"/>
    <w:rsid w:val="00E445F1"/>
    <w:rsid w:val="00E44C44"/>
    <w:rsid w:val="00E46368"/>
    <w:rsid w:val="00E464CF"/>
    <w:rsid w:val="00E4666C"/>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0F5"/>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2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1BF"/>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A7A14"/>
    <w:rsid w:val="00EB03EC"/>
    <w:rsid w:val="00EB06F3"/>
    <w:rsid w:val="00EB092C"/>
    <w:rsid w:val="00EB1931"/>
    <w:rsid w:val="00EB2126"/>
    <w:rsid w:val="00EB30B7"/>
    <w:rsid w:val="00EB3BED"/>
    <w:rsid w:val="00EB3DE5"/>
    <w:rsid w:val="00EB42F9"/>
    <w:rsid w:val="00EB4498"/>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515"/>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6E16"/>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6E32"/>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45"/>
    <w:rsid w:val="00F154AD"/>
    <w:rsid w:val="00F1566C"/>
    <w:rsid w:val="00F16321"/>
    <w:rsid w:val="00F16560"/>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46B8"/>
    <w:rsid w:val="00F4491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1FC6"/>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664"/>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8E9"/>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4540"/>
    <w:rsid w:val="00F952F7"/>
    <w:rsid w:val="00F95321"/>
    <w:rsid w:val="00F953DB"/>
    <w:rsid w:val="00F9545A"/>
    <w:rsid w:val="00F956B4"/>
    <w:rsid w:val="00F95EFF"/>
    <w:rsid w:val="00F9601A"/>
    <w:rsid w:val="00F96A6E"/>
    <w:rsid w:val="00F96B9A"/>
    <w:rsid w:val="00F970FC"/>
    <w:rsid w:val="00F97411"/>
    <w:rsid w:val="00FA05AB"/>
    <w:rsid w:val="00FA0627"/>
    <w:rsid w:val="00FA0934"/>
    <w:rsid w:val="00FA0DD2"/>
    <w:rsid w:val="00FA1138"/>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2DEB"/>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01"/>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0B2E"/>
    <w:rsid w:val="00FF1167"/>
    <w:rsid w:val="00FF1232"/>
    <w:rsid w:val="00FF1398"/>
    <w:rsid w:val="00FF19B3"/>
    <w:rsid w:val="00FF1D51"/>
    <w:rsid w:val="00FF2AE0"/>
    <w:rsid w:val="00FF5477"/>
    <w:rsid w:val="00FF557D"/>
    <w:rsid w:val="00FF6321"/>
    <w:rsid w:val="00FF6939"/>
    <w:rsid w:val="00FF6F5B"/>
    <w:rsid w:val="00FF74C9"/>
    <w:rsid w:val="00FF7903"/>
    <w:rsid w:val="00FF7C8C"/>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4919914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26406955">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8E6C-18B5-4F44-8B1B-3F6669F1BA90}">
  <ds:schemaRefs>
    <ds:schemaRef ds:uri="http://purl.org/dc/elements/1.1/"/>
    <ds:schemaRef ds:uri="http://schemas.microsoft.com/office/infopath/2007/PartnerControls"/>
    <ds:schemaRef ds:uri="84aed6d6-a926-4909-ae89-377442fd3b88"/>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FD6A7-AF4E-4020-A789-2BC609E1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11</cp:revision>
  <cp:lastPrinted>2020-12-30T12:20:00Z</cp:lastPrinted>
  <dcterms:created xsi:type="dcterms:W3CDTF">2021-04-06T08:25:00Z</dcterms:created>
  <dcterms:modified xsi:type="dcterms:W3CDTF">2021-04-06T16:38:00Z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