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99" w:rsidRDefault="00E13A6B">
      <w:pPr>
        <w:spacing w:after="0" w:line="360" w:lineRule="auto"/>
        <w:rPr>
          <w:rFonts w:ascii="Arial" w:eastAsia="Arial" w:hAnsi="Arial" w:cs="Arial"/>
          <w:b/>
          <w:bCs/>
        </w:rPr>
      </w:pPr>
      <w:r>
        <w:rPr>
          <w:rFonts w:ascii="Arial" w:hAnsi="Arial"/>
          <w:b/>
          <w:bCs/>
        </w:rPr>
        <w:t>Hamburg: Investmentmarkt 1.-4. Quartal 2022</w:t>
      </w:r>
    </w:p>
    <w:p w:rsidR="00187899" w:rsidRDefault="00E13A6B">
      <w:pPr>
        <w:spacing w:after="0" w:line="360" w:lineRule="auto"/>
        <w:rPr>
          <w:rFonts w:ascii="Arial" w:eastAsia="Arial" w:hAnsi="Arial" w:cs="Arial"/>
          <w:b/>
          <w:bCs/>
          <w:sz w:val="28"/>
          <w:szCs w:val="28"/>
        </w:rPr>
      </w:pPr>
      <w:r>
        <w:rPr>
          <w:rFonts w:ascii="Arial" w:hAnsi="Arial"/>
          <w:b/>
          <w:bCs/>
          <w:sz w:val="28"/>
          <w:szCs w:val="28"/>
        </w:rPr>
        <w:t>Wenig großvolumige Transaktionen zum Jahresende</w:t>
      </w:r>
    </w:p>
    <w:p w:rsidR="00187899" w:rsidRDefault="00187899">
      <w:pPr>
        <w:spacing w:after="0" w:line="360" w:lineRule="auto"/>
        <w:jc w:val="both"/>
        <w:rPr>
          <w:rFonts w:ascii="Arial" w:eastAsia="Arial" w:hAnsi="Arial" w:cs="Arial"/>
          <w:b/>
          <w:bCs/>
          <w:sz w:val="20"/>
          <w:szCs w:val="20"/>
        </w:rPr>
      </w:pPr>
    </w:p>
    <w:p w:rsidR="00187899" w:rsidRDefault="00E13A6B">
      <w:pPr>
        <w:spacing w:after="0" w:line="360" w:lineRule="auto"/>
        <w:rPr>
          <w:rFonts w:ascii="Arial" w:eastAsia="Arial" w:hAnsi="Arial" w:cs="Arial"/>
          <w:sz w:val="20"/>
          <w:szCs w:val="20"/>
        </w:rPr>
      </w:pPr>
      <w:r>
        <w:rPr>
          <w:rFonts w:ascii="Arial" w:hAnsi="Arial"/>
          <w:b/>
          <w:bCs/>
          <w:sz w:val="20"/>
          <w:szCs w:val="20"/>
        </w:rPr>
        <w:t xml:space="preserve">Hamburg, 02. Januar 2023 </w:t>
      </w:r>
      <w:r>
        <w:rPr>
          <w:rFonts w:ascii="Arial" w:hAnsi="Arial"/>
          <w:sz w:val="20"/>
          <w:szCs w:val="20"/>
        </w:rPr>
        <w:t xml:space="preserve">– Auf dem Investmentmarkt für gewerbliche Immobilien in Hamburg belief sich das Transaktionsvolumen (TAV) bis zum Ende des 4. Quartals auf rund 4,5 Mrd. €. Im Vergleich zum Vorjahreswert entspricht dies einer Steigerung von 41 %. Damit liegt das TAV insgesamt zwar über dem 10-Jahres-Mittel von rund 4,2 Mrd. €, aber einige Sondereffekte haben zu diesem scheinbaren Rekordwert geführt. 2022 prägten den Markt neben der großvolumigen Übernahme der </w:t>
      </w:r>
      <w:proofErr w:type="spellStart"/>
      <w:r>
        <w:rPr>
          <w:rFonts w:ascii="Arial" w:hAnsi="Arial"/>
          <w:sz w:val="20"/>
          <w:szCs w:val="20"/>
        </w:rPr>
        <w:t>alstria</w:t>
      </w:r>
      <w:proofErr w:type="spellEnd"/>
      <w:r>
        <w:rPr>
          <w:rFonts w:ascii="Arial" w:hAnsi="Arial"/>
          <w:sz w:val="20"/>
          <w:szCs w:val="20"/>
        </w:rPr>
        <w:t xml:space="preserve"> </w:t>
      </w:r>
      <w:proofErr w:type="spellStart"/>
      <w:r>
        <w:rPr>
          <w:rFonts w:ascii="Arial" w:hAnsi="Arial"/>
          <w:sz w:val="20"/>
          <w:szCs w:val="20"/>
        </w:rPr>
        <w:t>office</w:t>
      </w:r>
      <w:proofErr w:type="spellEnd"/>
      <w:r>
        <w:rPr>
          <w:rFonts w:ascii="Arial" w:hAnsi="Arial"/>
          <w:sz w:val="20"/>
          <w:szCs w:val="20"/>
        </w:rPr>
        <w:t xml:space="preserve"> REIT AG durch </w:t>
      </w:r>
      <w:proofErr w:type="spellStart"/>
      <w:r>
        <w:rPr>
          <w:rFonts w:ascii="Arial" w:hAnsi="Arial"/>
          <w:sz w:val="20"/>
          <w:szCs w:val="20"/>
        </w:rPr>
        <w:t>Brookfield</w:t>
      </w:r>
      <w:proofErr w:type="spellEnd"/>
      <w:r>
        <w:rPr>
          <w:rFonts w:ascii="Arial" w:hAnsi="Arial"/>
          <w:sz w:val="20"/>
          <w:szCs w:val="20"/>
        </w:rPr>
        <w:t xml:space="preserve"> Properties (1. Quartal) weitere Übernahmen und Anteilsverkäufe statt klassischer Asset-Deals. Um die Sondereffekte bereinigt, lag das Transaktionsvolumen nur bei etwa 2,5 Mrd. € und damit rund 22 % unter dem Vorjahreswert und </w:t>
      </w:r>
      <w:r w:rsidR="00D95EAD">
        <w:rPr>
          <w:rFonts w:ascii="Arial" w:hAnsi="Arial"/>
          <w:sz w:val="20"/>
          <w:szCs w:val="20"/>
        </w:rPr>
        <w:t>knapp 41</w:t>
      </w:r>
      <w:r>
        <w:rPr>
          <w:rFonts w:ascii="Arial" w:hAnsi="Arial"/>
          <w:sz w:val="20"/>
          <w:szCs w:val="20"/>
        </w:rPr>
        <w:t xml:space="preserve"> % unter dem </w:t>
      </w:r>
      <w:r w:rsidR="008530C7">
        <w:rPr>
          <w:rFonts w:ascii="Arial" w:hAnsi="Arial"/>
          <w:sz w:val="20"/>
          <w:szCs w:val="20"/>
        </w:rPr>
        <w:t>Zehn</w:t>
      </w:r>
      <w:bookmarkStart w:id="0" w:name="_GoBack"/>
      <w:bookmarkEnd w:id="0"/>
      <w:r w:rsidR="006215C8">
        <w:rPr>
          <w:rFonts w:ascii="Arial" w:hAnsi="Arial"/>
          <w:sz w:val="20"/>
          <w:szCs w:val="20"/>
        </w:rPr>
        <w:t>-Jahres-Mittel</w:t>
      </w:r>
      <w:r>
        <w:rPr>
          <w:rFonts w:ascii="Arial" w:hAnsi="Arial"/>
          <w:sz w:val="20"/>
          <w:szCs w:val="20"/>
        </w:rPr>
        <w:t>.</w:t>
      </w:r>
    </w:p>
    <w:p w:rsidR="00187899" w:rsidRDefault="00187899">
      <w:pPr>
        <w:spacing w:after="0" w:line="360" w:lineRule="auto"/>
        <w:rPr>
          <w:rFonts w:ascii="Arial" w:eastAsia="Arial" w:hAnsi="Arial" w:cs="Arial"/>
          <w:sz w:val="20"/>
          <w:szCs w:val="20"/>
        </w:rPr>
      </w:pPr>
    </w:p>
    <w:p w:rsidR="00187899" w:rsidRDefault="00E13A6B">
      <w:pPr>
        <w:spacing w:after="0" w:line="360" w:lineRule="auto"/>
        <w:rPr>
          <w:rFonts w:ascii="Arial" w:eastAsia="Arial" w:hAnsi="Arial" w:cs="Arial"/>
          <w:sz w:val="20"/>
          <w:szCs w:val="20"/>
        </w:rPr>
      </w:pPr>
      <w:r>
        <w:rPr>
          <w:rFonts w:ascii="Arial" w:hAnsi="Arial"/>
          <w:sz w:val="20"/>
          <w:szCs w:val="20"/>
        </w:rPr>
        <w:t>Trotz des unsicheren Marktumfelds konnten im 2. Halbjahr mehr Transaktionen erfasst werden als in der ersten Jahreshälfte. Allerdings lagen diese vor allem im 4. Quartal im Größensegment unter 50 Mio. €. Großvolumige Einzeltransaktionen waren rar. Insgesamt wurden im Gesamtjahr 23 % weniger Transaktionen erfasst als im Vorjahr. Hervorzuheben ist auch die Dominanz von Transaktionen im Innenstadtbereich im letzten Quartal.</w:t>
      </w:r>
      <w:r w:rsidR="00C63B4E">
        <w:rPr>
          <w:rFonts w:ascii="Arial" w:hAnsi="Arial"/>
          <w:sz w:val="20"/>
          <w:szCs w:val="20"/>
        </w:rPr>
        <w:t xml:space="preserve"> </w:t>
      </w:r>
      <w:r w:rsidR="00951C70">
        <w:rPr>
          <w:rFonts w:ascii="Arial" w:hAnsi="Arial"/>
          <w:sz w:val="20"/>
          <w:szCs w:val="20"/>
        </w:rPr>
        <w:t>Nahezu</w:t>
      </w:r>
      <w:r w:rsidR="00C63B4E">
        <w:rPr>
          <w:rFonts w:ascii="Arial" w:hAnsi="Arial"/>
          <w:sz w:val="20"/>
          <w:szCs w:val="20"/>
        </w:rPr>
        <w:t xml:space="preserve"> 40 % der Transaktionen im 4. Quartal </w:t>
      </w:r>
      <w:r w:rsidR="00C63B4E" w:rsidRPr="00B04626">
        <w:rPr>
          <w:rFonts w:ascii="Arial" w:hAnsi="Arial"/>
          <w:sz w:val="20"/>
          <w:szCs w:val="20"/>
        </w:rPr>
        <w:t>w</w:t>
      </w:r>
      <w:r w:rsidR="00B04626">
        <w:rPr>
          <w:rFonts w:ascii="Arial" w:hAnsi="Arial"/>
          <w:sz w:val="20"/>
          <w:szCs w:val="20"/>
        </w:rPr>
        <w:t>aren</w:t>
      </w:r>
      <w:r w:rsidR="00C63B4E">
        <w:rPr>
          <w:rFonts w:ascii="Arial" w:hAnsi="Arial"/>
          <w:sz w:val="20"/>
          <w:szCs w:val="20"/>
        </w:rPr>
        <w:t xml:space="preserve"> in der Innenstadt zu verzeichnen.</w:t>
      </w:r>
      <w:r>
        <w:rPr>
          <w:rFonts w:ascii="Arial" w:hAnsi="Arial"/>
          <w:sz w:val="20"/>
          <w:szCs w:val="20"/>
        </w:rPr>
        <w:t xml:space="preserve"> „</w:t>
      </w:r>
      <w:r>
        <w:rPr>
          <w:rFonts w:ascii="Arial" w:hAnsi="Arial"/>
          <w:i/>
          <w:iCs/>
          <w:sz w:val="20"/>
          <w:szCs w:val="20"/>
        </w:rPr>
        <w:t>Vor allem eigenkapitalstarke Investoren konnten sich in der 2. Jahreshälfte aufgrund der gestiegenen Zinsen als Käufer etablieren und investierten in zentralen Lagen in Core-Immobilien mit hoher Wertstabilität</w:t>
      </w:r>
      <w:r>
        <w:rPr>
          <w:rFonts w:ascii="Arial" w:hAnsi="Arial"/>
          <w:sz w:val="20"/>
          <w:szCs w:val="20"/>
        </w:rPr>
        <w:t xml:space="preserve">“, erklärt </w:t>
      </w:r>
      <w:r>
        <w:rPr>
          <w:rFonts w:ascii="Arial" w:hAnsi="Arial"/>
          <w:b/>
          <w:bCs/>
          <w:sz w:val="20"/>
          <w:szCs w:val="20"/>
        </w:rPr>
        <w:t>Sandra Ludwig</w:t>
      </w:r>
      <w:r>
        <w:rPr>
          <w:rFonts w:ascii="Arial" w:hAnsi="Arial"/>
          <w:sz w:val="20"/>
          <w:szCs w:val="20"/>
        </w:rPr>
        <w:t>, Geschäftsführerin von Grossmann &amp; Berger, Mitglied von German Property Partners (GPP).</w:t>
      </w:r>
    </w:p>
    <w:p w:rsidR="00187899" w:rsidRDefault="00187899">
      <w:pPr>
        <w:spacing w:after="0" w:line="360" w:lineRule="auto"/>
        <w:rPr>
          <w:rFonts w:ascii="Arial" w:eastAsia="Arial" w:hAnsi="Arial" w:cs="Arial"/>
          <w:sz w:val="20"/>
          <w:szCs w:val="20"/>
        </w:rPr>
      </w:pPr>
    </w:p>
    <w:p w:rsidR="00187899" w:rsidRDefault="006215C8">
      <w:pPr>
        <w:spacing w:after="0" w:line="360" w:lineRule="auto"/>
        <w:rPr>
          <w:rFonts w:ascii="Arial" w:eastAsia="Arial" w:hAnsi="Arial" w:cs="Arial"/>
          <w:sz w:val="20"/>
          <w:szCs w:val="20"/>
        </w:rPr>
      </w:pPr>
      <w:r w:rsidRPr="006215C8">
        <w:rPr>
          <w:rFonts w:ascii="Arial" w:hAnsi="Arial"/>
          <w:sz w:val="20"/>
          <w:szCs w:val="20"/>
        </w:rPr>
        <w:t>Die Entwicklung des Leitzinses und die politische Lage in Osteuropa bleiben weiterhin Risiko- und Unsicherheitsfaktoren für Investoren und führen nach wie vor zu einer Zurückhaltung von institutionellen Investoren</w:t>
      </w:r>
      <w:r>
        <w:rPr>
          <w:rFonts w:ascii="Arial" w:hAnsi="Arial"/>
          <w:sz w:val="20"/>
          <w:szCs w:val="20"/>
        </w:rPr>
        <w:t xml:space="preserve">. </w:t>
      </w:r>
      <w:r w:rsidR="00E13A6B">
        <w:rPr>
          <w:rFonts w:ascii="Arial" w:hAnsi="Arial"/>
          <w:sz w:val="20"/>
          <w:szCs w:val="20"/>
        </w:rPr>
        <w:t>Für 2023 erwartet</w:t>
      </w:r>
      <w:r w:rsidR="00E13A6B">
        <w:rPr>
          <w:rFonts w:ascii="Arial" w:hAnsi="Arial"/>
          <w:b/>
          <w:bCs/>
          <w:sz w:val="20"/>
          <w:szCs w:val="20"/>
        </w:rPr>
        <w:t xml:space="preserve"> Ludwig</w:t>
      </w:r>
      <w:r w:rsidR="00E13A6B">
        <w:rPr>
          <w:rFonts w:ascii="Arial" w:hAnsi="Arial"/>
          <w:sz w:val="20"/>
          <w:szCs w:val="20"/>
        </w:rPr>
        <w:t xml:space="preserve"> einen zunächst verhaltenen Start am Transaktionsmarkt: „</w:t>
      </w:r>
      <w:r w:rsidR="00E13A6B">
        <w:rPr>
          <w:rFonts w:ascii="Arial" w:hAnsi="Arial"/>
          <w:i/>
          <w:iCs/>
          <w:sz w:val="20"/>
          <w:szCs w:val="20"/>
        </w:rPr>
        <w:t>Wir rechnen in der 2. Jahreshälfte mit einer steigenden Dynamik am Markt, da sich bis dahin die neue Preisbildung durch das gestiegene Zinsniveau durchgesetzt haben sollte und Investoren wieder verlässlicher kalkulieren können.</w:t>
      </w:r>
      <w:r w:rsidR="00E13A6B">
        <w:rPr>
          <w:rFonts w:ascii="Arial" w:hAnsi="Arial"/>
          <w:sz w:val="20"/>
          <w:szCs w:val="20"/>
        </w:rPr>
        <w:t>“</w:t>
      </w:r>
    </w:p>
    <w:p w:rsidR="00187899" w:rsidRDefault="00E13A6B">
      <w:pPr>
        <w:spacing w:after="0" w:line="360" w:lineRule="auto"/>
        <w:rPr>
          <w:rFonts w:ascii="Arial" w:eastAsia="Arial" w:hAnsi="Arial" w:cs="Arial"/>
          <w:sz w:val="20"/>
          <w:szCs w:val="20"/>
        </w:rPr>
      </w:pPr>
      <w:r>
        <w:rPr>
          <w:rFonts w:ascii="Arial" w:hAnsi="Arial"/>
          <w:sz w:val="20"/>
          <w:szCs w:val="20"/>
        </w:rPr>
        <w:t xml:space="preserve">     </w:t>
      </w:r>
    </w:p>
    <w:p w:rsidR="00187899" w:rsidRDefault="00E13A6B">
      <w:pPr>
        <w:spacing w:after="0" w:line="360" w:lineRule="auto"/>
        <w:rPr>
          <w:rFonts w:ascii="Arial" w:eastAsia="Arial" w:hAnsi="Arial" w:cs="Arial"/>
          <w:b/>
          <w:bCs/>
          <w:sz w:val="20"/>
          <w:szCs w:val="20"/>
        </w:rPr>
      </w:pPr>
      <w:r>
        <w:rPr>
          <w:rFonts w:ascii="Arial" w:hAnsi="Arial"/>
          <w:b/>
          <w:bCs/>
          <w:sz w:val="20"/>
          <w:szCs w:val="20"/>
        </w:rPr>
        <w:t xml:space="preserve">Markt im Detail: </w:t>
      </w:r>
    </w:p>
    <w:p w:rsidR="00187899" w:rsidRDefault="00E13A6B">
      <w:pPr>
        <w:pStyle w:val="Listenabsatz"/>
        <w:numPr>
          <w:ilvl w:val="0"/>
          <w:numId w:val="2"/>
        </w:numPr>
        <w:spacing w:line="360" w:lineRule="auto"/>
        <w:rPr>
          <w:rFonts w:ascii="Arial" w:hAnsi="Arial"/>
          <w:sz w:val="20"/>
          <w:szCs w:val="20"/>
        </w:rPr>
      </w:pPr>
      <w:r>
        <w:rPr>
          <w:rFonts w:ascii="Arial" w:hAnsi="Arial"/>
          <w:sz w:val="20"/>
          <w:szCs w:val="20"/>
        </w:rPr>
        <w:t xml:space="preserve">Mit einem Anteil von rund 78 % waren Büroimmobilien die am stärksten gehandelte </w:t>
      </w:r>
      <w:proofErr w:type="spellStart"/>
      <w:r>
        <w:rPr>
          <w:rFonts w:ascii="Arial" w:hAnsi="Arial"/>
          <w:sz w:val="20"/>
          <w:szCs w:val="20"/>
          <w:u w:val="single"/>
        </w:rPr>
        <w:t>Assetklasse</w:t>
      </w:r>
      <w:proofErr w:type="spellEnd"/>
      <w:r>
        <w:rPr>
          <w:rFonts w:ascii="Arial" w:hAnsi="Arial"/>
          <w:sz w:val="20"/>
          <w:szCs w:val="20"/>
        </w:rPr>
        <w:t xml:space="preserve">. Der überdurchschnittlich hohe Anteil lässt sich auf den </w:t>
      </w:r>
      <w:proofErr w:type="spellStart"/>
      <w:r>
        <w:rPr>
          <w:rFonts w:ascii="Arial" w:hAnsi="Arial"/>
          <w:sz w:val="20"/>
          <w:szCs w:val="20"/>
        </w:rPr>
        <w:t>alstria</w:t>
      </w:r>
      <w:proofErr w:type="spellEnd"/>
      <w:r>
        <w:rPr>
          <w:rFonts w:ascii="Arial" w:hAnsi="Arial"/>
          <w:sz w:val="20"/>
          <w:szCs w:val="20"/>
        </w:rPr>
        <w:t>-</w:t>
      </w:r>
      <w:proofErr w:type="spellStart"/>
      <w:r>
        <w:rPr>
          <w:rFonts w:ascii="Arial" w:hAnsi="Arial"/>
          <w:sz w:val="20"/>
          <w:szCs w:val="20"/>
        </w:rPr>
        <w:t>Brookfield</w:t>
      </w:r>
      <w:proofErr w:type="spellEnd"/>
      <w:r>
        <w:rPr>
          <w:rFonts w:ascii="Arial" w:hAnsi="Arial"/>
          <w:sz w:val="20"/>
          <w:szCs w:val="20"/>
        </w:rPr>
        <w:t xml:space="preserve">-Sondereffekt zurückführen. Auf Platz zwei und drei folgten Einzelhandelsimmobilien (10 %) und Industrie- und Logistikimmobilien (6 %). </w:t>
      </w:r>
    </w:p>
    <w:p w:rsidR="00187899" w:rsidRDefault="00E13A6B">
      <w:pPr>
        <w:pStyle w:val="Listenabsatz"/>
        <w:numPr>
          <w:ilvl w:val="0"/>
          <w:numId w:val="2"/>
        </w:numPr>
        <w:spacing w:line="360" w:lineRule="auto"/>
        <w:rPr>
          <w:rFonts w:ascii="Arial" w:hAnsi="Arial"/>
          <w:sz w:val="20"/>
          <w:szCs w:val="20"/>
        </w:rPr>
      </w:pPr>
      <w:r>
        <w:rPr>
          <w:rFonts w:ascii="Arial" w:hAnsi="Arial"/>
          <w:sz w:val="20"/>
          <w:szCs w:val="20"/>
          <w:u w:val="single"/>
        </w:rPr>
        <w:t>Portfolioverkäufe</w:t>
      </w:r>
      <w:r>
        <w:rPr>
          <w:rFonts w:ascii="Arial" w:hAnsi="Arial"/>
          <w:sz w:val="20"/>
          <w:szCs w:val="20"/>
        </w:rPr>
        <w:t xml:space="preserve"> generierten aufgrund der </w:t>
      </w:r>
      <w:proofErr w:type="spellStart"/>
      <w:r>
        <w:rPr>
          <w:rFonts w:ascii="Arial" w:hAnsi="Arial"/>
          <w:sz w:val="20"/>
          <w:szCs w:val="20"/>
        </w:rPr>
        <w:t>alstria</w:t>
      </w:r>
      <w:proofErr w:type="spellEnd"/>
      <w:r>
        <w:rPr>
          <w:rFonts w:ascii="Arial" w:hAnsi="Arial"/>
          <w:sz w:val="20"/>
          <w:szCs w:val="20"/>
        </w:rPr>
        <w:t>-Übernahme rund 37 % des TAV.</w:t>
      </w:r>
    </w:p>
    <w:p w:rsidR="00187899" w:rsidRDefault="00E13A6B">
      <w:pPr>
        <w:pStyle w:val="Listenabsatz"/>
        <w:numPr>
          <w:ilvl w:val="0"/>
          <w:numId w:val="2"/>
        </w:numPr>
        <w:spacing w:line="360" w:lineRule="auto"/>
        <w:rPr>
          <w:rFonts w:ascii="Arial" w:hAnsi="Arial"/>
          <w:sz w:val="20"/>
          <w:szCs w:val="20"/>
        </w:rPr>
      </w:pPr>
      <w:r>
        <w:rPr>
          <w:rFonts w:ascii="Arial" w:hAnsi="Arial"/>
          <w:sz w:val="20"/>
          <w:szCs w:val="20"/>
        </w:rPr>
        <w:t xml:space="preserve">Fondsmanager waren mit einem Anteil von ca. 37 % die aktivste </w:t>
      </w:r>
      <w:r>
        <w:rPr>
          <w:rFonts w:ascii="Arial" w:hAnsi="Arial"/>
          <w:sz w:val="20"/>
          <w:szCs w:val="20"/>
          <w:u w:val="single"/>
        </w:rPr>
        <w:t>Käufergruppe.</w:t>
      </w:r>
      <w:r>
        <w:rPr>
          <w:rFonts w:ascii="Arial" w:hAnsi="Arial"/>
          <w:sz w:val="20"/>
          <w:szCs w:val="20"/>
        </w:rPr>
        <w:t xml:space="preserve"> Darauf folgten Spezialfonds mit rund 16 % und Offene Immobilienpublikumsfonds mit rund 14 %.</w:t>
      </w:r>
    </w:p>
    <w:p w:rsidR="00187899" w:rsidRDefault="00E13A6B">
      <w:pPr>
        <w:pStyle w:val="Listenabsatz"/>
        <w:numPr>
          <w:ilvl w:val="0"/>
          <w:numId w:val="2"/>
        </w:numPr>
        <w:spacing w:line="360" w:lineRule="auto"/>
        <w:rPr>
          <w:rFonts w:ascii="Arial" w:hAnsi="Arial"/>
          <w:sz w:val="20"/>
          <w:szCs w:val="20"/>
        </w:rPr>
      </w:pPr>
      <w:r>
        <w:rPr>
          <w:rFonts w:ascii="Arial" w:hAnsi="Arial"/>
          <w:sz w:val="20"/>
          <w:szCs w:val="20"/>
        </w:rPr>
        <w:lastRenderedPageBreak/>
        <w:t xml:space="preserve">Als stärkste </w:t>
      </w:r>
      <w:r>
        <w:rPr>
          <w:rFonts w:ascii="Arial" w:hAnsi="Arial"/>
          <w:sz w:val="20"/>
          <w:szCs w:val="20"/>
          <w:u w:val="single"/>
        </w:rPr>
        <w:t>Verkäufergruppe</w:t>
      </w:r>
      <w:r>
        <w:rPr>
          <w:rFonts w:ascii="Arial" w:hAnsi="Arial"/>
          <w:sz w:val="20"/>
          <w:szCs w:val="20"/>
        </w:rPr>
        <w:t xml:space="preserve"> setzten sich aufgrund der </w:t>
      </w:r>
      <w:proofErr w:type="spellStart"/>
      <w:r>
        <w:rPr>
          <w:rFonts w:ascii="Arial" w:hAnsi="Arial"/>
          <w:sz w:val="20"/>
          <w:szCs w:val="20"/>
        </w:rPr>
        <w:t>alstria</w:t>
      </w:r>
      <w:proofErr w:type="spellEnd"/>
      <w:r>
        <w:rPr>
          <w:rFonts w:ascii="Arial" w:hAnsi="Arial"/>
          <w:sz w:val="20"/>
          <w:szCs w:val="20"/>
        </w:rPr>
        <w:t>-Übernahme Börsennotierte Immobilieninvestment-AG</w:t>
      </w:r>
      <w:r w:rsidR="00D15ACC">
        <w:rPr>
          <w:rFonts w:ascii="Arial" w:hAnsi="Arial"/>
          <w:sz w:val="20"/>
          <w:szCs w:val="20"/>
        </w:rPr>
        <w:t>s</w:t>
      </w:r>
      <w:r>
        <w:rPr>
          <w:rFonts w:ascii="Arial" w:hAnsi="Arial"/>
          <w:sz w:val="20"/>
          <w:szCs w:val="20"/>
        </w:rPr>
        <w:t>/REIT</w:t>
      </w:r>
      <w:r w:rsidR="00D15ACC">
        <w:rPr>
          <w:rFonts w:ascii="Arial" w:hAnsi="Arial"/>
          <w:sz w:val="20"/>
          <w:szCs w:val="20"/>
        </w:rPr>
        <w:t>s</w:t>
      </w:r>
      <w:r>
        <w:rPr>
          <w:rFonts w:ascii="Arial" w:hAnsi="Arial"/>
          <w:sz w:val="20"/>
          <w:szCs w:val="20"/>
        </w:rPr>
        <w:t xml:space="preserve"> mit rund 38 % durch. Auf Rang zwei folgten Projektentwickler (21 %), auf Rang drei Offene Immobilienpublikumsfonds (17 %).</w:t>
      </w:r>
    </w:p>
    <w:p w:rsidR="00187899" w:rsidRDefault="00E13A6B" w:rsidP="00583417">
      <w:pPr>
        <w:pStyle w:val="Listenabsatz"/>
        <w:numPr>
          <w:ilvl w:val="0"/>
          <w:numId w:val="2"/>
        </w:numPr>
        <w:spacing w:line="360" w:lineRule="auto"/>
        <w:rPr>
          <w:rFonts w:ascii="Arial" w:hAnsi="Arial"/>
          <w:sz w:val="20"/>
          <w:szCs w:val="20"/>
        </w:rPr>
      </w:pPr>
      <w:r>
        <w:rPr>
          <w:rFonts w:ascii="Arial" w:hAnsi="Arial"/>
          <w:sz w:val="20"/>
          <w:szCs w:val="20"/>
        </w:rPr>
        <w:t xml:space="preserve">Der Anteil an </w:t>
      </w:r>
      <w:r>
        <w:rPr>
          <w:rFonts w:ascii="Arial" w:hAnsi="Arial"/>
          <w:sz w:val="20"/>
          <w:szCs w:val="20"/>
          <w:u w:val="single"/>
        </w:rPr>
        <w:t>internationalen Investoren</w:t>
      </w:r>
      <w:r>
        <w:rPr>
          <w:rFonts w:ascii="Arial" w:hAnsi="Arial"/>
          <w:sz w:val="20"/>
          <w:szCs w:val="20"/>
        </w:rPr>
        <w:t xml:space="preserve"> belief sich auf rund 50 %. </w:t>
      </w:r>
      <w:r w:rsidR="00583417" w:rsidRPr="00583417">
        <w:rPr>
          <w:rFonts w:ascii="Arial" w:hAnsi="Arial"/>
          <w:sz w:val="20"/>
          <w:szCs w:val="20"/>
        </w:rPr>
        <w:t xml:space="preserve">Um </w:t>
      </w:r>
      <w:r w:rsidR="00583417">
        <w:rPr>
          <w:rFonts w:ascii="Arial" w:hAnsi="Arial"/>
          <w:sz w:val="20"/>
          <w:szCs w:val="20"/>
        </w:rPr>
        <w:t xml:space="preserve">den </w:t>
      </w:r>
      <w:proofErr w:type="spellStart"/>
      <w:r w:rsidR="00583417" w:rsidRPr="00583417">
        <w:rPr>
          <w:rFonts w:ascii="Arial" w:hAnsi="Arial"/>
          <w:sz w:val="20"/>
          <w:szCs w:val="20"/>
        </w:rPr>
        <w:t>alstria</w:t>
      </w:r>
      <w:proofErr w:type="spellEnd"/>
      <w:r w:rsidR="00583417" w:rsidRPr="00583417">
        <w:rPr>
          <w:rFonts w:ascii="Arial" w:hAnsi="Arial"/>
          <w:sz w:val="20"/>
          <w:szCs w:val="20"/>
        </w:rPr>
        <w:t>-</w:t>
      </w:r>
      <w:proofErr w:type="spellStart"/>
      <w:r w:rsidR="00583417" w:rsidRPr="00583417">
        <w:rPr>
          <w:rFonts w:ascii="Arial" w:hAnsi="Arial"/>
          <w:sz w:val="20"/>
          <w:szCs w:val="20"/>
        </w:rPr>
        <w:t>Brookfield</w:t>
      </w:r>
      <w:proofErr w:type="spellEnd"/>
      <w:r w:rsidR="00583417" w:rsidRPr="00583417">
        <w:rPr>
          <w:rFonts w:ascii="Arial" w:hAnsi="Arial"/>
          <w:sz w:val="20"/>
          <w:szCs w:val="20"/>
        </w:rPr>
        <w:t>-Sondereffekt bereinigt</w:t>
      </w:r>
      <w:r w:rsidR="00583417">
        <w:rPr>
          <w:rFonts w:ascii="Arial" w:hAnsi="Arial"/>
          <w:sz w:val="20"/>
          <w:szCs w:val="20"/>
        </w:rPr>
        <w:t xml:space="preserve"> lag der Anteil </w:t>
      </w:r>
      <w:r w:rsidR="00163D76">
        <w:rPr>
          <w:rFonts w:ascii="Arial" w:hAnsi="Arial"/>
          <w:sz w:val="20"/>
          <w:szCs w:val="20"/>
        </w:rPr>
        <w:t>lediglich</w:t>
      </w:r>
      <w:r w:rsidR="00583417">
        <w:rPr>
          <w:rFonts w:ascii="Arial" w:hAnsi="Arial"/>
          <w:sz w:val="20"/>
          <w:szCs w:val="20"/>
        </w:rPr>
        <w:t xml:space="preserve"> </w:t>
      </w:r>
      <w:r>
        <w:rPr>
          <w:rFonts w:ascii="Arial" w:hAnsi="Arial"/>
          <w:sz w:val="20"/>
          <w:szCs w:val="20"/>
        </w:rPr>
        <w:t xml:space="preserve">bei </w:t>
      </w:r>
      <w:r w:rsidR="00583417" w:rsidRPr="007501FF">
        <w:rPr>
          <w:rFonts w:ascii="Arial" w:hAnsi="Arial"/>
          <w:sz w:val="20"/>
          <w:szCs w:val="20"/>
        </w:rPr>
        <w:t xml:space="preserve">rund </w:t>
      </w:r>
      <w:r w:rsidR="007501FF" w:rsidRPr="00B4050D">
        <w:rPr>
          <w:rFonts w:ascii="Arial" w:hAnsi="Arial"/>
          <w:sz w:val="20"/>
          <w:szCs w:val="20"/>
        </w:rPr>
        <w:t>25</w:t>
      </w:r>
      <w:r w:rsidR="00583417" w:rsidRPr="007501FF">
        <w:rPr>
          <w:rFonts w:ascii="Arial" w:hAnsi="Arial"/>
          <w:sz w:val="20"/>
          <w:szCs w:val="20"/>
        </w:rPr>
        <w:t xml:space="preserve"> %</w:t>
      </w:r>
      <w:r w:rsidR="00583417" w:rsidRPr="00727EAF">
        <w:rPr>
          <w:rFonts w:ascii="Arial" w:hAnsi="Arial"/>
          <w:sz w:val="20"/>
          <w:szCs w:val="20"/>
        </w:rPr>
        <w:t>.</w:t>
      </w:r>
      <w:r w:rsidR="00583417" w:rsidRPr="00583417" w:rsidDel="00583417">
        <w:rPr>
          <w:rFonts w:ascii="Arial" w:hAnsi="Arial"/>
          <w:sz w:val="20"/>
          <w:szCs w:val="20"/>
        </w:rPr>
        <w:t xml:space="preserve"> </w:t>
      </w:r>
    </w:p>
    <w:p w:rsidR="00D00D59" w:rsidRPr="00163D76" w:rsidRDefault="00E13A6B" w:rsidP="00163D76">
      <w:pPr>
        <w:pStyle w:val="Listenabsatz"/>
        <w:numPr>
          <w:ilvl w:val="0"/>
          <w:numId w:val="2"/>
        </w:numPr>
        <w:spacing w:line="360" w:lineRule="auto"/>
        <w:rPr>
          <w:rFonts w:ascii="Arial" w:hAnsi="Arial"/>
          <w:sz w:val="20"/>
          <w:szCs w:val="20"/>
        </w:rPr>
      </w:pPr>
      <w:r>
        <w:rPr>
          <w:rFonts w:ascii="Arial" w:hAnsi="Arial"/>
          <w:sz w:val="20"/>
          <w:szCs w:val="20"/>
        </w:rPr>
        <w:t xml:space="preserve">Die </w:t>
      </w:r>
      <w:r>
        <w:rPr>
          <w:rFonts w:ascii="Arial" w:hAnsi="Arial"/>
          <w:sz w:val="20"/>
          <w:szCs w:val="20"/>
          <w:u w:val="single"/>
        </w:rPr>
        <w:t>Spitzenrenditen</w:t>
      </w:r>
      <w:r>
        <w:rPr>
          <w:rFonts w:ascii="Arial" w:hAnsi="Arial"/>
          <w:sz w:val="20"/>
          <w:szCs w:val="20"/>
        </w:rPr>
        <w:t xml:space="preserve"> stiegen aufgrund des hohen Zinsniveaus in allen </w:t>
      </w:r>
      <w:proofErr w:type="spellStart"/>
      <w:r>
        <w:rPr>
          <w:rFonts w:ascii="Arial" w:hAnsi="Arial"/>
          <w:sz w:val="20"/>
          <w:szCs w:val="20"/>
        </w:rPr>
        <w:t>Assetklassen</w:t>
      </w:r>
      <w:proofErr w:type="spellEnd"/>
      <w:r>
        <w:rPr>
          <w:rFonts w:ascii="Arial" w:hAnsi="Arial"/>
          <w:sz w:val="20"/>
          <w:szCs w:val="20"/>
        </w:rPr>
        <w:t xml:space="preserve"> an. Für Büroimmobilien (3,10 %) und Geschäftshäuser (3,20 %) wurde ein Anstieg von 0,5 %-Punkten im Vorjahresvergleich erfasst. Die Spitzenrendite für Industrie- und Logistikobjekte stieg um 0,3 %-Punkte auf 3,80 %.</w:t>
      </w:r>
    </w:p>
    <w:tbl>
      <w:tblPr>
        <w:tblStyle w:val="TableNormal"/>
        <w:tblpPr w:leftFromText="141" w:rightFromText="141" w:vertAnchor="text" w:tblpY="284"/>
        <w:tblW w:w="49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4"/>
        <w:gridCol w:w="993"/>
      </w:tblGrid>
      <w:tr w:rsidR="00727EAF" w:rsidTr="00727EAF">
        <w:trPr>
          <w:trHeight w:val="257"/>
        </w:trPr>
        <w:tc>
          <w:tcPr>
            <w:tcW w:w="396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727EAF" w:rsidRDefault="00727EAF" w:rsidP="00727EAF">
            <w:pPr>
              <w:widowControl w:val="0"/>
              <w:spacing w:before="60" w:after="60"/>
              <w:jc w:val="both"/>
            </w:pPr>
            <w:r>
              <w:rPr>
                <w:rFonts w:ascii="Arial" w:hAnsi="Arial"/>
                <w:b/>
                <w:bCs/>
                <w:color w:val="FFFFFF"/>
                <w:sz w:val="20"/>
                <w:szCs w:val="20"/>
                <w:u w:color="FFFFFF"/>
              </w:rPr>
              <w:t>Investmentmarkt | Hamburg</w:t>
            </w:r>
            <w:r>
              <w:rPr>
                <w:rFonts w:ascii="Calibri" w:hAnsi="Calibri"/>
                <w:color w:val="FFFFFF"/>
                <w:u w:color="FFFFFF"/>
              </w:rPr>
              <w:t xml:space="preserve"> </w:t>
            </w:r>
            <w:r>
              <w:rPr>
                <w:rFonts w:ascii="Arial" w:hAnsi="Arial"/>
                <w:b/>
                <w:bCs/>
                <w:color w:val="FFFFFF"/>
                <w:sz w:val="20"/>
                <w:szCs w:val="20"/>
                <w:u w:color="FFFFFF"/>
              </w:rPr>
              <w:t>| 2022</w:t>
            </w:r>
          </w:p>
        </w:tc>
        <w:tc>
          <w:tcPr>
            <w:tcW w:w="99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727EAF" w:rsidRDefault="00727EAF" w:rsidP="00727EAF">
            <w:pPr>
              <w:widowControl w:val="0"/>
              <w:spacing w:before="60" w:after="60"/>
              <w:jc w:val="center"/>
            </w:pPr>
            <w:r>
              <w:rPr>
                <w:rFonts w:ascii="Arial" w:hAnsi="Arial"/>
                <w:b/>
                <w:bCs/>
                <w:color w:val="FFFFFF"/>
                <w:sz w:val="18"/>
                <w:szCs w:val="18"/>
                <w:u w:color="FFFFFF"/>
              </w:rPr>
              <w:t>Q1-4</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 xml:space="preserve">Transaktionsvolumen </w:t>
            </w:r>
            <w:r>
              <w:rPr>
                <w:rFonts w:ascii="Arial" w:hAnsi="Arial"/>
                <w:sz w:val="18"/>
                <w:szCs w:val="18"/>
              </w:rPr>
              <w:t>[Mio.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4.500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proofErr w:type="spellStart"/>
            <w:r>
              <w:rPr>
                <w:rFonts w:ascii="Arial" w:hAnsi="Arial"/>
                <w:sz w:val="18"/>
                <w:szCs w:val="18"/>
              </w:rPr>
              <w:t>ggü</w:t>
            </w:r>
            <w:proofErr w:type="spellEnd"/>
            <w:r>
              <w:rPr>
                <w:rFonts w:ascii="Arial" w:hAnsi="Arial"/>
                <w:sz w:val="18"/>
                <w:szCs w:val="18"/>
              </w:rPr>
              <w:t>. Vorjahr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+41</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 xml:space="preserve">Anteil internationaler Investoren </w:t>
            </w:r>
            <w:r>
              <w:rPr>
                <w:rFonts w:ascii="Arial" w:hAnsi="Arial"/>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50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 xml:space="preserve">Netto-Spitzenrendite Büro </w:t>
            </w:r>
            <w:r>
              <w:rPr>
                <w:rFonts w:ascii="Arial" w:hAnsi="Arial"/>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3,10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proofErr w:type="spellStart"/>
            <w:r>
              <w:rPr>
                <w:rFonts w:ascii="Arial" w:hAnsi="Arial"/>
                <w:sz w:val="18"/>
                <w:szCs w:val="18"/>
              </w:rPr>
              <w:t>ggü</w:t>
            </w:r>
            <w:proofErr w:type="spellEnd"/>
            <w:r>
              <w:rPr>
                <w:rFonts w:ascii="Arial" w:hAnsi="Arial"/>
                <w:sz w:val="18"/>
                <w:szCs w:val="18"/>
              </w:rPr>
              <w:t>. Vorjahr [%-Pkt.]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+0,50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 xml:space="preserve">Netto-Spitzenrendite Geschäftshäuser </w:t>
            </w:r>
            <w:r>
              <w:rPr>
                <w:rFonts w:ascii="Arial" w:hAnsi="Arial"/>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3,20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proofErr w:type="spellStart"/>
            <w:r>
              <w:rPr>
                <w:rFonts w:ascii="Arial" w:hAnsi="Arial"/>
                <w:sz w:val="18"/>
                <w:szCs w:val="18"/>
              </w:rPr>
              <w:t>ggü</w:t>
            </w:r>
            <w:proofErr w:type="spellEnd"/>
            <w:r>
              <w:rPr>
                <w:rFonts w:ascii="Arial" w:hAnsi="Arial"/>
                <w:sz w:val="18"/>
                <w:szCs w:val="18"/>
              </w:rPr>
              <w:t>. Vorjahr [%-Pkt.]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+0,50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 xml:space="preserve">Netto-Spitzenrendite Logistik </w:t>
            </w:r>
            <w:r>
              <w:rPr>
                <w:rFonts w:ascii="Arial" w:hAnsi="Arial"/>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3,80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proofErr w:type="spellStart"/>
            <w:r>
              <w:rPr>
                <w:rFonts w:ascii="Arial" w:hAnsi="Arial"/>
                <w:sz w:val="18"/>
                <w:szCs w:val="18"/>
              </w:rPr>
              <w:t>ggü</w:t>
            </w:r>
            <w:proofErr w:type="spellEnd"/>
            <w:r>
              <w:rPr>
                <w:rFonts w:ascii="Arial" w:hAnsi="Arial"/>
                <w:sz w:val="18"/>
                <w:szCs w:val="18"/>
              </w:rPr>
              <w:t>. Vorjahr [%-Pkt.]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+0,30</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 xml:space="preserve">Stärkste </w:t>
            </w:r>
            <w:proofErr w:type="spellStart"/>
            <w:r>
              <w:rPr>
                <w:rFonts w:ascii="Arial" w:hAnsi="Arial"/>
                <w:b/>
                <w:bCs/>
                <w:sz w:val="18"/>
                <w:szCs w:val="18"/>
              </w:rPr>
              <w:t>Assetklasse</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Büro</w:t>
            </w:r>
          </w:p>
        </w:tc>
      </w:tr>
      <w:tr w:rsidR="00727EAF" w:rsidTr="00727EAF">
        <w:trPr>
          <w:trHeight w:val="204"/>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7EAF" w:rsidRDefault="00727EAF" w:rsidP="00727EAF">
            <w:pPr>
              <w:widowControl w:val="0"/>
              <w:spacing w:before="40" w:after="40"/>
              <w:jc w:val="both"/>
            </w:pPr>
            <w:r>
              <w:rPr>
                <w:rFonts w:ascii="Arial" w:hAnsi="Arial"/>
                <w:b/>
                <w:bCs/>
                <w:sz w:val="18"/>
                <w:szCs w:val="18"/>
              </w:rPr>
              <w:t xml:space="preserve">Stärkste </w:t>
            </w:r>
            <w:proofErr w:type="spellStart"/>
            <w:r>
              <w:rPr>
                <w:rFonts w:ascii="Arial" w:hAnsi="Arial"/>
                <w:b/>
                <w:bCs/>
                <w:sz w:val="18"/>
                <w:szCs w:val="18"/>
              </w:rPr>
              <w:t>Assetklasse</w:t>
            </w:r>
            <w:proofErr w:type="spellEnd"/>
            <w:r>
              <w:rPr>
                <w:rFonts w:ascii="Arial" w:hAnsi="Arial"/>
                <w:b/>
                <w:bCs/>
                <w:sz w:val="18"/>
                <w:szCs w:val="18"/>
              </w:rPr>
              <w:t xml:space="preserve"> </w:t>
            </w:r>
            <w:r>
              <w:rPr>
                <w:rFonts w:ascii="Arial" w:hAnsi="Arial"/>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7EAF" w:rsidRDefault="00727EAF" w:rsidP="00727EAF">
            <w:pPr>
              <w:widowControl w:val="0"/>
              <w:spacing w:before="40" w:after="40"/>
              <w:jc w:val="right"/>
            </w:pPr>
            <w:r>
              <w:rPr>
                <w:rFonts w:ascii="Arial" w:hAnsi="Arial"/>
                <w:sz w:val="18"/>
                <w:szCs w:val="18"/>
              </w:rPr>
              <w:t>78</w:t>
            </w:r>
          </w:p>
        </w:tc>
      </w:tr>
    </w:tbl>
    <w:p w:rsidR="00187899" w:rsidRDefault="00820F1F" w:rsidP="00163D76">
      <w:pPr>
        <w:spacing w:after="0" w:line="360" w:lineRule="auto"/>
        <w:rPr>
          <w:rFonts w:ascii="Arial" w:eastAsia="Arial" w:hAnsi="Arial" w:cs="Arial"/>
          <w:sz w:val="20"/>
          <w:szCs w:val="20"/>
        </w:rPr>
      </w:pPr>
      <w:r>
        <w:rPr>
          <w:noProof/>
        </w:rPr>
        <w:drawing>
          <wp:anchor distT="0" distB="0" distL="0" distR="0" simplePos="0" relativeHeight="251659264" behindDoc="0" locked="0" layoutInCell="1" allowOverlap="1">
            <wp:simplePos x="0" y="0"/>
            <wp:positionH relativeFrom="page">
              <wp:posOffset>4190365</wp:posOffset>
            </wp:positionH>
            <wp:positionV relativeFrom="line">
              <wp:posOffset>178274</wp:posOffset>
            </wp:positionV>
            <wp:extent cx="2606040" cy="2245360"/>
            <wp:effectExtent l="19050" t="19050" r="22860" b="21590"/>
            <wp:wrapTopAndBottom distT="0" distB="0"/>
            <wp:docPr id="1073741828" name="officeArt object" descr="Grafik 4"/>
            <wp:cNvGraphicFramePr/>
            <a:graphic xmlns:a="http://schemas.openxmlformats.org/drawingml/2006/main">
              <a:graphicData uri="http://schemas.openxmlformats.org/drawingml/2006/picture">
                <pic:pic xmlns:pic="http://schemas.openxmlformats.org/drawingml/2006/picture">
                  <pic:nvPicPr>
                    <pic:cNvPr id="1073741828" name="Grafik 4" descr="Grafik 4"/>
                    <pic:cNvPicPr>
                      <a:picLocks noChangeAspect="1"/>
                    </pic:cNvPicPr>
                  </pic:nvPicPr>
                  <pic:blipFill>
                    <a:blip r:embed="rId7">
                      <a:extLst/>
                    </a:blip>
                    <a:stretch>
                      <a:fillRect/>
                    </a:stretch>
                  </pic:blipFill>
                  <pic:spPr>
                    <a:xfrm>
                      <a:off x="0" y="0"/>
                      <a:ext cx="2606040" cy="2245360"/>
                    </a:xfrm>
                    <a:prstGeom prst="rect">
                      <a:avLst/>
                    </a:prstGeom>
                    <a:ln w="3175" cap="flat">
                      <a:solidFill>
                        <a:srgbClr val="000000"/>
                      </a:solidFill>
                      <a:prstDash val="solid"/>
                      <a:round/>
                    </a:ln>
                    <a:effectLst/>
                  </pic:spPr>
                </pic:pic>
              </a:graphicData>
            </a:graphic>
          </wp:anchor>
        </w:drawing>
      </w:r>
    </w:p>
    <w:p w:rsidR="00187899" w:rsidRDefault="00187899"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727EAF" w:rsidRDefault="00727EA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820F1F" w:rsidRDefault="00820F1F" w:rsidP="00163D76">
      <w:pPr>
        <w:rPr>
          <w:rFonts w:ascii="Arial" w:eastAsia="Arial" w:hAnsi="Arial" w:cs="Arial"/>
          <w:b/>
          <w:bCs/>
          <w:sz w:val="20"/>
          <w:szCs w:val="20"/>
        </w:rPr>
      </w:pPr>
    </w:p>
    <w:p w:rsidR="00187899" w:rsidRDefault="00E13A6B" w:rsidP="00163D76">
      <w:pPr>
        <w:rPr>
          <w:rFonts w:ascii="Arial" w:eastAsia="Arial" w:hAnsi="Arial" w:cs="Arial"/>
          <w:b/>
          <w:bCs/>
          <w:sz w:val="20"/>
          <w:szCs w:val="20"/>
        </w:rPr>
      </w:pPr>
      <w:r>
        <w:rPr>
          <w:rFonts w:ascii="Arial" w:hAnsi="Arial"/>
          <w:b/>
          <w:bCs/>
          <w:sz w:val="20"/>
          <w:szCs w:val="20"/>
        </w:rPr>
        <w:t>Ausgewählte bekannte Top-Transaktionen | Investmentmarkt Hamburg | 1.-4. Quartal 2022</w:t>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0"/>
        <w:gridCol w:w="1257"/>
        <w:gridCol w:w="1256"/>
        <w:gridCol w:w="1676"/>
        <w:gridCol w:w="1816"/>
        <w:gridCol w:w="1117"/>
      </w:tblGrid>
      <w:tr w:rsidR="00187899">
        <w:trPr>
          <w:trHeight w:val="464"/>
        </w:trPr>
        <w:tc>
          <w:tcPr>
            <w:tcW w:w="250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187899" w:rsidRDefault="00E13A6B">
            <w:pPr>
              <w:spacing w:after="0"/>
              <w:jc w:val="center"/>
              <w:rPr>
                <w:rFonts w:ascii="Arial" w:eastAsia="Arial" w:hAnsi="Arial" w:cs="Arial"/>
                <w:b/>
                <w:bCs/>
                <w:color w:val="FFFFFF"/>
                <w:sz w:val="18"/>
                <w:szCs w:val="18"/>
                <w:u w:color="FFFFFF"/>
              </w:rPr>
            </w:pPr>
            <w:r>
              <w:rPr>
                <w:rFonts w:ascii="Arial" w:hAnsi="Arial"/>
                <w:b/>
                <w:bCs/>
                <w:color w:val="FFFFFF"/>
                <w:sz w:val="18"/>
                <w:szCs w:val="18"/>
                <w:u w:color="FFFFFF"/>
              </w:rPr>
              <w:t>Projekt / Objekt</w:t>
            </w:r>
          </w:p>
          <w:p w:rsidR="00187899" w:rsidRDefault="00E13A6B">
            <w:pPr>
              <w:spacing w:after="0"/>
              <w:jc w:val="center"/>
            </w:pPr>
            <w:r>
              <w:rPr>
                <w:rFonts w:ascii="Arial" w:hAnsi="Arial"/>
                <w:b/>
                <w:bCs/>
                <w:color w:val="FFFFFF"/>
                <w:sz w:val="18"/>
                <w:szCs w:val="18"/>
                <w:u w:color="FFFFFF"/>
              </w:rPr>
              <w:t>Straße Nr.</w:t>
            </w:r>
          </w:p>
        </w:tc>
        <w:tc>
          <w:tcPr>
            <w:tcW w:w="125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87899" w:rsidRDefault="00E13A6B">
            <w:pPr>
              <w:widowControl w:val="0"/>
              <w:spacing w:before="60" w:after="144"/>
              <w:jc w:val="center"/>
            </w:pPr>
            <w:r>
              <w:rPr>
                <w:rFonts w:ascii="Arial" w:eastAsia="Arial" w:hAnsi="Arial" w:cs="Arial"/>
                <w:b/>
                <w:bCs/>
                <w:color w:val="FFFFFF"/>
                <w:sz w:val="18"/>
                <w:szCs w:val="18"/>
                <w:u w:color="FFFFFF"/>
              </w:rPr>
              <w:br/>
            </w:r>
            <w:r>
              <w:rPr>
                <w:rFonts w:ascii="Arial" w:hAnsi="Arial"/>
                <w:b/>
                <w:bCs/>
                <w:color w:val="FFFFFF"/>
                <w:sz w:val="18"/>
                <w:szCs w:val="18"/>
                <w:u w:color="FFFFFF"/>
              </w:rPr>
              <w:t>Teilmarkt</w:t>
            </w:r>
          </w:p>
        </w:tc>
        <w:tc>
          <w:tcPr>
            <w:tcW w:w="125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187899" w:rsidRDefault="00E13A6B">
            <w:pPr>
              <w:widowControl w:val="0"/>
              <w:spacing w:before="60" w:after="144"/>
              <w:jc w:val="center"/>
            </w:pPr>
            <w:r>
              <w:rPr>
                <w:rFonts w:ascii="Arial" w:eastAsia="Arial" w:hAnsi="Arial" w:cs="Arial"/>
                <w:b/>
                <w:bCs/>
                <w:color w:val="FFFFFF"/>
                <w:sz w:val="18"/>
                <w:szCs w:val="18"/>
                <w:u w:color="FFFFFF"/>
              </w:rPr>
              <w:br/>
            </w:r>
            <w:r>
              <w:rPr>
                <w:rFonts w:ascii="Arial" w:hAnsi="Arial"/>
                <w:b/>
                <w:bCs/>
                <w:color w:val="FFFFFF"/>
                <w:sz w:val="18"/>
                <w:szCs w:val="18"/>
                <w:u w:color="FFFFFF"/>
              </w:rPr>
              <w:t>Asset-klasse</w:t>
            </w:r>
          </w:p>
        </w:tc>
        <w:tc>
          <w:tcPr>
            <w:tcW w:w="167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187899" w:rsidRDefault="00E13A6B">
            <w:pPr>
              <w:widowControl w:val="0"/>
              <w:spacing w:before="60" w:after="144"/>
              <w:jc w:val="center"/>
            </w:pPr>
            <w:r>
              <w:rPr>
                <w:rFonts w:ascii="Arial" w:hAnsi="Arial"/>
                <w:b/>
                <w:bCs/>
                <w:color w:val="FFFFFF"/>
                <w:sz w:val="18"/>
                <w:szCs w:val="18"/>
                <w:u w:color="FFFFFF"/>
              </w:rPr>
              <w:t>Käufer</w:t>
            </w:r>
          </w:p>
        </w:tc>
        <w:tc>
          <w:tcPr>
            <w:tcW w:w="181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187899" w:rsidRDefault="00E13A6B">
            <w:pPr>
              <w:widowControl w:val="0"/>
              <w:spacing w:before="60" w:after="144"/>
              <w:jc w:val="center"/>
            </w:pPr>
            <w:r>
              <w:rPr>
                <w:rFonts w:ascii="Arial" w:hAnsi="Arial"/>
                <w:b/>
                <w:bCs/>
                <w:color w:val="FFFFFF"/>
                <w:sz w:val="18"/>
                <w:szCs w:val="18"/>
                <w:u w:color="FFFFFF"/>
              </w:rPr>
              <w:t>Verkäufer</w:t>
            </w:r>
          </w:p>
        </w:tc>
        <w:tc>
          <w:tcPr>
            <w:tcW w:w="111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187899" w:rsidRDefault="00E13A6B">
            <w:pPr>
              <w:widowControl w:val="0"/>
              <w:spacing w:before="60" w:after="0"/>
              <w:jc w:val="center"/>
              <w:rPr>
                <w:rFonts w:ascii="Arial" w:eastAsia="Arial" w:hAnsi="Arial" w:cs="Arial"/>
                <w:b/>
                <w:bCs/>
                <w:color w:val="FFFFFF"/>
                <w:sz w:val="18"/>
                <w:szCs w:val="18"/>
                <w:u w:color="FFFFFF"/>
              </w:rPr>
            </w:pPr>
            <w:r>
              <w:rPr>
                <w:rFonts w:ascii="Arial" w:hAnsi="Arial"/>
                <w:b/>
                <w:bCs/>
                <w:color w:val="FFFFFF"/>
                <w:sz w:val="18"/>
                <w:szCs w:val="18"/>
                <w:u w:color="FFFFFF"/>
              </w:rPr>
              <w:t>Kauf-preis*</w:t>
            </w:r>
          </w:p>
          <w:p w:rsidR="00187899" w:rsidRDefault="00E13A6B">
            <w:pPr>
              <w:widowControl w:val="0"/>
              <w:spacing w:before="60" w:after="0"/>
              <w:jc w:val="center"/>
            </w:pPr>
            <w:r>
              <w:rPr>
                <w:rFonts w:ascii="Arial" w:hAnsi="Arial"/>
                <w:color w:val="FFFFFF"/>
                <w:sz w:val="18"/>
                <w:szCs w:val="18"/>
                <w:u w:color="FFFFFF"/>
              </w:rPr>
              <w:t>[ca. Mio. €]</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alstria</w:t>
            </w:r>
            <w:proofErr w:type="spellEnd"/>
            <w:r>
              <w:rPr>
                <w:rFonts w:ascii="Arial" w:hAnsi="Arial"/>
                <w:sz w:val="18"/>
                <w:szCs w:val="18"/>
              </w:rPr>
              <w:t xml:space="preserve"> </w:t>
            </w:r>
            <w:proofErr w:type="spellStart"/>
            <w:r>
              <w:rPr>
                <w:rFonts w:ascii="Arial" w:hAnsi="Arial"/>
                <w:sz w:val="18"/>
                <w:szCs w:val="18"/>
              </w:rPr>
              <w:t>office</w:t>
            </w:r>
            <w:proofErr w:type="spellEnd"/>
            <w:r>
              <w:rPr>
                <w:rFonts w:ascii="Arial" w:hAnsi="Arial"/>
                <w:sz w:val="18"/>
                <w:szCs w:val="18"/>
              </w:rPr>
              <w:t>“-Portfolio</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 xml:space="preserve">Hamburg </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Büro</w:t>
            </w:r>
            <w:proofErr w:type="spellEnd"/>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Brookfield Properties</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alstria</w:t>
            </w:r>
            <w:proofErr w:type="spellEnd"/>
            <w:r>
              <w:rPr>
                <w:rFonts w:ascii="Arial" w:hAnsi="Arial"/>
                <w:sz w:val="18"/>
                <w:szCs w:val="18"/>
              </w:rPr>
              <w:t xml:space="preserve"> </w:t>
            </w:r>
            <w:proofErr w:type="spellStart"/>
            <w:r>
              <w:rPr>
                <w:rFonts w:ascii="Arial" w:hAnsi="Arial"/>
                <w:sz w:val="18"/>
                <w:szCs w:val="18"/>
              </w:rPr>
              <w:t>office</w:t>
            </w:r>
            <w:proofErr w:type="spellEnd"/>
            <w:r>
              <w:rPr>
                <w:rFonts w:ascii="Arial" w:hAnsi="Arial"/>
                <w:sz w:val="18"/>
                <w:szCs w:val="18"/>
              </w:rPr>
              <w:t xml:space="preserve"> REIT AG </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1.500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„Altes Fernmeldeamt“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Alster</w:t>
            </w:r>
            <w:proofErr w:type="spellEnd"/>
            <w:r>
              <w:rPr>
                <w:rFonts w:ascii="Arial" w:hAnsi="Arial"/>
                <w:sz w:val="18"/>
                <w:szCs w:val="18"/>
                <w:lang w:val="en-US"/>
              </w:rPr>
              <w:t xml:space="preserve"> West</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Büro</w:t>
            </w:r>
            <w:proofErr w:type="spellEnd"/>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Values Real Estate</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Peakside</w:t>
            </w:r>
            <w:proofErr w:type="spellEnd"/>
            <w:r>
              <w:rPr>
                <w:rFonts w:ascii="Arial" w:hAnsi="Arial"/>
                <w:sz w:val="18"/>
                <w:szCs w:val="18"/>
              </w:rPr>
              <w:t xml:space="preserve"> Capital</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400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ConneXion</w:t>
            </w:r>
            <w:proofErr w:type="spellEnd"/>
            <w:r>
              <w:rPr>
                <w:rFonts w:ascii="Arial" w:hAnsi="Arial"/>
                <w:sz w:val="18"/>
                <w:szCs w:val="18"/>
              </w:rPr>
              <w:t xml:space="preserve"> Office“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City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Büro</w:t>
            </w:r>
            <w:proofErr w:type="spellEnd"/>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Erste Immobilien KAG</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Becken Development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&gt; 150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Klöpperhaus</w:t>
            </w:r>
            <w:proofErr w:type="spellEnd"/>
            <w:r>
              <w:rPr>
                <w:rFonts w:ascii="Arial" w:hAnsi="Arial"/>
                <w:sz w:val="18"/>
                <w:szCs w:val="18"/>
              </w:rPr>
              <w:t xml:space="preserve">“ </w:t>
            </w:r>
            <w:r>
              <w:rPr>
                <w:rFonts w:ascii="Arial" w:hAnsi="Arial"/>
                <w:sz w:val="18"/>
                <w:szCs w:val="18"/>
              </w:rPr>
              <w:br/>
              <w:t xml:space="preserve">(ehem. </w:t>
            </w:r>
            <w:proofErr w:type="spellStart"/>
            <w:r>
              <w:rPr>
                <w:rFonts w:ascii="Arial" w:hAnsi="Arial"/>
                <w:sz w:val="18"/>
                <w:szCs w:val="18"/>
              </w:rPr>
              <w:t>Galeria</w:t>
            </w:r>
            <w:proofErr w:type="spellEnd"/>
            <w:r>
              <w:rPr>
                <w:rFonts w:ascii="Arial" w:hAnsi="Arial"/>
                <w:sz w:val="18"/>
                <w:szCs w:val="18"/>
              </w:rPr>
              <w:t xml:space="preserve"> Kaufhof)</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City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Einzelhandel</w:t>
            </w:r>
            <w:proofErr w:type="spellEnd"/>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Tishman</w:t>
            </w:r>
            <w:proofErr w:type="spellEnd"/>
            <w:r>
              <w:rPr>
                <w:rFonts w:ascii="Arial" w:hAnsi="Arial"/>
                <w:sz w:val="18"/>
                <w:szCs w:val="18"/>
                <w:lang w:val="en-US"/>
              </w:rPr>
              <w:t xml:space="preserve"> Speyer</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Württembergische Lebensversicherung</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&gt; 160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Georgstor</w:t>
            </w:r>
            <w:proofErr w:type="spellEnd"/>
            <w:r>
              <w:rPr>
                <w:rFonts w:ascii="Arial" w:hAnsi="Arial"/>
                <w:sz w:val="18"/>
                <w:szCs w:val="18"/>
              </w:rPr>
              <w: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St. Georg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Büro</w:t>
            </w:r>
            <w:proofErr w:type="spellEnd"/>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Hines Immobilien GmbH</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REAL I.S. AG</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115</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 xml:space="preserve">„EDGE </w:t>
            </w:r>
            <w:proofErr w:type="spellStart"/>
            <w:r>
              <w:rPr>
                <w:rFonts w:ascii="Arial" w:hAnsi="Arial"/>
                <w:sz w:val="18"/>
                <w:szCs w:val="18"/>
              </w:rPr>
              <w:t>ElbSide</w:t>
            </w:r>
            <w:proofErr w:type="spellEnd"/>
            <w:r>
              <w:rPr>
                <w:rFonts w:ascii="Arial" w:hAnsi="Arial"/>
                <w:sz w:val="18"/>
                <w:szCs w:val="18"/>
              </w:rPr>
              <w:t>“ (50 %)</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HafenCity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Büro</w:t>
            </w:r>
            <w:proofErr w:type="spellEnd"/>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Ampega</w:t>
            </w:r>
            <w:proofErr w:type="spellEnd"/>
            <w:r>
              <w:rPr>
                <w:rFonts w:ascii="Arial" w:hAnsi="Arial"/>
                <w:sz w:val="18"/>
                <w:szCs w:val="18"/>
              </w:rPr>
              <w:t xml:space="preserve"> Asset Management </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rPr>
              <w:t>HanseMerkur</w:t>
            </w:r>
            <w:proofErr w:type="spellEnd"/>
            <w:r>
              <w:rPr>
                <w:rFonts w:ascii="Arial" w:hAnsi="Arial"/>
                <w:sz w:val="18"/>
                <w:szCs w:val="18"/>
              </w:rPr>
              <w:t xml:space="preserve"> Grundvermögen</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&gt; 100</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w:t>
            </w:r>
            <w:proofErr w:type="spellStart"/>
            <w:r>
              <w:rPr>
                <w:rFonts w:ascii="Arial" w:hAnsi="Arial"/>
                <w:sz w:val="18"/>
                <w:szCs w:val="18"/>
              </w:rPr>
              <w:t>Elbtower</w:t>
            </w:r>
            <w:proofErr w:type="spellEnd"/>
            <w:r>
              <w:rPr>
                <w:rFonts w:ascii="Arial" w:hAnsi="Arial"/>
                <w:sz w:val="18"/>
                <w:szCs w:val="18"/>
              </w:rPr>
              <w:t>“ (25 %)</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HafenCity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Büro</w:t>
            </w:r>
            <w:proofErr w:type="spellEnd"/>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Commerz</w:t>
            </w:r>
            <w:proofErr w:type="spellEnd"/>
            <w:r>
              <w:rPr>
                <w:rFonts w:ascii="Arial" w:hAnsi="Arial"/>
                <w:sz w:val="18"/>
                <w:szCs w:val="18"/>
                <w:lang w:val="en-US"/>
              </w:rPr>
              <w:t xml:space="preserve"> Real </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Signa Holding</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vertraulich</w:t>
            </w:r>
          </w:p>
        </w:tc>
      </w:tr>
      <w:tr w:rsidR="00187899">
        <w:trPr>
          <w:trHeight w:val="407"/>
        </w:trPr>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„Medical Science Center“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lang w:val="en-US"/>
              </w:rPr>
              <w:t xml:space="preserve">Hamburg </w:t>
            </w:r>
            <w:proofErr w:type="spellStart"/>
            <w:r>
              <w:rPr>
                <w:rFonts w:ascii="Arial" w:hAnsi="Arial"/>
                <w:sz w:val="18"/>
                <w:szCs w:val="18"/>
                <w:lang w:val="en-US"/>
              </w:rPr>
              <w:t>Ost</w:t>
            </w:r>
            <w:proofErr w:type="spellEnd"/>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Büro</w:t>
            </w:r>
            <w:proofErr w:type="spellEnd"/>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proofErr w:type="spellStart"/>
            <w:r>
              <w:rPr>
                <w:rFonts w:ascii="Arial" w:hAnsi="Arial"/>
                <w:sz w:val="18"/>
                <w:szCs w:val="18"/>
                <w:lang w:val="en-US"/>
              </w:rPr>
              <w:t>HanseMerkur</w:t>
            </w:r>
            <w:proofErr w:type="spellEnd"/>
            <w:r>
              <w:rPr>
                <w:rFonts w:ascii="Arial" w:hAnsi="Arial"/>
                <w:sz w:val="18"/>
                <w:szCs w:val="18"/>
                <w:lang w:val="en-US"/>
              </w:rPr>
              <w:t xml:space="preserve"> </w:t>
            </w:r>
            <w:proofErr w:type="spellStart"/>
            <w:r>
              <w:rPr>
                <w:rFonts w:ascii="Arial" w:hAnsi="Arial"/>
                <w:sz w:val="18"/>
                <w:szCs w:val="18"/>
                <w:lang w:val="en-US"/>
              </w:rPr>
              <w:t>Grundvermögen</w:t>
            </w:r>
            <w:proofErr w:type="spellEnd"/>
            <w:r>
              <w:rPr>
                <w:rFonts w:ascii="Arial" w:hAnsi="Arial"/>
                <w:sz w:val="18"/>
                <w:szCs w:val="18"/>
                <w:lang w:val="en-US"/>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pPr>
            <w:r>
              <w:rPr>
                <w:rFonts w:ascii="Arial" w:hAnsi="Arial"/>
                <w:sz w:val="18"/>
                <w:szCs w:val="18"/>
              </w:rPr>
              <w:t>Aug. Prien Immobilien</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87899" w:rsidRDefault="00E13A6B">
            <w:pPr>
              <w:widowControl w:val="0"/>
              <w:spacing w:after="0"/>
              <w:jc w:val="right"/>
            </w:pPr>
            <w:r>
              <w:rPr>
                <w:rFonts w:ascii="Arial" w:hAnsi="Arial"/>
                <w:sz w:val="18"/>
                <w:szCs w:val="18"/>
              </w:rPr>
              <w:t>vertraulich</w:t>
            </w:r>
          </w:p>
        </w:tc>
      </w:tr>
    </w:tbl>
    <w:p w:rsidR="00187899" w:rsidRDefault="00E13A6B">
      <w:pPr>
        <w:widowControl w:val="0"/>
        <w:spacing w:after="0"/>
        <w:rPr>
          <w:rFonts w:ascii="Arial" w:eastAsia="Arial" w:hAnsi="Arial" w:cs="Arial"/>
          <w:sz w:val="16"/>
          <w:szCs w:val="16"/>
        </w:rPr>
      </w:pPr>
      <w:r>
        <w:rPr>
          <w:rFonts w:ascii="Arial" w:hAnsi="Arial"/>
          <w:sz w:val="16"/>
          <w:szCs w:val="16"/>
        </w:rPr>
        <w:t>* Die aufgeführten Kaufpreise basieren auf öffentlich verfügbaren Angaben; wo solche fehlen, sind die Kaufpreise geschätzt. Deals aus dem jeweiligem Berichtsquartal sind grau hinterlegt.</w:t>
      </w:r>
    </w:p>
    <w:p w:rsidR="00187899" w:rsidRDefault="00187899">
      <w:pPr>
        <w:spacing w:after="0" w:line="360" w:lineRule="auto"/>
        <w:rPr>
          <w:rFonts w:ascii="Arial" w:eastAsia="Arial" w:hAnsi="Arial" w:cs="Arial"/>
          <w:sz w:val="20"/>
          <w:szCs w:val="20"/>
        </w:rPr>
      </w:pPr>
    </w:p>
    <w:p w:rsidR="00187899" w:rsidRDefault="00E13A6B">
      <w:pPr>
        <w:spacing w:after="0" w:line="360" w:lineRule="auto"/>
        <w:rPr>
          <w:rFonts w:ascii="Arial" w:eastAsia="Arial" w:hAnsi="Arial" w:cs="Arial"/>
          <w:sz w:val="20"/>
          <w:szCs w:val="20"/>
        </w:rPr>
      </w:pPr>
      <w:r>
        <w:rPr>
          <w:rFonts w:ascii="Arial" w:hAnsi="Arial"/>
          <w:sz w:val="20"/>
          <w:szCs w:val="20"/>
        </w:rPr>
        <w:t xml:space="preserve">Der </w:t>
      </w:r>
      <w:hyperlink r:id="rId8" w:history="1">
        <w:r>
          <w:rPr>
            <w:rStyle w:val="Hyperlink0"/>
          </w:rPr>
          <w:t>Marktbericht Investment Hamburg 2022/Q4</w:t>
        </w:r>
      </w:hyperlink>
      <w:r>
        <w:rPr>
          <w:rFonts w:ascii="Arial" w:hAnsi="Arial"/>
          <w:sz w:val="20"/>
          <w:szCs w:val="20"/>
        </w:rPr>
        <w:t xml:space="preserve"> steht in Kürze auf unserer Website zum Download bereit.</w:t>
      </w:r>
    </w:p>
    <w:p w:rsidR="00187899" w:rsidRDefault="00187899">
      <w:pPr>
        <w:spacing w:after="0" w:line="360" w:lineRule="auto"/>
        <w:rPr>
          <w:rFonts w:ascii="Arial" w:eastAsia="Arial" w:hAnsi="Arial" w:cs="Arial"/>
          <w:sz w:val="20"/>
          <w:szCs w:val="20"/>
        </w:rPr>
      </w:pPr>
    </w:p>
    <w:p w:rsidR="00187899" w:rsidRDefault="00E13A6B">
      <w:pPr>
        <w:spacing w:after="0" w:line="360" w:lineRule="auto"/>
        <w:rPr>
          <w:rFonts w:ascii="Arial" w:eastAsia="Arial" w:hAnsi="Arial" w:cs="Arial"/>
          <w:b/>
          <w:bCs/>
          <w:sz w:val="16"/>
          <w:szCs w:val="16"/>
        </w:rPr>
      </w:pPr>
      <w:r>
        <w:rPr>
          <w:rFonts w:ascii="Arial" w:hAnsi="Arial"/>
          <w:b/>
          <w:bCs/>
          <w:sz w:val="16"/>
          <w:szCs w:val="16"/>
        </w:rPr>
        <w:t>Über Grossmann &amp; Berger</w:t>
      </w:r>
    </w:p>
    <w:p w:rsidR="00187899" w:rsidRDefault="00E13A6B">
      <w:pPr>
        <w:spacing w:after="0" w:line="360" w:lineRule="auto"/>
        <w:rPr>
          <w:rFonts w:ascii="Arial" w:eastAsia="Arial" w:hAnsi="Arial" w:cs="Arial"/>
          <w:sz w:val="16"/>
          <w:szCs w:val="16"/>
        </w:rPr>
      </w:pPr>
      <w:r>
        <w:rPr>
          <w:rFonts w:ascii="Arial" w:hAnsi="Arial"/>
          <w:sz w:val="16"/>
          <w:szCs w:val="16"/>
        </w:rPr>
        <w:t xml:space="preserve">Die </w:t>
      </w:r>
      <w:hyperlink r:id="rId9" w:history="1">
        <w:r>
          <w:rPr>
            <w:rStyle w:val="Hyperlink1"/>
          </w:rPr>
          <w:t>Grossmann &amp; Berger GmbH</w:t>
        </w:r>
      </w:hyperlink>
      <w:r>
        <w:rPr>
          <w:rFonts w:ascii="Arial" w:hAnsi="Arial"/>
          <w:sz w:val="16"/>
          <w:szCs w:val="16"/>
        </w:rPr>
        <w:t xml:space="preserve"> gehört zu den führenden Immobiliendienstleistern für den Verkauf und die Vermietung von Gewerbe- und Wohn-Immobilien. Den Hauptsitz in Hamburg miteingerechnet, unterhält das Unternehmen 22 Standorte. Hierüber ist Grossmann &amp; Berger flächendeckend im norddeutschen Markt präsent. Über die seit Mai 2021 zum Unternehmen gehörenden Gesellschaften </w:t>
      </w:r>
      <w:hyperlink r:id="rId10" w:history="1">
        <w:r>
          <w:rPr>
            <w:rStyle w:val="Hyperlink1"/>
          </w:rPr>
          <w:t>E &amp; G Real Estate</w:t>
        </w:r>
      </w:hyperlink>
      <w:r>
        <w:rPr>
          <w:rFonts w:ascii="Arial" w:hAnsi="Arial"/>
          <w:sz w:val="16"/>
          <w:szCs w:val="16"/>
        </w:rPr>
        <w:t xml:space="preserve"> und </w:t>
      </w:r>
      <w:hyperlink r:id="rId11" w:history="1">
        <w:r>
          <w:rPr>
            <w:rStyle w:val="Hyperlink1"/>
          </w:rPr>
          <w:t>E &amp; G Private Immobilien</w:t>
        </w:r>
      </w:hyperlink>
      <w:r>
        <w:rPr>
          <w:rFonts w:ascii="Arial" w:hAnsi="Arial"/>
          <w:sz w:val="16"/>
          <w:szCs w:val="16"/>
        </w:rPr>
        <w:t xml:space="preserve"> ist Grossmann &amp; Berger auch in den südlichen Metropolregionen Stuttgart und München vertreten. Rund 240 Mitarbeiter decken mit ihrer umfassenden Immobilienkompetenz das gesamte Branchen-Dienstleistungsspektrum ab. Bei ihrer Tätigkeit können sie auf mehr als 85 Jahre Unternehmenstradition zurückgreifen. Grossmann &amp; Berger ist ein Beteiligungsunternehmen der HASPA-Gruppe und Gründungsmitglied des deutschlandweiten Gewerbeimmobiliennetzwerks </w:t>
      </w:r>
      <w:hyperlink r:id="rId12" w:history="1">
        <w:r>
          <w:rPr>
            <w:rStyle w:val="Hyperlink1"/>
          </w:rPr>
          <w:t>German Property Partners</w:t>
        </w:r>
      </w:hyperlink>
      <w:r>
        <w:rPr>
          <w:rFonts w:ascii="Arial" w:hAnsi="Arial"/>
          <w:sz w:val="16"/>
          <w:szCs w:val="16"/>
        </w:rPr>
        <w:t xml:space="preserve"> (GPP).</w:t>
      </w:r>
    </w:p>
    <w:p w:rsidR="00187899" w:rsidRDefault="00187899">
      <w:pPr>
        <w:spacing w:after="0" w:line="360" w:lineRule="auto"/>
        <w:rPr>
          <w:rFonts w:ascii="Arial" w:eastAsia="Arial" w:hAnsi="Arial" w:cs="Arial"/>
          <w:sz w:val="16"/>
          <w:szCs w:val="16"/>
        </w:rPr>
      </w:pPr>
    </w:p>
    <w:p w:rsidR="00187899" w:rsidRDefault="00E13A6B">
      <w:pPr>
        <w:spacing w:after="0" w:line="360" w:lineRule="auto"/>
      </w:pPr>
      <w:r>
        <w:rPr>
          <w:rFonts w:ascii="Arial" w:hAnsi="Arial"/>
          <w:sz w:val="16"/>
          <w:szCs w:val="16"/>
        </w:rPr>
        <w:t xml:space="preserve">Die </w:t>
      </w:r>
      <w:hyperlink r:id="rId13" w:history="1">
        <w:r>
          <w:rPr>
            <w:rStyle w:val="Hyperlink1"/>
          </w:rPr>
          <w:t>Datenschutzrichtlinie</w:t>
        </w:r>
      </w:hyperlink>
      <w:r>
        <w:rPr>
          <w:rFonts w:ascii="Arial" w:hAnsi="Arial"/>
          <w:sz w:val="16"/>
          <w:szCs w:val="16"/>
        </w:rPr>
        <w:t xml:space="preserve"> von Grossmann &amp; Berger finden Sie auf unserer Website. Hier finden Sie auch unsere </w:t>
      </w:r>
      <w:hyperlink r:id="rId14" w:history="1">
        <w:r>
          <w:rPr>
            <w:rStyle w:val="Hyperlink1"/>
          </w:rPr>
          <w:t>Pressemappe</w:t>
        </w:r>
      </w:hyperlink>
      <w:r>
        <w:rPr>
          <w:rFonts w:ascii="Arial" w:hAnsi="Arial"/>
          <w:sz w:val="16"/>
          <w:szCs w:val="16"/>
        </w:rPr>
        <w:t xml:space="preserve"> sowie die dazugehörigen </w:t>
      </w:r>
      <w:hyperlink r:id="rId15" w:history="1">
        <w:r>
          <w:rPr>
            <w:rStyle w:val="Hyperlink1"/>
          </w:rPr>
          <w:t>Nutzungsbedingungen</w:t>
        </w:r>
      </w:hyperlink>
      <w:r>
        <w:rPr>
          <w:rFonts w:ascii="Arial" w:hAnsi="Arial"/>
          <w:sz w:val="16"/>
          <w:szCs w:val="16"/>
        </w:rPr>
        <w:t xml:space="preserve">. Wenn Sie zukünftig keine Informationen unserer Pressestelle mehr erhalten möchten, senden Sie bitte eine E-Mail an </w:t>
      </w:r>
      <w:hyperlink r:id="rId16" w:history="1">
        <w:r>
          <w:rPr>
            <w:rStyle w:val="Hyperlink1"/>
          </w:rPr>
          <w:t>presse@grossmann-berger.de</w:t>
        </w:r>
      </w:hyperlink>
      <w:r>
        <w:rPr>
          <w:rFonts w:ascii="Arial" w:hAnsi="Arial"/>
          <w:sz w:val="16"/>
          <w:szCs w:val="16"/>
        </w:rPr>
        <w:t xml:space="preserve"> mit dem Betreff „Abmeldung aus Presseverteiler".</w:t>
      </w:r>
    </w:p>
    <w:sectPr w:rsidR="00187899">
      <w:headerReference w:type="default" r:id="rId17"/>
      <w:footerReference w:type="default" r:id="rId18"/>
      <w:headerReference w:type="first" r:id="rId19"/>
      <w:pgSz w:w="11900" w:h="16840"/>
      <w:pgMar w:top="284" w:right="1134" w:bottom="1440" w:left="1134" w:header="567"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BD" w:rsidRDefault="00E13A6B">
      <w:pPr>
        <w:spacing w:after="0"/>
      </w:pPr>
      <w:r>
        <w:separator/>
      </w:r>
    </w:p>
  </w:endnote>
  <w:endnote w:type="continuationSeparator" w:id="0">
    <w:p w:rsidR="004A6CBD" w:rsidRDefault="00E13A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99" w:rsidRDefault="00E13A6B">
    <w:pPr>
      <w:pStyle w:val="Fuzeile"/>
      <w:tabs>
        <w:tab w:val="left" w:pos="4145"/>
        <w:tab w:val="right" w:pos="9612"/>
      </w:tabs>
      <w:jc w:val="center"/>
      <w:rPr>
        <w:rFonts w:ascii="Arial" w:eastAsia="Arial" w:hAnsi="Arial" w:cs="Arial"/>
        <w:color w:val="918F90"/>
        <w:sz w:val="18"/>
        <w:szCs w:val="18"/>
        <w:u w:color="918F90"/>
      </w:rPr>
    </w:pPr>
    <w:r>
      <w:rPr>
        <w:rFonts w:ascii="Arial" w:hAnsi="Arial"/>
        <w:b/>
        <w:bCs/>
        <w:color w:val="918F90"/>
        <w:sz w:val="18"/>
        <w:szCs w:val="18"/>
        <w:u w:color="918F90"/>
      </w:rPr>
      <w:t xml:space="preserve">Grossmann &amp; Berger GmbH </w:t>
    </w:r>
    <w:r>
      <w:rPr>
        <w:rFonts w:ascii="Arial" w:hAnsi="Arial"/>
        <w:color w:val="918F90"/>
        <w:sz w:val="18"/>
        <w:szCs w:val="18"/>
        <w:u w:color="918F90"/>
      </w:rPr>
      <w:t xml:space="preserve">| </w:t>
    </w:r>
    <w:proofErr w:type="spellStart"/>
    <w:r>
      <w:rPr>
        <w:rFonts w:ascii="Arial" w:hAnsi="Arial"/>
        <w:color w:val="918F90"/>
        <w:sz w:val="18"/>
        <w:szCs w:val="18"/>
        <w:u w:color="918F90"/>
      </w:rPr>
      <w:t>Bleichenbrücke</w:t>
    </w:r>
    <w:proofErr w:type="spellEnd"/>
    <w:r>
      <w:rPr>
        <w:rFonts w:ascii="Arial" w:hAnsi="Arial"/>
        <w:color w:val="918F90"/>
        <w:sz w:val="18"/>
        <w:szCs w:val="18"/>
        <w:u w:color="918F90"/>
      </w:rPr>
      <w:t xml:space="preserve"> 9 | 20354 Hamburg | Tel. +49 (0)40 / 350 80 2-0 | www.grossmann-berger.de</w:t>
    </w:r>
  </w:p>
  <w:p w:rsidR="00187899" w:rsidRDefault="00E13A6B">
    <w:pPr>
      <w:pStyle w:val="Fuzeile"/>
      <w:tabs>
        <w:tab w:val="left" w:pos="4145"/>
        <w:tab w:val="right" w:pos="9612"/>
      </w:tabs>
      <w:jc w:val="right"/>
    </w:pPr>
    <w:r>
      <w:rPr>
        <w:rFonts w:ascii="Arial" w:eastAsia="Arial" w:hAnsi="Arial" w:cs="Arial"/>
        <w:color w:val="918F90"/>
        <w:sz w:val="18"/>
        <w:szCs w:val="18"/>
        <w:u w:color="918F90"/>
      </w:rPr>
      <w:tab/>
    </w:r>
    <w:r>
      <w:rPr>
        <w:rFonts w:ascii="Arial" w:eastAsia="Arial" w:hAnsi="Arial" w:cs="Arial"/>
        <w:color w:val="918F90"/>
        <w:sz w:val="18"/>
        <w:szCs w:val="18"/>
        <w:u w:color="918F90"/>
      </w:rPr>
      <w:tab/>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D15ACC">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D15ACC">
      <w:rPr>
        <w:rFonts w:ascii="Arial" w:eastAsia="Arial" w:hAnsi="Arial" w:cs="Arial"/>
        <w:noProof/>
        <w:sz w:val="18"/>
        <w:szCs w:val="18"/>
      </w:rPr>
      <w:t>3</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BD" w:rsidRDefault="00E13A6B">
      <w:pPr>
        <w:spacing w:after="0"/>
      </w:pPr>
      <w:r>
        <w:separator/>
      </w:r>
    </w:p>
  </w:footnote>
  <w:footnote w:type="continuationSeparator" w:id="0">
    <w:p w:rsidR="004A6CBD" w:rsidRDefault="00E13A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99" w:rsidRDefault="00E13A6B">
    <w:pPr>
      <w:jc w:val="right"/>
    </w:pPr>
    <w:r>
      <w:rPr>
        <w:noProof/>
      </w:rPr>
      <mc:AlternateContent>
        <mc:Choice Requires="wps">
          <w:drawing>
            <wp:anchor distT="152400" distB="152400" distL="152400" distR="152400" simplePos="0" relativeHeight="251656704" behindDoc="1" locked="0" layoutInCell="1" allowOverlap="1">
              <wp:simplePos x="0" y="0"/>
              <wp:positionH relativeFrom="page">
                <wp:posOffset>682142</wp:posOffset>
              </wp:positionH>
              <wp:positionV relativeFrom="page">
                <wp:posOffset>380390</wp:posOffset>
              </wp:positionV>
              <wp:extent cx="4897527" cy="202417"/>
              <wp:effectExtent l="0" t="0" r="0" b="0"/>
              <wp:wrapNone/>
              <wp:docPr id="1073741825" name="officeArt object" descr="Textfeld 2"/>
              <wp:cNvGraphicFramePr/>
              <a:graphic xmlns:a="http://schemas.openxmlformats.org/drawingml/2006/main">
                <a:graphicData uri="http://schemas.microsoft.com/office/word/2010/wordprocessingShape">
                  <wps:wsp>
                    <wps:cNvSpPr txBox="1"/>
                    <wps:spPr>
                      <a:xfrm>
                        <a:off x="0" y="0"/>
                        <a:ext cx="4897527" cy="202417"/>
                      </a:xfrm>
                      <a:prstGeom prst="rect">
                        <a:avLst/>
                      </a:prstGeom>
                      <a:noFill/>
                      <a:ln w="12700" cap="flat">
                        <a:noFill/>
                        <a:miter lim="400000"/>
                      </a:ln>
                      <a:effectLst/>
                    </wps:spPr>
                    <wps:txbx>
                      <w:txbxContent>
                        <w:p w:rsidR="00187899" w:rsidRDefault="00E13A6B">
                          <w:pPr>
                            <w:spacing w:after="0"/>
                          </w:pPr>
                          <w:r>
                            <w:rPr>
                              <w:rFonts w:ascii="Arial" w:hAnsi="Arial"/>
                              <w:b/>
                              <w:bCs/>
                              <w:sz w:val="16"/>
                              <w:szCs w:val="16"/>
                            </w:rPr>
                            <w:t>Pressekontakt:</w:t>
                          </w:r>
                          <w:r>
                            <w:rPr>
                              <w:rFonts w:ascii="Arial" w:hAnsi="Arial"/>
                              <w:sz w:val="16"/>
                              <w:szCs w:val="16"/>
                            </w:rPr>
                            <w:t xml:space="preserve"> Katharina Koester | Telefon: +49 (0)40 / 350 80 2-988 | k.koester@grossmann-berger.de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3.7pt;margin-top:30.0pt;width:385.6pt;height:15.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pPr>
                    <w:r>
                      <w:rPr>
                        <w:rFonts w:ascii="Arial" w:hAnsi="Arial"/>
                        <w:b w:val="1"/>
                        <w:bCs w:val="1"/>
                        <w:sz w:val="16"/>
                        <w:szCs w:val="16"/>
                        <w:rtl w:val="0"/>
                        <w:lang w:val="de-DE"/>
                      </w:rPr>
                      <w:t>Pressekontakt:</w:t>
                    </w:r>
                    <w:r>
                      <w:rPr>
                        <w:rFonts w:ascii="Arial" w:hAnsi="Arial"/>
                        <w:sz w:val="16"/>
                        <w:szCs w:val="16"/>
                        <w:rtl w:val="0"/>
                        <w:lang w:val="de-DE"/>
                      </w:rPr>
                      <w:t xml:space="preserve"> Katharina Koester | Telefon: +49 (0)40 / 350 80 2-988 | k.koester@grossmann-berger.de</w:t>
                    </w:r>
                  </w:p>
                </w:txbxContent>
              </v:textbox>
              <w10:wrap type="none" side="bothSides" anchorx="page" anchory="page"/>
            </v:shape>
          </w:pict>
        </mc:Fallback>
      </mc:AlternateContent>
    </w:r>
    <w:r>
      <w:rPr>
        <w:rFonts w:ascii="Arial" w:hAnsi="Arial"/>
        <w:color w:val="918F90"/>
        <w:sz w:val="28"/>
        <w:szCs w:val="28"/>
        <w:u w:color="918F90"/>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99" w:rsidRDefault="00E13A6B">
    <w:pPr>
      <w:jc w:val="right"/>
    </w:pPr>
    <w:r>
      <w:rPr>
        <w:noProof/>
      </w:rPr>
      <mc:AlternateContent>
        <mc:Choice Requires="wps">
          <w:drawing>
            <wp:anchor distT="152400" distB="152400" distL="152400" distR="152400" simplePos="0" relativeHeight="251657728" behindDoc="1" locked="0" layoutInCell="1" allowOverlap="1">
              <wp:simplePos x="0" y="0"/>
              <wp:positionH relativeFrom="page">
                <wp:posOffset>682143</wp:posOffset>
              </wp:positionH>
              <wp:positionV relativeFrom="page">
                <wp:posOffset>380390</wp:posOffset>
              </wp:positionV>
              <wp:extent cx="4868266" cy="202417"/>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4868266" cy="202417"/>
                      </a:xfrm>
                      <a:prstGeom prst="rect">
                        <a:avLst/>
                      </a:prstGeom>
                      <a:noFill/>
                      <a:ln w="12700" cap="flat">
                        <a:noFill/>
                        <a:miter lim="400000"/>
                      </a:ln>
                      <a:effectLst/>
                    </wps:spPr>
                    <wps:txbx>
                      <w:txbxContent>
                        <w:p w:rsidR="00187899" w:rsidRDefault="00E13A6B">
                          <w:pPr>
                            <w:spacing w:after="0"/>
                          </w:pPr>
                          <w:r>
                            <w:rPr>
                              <w:rFonts w:ascii="Arial" w:hAnsi="Arial"/>
                              <w:b/>
                              <w:bCs/>
                              <w:sz w:val="16"/>
                              <w:szCs w:val="16"/>
                            </w:rPr>
                            <w:t>Pressekontakt:</w:t>
                          </w:r>
                          <w:r>
                            <w:rPr>
                              <w:rFonts w:ascii="Arial" w:hAnsi="Arial"/>
                              <w:sz w:val="16"/>
                              <w:szCs w:val="16"/>
                            </w:rPr>
                            <w:t xml:space="preserve"> Katharina Koester | Telefon: +49 (0)40 / 350 80 2-988 | k.koester@grossmann-berger.de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3.7pt;margin-top:30.0pt;width:383.3pt;height:15.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pPr>
                    <w:r>
                      <w:rPr>
                        <w:rFonts w:ascii="Arial" w:hAnsi="Arial"/>
                        <w:b w:val="1"/>
                        <w:bCs w:val="1"/>
                        <w:sz w:val="16"/>
                        <w:szCs w:val="16"/>
                        <w:rtl w:val="0"/>
                        <w:lang w:val="de-DE"/>
                      </w:rPr>
                      <w:t>Pressekontakt:</w:t>
                    </w:r>
                    <w:r>
                      <w:rPr>
                        <w:rFonts w:ascii="Arial" w:hAnsi="Arial"/>
                        <w:sz w:val="16"/>
                        <w:szCs w:val="16"/>
                        <w:rtl w:val="0"/>
                        <w:lang w:val="de-DE"/>
                      </w:rPr>
                      <w:t xml:space="preserve"> Katharina Koester | Telefon: +49 (0)40 / 350 80 2-988 | k.koester@grossmann-berger.de</w:t>
                    </w:r>
                  </w:p>
                </w:txbxContent>
              </v:textbox>
              <w10:wrap type="none" side="bothSides" anchorx="page" anchory="page"/>
            </v:shape>
          </w:pict>
        </mc:Fallback>
      </mc:AlternateContent>
    </w:r>
    <w:r>
      <w:rPr>
        <w:noProof/>
      </w:rPr>
      <w:drawing>
        <wp:anchor distT="152400" distB="152400" distL="152400" distR="152400" simplePos="0" relativeHeight="251658752" behindDoc="1" locked="0" layoutInCell="1" allowOverlap="1">
          <wp:simplePos x="0" y="0"/>
          <wp:positionH relativeFrom="page">
            <wp:posOffset>104775</wp:posOffset>
          </wp:positionH>
          <wp:positionV relativeFrom="page">
            <wp:posOffset>9457690</wp:posOffset>
          </wp:positionV>
          <wp:extent cx="7346950" cy="1140460"/>
          <wp:effectExtent l="0" t="0" r="0" b="0"/>
          <wp:wrapNone/>
          <wp:docPr id="1073741827" name="officeArt object" descr="Bild 2"/>
          <wp:cNvGraphicFramePr/>
          <a:graphic xmlns:a="http://schemas.openxmlformats.org/drawingml/2006/main">
            <a:graphicData uri="http://schemas.openxmlformats.org/drawingml/2006/picture">
              <pic:pic xmlns:pic="http://schemas.openxmlformats.org/drawingml/2006/picture">
                <pic:nvPicPr>
                  <pic:cNvPr id="1073741827" name="Bild 2" descr="Bild 2"/>
                  <pic:cNvPicPr>
                    <a:picLocks noChangeAspect="1"/>
                  </pic:cNvPicPr>
                </pic:nvPicPr>
                <pic:blipFill>
                  <a:blip r:embed="rId1">
                    <a:extLst/>
                  </a:blip>
                  <a:stretch>
                    <a:fillRect/>
                  </a:stretch>
                </pic:blipFill>
                <pic:spPr>
                  <a:xfrm>
                    <a:off x="0" y="0"/>
                    <a:ext cx="7346950" cy="1140460"/>
                  </a:xfrm>
                  <a:prstGeom prst="rect">
                    <a:avLst/>
                  </a:prstGeom>
                  <a:ln w="12700" cap="flat">
                    <a:noFill/>
                    <a:miter lim="400000"/>
                  </a:ln>
                  <a:effectLst/>
                </pic:spPr>
              </pic:pic>
            </a:graphicData>
          </a:graphic>
        </wp:anchor>
      </w:drawing>
    </w:r>
    <w:r>
      <w:rPr>
        <w:rFonts w:ascii="Arial" w:hAnsi="Arial"/>
        <w:color w:val="918F90"/>
        <w:sz w:val="28"/>
        <w:szCs w:val="28"/>
        <w:u w:color="918F90"/>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5C77"/>
    <w:multiLevelType w:val="hybridMultilevel"/>
    <w:tmpl w:val="E8DCEBEE"/>
    <w:numStyleLink w:val="ImportierterStil1"/>
  </w:abstractNum>
  <w:abstractNum w:abstractNumId="1" w15:restartNumberingAfterBreak="0">
    <w:nsid w:val="65535AFA"/>
    <w:multiLevelType w:val="hybridMultilevel"/>
    <w:tmpl w:val="E8DCEBEE"/>
    <w:styleLink w:val="ImportierterStil1"/>
    <w:lvl w:ilvl="0" w:tplc="9E826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16D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B04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400C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509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96E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CA15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A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B2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99"/>
    <w:rsid w:val="00163D76"/>
    <w:rsid w:val="00187899"/>
    <w:rsid w:val="001954B3"/>
    <w:rsid w:val="00363C2A"/>
    <w:rsid w:val="003F02C1"/>
    <w:rsid w:val="004A6CBD"/>
    <w:rsid w:val="004D27D9"/>
    <w:rsid w:val="00583417"/>
    <w:rsid w:val="006215C8"/>
    <w:rsid w:val="00727EAF"/>
    <w:rsid w:val="007501FF"/>
    <w:rsid w:val="00820F1F"/>
    <w:rsid w:val="008530C7"/>
    <w:rsid w:val="00951C70"/>
    <w:rsid w:val="00B04626"/>
    <w:rsid w:val="00B4050D"/>
    <w:rsid w:val="00BD4213"/>
    <w:rsid w:val="00C63B4E"/>
    <w:rsid w:val="00D00D59"/>
    <w:rsid w:val="00D15ACC"/>
    <w:rsid w:val="00D95EAD"/>
    <w:rsid w:val="00E13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BAEB"/>
  <w15:docId w15:val="{4BCF06FF-A8C7-47A6-9B07-FF0BBC48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spacing w:after="200"/>
    </w:pPr>
    <w:rPr>
      <w:rFonts w:ascii="Cambria" w:hAnsi="Cambria" w:cs="Arial Unicode MS"/>
      <w:color w:val="000000"/>
      <w:sz w:val="24"/>
      <w:szCs w:val="24"/>
      <w:u w:color="000000"/>
    </w:rPr>
  </w:style>
  <w:style w:type="paragraph" w:styleId="Listenabsatz">
    <w:name w:val="List Paragraph"/>
    <w:pPr>
      <w:spacing w:after="200"/>
      <w:ind w:left="720"/>
    </w:pPr>
    <w:rPr>
      <w:rFonts w:ascii="Cambria" w:hAnsi="Cambria" w:cs="Arial Unicode MS"/>
      <w:color w:val="000000"/>
      <w:sz w:val="24"/>
      <w:szCs w:val="24"/>
      <w:u w:color="000000"/>
    </w:rPr>
  </w:style>
  <w:style w:type="numbering" w:customStyle="1" w:styleId="ImportierterStil1">
    <w:name w:val="Importierter Sti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0"/>
      <w:szCs w:val="20"/>
      <w:u w:val="single" w:color="0000FF"/>
    </w:rPr>
  </w:style>
  <w:style w:type="character" w:customStyle="1" w:styleId="Hyperlink1">
    <w:name w:val="Hyperlink.1"/>
    <w:basedOn w:val="Link"/>
    <w:rPr>
      <w:rFonts w:ascii="Arial" w:eastAsia="Arial" w:hAnsi="Arial" w:cs="Arial"/>
      <w:outline w:val="0"/>
      <w:color w:val="0000FF"/>
      <w:sz w:val="16"/>
      <w:szCs w:val="16"/>
      <w:u w:val="single" w:color="0000FF"/>
    </w:rPr>
  </w:style>
  <w:style w:type="paragraph" w:styleId="Sprechblasentext">
    <w:name w:val="Balloon Text"/>
    <w:basedOn w:val="Standard"/>
    <w:link w:val="SprechblasentextZchn"/>
    <w:uiPriority w:val="99"/>
    <w:semiHidden/>
    <w:unhideWhenUsed/>
    <w:rsid w:val="007501F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1FF"/>
    <w:rPr>
      <w:rFonts w:ascii="Segoe UI" w:hAnsi="Segoe UI" w:cs="Segoe UI"/>
      <w:color w:val="000000"/>
      <w:sz w:val="18"/>
      <w:szCs w:val="18"/>
      <w:u w:color="000000"/>
      <w14:textOutline w14:w="0" w14:cap="flat" w14:cmpd="sng" w14:algn="ctr">
        <w14:noFill/>
        <w14:prstDash w14:val="solid"/>
        <w14:bevel/>
      </w14:textOutline>
    </w:rPr>
  </w:style>
  <w:style w:type="paragraph" w:styleId="berarbeitung">
    <w:name w:val="Revision"/>
    <w:hidden/>
    <w:uiPriority w:val="99"/>
    <w:semiHidden/>
    <w:rsid w:val="00B4050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rossmann-berger.de/info/marktberichte-preistrends" TargetMode="External"/><Relationship Id="rId13" Type="http://schemas.openxmlformats.org/officeDocument/2006/relationships/hyperlink" Target="https://www.grossmann-berger.de/datenschut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ermanpropertypartners.de/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grossmann-berger.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g-immobilien.de/privat-immobilien" TargetMode="External"/><Relationship Id="rId5" Type="http://schemas.openxmlformats.org/officeDocument/2006/relationships/footnotes" Target="footnotes.xml"/><Relationship Id="rId15" Type="http://schemas.openxmlformats.org/officeDocument/2006/relationships/hyperlink" Target="https://www.grossmann-berger.de/unternehmen/pressemappe/nutzungsbedingungen-presse" TargetMode="External"/><Relationship Id="rId10" Type="http://schemas.openxmlformats.org/officeDocument/2006/relationships/hyperlink" Target="https://www.eug-immobilien.de/gewerbe-immobili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rossmann-berger.de" TargetMode="External"/><Relationship Id="rId14" Type="http://schemas.openxmlformats.org/officeDocument/2006/relationships/hyperlink" Target="https://www.grossmann-berger.de/unternehmen/pressemap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6022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Koester</dc:creator>
  <cp:lastModifiedBy>Katharina Koester</cp:lastModifiedBy>
  <cp:revision>2</cp:revision>
  <cp:lastPrinted>2022-12-30T09:00:00Z</cp:lastPrinted>
  <dcterms:created xsi:type="dcterms:W3CDTF">2022-12-30T13:19:00Z</dcterms:created>
  <dcterms:modified xsi:type="dcterms:W3CDTF">2022-12-30T13:19:00Z</dcterms:modified>
</cp:coreProperties>
</file>