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2CD1" w14:textId="1C886F43" w:rsidR="00C7341F" w:rsidRDefault="00C7341F" w:rsidP="000C770D">
      <w:pPr>
        <w:spacing w:after="0" w:line="360" w:lineRule="auto"/>
        <w:rPr>
          <w:rFonts w:ascii="Arial" w:hAnsi="Arial" w:cs="Arial"/>
          <w:b/>
        </w:rPr>
      </w:pPr>
      <w:r w:rsidRPr="0054412E">
        <w:rPr>
          <w:rFonts w:ascii="Arial" w:hAnsi="Arial" w:cs="Arial"/>
          <w:b/>
        </w:rPr>
        <w:t xml:space="preserve">Hamburg: </w:t>
      </w:r>
      <w:r>
        <w:rPr>
          <w:rFonts w:ascii="Arial" w:hAnsi="Arial" w:cs="Arial"/>
          <w:b/>
        </w:rPr>
        <w:t>Investmentmarkt 1.</w:t>
      </w:r>
      <w:r w:rsidR="00096E23">
        <w:rPr>
          <w:rFonts w:ascii="Arial" w:hAnsi="Arial" w:cs="Arial"/>
          <w:b/>
        </w:rPr>
        <w:t>-</w:t>
      </w:r>
      <w:r w:rsidR="004A690A">
        <w:rPr>
          <w:rFonts w:ascii="Arial" w:hAnsi="Arial" w:cs="Arial"/>
          <w:b/>
        </w:rPr>
        <w:t>3</w:t>
      </w:r>
      <w:r w:rsidR="00DC1935">
        <w:rPr>
          <w:rFonts w:ascii="Arial" w:hAnsi="Arial" w:cs="Arial"/>
          <w:b/>
        </w:rPr>
        <w:t>.</w:t>
      </w:r>
      <w:r w:rsidRPr="00B9324B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22</w:t>
      </w:r>
    </w:p>
    <w:p w14:paraId="6919F2CA" w14:textId="40A16018" w:rsidR="00D04BA2" w:rsidRPr="00656B29" w:rsidRDefault="00043DB3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Beteiligungen</w:t>
      </w:r>
      <w:r w:rsidR="00633A44">
        <w:rPr>
          <w:rFonts w:ascii="Arial" w:hAnsi="Arial" w:cs="Arial"/>
          <w:b/>
          <w:sz w:val="28"/>
          <w:szCs w:val="28"/>
        </w:rPr>
        <w:t xml:space="preserve"> </w:t>
      </w:r>
      <w:r w:rsidR="00B02702">
        <w:rPr>
          <w:rFonts w:ascii="Arial" w:hAnsi="Arial" w:cs="Arial"/>
          <w:b/>
          <w:sz w:val="28"/>
          <w:szCs w:val="28"/>
        </w:rPr>
        <w:t xml:space="preserve">und Übernahmen </w:t>
      </w:r>
      <w:r w:rsidR="00633A44">
        <w:rPr>
          <w:rFonts w:ascii="Arial" w:hAnsi="Arial" w:cs="Arial"/>
          <w:b/>
          <w:sz w:val="28"/>
          <w:szCs w:val="28"/>
        </w:rPr>
        <w:t xml:space="preserve">pushen </w:t>
      </w:r>
      <w:r w:rsidR="00A90E7B">
        <w:rPr>
          <w:rFonts w:ascii="Arial" w:hAnsi="Arial" w:cs="Arial"/>
          <w:b/>
          <w:sz w:val="28"/>
          <w:szCs w:val="28"/>
        </w:rPr>
        <w:t>Transaktionsvolumen</w:t>
      </w:r>
    </w:p>
    <w:p w14:paraId="23842E4F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123225" w14:textId="540A4C4A" w:rsidR="00DA08B0" w:rsidRDefault="00C7341F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AA49AA">
        <w:rPr>
          <w:rFonts w:ascii="Arial" w:hAnsi="Arial" w:cs="Arial"/>
          <w:b/>
          <w:sz w:val="20"/>
          <w:szCs w:val="20"/>
        </w:rPr>
        <w:t>30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 w:rsidR="00AA49AA">
        <w:rPr>
          <w:rFonts w:ascii="Arial" w:hAnsi="Arial" w:cs="Arial"/>
          <w:b/>
          <w:sz w:val="20"/>
          <w:szCs w:val="20"/>
        </w:rPr>
        <w:t>Septemb</w:t>
      </w:r>
      <w:r w:rsidR="004A690A">
        <w:rPr>
          <w:rFonts w:ascii="Arial" w:hAnsi="Arial" w:cs="Arial"/>
          <w:b/>
          <w:sz w:val="20"/>
          <w:szCs w:val="20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2022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3B4CCF" w:rsidRPr="0046298E">
        <w:rPr>
          <w:rFonts w:ascii="Arial" w:hAnsi="Arial" w:cs="Arial"/>
          <w:sz w:val="20"/>
          <w:szCs w:val="20"/>
        </w:rPr>
        <w:t>–</w:t>
      </w:r>
      <w:r w:rsidR="00DC4B56">
        <w:rPr>
          <w:rFonts w:ascii="Arial" w:hAnsi="Arial" w:cs="Arial"/>
          <w:b/>
          <w:sz w:val="20"/>
          <w:szCs w:val="20"/>
        </w:rPr>
        <w:t xml:space="preserve"> </w:t>
      </w:r>
      <w:r w:rsidR="00AF618E">
        <w:rPr>
          <w:rFonts w:ascii="Arial" w:hAnsi="Arial" w:cs="Arial"/>
          <w:sz w:val="20"/>
          <w:szCs w:val="20"/>
        </w:rPr>
        <w:t>Das Transaktionsvolumen (TAV) auf dem</w:t>
      </w:r>
      <w:r w:rsidR="00DC4B56">
        <w:rPr>
          <w:rFonts w:ascii="Arial" w:hAnsi="Arial" w:cs="Arial"/>
          <w:sz w:val="20"/>
          <w:szCs w:val="20"/>
        </w:rPr>
        <w:t xml:space="preserve"> Investmentmarkt für gewerbliche Immobilien </w:t>
      </w:r>
      <w:r w:rsidR="00AF618E">
        <w:rPr>
          <w:rFonts w:ascii="Arial" w:hAnsi="Arial" w:cs="Arial"/>
          <w:sz w:val="20"/>
          <w:szCs w:val="20"/>
        </w:rPr>
        <w:t xml:space="preserve">in Hamburg belief sich zum </w:t>
      </w:r>
      <w:r w:rsidR="00DC4B56">
        <w:rPr>
          <w:rFonts w:ascii="Arial" w:hAnsi="Arial" w:cs="Arial"/>
          <w:sz w:val="20"/>
          <w:szCs w:val="20"/>
        </w:rPr>
        <w:t>Ende des 3. Quartals</w:t>
      </w:r>
      <w:r w:rsidR="00D85E04">
        <w:rPr>
          <w:rFonts w:ascii="Arial" w:hAnsi="Arial" w:cs="Arial"/>
          <w:sz w:val="20"/>
          <w:szCs w:val="20"/>
        </w:rPr>
        <w:t xml:space="preserve"> </w:t>
      </w:r>
      <w:r w:rsidR="00AF618E">
        <w:rPr>
          <w:rFonts w:ascii="Arial" w:hAnsi="Arial" w:cs="Arial"/>
          <w:sz w:val="20"/>
          <w:szCs w:val="20"/>
        </w:rPr>
        <w:t>auf rund</w:t>
      </w:r>
      <w:r w:rsidR="00D85E04">
        <w:rPr>
          <w:rFonts w:ascii="Arial" w:hAnsi="Arial" w:cs="Arial"/>
          <w:sz w:val="20"/>
          <w:szCs w:val="20"/>
        </w:rPr>
        <w:t xml:space="preserve"> 3,9 Mrd. €</w:t>
      </w:r>
      <w:r w:rsidR="00AF618E">
        <w:rPr>
          <w:rFonts w:ascii="Arial" w:hAnsi="Arial" w:cs="Arial"/>
          <w:sz w:val="20"/>
          <w:szCs w:val="20"/>
        </w:rPr>
        <w:t>. Damit l</w:t>
      </w:r>
      <w:r w:rsidR="0046298E">
        <w:rPr>
          <w:rFonts w:ascii="Arial" w:hAnsi="Arial" w:cs="Arial"/>
          <w:sz w:val="20"/>
          <w:szCs w:val="20"/>
        </w:rPr>
        <w:t>ag</w:t>
      </w:r>
      <w:r w:rsidR="00AF618E">
        <w:rPr>
          <w:rFonts w:ascii="Arial" w:hAnsi="Arial" w:cs="Arial"/>
          <w:sz w:val="20"/>
          <w:szCs w:val="20"/>
        </w:rPr>
        <w:t xml:space="preserve"> </w:t>
      </w:r>
      <w:r w:rsidR="004B7C55">
        <w:rPr>
          <w:rFonts w:ascii="Arial" w:hAnsi="Arial" w:cs="Arial"/>
          <w:sz w:val="20"/>
          <w:szCs w:val="20"/>
        </w:rPr>
        <w:t>es</w:t>
      </w:r>
      <w:r w:rsidR="00AF618E">
        <w:rPr>
          <w:rFonts w:ascii="Arial" w:hAnsi="Arial" w:cs="Arial"/>
          <w:sz w:val="20"/>
          <w:szCs w:val="20"/>
        </w:rPr>
        <w:t xml:space="preserve"> </w:t>
      </w:r>
      <w:r w:rsidR="00964F99">
        <w:rPr>
          <w:rFonts w:ascii="Arial" w:hAnsi="Arial" w:cs="Arial"/>
          <w:sz w:val="20"/>
          <w:szCs w:val="20"/>
        </w:rPr>
        <w:t>deutlich ü</w:t>
      </w:r>
      <w:r w:rsidR="00D85E04">
        <w:rPr>
          <w:rFonts w:ascii="Arial" w:hAnsi="Arial" w:cs="Arial"/>
          <w:sz w:val="20"/>
          <w:szCs w:val="20"/>
        </w:rPr>
        <w:t>ber dem Vorjahreswert (2,1 Mrd. €)</w:t>
      </w:r>
      <w:r w:rsidR="00AF618E">
        <w:rPr>
          <w:rFonts w:ascii="Arial" w:hAnsi="Arial" w:cs="Arial"/>
          <w:sz w:val="20"/>
          <w:szCs w:val="20"/>
        </w:rPr>
        <w:t xml:space="preserve"> </w:t>
      </w:r>
      <w:r w:rsidR="00964F99">
        <w:rPr>
          <w:rFonts w:ascii="Arial" w:hAnsi="Arial" w:cs="Arial"/>
          <w:sz w:val="20"/>
          <w:szCs w:val="20"/>
        </w:rPr>
        <w:t>und</w:t>
      </w:r>
      <w:r w:rsidR="00FD0461">
        <w:rPr>
          <w:rFonts w:ascii="Arial" w:hAnsi="Arial" w:cs="Arial"/>
          <w:sz w:val="20"/>
          <w:szCs w:val="20"/>
        </w:rPr>
        <w:t xml:space="preserve"> erreichte das zweithöchste jemals </w:t>
      </w:r>
      <w:r w:rsidR="00FF4F3D">
        <w:rPr>
          <w:rFonts w:ascii="Arial" w:hAnsi="Arial" w:cs="Arial"/>
          <w:sz w:val="20"/>
          <w:szCs w:val="20"/>
        </w:rPr>
        <w:t xml:space="preserve">zum Ende eines 3. Quartals </w:t>
      </w:r>
      <w:r w:rsidR="00FD0461">
        <w:rPr>
          <w:rFonts w:ascii="Arial" w:hAnsi="Arial" w:cs="Arial"/>
          <w:sz w:val="20"/>
          <w:szCs w:val="20"/>
        </w:rPr>
        <w:t xml:space="preserve">erfasste Ergebnis nach dem Rekordjahr 2018 </w:t>
      </w:r>
      <w:r w:rsidR="004B7C55">
        <w:rPr>
          <w:rFonts w:ascii="Arial" w:hAnsi="Arial" w:cs="Arial"/>
          <w:sz w:val="20"/>
          <w:szCs w:val="20"/>
        </w:rPr>
        <w:t xml:space="preserve">(4 Mrd. €). </w:t>
      </w:r>
      <w:r w:rsidR="002C4286">
        <w:rPr>
          <w:rFonts w:ascii="Arial" w:hAnsi="Arial" w:cs="Arial"/>
          <w:sz w:val="20"/>
          <w:szCs w:val="20"/>
        </w:rPr>
        <w:t>Ein Großteil</w:t>
      </w:r>
      <w:r w:rsidR="00EA05CA">
        <w:rPr>
          <w:rFonts w:ascii="Arial" w:hAnsi="Arial" w:cs="Arial"/>
          <w:sz w:val="20"/>
          <w:szCs w:val="20"/>
        </w:rPr>
        <w:t xml:space="preserve"> des Transaktionsvolumens (1,4 Mrd. €) entfiel auf das </w:t>
      </w:r>
      <w:r w:rsidR="0046298E">
        <w:rPr>
          <w:rFonts w:ascii="Arial" w:hAnsi="Arial" w:cs="Arial"/>
          <w:sz w:val="20"/>
          <w:szCs w:val="20"/>
        </w:rPr>
        <w:t>3. Quartal</w:t>
      </w:r>
      <w:r w:rsidR="00043DB3">
        <w:rPr>
          <w:rFonts w:ascii="Arial" w:hAnsi="Arial" w:cs="Arial"/>
          <w:sz w:val="20"/>
          <w:szCs w:val="20"/>
        </w:rPr>
        <w:t>.</w:t>
      </w:r>
      <w:r w:rsidR="00FD0461">
        <w:rPr>
          <w:rFonts w:ascii="Arial" w:hAnsi="Arial" w:cs="Arial"/>
          <w:sz w:val="20"/>
          <w:szCs w:val="20"/>
        </w:rPr>
        <w:t xml:space="preserve"> </w:t>
      </w:r>
      <w:r w:rsidR="003C6FF4">
        <w:rPr>
          <w:rFonts w:ascii="Arial" w:hAnsi="Arial" w:cs="Arial"/>
          <w:sz w:val="20"/>
          <w:szCs w:val="20"/>
        </w:rPr>
        <w:t>Das</w:t>
      </w:r>
      <w:bookmarkStart w:id="0" w:name="_GoBack"/>
      <w:bookmarkEnd w:id="0"/>
      <w:r w:rsidR="003C6FF4">
        <w:rPr>
          <w:rFonts w:ascii="Arial" w:hAnsi="Arial" w:cs="Arial"/>
          <w:sz w:val="20"/>
          <w:szCs w:val="20"/>
        </w:rPr>
        <w:t xml:space="preserve"> hohe Volumen w</w:t>
      </w:r>
      <w:r w:rsidR="00CA4A39">
        <w:rPr>
          <w:rFonts w:ascii="Arial" w:hAnsi="Arial" w:cs="Arial"/>
          <w:sz w:val="20"/>
          <w:szCs w:val="20"/>
        </w:rPr>
        <w:t>u</w:t>
      </w:r>
      <w:r w:rsidR="003C6FF4">
        <w:rPr>
          <w:rFonts w:ascii="Arial" w:hAnsi="Arial" w:cs="Arial"/>
          <w:sz w:val="20"/>
          <w:szCs w:val="20"/>
        </w:rPr>
        <w:t>rd</w:t>
      </w:r>
      <w:r w:rsidR="00CA4A39">
        <w:rPr>
          <w:rFonts w:ascii="Arial" w:hAnsi="Arial" w:cs="Arial"/>
          <w:sz w:val="20"/>
          <w:szCs w:val="20"/>
        </w:rPr>
        <w:t>e</w:t>
      </w:r>
      <w:r w:rsidR="003C6FF4">
        <w:rPr>
          <w:rFonts w:ascii="Arial" w:hAnsi="Arial" w:cs="Arial"/>
          <w:sz w:val="20"/>
          <w:szCs w:val="20"/>
        </w:rPr>
        <w:t xml:space="preserve"> jedoch durch Sondereffekte erzielt. </w:t>
      </w:r>
      <w:r w:rsidR="00AF618E" w:rsidRPr="00DA08B0">
        <w:rPr>
          <w:rFonts w:ascii="Arial" w:hAnsi="Arial" w:cs="Arial"/>
          <w:i/>
          <w:sz w:val="20"/>
          <w:szCs w:val="20"/>
        </w:rPr>
        <w:t>„</w:t>
      </w:r>
      <w:r w:rsidR="00DA08B0" w:rsidRPr="00DA08B0">
        <w:rPr>
          <w:rFonts w:ascii="Arial" w:hAnsi="Arial" w:cs="Arial"/>
          <w:i/>
          <w:sz w:val="20"/>
          <w:szCs w:val="20"/>
        </w:rPr>
        <w:t>Die Zahlen lassen eine rege Transaktionsdynamik vermuten</w:t>
      </w:r>
      <w:r w:rsidR="00F10D6A">
        <w:rPr>
          <w:rFonts w:ascii="Arial" w:hAnsi="Arial" w:cs="Arial"/>
          <w:i/>
          <w:sz w:val="20"/>
          <w:szCs w:val="20"/>
        </w:rPr>
        <w:t xml:space="preserve">, sind aber </w:t>
      </w:r>
      <w:r w:rsidR="00043DB3">
        <w:rPr>
          <w:rFonts w:ascii="Arial" w:hAnsi="Arial" w:cs="Arial"/>
          <w:i/>
          <w:sz w:val="20"/>
          <w:szCs w:val="20"/>
        </w:rPr>
        <w:t>das Ergebnis</w:t>
      </w:r>
      <w:r w:rsidR="00FD0461">
        <w:rPr>
          <w:rFonts w:ascii="Arial" w:hAnsi="Arial" w:cs="Arial"/>
          <w:i/>
          <w:sz w:val="20"/>
          <w:szCs w:val="20"/>
        </w:rPr>
        <w:t xml:space="preserve"> großvolumiger </w:t>
      </w:r>
      <w:r w:rsidR="00F10D6A" w:rsidRPr="00DA08B0">
        <w:rPr>
          <w:rFonts w:ascii="Arial" w:hAnsi="Arial" w:cs="Arial"/>
          <w:i/>
          <w:sz w:val="20"/>
          <w:szCs w:val="20"/>
        </w:rPr>
        <w:t>Übernahmen</w:t>
      </w:r>
      <w:r w:rsidR="00FD0461">
        <w:rPr>
          <w:rFonts w:ascii="Arial" w:hAnsi="Arial" w:cs="Arial"/>
          <w:i/>
          <w:sz w:val="20"/>
          <w:szCs w:val="20"/>
        </w:rPr>
        <w:t xml:space="preserve"> und Projektbeteiligungen</w:t>
      </w:r>
      <w:r w:rsidR="00F10D6A">
        <w:rPr>
          <w:rFonts w:ascii="Arial" w:hAnsi="Arial" w:cs="Arial"/>
          <w:i/>
          <w:sz w:val="20"/>
          <w:szCs w:val="20"/>
        </w:rPr>
        <w:t xml:space="preserve">, die </w:t>
      </w:r>
      <w:r w:rsidR="009174B1">
        <w:rPr>
          <w:rFonts w:ascii="Arial" w:hAnsi="Arial" w:cs="Arial"/>
          <w:i/>
          <w:sz w:val="20"/>
          <w:szCs w:val="20"/>
        </w:rPr>
        <w:t>etwa die Hälfte</w:t>
      </w:r>
      <w:r w:rsidR="00A90E7B">
        <w:rPr>
          <w:rFonts w:ascii="Arial" w:hAnsi="Arial" w:cs="Arial"/>
          <w:i/>
          <w:sz w:val="20"/>
          <w:szCs w:val="20"/>
        </w:rPr>
        <w:t xml:space="preserve"> des </w:t>
      </w:r>
      <w:r w:rsidR="009174B1">
        <w:rPr>
          <w:rFonts w:ascii="Arial" w:hAnsi="Arial" w:cs="Arial"/>
          <w:i/>
          <w:sz w:val="20"/>
          <w:szCs w:val="20"/>
        </w:rPr>
        <w:t xml:space="preserve">bisher </w:t>
      </w:r>
      <w:r w:rsidR="00B02702">
        <w:rPr>
          <w:rFonts w:ascii="Arial" w:hAnsi="Arial" w:cs="Arial"/>
          <w:i/>
          <w:sz w:val="20"/>
          <w:szCs w:val="20"/>
        </w:rPr>
        <w:t xml:space="preserve">in diesem Jahr </w:t>
      </w:r>
      <w:r w:rsidR="009174B1">
        <w:rPr>
          <w:rFonts w:ascii="Arial" w:hAnsi="Arial" w:cs="Arial"/>
          <w:i/>
          <w:sz w:val="20"/>
          <w:szCs w:val="20"/>
        </w:rPr>
        <w:t xml:space="preserve">erzielten </w:t>
      </w:r>
      <w:r w:rsidR="00A90E7B">
        <w:rPr>
          <w:rFonts w:ascii="Arial" w:hAnsi="Arial" w:cs="Arial"/>
          <w:i/>
          <w:sz w:val="20"/>
          <w:szCs w:val="20"/>
        </w:rPr>
        <w:t>Gesamtvolumens aus</w:t>
      </w:r>
      <w:r w:rsidR="00F10D6A">
        <w:rPr>
          <w:rFonts w:ascii="Arial" w:hAnsi="Arial" w:cs="Arial"/>
          <w:i/>
          <w:sz w:val="20"/>
          <w:szCs w:val="20"/>
        </w:rPr>
        <w:t>machen</w:t>
      </w:r>
      <w:r w:rsidR="00DA08B0" w:rsidRPr="00DA08B0">
        <w:rPr>
          <w:rFonts w:ascii="Arial" w:hAnsi="Arial" w:cs="Arial"/>
          <w:i/>
          <w:sz w:val="20"/>
          <w:szCs w:val="20"/>
        </w:rPr>
        <w:t>“</w:t>
      </w:r>
      <w:r w:rsidR="00A90E7B">
        <w:rPr>
          <w:rFonts w:ascii="Arial" w:hAnsi="Arial" w:cs="Arial"/>
          <w:i/>
          <w:sz w:val="20"/>
          <w:szCs w:val="20"/>
        </w:rPr>
        <w:t>,</w:t>
      </w:r>
      <w:r w:rsidR="00DA08B0">
        <w:rPr>
          <w:rFonts w:ascii="Arial" w:hAnsi="Arial" w:cs="Arial"/>
          <w:sz w:val="20"/>
          <w:szCs w:val="20"/>
        </w:rPr>
        <w:t xml:space="preserve"> stellt </w:t>
      </w:r>
      <w:r w:rsidR="00DA08B0" w:rsidRPr="002E7AA5">
        <w:rPr>
          <w:rFonts w:ascii="Arial" w:hAnsi="Arial" w:cs="Arial"/>
          <w:b/>
          <w:sz w:val="20"/>
          <w:szCs w:val="20"/>
        </w:rPr>
        <w:t>Sandra Ludwig</w:t>
      </w:r>
      <w:r w:rsidR="00DA08B0">
        <w:rPr>
          <w:rFonts w:ascii="Arial" w:hAnsi="Arial" w:cs="Arial"/>
          <w:sz w:val="20"/>
          <w:szCs w:val="20"/>
        </w:rPr>
        <w:t xml:space="preserve">, Geschäftsführerin von Grossmann &amp; Berger, Mitglied von German Property Partners (GPP), fest. </w:t>
      </w:r>
      <w:r w:rsidR="009174B1">
        <w:rPr>
          <w:rFonts w:ascii="Arial" w:hAnsi="Arial" w:cs="Arial"/>
          <w:sz w:val="20"/>
          <w:szCs w:val="20"/>
        </w:rPr>
        <w:t xml:space="preserve">Dazu zählt Grossmann &amp; Berger </w:t>
      </w:r>
      <w:r w:rsidR="00B02702">
        <w:rPr>
          <w:rFonts w:ascii="Arial" w:hAnsi="Arial" w:cs="Arial"/>
          <w:sz w:val="20"/>
          <w:szCs w:val="20"/>
        </w:rPr>
        <w:t xml:space="preserve">unter anderem die </w:t>
      </w:r>
      <w:r w:rsidR="009317AE">
        <w:rPr>
          <w:rFonts w:ascii="Arial" w:hAnsi="Arial" w:cs="Arial"/>
          <w:sz w:val="20"/>
          <w:szCs w:val="20"/>
        </w:rPr>
        <w:t xml:space="preserve">großvolumige </w:t>
      </w:r>
      <w:proofErr w:type="spellStart"/>
      <w:r w:rsidR="009174B1">
        <w:rPr>
          <w:rFonts w:ascii="Arial" w:hAnsi="Arial" w:cs="Arial"/>
          <w:sz w:val="20"/>
          <w:szCs w:val="20"/>
        </w:rPr>
        <w:t>alstria</w:t>
      </w:r>
      <w:proofErr w:type="spellEnd"/>
      <w:r w:rsidR="009174B1">
        <w:rPr>
          <w:rFonts w:ascii="Arial" w:hAnsi="Arial" w:cs="Arial"/>
          <w:sz w:val="20"/>
          <w:szCs w:val="20"/>
        </w:rPr>
        <w:t xml:space="preserve">-Übernahme </w:t>
      </w:r>
      <w:r w:rsidR="00B02702">
        <w:rPr>
          <w:rFonts w:ascii="Arial" w:hAnsi="Arial" w:cs="Arial"/>
          <w:sz w:val="20"/>
          <w:szCs w:val="20"/>
        </w:rPr>
        <w:t>(Q1)</w:t>
      </w:r>
      <w:r w:rsidR="00FD0461">
        <w:rPr>
          <w:rFonts w:ascii="Arial" w:hAnsi="Arial" w:cs="Arial"/>
          <w:sz w:val="20"/>
          <w:szCs w:val="20"/>
        </w:rPr>
        <w:t xml:space="preserve"> und die Beteiligungen a</w:t>
      </w:r>
      <w:r w:rsidR="00043DB3">
        <w:rPr>
          <w:rFonts w:ascii="Arial" w:hAnsi="Arial" w:cs="Arial"/>
          <w:sz w:val="20"/>
          <w:szCs w:val="20"/>
        </w:rPr>
        <w:t>n</w:t>
      </w:r>
      <w:r w:rsidR="00FD0461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FD0461">
        <w:rPr>
          <w:rFonts w:ascii="Arial" w:hAnsi="Arial" w:cs="Arial"/>
          <w:sz w:val="20"/>
          <w:szCs w:val="20"/>
        </w:rPr>
        <w:t>Elbtower</w:t>
      </w:r>
      <w:proofErr w:type="spellEnd"/>
      <w:r w:rsidR="00FD0461">
        <w:rPr>
          <w:rFonts w:ascii="Arial" w:hAnsi="Arial" w:cs="Arial"/>
          <w:sz w:val="20"/>
          <w:szCs w:val="20"/>
        </w:rPr>
        <w:t xml:space="preserve">“ (Q3) und „EDGE </w:t>
      </w:r>
      <w:proofErr w:type="spellStart"/>
      <w:r w:rsidR="00FD0461">
        <w:rPr>
          <w:rFonts w:ascii="Arial" w:hAnsi="Arial" w:cs="Arial"/>
          <w:sz w:val="20"/>
          <w:szCs w:val="20"/>
        </w:rPr>
        <w:t>ElbSide</w:t>
      </w:r>
      <w:proofErr w:type="spellEnd"/>
      <w:r w:rsidR="00FD0461">
        <w:rPr>
          <w:rFonts w:ascii="Arial" w:hAnsi="Arial" w:cs="Arial"/>
          <w:sz w:val="20"/>
          <w:szCs w:val="20"/>
        </w:rPr>
        <w:t>“ (Q2</w:t>
      </w:r>
      <w:r w:rsidR="00FF4F3D">
        <w:rPr>
          <w:rFonts w:ascii="Arial" w:hAnsi="Arial" w:cs="Arial"/>
          <w:sz w:val="20"/>
          <w:szCs w:val="20"/>
        </w:rPr>
        <w:t xml:space="preserve">). </w:t>
      </w:r>
      <w:r w:rsidR="009174B1">
        <w:rPr>
          <w:rFonts w:ascii="Arial" w:hAnsi="Arial" w:cs="Arial"/>
          <w:sz w:val="20"/>
          <w:szCs w:val="20"/>
        </w:rPr>
        <w:t xml:space="preserve">Klammert man </w:t>
      </w:r>
      <w:r w:rsidR="002450D6">
        <w:rPr>
          <w:rFonts w:ascii="Arial" w:hAnsi="Arial" w:cs="Arial"/>
          <w:sz w:val="20"/>
          <w:szCs w:val="20"/>
        </w:rPr>
        <w:t>diese Sondereffekt</w:t>
      </w:r>
      <w:r w:rsidR="003C6FF4">
        <w:rPr>
          <w:rFonts w:ascii="Arial" w:hAnsi="Arial" w:cs="Arial"/>
          <w:sz w:val="20"/>
          <w:szCs w:val="20"/>
        </w:rPr>
        <w:t>e</w:t>
      </w:r>
      <w:r w:rsidR="00B02702">
        <w:rPr>
          <w:rFonts w:ascii="Arial" w:hAnsi="Arial" w:cs="Arial"/>
          <w:sz w:val="20"/>
          <w:szCs w:val="20"/>
        </w:rPr>
        <w:t xml:space="preserve"> </w:t>
      </w:r>
      <w:r w:rsidR="009174B1">
        <w:rPr>
          <w:rFonts w:ascii="Arial" w:hAnsi="Arial" w:cs="Arial"/>
          <w:sz w:val="20"/>
          <w:szCs w:val="20"/>
        </w:rPr>
        <w:t>bei der Berechnung aus,</w:t>
      </w:r>
      <w:r w:rsidR="00EB076D">
        <w:rPr>
          <w:rFonts w:ascii="Arial" w:hAnsi="Arial" w:cs="Arial"/>
          <w:sz w:val="20"/>
          <w:szCs w:val="20"/>
        </w:rPr>
        <w:t xml:space="preserve"> </w:t>
      </w:r>
      <w:r w:rsidR="0046298E">
        <w:rPr>
          <w:rFonts w:ascii="Arial" w:hAnsi="Arial" w:cs="Arial"/>
          <w:sz w:val="20"/>
          <w:szCs w:val="20"/>
        </w:rPr>
        <w:t>lag</w:t>
      </w:r>
      <w:r w:rsidR="009174B1">
        <w:rPr>
          <w:rFonts w:ascii="Arial" w:hAnsi="Arial" w:cs="Arial"/>
          <w:sz w:val="20"/>
          <w:szCs w:val="20"/>
        </w:rPr>
        <w:t xml:space="preserve"> </w:t>
      </w:r>
      <w:r w:rsidR="00EB076D" w:rsidRPr="00844A10">
        <w:rPr>
          <w:rFonts w:ascii="Arial" w:hAnsi="Arial" w:cs="Arial"/>
          <w:sz w:val="20"/>
          <w:szCs w:val="20"/>
        </w:rPr>
        <w:t>das</w:t>
      </w:r>
      <w:r w:rsidR="00EB076D">
        <w:rPr>
          <w:rFonts w:ascii="Arial" w:hAnsi="Arial" w:cs="Arial"/>
          <w:sz w:val="20"/>
          <w:szCs w:val="20"/>
        </w:rPr>
        <w:t xml:space="preserve"> TAV </w:t>
      </w:r>
      <w:r w:rsidR="009174B1">
        <w:rPr>
          <w:rFonts w:ascii="Arial" w:hAnsi="Arial" w:cs="Arial"/>
          <w:sz w:val="20"/>
          <w:szCs w:val="20"/>
        </w:rPr>
        <w:t xml:space="preserve">bei </w:t>
      </w:r>
      <w:r w:rsidR="009317AE">
        <w:rPr>
          <w:rFonts w:ascii="Arial" w:hAnsi="Arial" w:cs="Arial"/>
          <w:sz w:val="20"/>
          <w:szCs w:val="20"/>
        </w:rPr>
        <w:t xml:space="preserve">lediglich </w:t>
      </w:r>
      <w:r w:rsidR="00EB076D">
        <w:rPr>
          <w:rFonts w:ascii="Arial" w:hAnsi="Arial" w:cs="Arial"/>
          <w:sz w:val="20"/>
          <w:szCs w:val="20"/>
        </w:rPr>
        <w:t xml:space="preserve">rund 1,9 </w:t>
      </w:r>
      <w:proofErr w:type="spellStart"/>
      <w:r w:rsidR="00EB076D">
        <w:rPr>
          <w:rFonts w:ascii="Arial" w:hAnsi="Arial" w:cs="Arial"/>
          <w:sz w:val="20"/>
          <w:szCs w:val="20"/>
        </w:rPr>
        <w:t>Mrd</w:t>
      </w:r>
      <w:proofErr w:type="spellEnd"/>
      <w:r w:rsidR="00EB076D">
        <w:rPr>
          <w:rFonts w:ascii="Arial" w:hAnsi="Arial" w:cs="Arial"/>
          <w:sz w:val="20"/>
          <w:szCs w:val="20"/>
        </w:rPr>
        <w:t xml:space="preserve"> €.</w:t>
      </w:r>
      <w:r w:rsidR="00B02702">
        <w:rPr>
          <w:rFonts w:ascii="Arial" w:hAnsi="Arial" w:cs="Arial"/>
          <w:sz w:val="20"/>
          <w:szCs w:val="20"/>
        </w:rPr>
        <w:t xml:space="preserve"> </w:t>
      </w:r>
      <w:r w:rsidR="00B02702" w:rsidRPr="00B02702">
        <w:rPr>
          <w:rFonts w:ascii="Arial" w:hAnsi="Arial" w:cs="Arial"/>
          <w:b/>
          <w:sz w:val="20"/>
          <w:szCs w:val="20"/>
        </w:rPr>
        <w:t>Ludwig</w:t>
      </w:r>
      <w:r w:rsidR="00844A10">
        <w:rPr>
          <w:rFonts w:ascii="Arial" w:hAnsi="Arial" w:cs="Arial"/>
          <w:sz w:val="20"/>
          <w:szCs w:val="20"/>
        </w:rPr>
        <w:t xml:space="preserve"> </w:t>
      </w:r>
      <w:r w:rsidR="00EB514B">
        <w:rPr>
          <w:rFonts w:ascii="Arial" w:hAnsi="Arial" w:cs="Arial"/>
          <w:sz w:val="20"/>
          <w:szCs w:val="20"/>
        </w:rPr>
        <w:t xml:space="preserve">erwartet </w:t>
      </w:r>
      <w:r w:rsidR="00AE5B2B">
        <w:rPr>
          <w:rFonts w:ascii="Arial" w:hAnsi="Arial" w:cs="Arial"/>
          <w:sz w:val="20"/>
          <w:szCs w:val="20"/>
        </w:rPr>
        <w:t>einen eher verhaltenen Jahresabschluss</w:t>
      </w:r>
      <w:r w:rsidR="00B02702">
        <w:rPr>
          <w:rFonts w:ascii="Arial" w:hAnsi="Arial" w:cs="Arial"/>
          <w:sz w:val="20"/>
          <w:szCs w:val="20"/>
        </w:rPr>
        <w:t>:</w:t>
      </w:r>
      <w:r w:rsidR="00844A10" w:rsidRPr="00844A10">
        <w:rPr>
          <w:rFonts w:ascii="Arial" w:hAnsi="Arial" w:cs="Arial"/>
          <w:i/>
          <w:sz w:val="20"/>
          <w:szCs w:val="20"/>
        </w:rPr>
        <w:t xml:space="preserve"> </w:t>
      </w:r>
      <w:r w:rsidR="00844A10" w:rsidRPr="00A90E7B">
        <w:rPr>
          <w:rFonts w:ascii="Arial" w:hAnsi="Arial" w:cs="Arial"/>
          <w:i/>
          <w:sz w:val="20"/>
          <w:szCs w:val="20"/>
        </w:rPr>
        <w:t xml:space="preserve">„Nach wie vor belasten </w:t>
      </w:r>
      <w:r w:rsidR="00844A10">
        <w:rPr>
          <w:rFonts w:ascii="Arial" w:hAnsi="Arial" w:cs="Arial"/>
          <w:i/>
          <w:sz w:val="20"/>
          <w:szCs w:val="20"/>
        </w:rPr>
        <w:t xml:space="preserve">insbesondere </w:t>
      </w:r>
      <w:r w:rsidR="00844A10" w:rsidRPr="00A90E7B">
        <w:rPr>
          <w:rFonts w:ascii="Arial" w:hAnsi="Arial" w:cs="Arial"/>
          <w:i/>
          <w:sz w:val="20"/>
          <w:szCs w:val="20"/>
        </w:rPr>
        <w:t xml:space="preserve">die gestiegenen Finanzierungskosten </w:t>
      </w:r>
      <w:r w:rsidR="002450D6">
        <w:rPr>
          <w:rFonts w:ascii="Arial" w:hAnsi="Arial" w:cs="Arial"/>
          <w:i/>
          <w:sz w:val="20"/>
          <w:szCs w:val="20"/>
        </w:rPr>
        <w:t xml:space="preserve">bei weiterhin hohen Kaufpreisen </w:t>
      </w:r>
      <w:r w:rsidR="00844A10" w:rsidRPr="00A90E7B">
        <w:rPr>
          <w:rFonts w:ascii="Arial" w:hAnsi="Arial" w:cs="Arial"/>
          <w:i/>
          <w:sz w:val="20"/>
          <w:szCs w:val="20"/>
        </w:rPr>
        <w:t>das Marktgeschehen. Inzwischen haben wir das Zinsniveau von vor zehn Jahren erreicht</w:t>
      </w:r>
      <w:r w:rsidR="00B02702">
        <w:rPr>
          <w:rFonts w:ascii="Arial" w:hAnsi="Arial" w:cs="Arial"/>
          <w:i/>
          <w:sz w:val="20"/>
          <w:szCs w:val="20"/>
        </w:rPr>
        <w:t>.</w:t>
      </w:r>
      <w:r w:rsidR="003C6FF4">
        <w:rPr>
          <w:rFonts w:ascii="Arial" w:hAnsi="Arial" w:cs="Arial"/>
          <w:i/>
          <w:sz w:val="20"/>
          <w:szCs w:val="20"/>
        </w:rPr>
        <w:t xml:space="preserve"> Der Druck auf die Kaufpreise steigt daher weiter.</w:t>
      </w:r>
      <w:r w:rsidR="00844A10" w:rsidRPr="00A90E7B">
        <w:rPr>
          <w:rFonts w:ascii="Arial" w:hAnsi="Arial" w:cs="Arial"/>
          <w:i/>
          <w:sz w:val="20"/>
          <w:szCs w:val="20"/>
        </w:rPr>
        <w:t>“</w:t>
      </w:r>
      <w:r w:rsidR="00844A10">
        <w:rPr>
          <w:rFonts w:ascii="Arial" w:hAnsi="Arial" w:cs="Arial"/>
          <w:i/>
          <w:sz w:val="20"/>
          <w:szCs w:val="20"/>
        </w:rPr>
        <w:t xml:space="preserve"> </w:t>
      </w:r>
      <w:r w:rsidR="009317AE">
        <w:rPr>
          <w:rFonts w:ascii="Arial" w:hAnsi="Arial" w:cs="Arial"/>
          <w:sz w:val="20"/>
          <w:szCs w:val="20"/>
        </w:rPr>
        <w:t>D</w:t>
      </w:r>
      <w:r w:rsidR="0095135D">
        <w:rPr>
          <w:rFonts w:ascii="Arial" w:hAnsi="Arial" w:cs="Arial"/>
          <w:sz w:val="20"/>
          <w:szCs w:val="20"/>
        </w:rPr>
        <w:t xml:space="preserve">as </w:t>
      </w:r>
      <w:r w:rsidR="009317AE">
        <w:rPr>
          <w:rFonts w:ascii="Arial" w:hAnsi="Arial" w:cs="Arial"/>
          <w:sz w:val="20"/>
          <w:szCs w:val="20"/>
        </w:rPr>
        <w:t xml:space="preserve">TAV hat </w:t>
      </w:r>
      <w:r w:rsidR="0095135D">
        <w:rPr>
          <w:rFonts w:ascii="Arial" w:hAnsi="Arial" w:cs="Arial"/>
          <w:sz w:val="20"/>
          <w:szCs w:val="20"/>
        </w:rPr>
        <w:t xml:space="preserve">den </w:t>
      </w:r>
      <w:r w:rsidR="00EB514B">
        <w:rPr>
          <w:rFonts w:ascii="Arial" w:hAnsi="Arial" w:cs="Arial"/>
          <w:sz w:val="20"/>
          <w:szCs w:val="20"/>
        </w:rPr>
        <w:t>Wert für das Gesamtjahr 2021</w:t>
      </w:r>
      <w:r w:rsidR="0095135D">
        <w:rPr>
          <w:rFonts w:ascii="Arial" w:hAnsi="Arial" w:cs="Arial"/>
          <w:sz w:val="20"/>
          <w:szCs w:val="20"/>
        </w:rPr>
        <w:t xml:space="preserve"> (3,2 Mrd. €)</w:t>
      </w:r>
      <w:r w:rsidR="00CA4A39">
        <w:rPr>
          <w:rFonts w:ascii="Arial" w:hAnsi="Arial" w:cs="Arial"/>
          <w:sz w:val="20"/>
          <w:szCs w:val="20"/>
        </w:rPr>
        <w:t xml:space="preserve"> aufgrund der Sondereffekte</w:t>
      </w:r>
      <w:r w:rsidR="009317AE">
        <w:rPr>
          <w:rFonts w:ascii="Arial" w:hAnsi="Arial" w:cs="Arial"/>
          <w:sz w:val="20"/>
          <w:szCs w:val="20"/>
        </w:rPr>
        <w:t xml:space="preserve"> schon jetzt übertroffen</w:t>
      </w:r>
      <w:r w:rsidR="0095135D">
        <w:rPr>
          <w:rFonts w:ascii="Arial" w:hAnsi="Arial" w:cs="Arial"/>
          <w:sz w:val="20"/>
          <w:szCs w:val="20"/>
        </w:rPr>
        <w:t xml:space="preserve">. </w:t>
      </w:r>
      <w:r w:rsidR="00844A10">
        <w:rPr>
          <w:rFonts w:ascii="Arial" w:hAnsi="Arial" w:cs="Arial"/>
          <w:sz w:val="20"/>
          <w:szCs w:val="20"/>
        </w:rPr>
        <w:t xml:space="preserve"> </w:t>
      </w:r>
      <w:r w:rsidR="00F10D6A">
        <w:rPr>
          <w:rFonts w:ascii="Arial" w:hAnsi="Arial" w:cs="Arial"/>
          <w:sz w:val="20"/>
          <w:szCs w:val="20"/>
        </w:rPr>
        <w:t xml:space="preserve"> </w:t>
      </w:r>
      <w:r w:rsidR="00A90E7B">
        <w:rPr>
          <w:rFonts w:ascii="Arial" w:hAnsi="Arial" w:cs="Arial"/>
          <w:sz w:val="20"/>
          <w:szCs w:val="20"/>
        </w:rPr>
        <w:t xml:space="preserve"> </w:t>
      </w:r>
    </w:p>
    <w:p w14:paraId="6517AEE9" w14:textId="00EFA178" w:rsidR="00ED39A3" w:rsidRDefault="00DA08B0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618E">
        <w:rPr>
          <w:rFonts w:ascii="Arial" w:hAnsi="Arial" w:cs="Arial"/>
          <w:sz w:val="20"/>
          <w:szCs w:val="20"/>
        </w:rPr>
        <w:t xml:space="preserve"> </w:t>
      </w:r>
      <w:r w:rsidR="00D85E04">
        <w:rPr>
          <w:rFonts w:ascii="Arial" w:hAnsi="Arial" w:cs="Arial"/>
          <w:sz w:val="20"/>
          <w:szCs w:val="20"/>
        </w:rPr>
        <w:t xml:space="preserve">  </w:t>
      </w:r>
    </w:p>
    <w:p w14:paraId="589E0D37" w14:textId="77777777" w:rsidR="00710607" w:rsidRPr="00D35A6D" w:rsidRDefault="00710607" w:rsidP="00710607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5C0544E9" w14:textId="2C1E7CC4" w:rsidR="00A01098" w:rsidRPr="00A01098" w:rsidRDefault="00A01098" w:rsidP="00A01098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Büroimmobilien waren erneut die </w:t>
      </w:r>
      <w:r w:rsidR="009317AE">
        <w:rPr>
          <w:rFonts w:ascii="Arial" w:hAnsi="Arial" w:cs="Arial"/>
          <w:sz w:val="20"/>
          <w:szCs w:val="20"/>
        </w:rPr>
        <w:t>gefragtest</w:t>
      </w:r>
      <w:r>
        <w:rPr>
          <w:rFonts w:ascii="Arial" w:hAnsi="Arial" w:cs="Arial"/>
          <w:sz w:val="20"/>
          <w:szCs w:val="20"/>
        </w:rPr>
        <w:t xml:space="preserve">e </w:t>
      </w:r>
      <w:r w:rsidRPr="006B7CF3">
        <w:rPr>
          <w:rFonts w:ascii="Arial" w:hAnsi="Arial" w:cs="Arial"/>
          <w:sz w:val="20"/>
          <w:szCs w:val="20"/>
          <w:u w:val="single"/>
        </w:rPr>
        <w:t>Assetklasse</w:t>
      </w:r>
      <w:r>
        <w:rPr>
          <w:rFonts w:ascii="Arial" w:hAnsi="Arial" w:cs="Arial"/>
          <w:sz w:val="20"/>
          <w:szCs w:val="20"/>
        </w:rPr>
        <w:t xml:space="preserve"> mi</w:t>
      </w:r>
      <w:r w:rsidR="0024739A">
        <w:rPr>
          <w:rFonts w:ascii="Arial" w:hAnsi="Arial" w:cs="Arial"/>
          <w:sz w:val="20"/>
          <w:szCs w:val="20"/>
        </w:rPr>
        <w:t xml:space="preserve">t einem Volumenanteil von 80 %. </w:t>
      </w:r>
      <w:r w:rsidRPr="00A01098">
        <w:rPr>
          <w:rFonts w:ascii="Arial" w:hAnsi="Arial" w:cs="Arial"/>
          <w:sz w:val="20"/>
          <w:szCs w:val="20"/>
        </w:rPr>
        <w:t xml:space="preserve">Auf Rang zwei und drei folgten </w:t>
      </w:r>
      <w:r w:rsidR="009317AE">
        <w:rPr>
          <w:rFonts w:ascii="Arial" w:hAnsi="Arial" w:cs="Arial"/>
          <w:sz w:val="20"/>
          <w:szCs w:val="20"/>
        </w:rPr>
        <w:t xml:space="preserve">deutlich abgeschlagen </w:t>
      </w:r>
      <w:r w:rsidRPr="00A01098">
        <w:rPr>
          <w:rFonts w:ascii="Arial" w:hAnsi="Arial" w:cs="Arial"/>
          <w:sz w:val="20"/>
          <w:szCs w:val="20"/>
        </w:rPr>
        <w:t>Einzelhandels</w:t>
      </w:r>
      <w:r>
        <w:rPr>
          <w:rFonts w:ascii="Arial" w:hAnsi="Arial" w:cs="Arial"/>
          <w:sz w:val="20"/>
          <w:szCs w:val="20"/>
        </w:rPr>
        <w:t>-</w:t>
      </w:r>
      <w:r w:rsidRPr="00A0109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9</w:t>
      </w:r>
      <w:r w:rsidRPr="00A01098">
        <w:rPr>
          <w:rFonts w:ascii="Arial" w:hAnsi="Arial" w:cs="Arial"/>
          <w:sz w:val="20"/>
          <w:szCs w:val="20"/>
        </w:rPr>
        <w:t xml:space="preserve"> %) und </w:t>
      </w:r>
      <w:r w:rsidR="00EA05CA">
        <w:rPr>
          <w:rFonts w:ascii="Arial" w:hAnsi="Arial" w:cs="Arial"/>
          <w:sz w:val="20"/>
          <w:szCs w:val="20"/>
        </w:rPr>
        <w:t xml:space="preserve">Industrie- </w:t>
      </w:r>
      <w:r w:rsidR="00CA7BB6">
        <w:rPr>
          <w:rFonts w:ascii="Arial" w:hAnsi="Arial" w:cs="Arial"/>
          <w:sz w:val="20"/>
          <w:szCs w:val="20"/>
        </w:rPr>
        <w:t>und</w:t>
      </w:r>
      <w:r w:rsidR="00EA0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Logistikobjekte</w:t>
      </w:r>
      <w:r w:rsidRPr="00A01098">
        <w:rPr>
          <w:rFonts w:ascii="Arial" w:hAnsi="Arial" w:cs="Arial"/>
          <w:sz w:val="20"/>
          <w:szCs w:val="20"/>
        </w:rPr>
        <w:t xml:space="preserve"> (</w:t>
      </w:r>
      <w:r w:rsidR="00FF4F3D">
        <w:rPr>
          <w:rFonts w:ascii="Arial" w:hAnsi="Arial" w:cs="Arial"/>
          <w:sz w:val="20"/>
          <w:szCs w:val="20"/>
        </w:rPr>
        <w:t>7</w:t>
      </w:r>
      <w:r w:rsidRPr="00A01098">
        <w:rPr>
          <w:rFonts w:ascii="Arial" w:hAnsi="Arial" w:cs="Arial"/>
          <w:sz w:val="20"/>
          <w:szCs w:val="20"/>
        </w:rPr>
        <w:t xml:space="preserve"> %).</w:t>
      </w:r>
      <w:r w:rsidR="0024739A">
        <w:rPr>
          <w:rFonts w:ascii="Arial" w:hAnsi="Arial" w:cs="Arial"/>
          <w:sz w:val="20"/>
          <w:szCs w:val="20"/>
        </w:rPr>
        <w:t xml:space="preserve"> Auch ohne den </w:t>
      </w:r>
      <w:proofErr w:type="spellStart"/>
      <w:r w:rsidR="0024739A">
        <w:rPr>
          <w:rFonts w:ascii="Arial" w:hAnsi="Arial" w:cs="Arial"/>
          <w:sz w:val="20"/>
          <w:szCs w:val="20"/>
        </w:rPr>
        <w:t>alstria</w:t>
      </w:r>
      <w:proofErr w:type="spellEnd"/>
      <w:r w:rsidR="0024739A">
        <w:rPr>
          <w:rFonts w:ascii="Arial" w:hAnsi="Arial" w:cs="Arial"/>
          <w:sz w:val="20"/>
          <w:szCs w:val="20"/>
        </w:rPr>
        <w:t>-Deal entfiel</w:t>
      </w:r>
      <w:r w:rsidR="0046298E">
        <w:rPr>
          <w:rFonts w:ascii="Arial" w:hAnsi="Arial" w:cs="Arial"/>
          <w:sz w:val="20"/>
          <w:szCs w:val="20"/>
        </w:rPr>
        <w:t>en</w:t>
      </w:r>
      <w:r w:rsidR="0024739A">
        <w:rPr>
          <w:rFonts w:ascii="Arial" w:hAnsi="Arial" w:cs="Arial"/>
          <w:sz w:val="20"/>
          <w:szCs w:val="20"/>
        </w:rPr>
        <w:t xml:space="preserve"> 68 % des TAV auf </w:t>
      </w:r>
      <w:r w:rsidR="00CA7BB6">
        <w:rPr>
          <w:rFonts w:ascii="Arial" w:hAnsi="Arial" w:cs="Arial"/>
          <w:sz w:val="20"/>
          <w:szCs w:val="20"/>
        </w:rPr>
        <w:t>Büroimmobilien</w:t>
      </w:r>
      <w:r w:rsidR="0024739A">
        <w:rPr>
          <w:rFonts w:ascii="Arial" w:hAnsi="Arial" w:cs="Arial"/>
          <w:sz w:val="20"/>
          <w:szCs w:val="20"/>
        </w:rPr>
        <w:t xml:space="preserve">.  </w:t>
      </w:r>
      <w:r w:rsidR="00FF4F3D">
        <w:rPr>
          <w:rFonts w:ascii="Arial" w:hAnsi="Arial" w:cs="Arial"/>
          <w:sz w:val="20"/>
          <w:szCs w:val="20"/>
        </w:rPr>
        <w:t xml:space="preserve"> </w:t>
      </w:r>
    </w:p>
    <w:p w14:paraId="52235341" w14:textId="657FA06B" w:rsidR="003179D7" w:rsidRDefault="003179D7" w:rsidP="00A01098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574D5E">
        <w:rPr>
          <w:rFonts w:ascii="Arial" w:hAnsi="Arial" w:cs="Arial"/>
          <w:sz w:val="20"/>
          <w:szCs w:val="20"/>
          <w:u w:val="single"/>
        </w:rPr>
        <w:t>Portfolioverkä</w:t>
      </w:r>
      <w:r w:rsidRPr="00435B0F">
        <w:rPr>
          <w:rFonts w:ascii="Arial" w:hAnsi="Arial" w:cs="Arial"/>
          <w:sz w:val="20"/>
          <w:szCs w:val="20"/>
          <w:u w:val="single"/>
        </w:rPr>
        <w:t>ufe</w:t>
      </w:r>
      <w:r w:rsidR="0046298E" w:rsidRPr="0046298E">
        <w:rPr>
          <w:rFonts w:ascii="Arial" w:hAnsi="Arial" w:cs="Arial"/>
          <w:sz w:val="20"/>
          <w:szCs w:val="20"/>
        </w:rPr>
        <w:t xml:space="preserve"> generierten 43</w:t>
      </w:r>
      <w:r w:rsidR="0046298E">
        <w:rPr>
          <w:rFonts w:ascii="Arial" w:hAnsi="Arial" w:cs="Arial"/>
          <w:sz w:val="20"/>
          <w:szCs w:val="20"/>
        </w:rPr>
        <w:t xml:space="preserve"> % des TAV</w:t>
      </w:r>
      <w:r w:rsidRPr="003179D7">
        <w:rPr>
          <w:rFonts w:ascii="Arial" w:hAnsi="Arial" w:cs="Arial"/>
          <w:sz w:val="20"/>
          <w:szCs w:val="20"/>
        </w:rPr>
        <w:t xml:space="preserve">. </w:t>
      </w:r>
      <w:r w:rsidR="0024739A">
        <w:rPr>
          <w:rFonts w:ascii="Arial" w:hAnsi="Arial" w:cs="Arial"/>
          <w:sz w:val="20"/>
          <w:szCs w:val="20"/>
        </w:rPr>
        <w:t xml:space="preserve">Ohne den </w:t>
      </w:r>
      <w:proofErr w:type="spellStart"/>
      <w:r w:rsidR="0024739A">
        <w:rPr>
          <w:rFonts w:ascii="Arial" w:hAnsi="Arial" w:cs="Arial"/>
          <w:sz w:val="20"/>
          <w:szCs w:val="20"/>
        </w:rPr>
        <w:t>alstria</w:t>
      </w:r>
      <w:proofErr w:type="spellEnd"/>
      <w:r w:rsidR="0024739A">
        <w:rPr>
          <w:rFonts w:ascii="Arial" w:hAnsi="Arial" w:cs="Arial"/>
          <w:sz w:val="20"/>
          <w:szCs w:val="20"/>
        </w:rPr>
        <w:t>-Deal</w:t>
      </w:r>
      <w:r w:rsidRPr="003179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betr</w:t>
      </w:r>
      <w:r w:rsidR="0024739A">
        <w:rPr>
          <w:rFonts w:ascii="Arial" w:hAnsi="Arial" w:cs="Arial"/>
          <w:sz w:val="20"/>
          <w:szCs w:val="20"/>
        </w:rPr>
        <w:t>ug</w:t>
      </w:r>
      <w:r>
        <w:rPr>
          <w:rFonts w:ascii="Arial" w:hAnsi="Arial" w:cs="Arial"/>
          <w:sz w:val="20"/>
          <w:szCs w:val="20"/>
        </w:rPr>
        <w:t xml:space="preserve"> </w:t>
      </w:r>
      <w:r w:rsidR="009317AE">
        <w:rPr>
          <w:rFonts w:ascii="Arial" w:hAnsi="Arial" w:cs="Arial"/>
          <w:sz w:val="20"/>
          <w:szCs w:val="20"/>
        </w:rPr>
        <w:t>ihr</w:t>
      </w:r>
      <w:r>
        <w:rPr>
          <w:rFonts w:ascii="Arial" w:hAnsi="Arial" w:cs="Arial"/>
          <w:sz w:val="20"/>
          <w:szCs w:val="20"/>
        </w:rPr>
        <w:t xml:space="preserve"> </w:t>
      </w:r>
      <w:r w:rsidR="0024739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nteil </w:t>
      </w:r>
      <w:r w:rsidR="009317AE">
        <w:rPr>
          <w:rFonts w:ascii="Arial" w:hAnsi="Arial" w:cs="Arial"/>
          <w:sz w:val="20"/>
          <w:szCs w:val="20"/>
        </w:rPr>
        <w:t xml:space="preserve">lediglich </w:t>
      </w:r>
      <w:r>
        <w:rPr>
          <w:rFonts w:ascii="Arial" w:hAnsi="Arial" w:cs="Arial"/>
          <w:sz w:val="20"/>
          <w:szCs w:val="20"/>
        </w:rPr>
        <w:t xml:space="preserve">8 %. </w:t>
      </w:r>
    </w:p>
    <w:p w14:paraId="6D9B42D3" w14:textId="590ADEBF" w:rsidR="003179D7" w:rsidRPr="003179D7" w:rsidRDefault="003179D7" w:rsidP="003179D7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Stärkste </w:t>
      </w:r>
      <w:r w:rsidRPr="003179D7">
        <w:rPr>
          <w:rFonts w:ascii="Arial" w:hAnsi="Arial" w:cs="Arial"/>
          <w:sz w:val="20"/>
          <w:szCs w:val="20"/>
          <w:u w:val="single"/>
        </w:rPr>
        <w:t>Käufergruppe</w:t>
      </w:r>
      <w:r>
        <w:rPr>
          <w:rFonts w:ascii="Arial" w:hAnsi="Arial" w:cs="Arial"/>
          <w:sz w:val="20"/>
          <w:szCs w:val="20"/>
        </w:rPr>
        <w:t xml:space="preserve"> waren Fondsmanager mit</w:t>
      </w:r>
      <w:r w:rsidR="009317AE">
        <w:rPr>
          <w:rFonts w:ascii="Arial" w:hAnsi="Arial" w:cs="Arial"/>
          <w:sz w:val="20"/>
          <w:szCs w:val="20"/>
        </w:rPr>
        <w:t xml:space="preserve"> einem Anteil von rund 42 % –</w:t>
      </w:r>
      <w:r>
        <w:rPr>
          <w:rFonts w:ascii="Arial" w:hAnsi="Arial" w:cs="Arial"/>
          <w:sz w:val="20"/>
          <w:szCs w:val="20"/>
        </w:rPr>
        <w:t xml:space="preserve"> ebenfalls ein Effekt des </w:t>
      </w:r>
      <w:proofErr w:type="spellStart"/>
      <w:r>
        <w:rPr>
          <w:rFonts w:ascii="Arial" w:hAnsi="Arial" w:cs="Arial"/>
          <w:sz w:val="20"/>
          <w:szCs w:val="20"/>
        </w:rPr>
        <w:t>alstria</w:t>
      </w:r>
      <w:proofErr w:type="spellEnd"/>
      <w:r>
        <w:rPr>
          <w:rFonts w:ascii="Arial" w:hAnsi="Arial" w:cs="Arial"/>
          <w:sz w:val="20"/>
          <w:szCs w:val="20"/>
        </w:rPr>
        <w:t xml:space="preserve">-Portfolios. Um diesen bereinigt waren Spezialfonds </w:t>
      </w:r>
      <w:r w:rsidR="009317A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29 %</w:t>
      </w:r>
      <w:r w:rsidR="009317AE">
        <w:rPr>
          <w:rFonts w:ascii="Arial" w:hAnsi="Arial" w:cs="Arial"/>
          <w:sz w:val="20"/>
          <w:szCs w:val="20"/>
        </w:rPr>
        <w:t>)</w:t>
      </w:r>
      <w:r w:rsidR="007B3109">
        <w:rPr>
          <w:rFonts w:ascii="Arial" w:hAnsi="Arial" w:cs="Arial"/>
          <w:sz w:val="20"/>
          <w:szCs w:val="20"/>
        </w:rPr>
        <w:t>, gefolgt von Offenen Immobilienpublikumsfonds (23 %),</w:t>
      </w:r>
      <w:r>
        <w:rPr>
          <w:rFonts w:ascii="Arial" w:hAnsi="Arial" w:cs="Arial"/>
          <w:sz w:val="20"/>
          <w:szCs w:val="20"/>
        </w:rPr>
        <w:t xml:space="preserve"> die stärkste Käufergruppe.  </w:t>
      </w:r>
    </w:p>
    <w:p w14:paraId="5A62DF7F" w14:textId="001380AC" w:rsidR="00A01098" w:rsidRPr="003179D7" w:rsidRDefault="003179D7" w:rsidP="003179D7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</w:t>
      </w:r>
      <w:r w:rsidR="00A01098">
        <w:rPr>
          <w:rFonts w:ascii="Arial" w:hAnsi="Arial" w:cs="Arial"/>
          <w:sz w:val="20"/>
          <w:szCs w:val="20"/>
        </w:rPr>
        <w:t xml:space="preserve"> </w:t>
      </w:r>
      <w:r w:rsidR="00A01098" w:rsidRPr="00537E0A">
        <w:rPr>
          <w:rFonts w:ascii="Arial" w:hAnsi="Arial" w:cs="Arial"/>
          <w:sz w:val="20"/>
          <w:szCs w:val="20"/>
          <w:u w:val="single"/>
        </w:rPr>
        <w:t>Verkäufe</w:t>
      </w:r>
      <w:r w:rsidR="00A01098" w:rsidRPr="00435B0F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seite</w:t>
      </w:r>
      <w:r w:rsidR="00A010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dominierten </w:t>
      </w:r>
      <w:r w:rsidR="00A01098" w:rsidRPr="003179D7">
        <w:rPr>
          <w:rFonts w:ascii="Arial" w:hAnsi="Arial" w:cs="Arial"/>
          <w:sz w:val="20"/>
          <w:szCs w:val="20"/>
        </w:rPr>
        <w:t xml:space="preserve">Börsennotierte Immobilieninvestment AG/REITs mit einem Anteil von rund </w:t>
      </w:r>
      <w:r>
        <w:rPr>
          <w:rFonts w:ascii="Arial" w:hAnsi="Arial" w:cs="Arial"/>
          <w:sz w:val="20"/>
          <w:szCs w:val="20"/>
        </w:rPr>
        <w:t>44</w:t>
      </w:r>
      <w:r w:rsidR="00A01098" w:rsidRPr="003179D7">
        <w:rPr>
          <w:rFonts w:ascii="Arial" w:hAnsi="Arial" w:cs="Arial"/>
          <w:sz w:val="20"/>
          <w:szCs w:val="20"/>
        </w:rPr>
        <w:t xml:space="preserve"> % </w:t>
      </w:r>
      <w:r w:rsidR="007B3109">
        <w:rPr>
          <w:rFonts w:ascii="Arial" w:hAnsi="Arial" w:cs="Arial"/>
          <w:sz w:val="20"/>
          <w:szCs w:val="20"/>
        </w:rPr>
        <w:t>das Marktgeschehen</w:t>
      </w:r>
      <w:r w:rsidR="00A01098" w:rsidRPr="003179D7">
        <w:rPr>
          <w:rFonts w:ascii="Arial" w:hAnsi="Arial" w:cs="Arial"/>
          <w:sz w:val="20"/>
          <w:szCs w:val="20"/>
        </w:rPr>
        <w:t xml:space="preserve">. Ohne </w:t>
      </w:r>
      <w:r w:rsidR="007B3109">
        <w:rPr>
          <w:rFonts w:ascii="Arial" w:hAnsi="Arial" w:cs="Arial"/>
          <w:sz w:val="20"/>
          <w:szCs w:val="20"/>
        </w:rPr>
        <w:t xml:space="preserve">den </w:t>
      </w:r>
      <w:proofErr w:type="spellStart"/>
      <w:r w:rsidR="007B3109">
        <w:rPr>
          <w:rFonts w:ascii="Arial" w:hAnsi="Arial" w:cs="Arial"/>
          <w:sz w:val="20"/>
          <w:szCs w:val="20"/>
        </w:rPr>
        <w:t>alstria</w:t>
      </w:r>
      <w:proofErr w:type="spellEnd"/>
      <w:r w:rsidR="007B3109">
        <w:rPr>
          <w:rFonts w:ascii="Arial" w:hAnsi="Arial" w:cs="Arial"/>
          <w:sz w:val="20"/>
          <w:szCs w:val="20"/>
        </w:rPr>
        <w:t>-</w:t>
      </w:r>
      <w:r w:rsidR="00A01098" w:rsidRPr="003179D7">
        <w:rPr>
          <w:rFonts w:ascii="Arial" w:hAnsi="Arial" w:cs="Arial"/>
          <w:sz w:val="20"/>
          <w:szCs w:val="20"/>
        </w:rPr>
        <w:t xml:space="preserve">Sondereffekt waren Projektentwickler </w:t>
      </w:r>
      <w:r>
        <w:rPr>
          <w:rFonts w:ascii="Arial" w:hAnsi="Arial" w:cs="Arial"/>
          <w:sz w:val="20"/>
          <w:szCs w:val="20"/>
        </w:rPr>
        <w:t xml:space="preserve">(35 %) und Offene Immobilienpublikumsfonds (27 %) </w:t>
      </w:r>
      <w:r w:rsidR="00A01098" w:rsidRPr="003179D7">
        <w:rPr>
          <w:rFonts w:ascii="Arial" w:hAnsi="Arial" w:cs="Arial"/>
          <w:sz w:val="20"/>
          <w:szCs w:val="20"/>
        </w:rPr>
        <w:t xml:space="preserve">die </w:t>
      </w:r>
      <w:r w:rsidR="002450D6">
        <w:rPr>
          <w:rFonts w:ascii="Arial" w:hAnsi="Arial" w:cs="Arial"/>
          <w:sz w:val="20"/>
          <w:szCs w:val="20"/>
        </w:rPr>
        <w:t>am stärksten vertretenen</w:t>
      </w:r>
      <w:r w:rsidR="00A01098" w:rsidRPr="003179D7">
        <w:rPr>
          <w:rFonts w:ascii="Arial" w:hAnsi="Arial" w:cs="Arial"/>
          <w:sz w:val="20"/>
          <w:szCs w:val="20"/>
        </w:rPr>
        <w:t xml:space="preserve"> Verkäufergruppen. </w:t>
      </w:r>
    </w:p>
    <w:p w14:paraId="04463216" w14:textId="25F22535" w:rsidR="002450D6" w:rsidRPr="002450D6" w:rsidRDefault="00CA7BB6" w:rsidP="00A01098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CA7BB6">
        <w:rPr>
          <w:rFonts w:ascii="Arial" w:hAnsi="Arial" w:cs="Arial"/>
          <w:sz w:val="20"/>
          <w:szCs w:val="20"/>
        </w:rPr>
        <w:t xml:space="preserve">Der Volumenanteil </w:t>
      </w:r>
      <w:r>
        <w:rPr>
          <w:rFonts w:ascii="Arial" w:hAnsi="Arial" w:cs="Arial"/>
          <w:sz w:val="20"/>
          <w:szCs w:val="20"/>
          <w:u w:val="single"/>
        </w:rPr>
        <w:t>i</w:t>
      </w:r>
      <w:r w:rsidR="00A01098" w:rsidRPr="00537E0A">
        <w:rPr>
          <w:rFonts w:ascii="Arial" w:hAnsi="Arial" w:cs="Arial"/>
          <w:sz w:val="20"/>
          <w:szCs w:val="20"/>
          <w:u w:val="single"/>
        </w:rPr>
        <w:t>nternationale</w:t>
      </w:r>
      <w:r>
        <w:rPr>
          <w:rFonts w:ascii="Arial" w:hAnsi="Arial" w:cs="Arial"/>
          <w:sz w:val="20"/>
          <w:szCs w:val="20"/>
          <w:u w:val="single"/>
        </w:rPr>
        <w:t>r</w:t>
      </w:r>
      <w:r w:rsidR="00A01098" w:rsidRPr="00537E0A">
        <w:rPr>
          <w:rFonts w:ascii="Arial" w:hAnsi="Arial" w:cs="Arial"/>
          <w:sz w:val="20"/>
          <w:szCs w:val="20"/>
          <w:u w:val="single"/>
        </w:rPr>
        <w:t xml:space="preserve"> </w:t>
      </w:r>
      <w:r w:rsidR="00FF4F3D">
        <w:rPr>
          <w:rFonts w:ascii="Arial" w:hAnsi="Arial" w:cs="Arial"/>
          <w:sz w:val="20"/>
          <w:szCs w:val="20"/>
          <w:u w:val="single"/>
        </w:rPr>
        <w:t>Investoren</w:t>
      </w:r>
      <w:r w:rsidR="00A010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betrug </w:t>
      </w:r>
      <w:r w:rsidR="002450D6">
        <w:rPr>
          <w:rFonts w:ascii="Arial" w:hAnsi="Arial" w:cs="Arial"/>
          <w:sz w:val="20"/>
          <w:szCs w:val="20"/>
        </w:rPr>
        <w:t>56 %</w:t>
      </w:r>
      <w:r w:rsidR="009317AE">
        <w:rPr>
          <w:rFonts w:ascii="Arial" w:hAnsi="Arial" w:cs="Arial"/>
          <w:sz w:val="20"/>
          <w:szCs w:val="20"/>
        </w:rPr>
        <w:t>.</w:t>
      </w:r>
      <w:r w:rsidR="002450D6">
        <w:rPr>
          <w:rFonts w:ascii="Arial" w:hAnsi="Arial" w:cs="Arial"/>
          <w:sz w:val="20"/>
          <w:szCs w:val="20"/>
        </w:rPr>
        <w:t xml:space="preserve"> Ohne den </w:t>
      </w:r>
      <w:proofErr w:type="spellStart"/>
      <w:r w:rsidR="002450D6">
        <w:rPr>
          <w:rFonts w:ascii="Arial" w:hAnsi="Arial" w:cs="Arial"/>
          <w:sz w:val="20"/>
          <w:szCs w:val="20"/>
        </w:rPr>
        <w:t>alstria</w:t>
      </w:r>
      <w:proofErr w:type="spellEnd"/>
      <w:r w:rsidR="002450D6">
        <w:rPr>
          <w:rFonts w:ascii="Arial" w:hAnsi="Arial" w:cs="Arial"/>
          <w:sz w:val="20"/>
          <w:szCs w:val="20"/>
        </w:rPr>
        <w:t xml:space="preserve">-Deal lag ihr Anteil bei 29 %. </w:t>
      </w:r>
    </w:p>
    <w:p w14:paraId="0BCC95D4" w14:textId="409C898A" w:rsidR="00A01098" w:rsidRPr="0093153B" w:rsidRDefault="00A01098" w:rsidP="00A01098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435B0F">
        <w:rPr>
          <w:rFonts w:ascii="Arial" w:hAnsi="Arial" w:cs="Arial"/>
          <w:sz w:val="20"/>
          <w:szCs w:val="20"/>
          <w:u w:val="single"/>
        </w:rPr>
        <w:t>Spitzenrendite</w:t>
      </w:r>
      <w:r>
        <w:rPr>
          <w:rFonts w:ascii="Arial" w:hAnsi="Arial" w:cs="Arial"/>
          <w:sz w:val="20"/>
          <w:szCs w:val="20"/>
        </w:rPr>
        <w:t xml:space="preserve"> für Büroimmobilien (</w:t>
      </w:r>
      <w:r w:rsidR="002450D6">
        <w:rPr>
          <w:rFonts w:ascii="Arial" w:hAnsi="Arial" w:cs="Arial"/>
          <w:sz w:val="20"/>
          <w:szCs w:val="20"/>
        </w:rPr>
        <w:t>2,9</w:t>
      </w:r>
      <w:r>
        <w:rPr>
          <w:rFonts w:ascii="Arial" w:hAnsi="Arial" w:cs="Arial"/>
          <w:sz w:val="20"/>
          <w:szCs w:val="20"/>
        </w:rPr>
        <w:t xml:space="preserve"> %) </w:t>
      </w:r>
      <w:r w:rsidR="00FF4F3D">
        <w:rPr>
          <w:rFonts w:ascii="Arial" w:hAnsi="Arial" w:cs="Arial"/>
          <w:sz w:val="20"/>
          <w:szCs w:val="20"/>
        </w:rPr>
        <w:t xml:space="preserve">und </w:t>
      </w:r>
      <w:r w:rsidR="002450D6">
        <w:rPr>
          <w:rFonts w:ascii="Arial" w:hAnsi="Arial" w:cs="Arial"/>
          <w:sz w:val="20"/>
          <w:szCs w:val="20"/>
        </w:rPr>
        <w:t>Geschäftshäuser (3,0 %) stieg im Vorjahresvergleich um 0,3 %-Punkte. F</w:t>
      </w:r>
      <w:r>
        <w:rPr>
          <w:rFonts w:ascii="Arial" w:hAnsi="Arial" w:cs="Arial"/>
          <w:sz w:val="20"/>
          <w:szCs w:val="20"/>
        </w:rPr>
        <w:t xml:space="preserve">ür Industrie- und Logistikobjekte </w:t>
      </w:r>
      <w:r w:rsidR="002450D6">
        <w:rPr>
          <w:rFonts w:ascii="Arial" w:hAnsi="Arial" w:cs="Arial"/>
          <w:sz w:val="20"/>
          <w:szCs w:val="20"/>
        </w:rPr>
        <w:t>verblieb sie auf Vorjahresniveau</w:t>
      </w:r>
      <w:r w:rsidR="00FF4F3D">
        <w:rPr>
          <w:rFonts w:ascii="Arial" w:hAnsi="Arial" w:cs="Arial"/>
          <w:sz w:val="20"/>
          <w:szCs w:val="20"/>
        </w:rPr>
        <w:t>, stieg im Vergleich zum Vorquartal aber ebenfalls um 0,2 %-Punkte</w:t>
      </w:r>
      <w:r>
        <w:rPr>
          <w:rFonts w:ascii="Arial" w:hAnsi="Arial" w:cs="Arial"/>
          <w:sz w:val="20"/>
          <w:szCs w:val="20"/>
        </w:rPr>
        <w:t xml:space="preserve">. </w:t>
      </w:r>
      <w:r w:rsidR="002450D6">
        <w:rPr>
          <w:rFonts w:ascii="Arial" w:hAnsi="Arial" w:cs="Arial"/>
          <w:sz w:val="20"/>
          <w:szCs w:val="20"/>
        </w:rPr>
        <w:t xml:space="preserve">Zum Jahresende </w:t>
      </w:r>
      <w:r w:rsidR="003C6FF4">
        <w:rPr>
          <w:rFonts w:ascii="Arial" w:hAnsi="Arial" w:cs="Arial"/>
          <w:sz w:val="20"/>
          <w:szCs w:val="20"/>
        </w:rPr>
        <w:t xml:space="preserve">werden </w:t>
      </w:r>
      <w:r w:rsidR="002450D6">
        <w:rPr>
          <w:rFonts w:ascii="Arial" w:hAnsi="Arial" w:cs="Arial"/>
          <w:sz w:val="20"/>
          <w:szCs w:val="20"/>
        </w:rPr>
        <w:t xml:space="preserve">die Renditen </w:t>
      </w:r>
      <w:r>
        <w:rPr>
          <w:rFonts w:ascii="Arial" w:hAnsi="Arial" w:cs="Arial"/>
          <w:sz w:val="20"/>
          <w:szCs w:val="20"/>
        </w:rPr>
        <w:t xml:space="preserve">aufgrund des </w:t>
      </w:r>
      <w:r w:rsidRPr="00DF0408">
        <w:rPr>
          <w:rFonts w:ascii="Arial" w:hAnsi="Arial" w:cs="Arial"/>
          <w:sz w:val="20"/>
          <w:szCs w:val="20"/>
        </w:rPr>
        <w:t>Zinsniveau</w:t>
      </w:r>
      <w:r>
        <w:rPr>
          <w:rFonts w:ascii="Arial" w:hAnsi="Arial" w:cs="Arial"/>
          <w:sz w:val="20"/>
          <w:szCs w:val="20"/>
        </w:rPr>
        <w:t>s</w:t>
      </w:r>
      <w:r w:rsidRPr="00DF0408">
        <w:rPr>
          <w:rFonts w:ascii="Arial" w:hAnsi="Arial" w:cs="Arial"/>
          <w:sz w:val="20"/>
          <w:szCs w:val="20"/>
        </w:rPr>
        <w:t xml:space="preserve"> </w:t>
      </w:r>
      <w:r w:rsidR="003C6FF4">
        <w:rPr>
          <w:rFonts w:ascii="Arial" w:hAnsi="Arial" w:cs="Arial"/>
          <w:sz w:val="20"/>
          <w:szCs w:val="20"/>
        </w:rPr>
        <w:t xml:space="preserve">voraussichtlich </w:t>
      </w:r>
      <w:r w:rsidR="002450D6">
        <w:rPr>
          <w:rFonts w:ascii="Arial" w:hAnsi="Arial" w:cs="Arial"/>
          <w:sz w:val="20"/>
          <w:szCs w:val="20"/>
        </w:rPr>
        <w:t>weiter zulegen</w:t>
      </w:r>
      <w:r>
        <w:rPr>
          <w:rFonts w:ascii="Arial" w:hAnsi="Arial" w:cs="Arial"/>
          <w:sz w:val="20"/>
          <w:szCs w:val="20"/>
        </w:rPr>
        <w:t xml:space="preserve">.     </w:t>
      </w:r>
      <w:r w:rsidR="00CA7BB6">
        <w:rPr>
          <w:rFonts w:ascii="Arial" w:hAnsi="Arial" w:cs="Arial"/>
          <w:sz w:val="20"/>
          <w:szCs w:val="20"/>
        </w:rPr>
        <w:br/>
      </w:r>
      <w:r w:rsidR="0046298E">
        <w:rPr>
          <w:rFonts w:ascii="Arial" w:hAnsi="Arial" w:cs="Arial"/>
          <w:sz w:val="20"/>
          <w:szCs w:val="20"/>
        </w:rPr>
        <w:br/>
      </w:r>
    </w:p>
    <w:p w14:paraId="0795C973" w14:textId="01D87657" w:rsidR="00C7341F" w:rsidRDefault="00C7341F" w:rsidP="00C7341F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77777777" w:rsidR="00C7341F" w:rsidRPr="004712BA" w:rsidRDefault="00C7341F" w:rsidP="00927886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Hamburg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13CE34CA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4A690A">
              <w:rPr>
                <w:rFonts w:ascii="Arial" w:hAnsi="Arial" w:cs="Arial"/>
                <w:b/>
                <w:sz w:val="18"/>
                <w:szCs w:val="16"/>
              </w:rPr>
              <w:t>-3</w:t>
            </w:r>
          </w:p>
        </w:tc>
      </w:tr>
      <w:tr w:rsidR="00C7341F" w:rsidRPr="006F49D0" w14:paraId="42F788D0" w14:textId="77777777" w:rsidTr="00CF0163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1D4BF4" w14:textId="1C178024" w:rsidR="00C7341F" w:rsidRPr="00E771E0" w:rsidRDefault="00844A10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3.9</w:t>
            </w:r>
            <w:r w:rsidR="00634577"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7559F152" w:rsidR="00C7341F" w:rsidRPr="00E771E0" w:rsidRDefault="001B3575" w:rsidP="00844A10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844A10">
              <w:rPr>
                <w:rFonts w:ascii="Arial" w:hAnsi="Arial" w:cs="Arial"/>
                <w:sz w:val="18"/>
                <w:szCs w:val="16"/>
              </w:rPr>
              <w:t>86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5C4FBDE3" w:rsidR="00C7341F" w:rsidRPr="00E771E0" w:rsidRDefault="00844A10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46AE1CFE" w:rsidR="00C7341F" w:rsidRPr="00E771E0" w:rsidRDefault="00EB076D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2,9</w:t>
            </w:r>
            <w:r w:rsidR="001B3575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7154116A" w14:textId="05FCEA4F" w:rsidR="00C7341F" w:rsidRPr="00E771E0" w:rsidRDefault="00EB076D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+0,3</w:t>
            </w:r>
            <w:r w:rsidR="00634577" w:rsidRPr="00634577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4873296E" w:rsidR="00C7341F" w:rsidRPr="00F67E03" w:rsidRDefault="00EB076D" w:rsidP="00EB076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1B3575">
              <w:rPr>
                <w:rFonts w:ascii="Arial" w:hAnsi="Arial" w:cs="Arial"/>
                <w:sz w:val="18"/>
                <w:szCs w:val="16"/>
              </w:rPr>
              <w:t>,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  <w:r w:rsidR="001B3575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4F154500" w14:textId="7876AE65" w:rsidR="00C7341F" w:rsidRPr="00F67E03" w:rsidRDefault="00EB076D" w:rsidP="00EB076D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1B3575" w:rsidRPr="000B7D28">
              <w:rPr>
                <w:rFonts w:ascii="Arial" w:hAnsi="Arial" w:cs="Arial"/>
                <w:sz w:val="18"/>
                <w:szCs w:val="16"/>
              </w:rPr>
              <w:t>0,</w:t>
            </w: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1B3575" w:rsidRPr="000B7D28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5B32B95D" w:rsidR="00C7341F" w:rsidRPr="00F67E03" w:rsidRDefault="00EB076D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3,5</w:t>
            </w:r>
            <w:r w:rsidR="001B3575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A0F9B44" w14:textId="24CAD925" w:rsidR="00C7341F" w:rsidRPr="00F67E03" w:rsidRDefault="00EB076D" w:rsidP="001914C9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F67E03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77777777" w:rsidR="00C7341F" w:rsidRPr="00F67E03" w:rsidRDefault="001B357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259AE4CF" w:rsidR="00C7341F" w:rsidRPr="00F67E03" w:rsidRDefault="00EB076D" w:rsidP="00BF0444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80</w:t>
            </w:r>
          </w:p>
        </w:tc>
      </w:tr>
    </w:tbl>
    <w:p w14:paraId="57438FD8" w14:textId="1737311A" w:rsidR="00C7341F" w:rsidRDefault="0046298E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noProof/>
          <w:color w:val="000000" w:themeColor="text1"/>
          <w:sz w:val="20"/>
          <w:szCs w:val="20"/>
          <w:lang w:eastAsia="de-DE"/>
        </w:rPr>
        <w:drawing>
          <wp:inline distT="0" distB="0" distL="0" distR="0" wp14:anchorId="3B637B20" wp14:editId="4A0E44B0">
            <wp:extent cx="2355495" cy="1994934"/>
            <wp:effectExtent l="19050" t="19050" r="26035" b="247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M Invest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2" cy="20646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22503" w14:textId="2F69D87E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CD06259" w14:textId="5637C583" w:rsidR="00387D3B" w:rsidRDefault="00387D3B" w:rsidP="00C7341F">
      <w:pPr>
        <w:rPr>
          <w:rFonts w:ascii="Arial" w:hAnsi="Arial" w:cs="Arial"/>
          <w:b/>
          <w:sz w:val="20"/>
          <w:szCs w:val="20"/>
        </w:rPr>
      </w:pPr>
    </w:p>
    <w:p w14:paraId="4582D23C" w14:textId="5CC2C597" w:rsidR="00C7341F" w:rsidRPr="00A0600B" w:rsidRDefault="00C7341F" w:rsidP="00C734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Top-Transaktionen | Investmentmarkt Hamburg | 1.</w:t>
      </w:r>
      <w:r w:rsidR="004A690A">
        <w:rPr>
          <w:rFonts w:ascii="Arial" w:hAnsi="Arial" w:cs="Arial"/>
          <w:b/>
          <w:sz w:val="20"/>
          <w:szCs w:val="20"/>
        </w:rPr>
        <w:t>-3</w:t>
      </w:r>
      <w:r w:rsidR="00096E23"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2538F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701"/>
        <w:gridCol w:w="1843"/>
        <w:gridCol w:w="1134"/>
      </w:tblGrid>
      <w:tr w:rsidR="00A0406F" w:rsidRPr="006F49D0" w14:paraId="22515A8A" w14:textId="77777777" w:rsidTr="00D753BA">
        <w:trPr>
          <w:trHeight w:val="567"/>
        </w:trPr>
        <w:tc>
          <w:tcPr>
            <w:tcW w:w="2547" w:type="dxa"/>
            <w:shd w:val="clear" w:color="auto" w:fill="000000" w:themeFill="text1"/>
            <w:vAlign w:val="center"/>
          </w:tcPr>
          <w:p w14:paraId="7BEBBC2A" w14:textId="77777777" w:rsidR="00A0406F" w:rsidRPr="00C7341F" w:rsidRDefault="00A0406F" w:rsidP="00D753B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1D9E85C8" w14:textId="77777777" w:rsidR="00A0406F" w:rsidRPr="00C7341F" w:rsidRDefault="00A0406F" w:rsidP="00D753B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276" w:type="dxa"/>
            <w:shd w:val="clear" w:color="auto" w:fill="000000" w:themeFill="text1"/>
          </w:tcPr>
          <w:p w14:paraId="657EFA22" w14:textId="77777777" w:rsidR="00A0406F" w:rsidRPr="00C7341F" w:rsidRDefault="00A0406F" w:rsidP="00D753BA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1275" w:type="dxa"/>
            <w:shd w:val="clear" w:color="auto" w:fill="000000" w:themeFill="text1"/>
          </w:tcPr>
          <w:p w14:paraId="534ED832" w14:textId="77777777" w:rsidR="00A0406F" w:rsidRPr="00C7341F" w:rsidRDefault="00A0406F" w:rsidP="00D753BA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Asset-klasse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12C8DAF2" w14:textId="77777777" w:rsidR="00A0406F" w:rsidRPr="00C7341F" w:rsidRDefault="00A0406F" w:rsidP="00D753BA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E843527" w14:textId="77777777" w:rsidR="00A0406F" w:rsidRPr="00C7341F" w:rsidRDefault="00A0406F" w:rsidP="00D753BA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F7FEB1" w14:textId="77777777" w:rsidR="00A0406F" w:rsidRPr="00C7341F" w:rsidRDefault="00A0406F" w:rsidP="00D753BA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74F2D138" w14:textId="77777777" w:rsidR="00A0406F" w:rsidRPr="00C7341F" w:rsidRDefault="00A0406F" w:rsidP="00D753BA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A0406F" w:rsidRPr="00F2414C" w14:paraId="1F33E0D2" w14:textId="77777777" w:rsidTr="00D753BA">
        <w:trPr>
          <w:trHeight w:val="567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60B2A17" w14:textId="77777777" w:rsidR="00A0406F" w:rsidRPr="00CA462D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alstria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“-Portfolio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5A728D" w14:textId="77777777" w:rsidR="00A0406F" w:rsidRPr="00CA462D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Hamburg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E9358F" w14:textId="77777777" w:rsidR="00A0406F" w:rsidRPr="00CA462D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B87A7B" w14:textId="77777777" w:rsidR="00A0406F" w:rsidRPr="00CA462D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Brookfield Properties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3F77C1" w14:textId="580622D5" w:rsidR="00A0406F" w:rsidRPr="00CA462D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alstria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REIT</w:t>
            </w:r>
            <w:r w:rsidR="00A010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</w:t>
            </w:r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E2145B" w14:textId="77777777" w:rsidR="00A0406F" w:rsidRPr="00CA462D" w:rsidRDefault="00A0406F" w:rsidP="00D753BA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1.500</w:t>
            </w:r>
          </w:p>
        </w:tc>
      </w:tr>
      <w:tr w:rsidR="00A0406F" w:rsidRPr="00F2414C" w14:paraId="6493C240" w14:textId="77777777" w:rsidTr="00A0406F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E118F5A" w14:textId="115BB5BB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„Altes Fernmeldeamt“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2B54065" w14:textId="1636F5F0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Alster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West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E742E39" w14:textId="1CC9A7B9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A1DF7C7" w14:textId="4BE75B55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Values Real Estate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AB77A8B" w14:textId="3B76B759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Peakside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Capital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E4D388" w14:textId="79F45C1A" w:rsidR="00A0406F" w:rsidRPr="006D5F37" w:rsidRDefault="00A0406F" w:rsidP="00D753BA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400</w:t>
            </w:r>
          </w:p>
        </w:tc>
      </w:tr>
      <w:tr w:rsidR="00A0406F" w:rsidRPr="00F2414C" w14:paraId="644BC505" w14:textId="77777777" w:rsidTr="00A0406F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2AC635F6" w14:textId="4E941656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Elbtower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 (25 %)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110E6C0" w14:textId="77AB5559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HafenCity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071190F" w14:textId="378668C6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DDB2EF7" w14:textId="7333389E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Commerz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Real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CA57D63" w14:textId="587770D6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Signa Holding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3C83FFD" w14:textId="537F1EA5" w:rsidR="00A0406F" w:rsidRPr="006D5F37" w:rsidRDefault="00A0406F" w:rsidP="00D753BA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A0406F" w:rsidRPr="00F2414C" w14:paraId="112CCBE0" w14:textId="77777777" w:rsidTr="00A0406F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24449236" w14:textId="77777777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Klöpperhaus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(ehem. Galeria Kaufhof)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9E4C0" w14:textId="77777777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B9905D" w14:textId="77777777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Einzelhandel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6E407F2" w14:textId="77777777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Tishman Speyer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117F51" w14:textId="77777777" w:rsidR="00A0406F" w:rsidRPr="00E347F2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Württembergische Lebensversicherung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E2D4D" w14:textId="77777777" w:rsidR="00A0406F" w:rsidRDefault="00A0406F" w:rsidP="00D753BA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5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160</w:t>
            </w:r>
          </w:p>
        </w:tc>
      </w:tr>
      <w:tr w:rsidR="00A0406F" w:rsidRPr="00F2414C" w14:paraId="24855084" w14:textId="77777777" w:rsidTr="00EF2759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4C68CBF4" w14:textId="151A92D6" w:rsidR="00A0406F" w:rsidRDefault="00EF2759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ConneXion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Office“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6522E2" w14:textId="37940FC7" w:rsidR="00A0406F" w:rsidRDefault="00EF2759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1F830BD" w14:textId="517BE198" w:rsidR="00A0406F" w:rsidRDefault="00EF2759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9728738" w14:textId="5685A686" w:rsidR="00A0406F" w:rsidRPr="005524A3" w:rsidRDefault="00EF2759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Erste Immobilien KAG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9BA50E6" w14:textId="31ED3A02" w:rsidR="00A0406F" w:rsidRDefault="00EF2759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Becken Development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BE746E" w14:textId="47260EC0" w:rsidR="00A0406F" w:rsidRPr="006D5F37" w:rsidRDefault="00EF2759" w:rsidP="00EF2759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5F3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A0406F" w:rsidRPr="00F2414C" w14:paraId="45704EC0" w14:textId="77777777" w:rsidTr="00A0406F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E960F3D" w14:textId="77777777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„EDGE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ElbSide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 (50 %)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D38035" w14:textId="77777777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HafenCity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A6492" w14:textId="77777777" w:rsidR="00A0406F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0FD6B" w14:textId="77777777" w:rsidR="00A0406F" w:rsidRPr="005524A3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524A3">
              <w:rPr>
                <w:rFonts w:ascii="Arial" w:hAnsi="Arial" w:cs="Arial"/>
                <w:color w:val="000000" w:themeColor="text1"/>
                <w:sz w:val="18"/>
                <w:szCs w:val="18"/>
              </w:rPr>
              <w:t>Ampega</w:t>
            </w:r>
            <w:proofErr w:type="spellEnd"/>
            <w:r w:rsidRPr="005524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Asset Management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A6DD8A" w14:textId="77777777" w:rsidR="00A0406F" w:rsidRPr="00E347F2" w:rsidRDefault="00A0406F" w:rsidP="00D753BA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HanseMerkur Grundvermögen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DF803" w14:textId="77777777" w:rsidR="00A0406F" w:rsidRDefault="00A0406F" w:rsidP="00D753BA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5F37">
              <w:rPr>
                <w:rFonts w:ascii="Arial" w:hAnsi="Arial" w:cs="Arial"/>
                <w:color w:val="000000" w:themeColor="text1"/>
                <w:sz w:val="18"/>
                <w:szCs w:val="18"/>
              </w:rPr>
              <w:t>&gt;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100</w:t>
            </w:r>
          </w:p>
        </w:tc>
      </w:tr>
    </w:tbl>
    <w:p w14:paraId="38EB286B" w14:textId="05C537AD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2484F">
        <w:rPr>
          <w:rFonts w:ascii="Arial" w:hAnsi="Arial" w:cs="Arial"/>
          <w:sz w:val="16"/>
          <w:szCs w:val="16"/>
        </w:rPr>
        <w:t>.</w:t>
      </w:r>
      <w:r w:rsidR="0016456A">
        <w:rPr>
          <w:rFonts w:ascii="Arial" w:hAnsi="Arial" w:cs="Arial"/>
          <w:sz w:val="16"/>
          <w:szCs w:val="16"/>
        </w:rPr>
        <w:t xml:space="preserve"> Deals aus dem jeweiligem Berichtsquartal sind grau hinterlegt.</w:t>
      </w:r>
    </w:p>
    <w:p w14:paraId="307A702E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6068D36D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Pr="00096E23">
          <w:rPr>
            <w:rStyle w:val="Hyperlink"/>
            <w:rFonts w:ascii="Arial" w:eastAsia="Arial" w:hAnsi="Arial" w:cs="Arial"/>
            <w:sz w:val="20"/>
            <w:szCs w:val="20"/>
          </w:rPr>
          <w:t xml:space="preserve">Marktbericht </w:t>
        </w:r>
        <w:r w:rsidR="00096E23" w:rsidRPr="00096E23">
          <w:rPr>
            <w:rStyle w:val="Hyperlink"/>
            <w:rFonts w:ascii="Arial" w:eastAsia="Arial" w:hAnsi="Arial" w:cs="Arial"/>
            <w:sz w:val="20"/>
            <w:szCs w:val="20"/>
          </w:rPr>
          <w:t xml:space="preserve">Investment Hamburg </w:t>
        </w:r>
        <w:r w:rsidR="0012484F" w:rsidRPr="00096E23">
          <w:rPr>
            <w:rStyle w:val="Hyperlink"/>
            <w:rFonts w:ascii="Arial" w:eastAsia="Arial" w:hAnsi="Arial" w:cs="Arial"/>
            <w:sz w:val="20"/>
            <w:szCs w:val="20"/>
          </w:rPr>
          <w:t>2022</w:t>
        </w:r>
        <w:r w:rsidR="00096E23" w:rsidRPr="00096E23">
          <w:rPr>
            <w:rStyle w:val="Hyperlink"/>
            <w:rFonts w:ascii="Arial" w:eastAsia="Arial" w:hAnsi="Arial" w:cs="Arial"/>
            <w:sz w:val="20"/>
            <w:szCs w:val="20"/>
          </w:rPr>
          <w:t>/Q</w:t>
        </w:r>
        <w:r w:rsidR="004A690A">
          <w:rPr>
            <w:rStyle w:val="Hyperlink"/>
            <w:rFonts w:ascii="Arial" w:eastAsia="Arial" w:hAnsi="Arial" w:cs="Arial"/>
            <w:sz w:val="20"/>
            <w:szCs w:val="20"/>
          </w:rPr>
          <w:t>3</w:t>
        </w:r>
      </w:hyperlink>
      <w:r w:rsidR="0012484F">
        <w:rPr>
          <w:rFonts w:ascii="Arial" w:eastAsia="Arial" w:hAnsi="Arial" w:cs="Arial"/>
          <w:color w:val="000000" w:themeColor="text1"/>
          <w:sz w:val="20"/>
          <w:szCs w:val="20"/>
        </w:rPr>
        <w:t xml:space="preserve"> steht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in 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9D6771" w14:textId="77777777" w:rsidR="00096E23" w:rsidRPr="0090748B" w:rsidRDefault="00096E23" w:rsidP="00096E23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08963923" w14:textId="77777777" w:rsidR="00096E23" w:rsidRPr="00521AA1" w:rsidRDefault="00096E23" w:rsidP="00096E23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061ABA73" w14:textId="77777777" w:rsidR="00096E23" w:rsidRPr="00521AA1" w:rsidRDefault="00096E23" w:rsidP="00096E2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A6F933C" w14:textId="77777777" w:rsidR="00096E23" w:rsidRDefault="00096E23" w:rsidP="00096E2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CECEBB6" w14:textId="650C40A1" w:rsidR="00503D8C" w:rsidRPr="00096E23" w:rsidRDefault="00096E23" w:rsidP="00096E23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096E23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31C9" w14:textId="77777777" w:rsidR="00B410AA" w:rsidRDefault="00B410AA">
      <w:r>
        <w:separator/>
      </w:r>
    </w:p>
  </w:endnote>
  <w:endnote w:type="continuationSeparator" w:id="0">
    <w:p w14:paraId="63B08A3E" w14:textId="77777777" w:rsidR="00B410AA" w:rsidRDefault="00B4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1C16F89C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7D1C49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7D1C49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5E0EDDBC" w14:textId="63883A10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2C428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2C428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9596" w14:textId="77777777" w:rsidR="00B410AA" w:rsidRDefault="00B410AA">
      <w:r>
        <w:separator/>
      </w:r>
    </w:p>
  </w:footnote>
  <w:footnote w:type="continuationSeparator" w:id="0">
    <w:p w14:paraId="7C25A5F6" w14:textId="77777777" w:rsidR="00B410AA" w:rsidRDefault="00B4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008C3A10">
              <wp:simplePos x="0" y="0"/>
              <wp:positionH relativeFrom="column">
                <wp:posOffset>-81182</wp:posOffset>
              </wp:positionH>
              <wp:positionV relativeFrom="paragraph">
                <wp:posOffset>20955</wp:posOffset>
              </wp:positionV>
              <wp:extent cx="4929554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5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31D26FA8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69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A763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A763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4A69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 | c.fuehner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pt;margin-top:1.65pt;width:388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" filled="f" stroked="f">
              <v:textbox style="mso-fit-shape-to-text:t">
                <w:txbxContent>
                  <w:p w14:paraId="038D3993" w14:textId="31D26FA8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A690A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A7636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A7636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4A690A">
                      <w:rPr>
                        <w:rFonts w:ascii="Arial" w:hAnsi="Arial" w:cs="Arial"/>
                        <w:sz w:val="16"/>
                        <w:szCs w:val="16"/>
                      </w:rPr>
                      <w:t>588 | c.fuehner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33A6ED7D">
              <wp:simplePos x="0" y="0"/>
              <wp:positionH relativeFrom="column">
                <wp:posOffset>-81182</wp:posOffset>
              </wp:positionH>
              <wp:positionV relativeFrom="paragraph">
                <wp:posOffset>20955</wp:posOffset>
              </wp:positionV>
              <wp:extent cx="491783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3E457729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69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A763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A763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4A69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 | c.fuehner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4pt;margin-top:1.65pt;width:38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" filled="f" stroked="f">
              <v:textbox style="mso-fit-shape-to-text:t">
                <w:txbxContent>
                  <w:p w14:paraId="341F569C" w14:textId="3E457729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A690A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A7636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A7636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4A690A">
                      <w:rPr>
                        <w:rFonts w:ascii="Arial" w:hAnsi="Arial" w:cs="Arial"/>
                        <w:sz w:val="16"/>
                        <w:szCs w:val="16"/>
                      </w:rPr>
                      <w:t>588 | c.fuehner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6700"/>
    <w:multiLevelType w:val="hybridMultilevel"/>
    <w:tmpl w:val="58B0B6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02AA"/>
    <w:rsid w:val="00022F16"/>
    <w:rsid w:val="00023D78"/>
    <w:rsid w:val="0003075C"/>
    <w:rsid w:val="00043DB3"/>
    <w:rsid w:val="00060743"/>
    <w:rsid w:val="00066796"/>
    <w:rsid w:val="000766D7"/>
    <w:rsid w:val="00096E23"/>
    <w:rsid w:val="000A6D3A"/>
    <w:rsid w:val="000B3315"/>
    <w:rsid w:val="000C770D"/>
    <w:rsid w:val="000E03F3"/>
    <w:rsid w:val="001029C4"/>
    <w:rsid w:val="0011486D"/>
    <w:rsid w:val="00121E33"/>
    <w:rsid w:val="0012484F"/>
    <w:rsid w:val="00126550"/>
    <w:rsid w:val="001324D6"/>
    <w:rsid w:val="00135BD2"/>
    <w:rsid w:val="00142A67"/>
    <w:rsid w:val="00154825"/>
    <w:rsid w:val="00155DAF"/>
    <w:rsid w:val="0016456A"/>
    <w:rsid w:val="00166195"/>
    <w:rsid w:val="0017516B"/>
    <w:rsid w:val="00176F1D"/>
    <w:rsid w:val="00190298"/>
    <w:rsid w:val="001914C9"/>
    <w:rsid w:val="001922E2"/>
    <w:rsid w:val="00192897"/>
    <w:rsid w:val="001A2ABE"/>
    <w:rsid w:val="001A360C"/>
    <w:rsid w:val="001A5E9E"/>
    <w:rsid w:val="001B3575"/>
    <w:rsid w:val="001D0D74"/>
    <w:rsid w:val="001D14DA"/>
    <w:rsid w:val="001E6995"/>
    <w:rsid w:val="001F1513"/>
    <w:rsid w:val="001F6BCE"/>
    <w:rsid w:val="0020443D"/>
    <w:rsid w:val="00205769"/>
    <w:rsid w:val="00212FEC"/>
    <w:rsid w:val="002131BB"/>
    <w:rsid w:val="0022086D"/>
    <w:rsid w:val="002220CB"/>
    <w:rsid w:val="00227E31"/>
    <w:rsid w:val="00230F81"/>
    <w:rsid w:val="00231898"/>
    <w:rsid w:val="002450D6"/>
    <w:rsid w:val="0024739A"/>
    <w:rsid w:val="002538F8"/>
    <w:rsid w:val="00254C6F"/>
    <w:rsid w:val="002665B5"/>
    <w:rsid w:val="0027266B"/>
    <w:rsid w:val="00281E80"/>
    <w:rsid w:val="002834B0"/>
    <w:rsid w:val="00283671"/>
    <w:rsid w:val="00284E27"/>
    <w:rsid w:val="002A028B"/>
    <w:rsid w:val="002A1973"/>
    <w:rsid w:val="002C2392"/>
    <w:rsid w:val="002C4286"/>
    <w:rsid w:val="002D1C5C"/>
    <w:rsid w:val="002D1E20"/>
    <w:rsid w:val="002E6860"/>
    <w:rsid w:val="002F0411"/>
    <w:rsid w:val="003179D7"/>
    <w:rsid w:val="00325E2A"/>
    <w:rsid w:val="00332FE5"/>
    <w:rsid w:val="00340A27"/>
    <w:rsid w:val="0034786C"/>
    <w:rsid w:val="003517C9"/>
    <w:rsid w:val="0035325B"/>
    <w:rsid w:val="003577ED"/>
    <w:rsid w:val="00370000"/>
    <w:rsid w:val="00373507"/>
    <w:rsid w:val="00374FA6"/>
    <w:rsid w:val="0038230E"/>
    <w:rsid w:val="00382529"/>
    <w:rsid w:val="00387D3B"/>
    <w:rsid w:val="003A75E8"/>
    <w:rsid w:val="003B4CCF"/>
    <w:rsid w:val="003C6AB4"/>
    <w:rsid w:val="003C6FF4"/>
    <w:rsid w:val="003E099F"/>
    <w:rsid w:val="003F1645"/>
    <w:rsid w:val="003F58D7"/>
    <w:rsid w:val="0040086D"/>
    <w:rsid w:val="004017D8"/>
    <w:rsid w:val="00411E03"/>
    <w:rsid w:val="004123B1"/>
    <w:rsid w:val="004303A1"/>
    <w:rsid w:val="004351E4"/>
    <w:rsid w:val="00435B0F"/>
    <w:rsid w:val="00440DC9"/>
    <w:rsid w:val="004506D2"/>
    <w:rsid w:val="00456F40"/>
    <w:rsid w:val="004609BD"/>
    <w:rsid w:val="0046298E"/>
    <w:rsid w:val="004661EE"/>
    <w:rsid w:val="00466741"/>
    <w:rsid w:val="0047591A"/>
    <w:rsid w:val="004839BD"/>
    <w:rsid w:val="004A2BEA"/>
    <w:rsid w:val="004A3C64"/>
    <w:rsid w:val="004A5AEA"/>
    <w:rsid w:val="004A690A"/>
    <w:rsid w:val="004B09DE"/>
    <w:rsid w:val="004B2FDA"/>
    <w:rsid w:val="004B480A"/>
    <w:rsid w:val="004B7C55"/>
    <w:rsid w:val="004E339B"/>
    <w:rsid w:val="004E4562"/>
    <w:rsid w:val="004F077F"/>
    <w:rsid w:val="005023DD"/>
    <w:rsid w:val="00503D8C"/>
    <w:rsid w:val="00522B84"/>
    <w:rsid w:val="00531A7F"/>
    <w:rsid w:val="00537E0A"/>
    <w:rsid w:val="005428C5"/>
    <w:rsid w:val="00543C55"/>
    <w:rsid w:val="00546707"/>
    <w:rsid w:val="005524A3"/>
    <w:rsid w:val="00554981"/>
    <w:rsid w:val="005554C7"/>
    <w:rsid w:val="00560BFE"/>
    <w:rsid w:val="00574D5E"/>
    <w:rsid w:val="00582B99"/>
    <w:rsid w:val="00584D66"/>
    <w:rsid w:val="00590903"/>
    <w:rsid w:val="005A7691"/>
    <w:rsid w:val="005B0FC9"/>
    <w:rsid w:val="005B66D3"/>
    <w:rsid w:val="005C4556"/>
    <w:rsid w:val="005C5302"/>
    <w:rsid w:val="005E05E0"/>
    <w:rsid w:val="005E35CD"/>
    <w:rsid w:val="005E362E"/>
    <w:rsid w:val="005E4B48"/>
    <w:rsid w:val="005F6E2B"/>
    <w:rsid w:val="0061109D"/>
    <w:rsid w:val="00612AA0"/>
    <w:rsid w:val="006138CB"/>
    <w:rsid w:val="006224C4"/>
    <w:rsid w:val="006225EA"/>
    <w:rsid w:val="006261DF"/>
    <w:rsid w:val="00633A44"/>
    <w:rsid w:val="00633B9C"/>
    <w:rsid w:val="00634577"/>
    <w:rsid w:val="00642074"/>
    <w:rsid w:val="00656B29"/>
    <w:rsid w:val="00670D59"/>
    <w:rsid w:val="00687D00"/>
    <w:rsid w:val="00695E58"/>
    <w:rsid w:val="006A1329"/>
    <w:rsid w:val="006A66F9"/>
    <w:rsid w:val="006D5F37"/>
    <w:rsid w:val="006E4CF0"/>
    <w:rsid w:val="006E5F6E"/>
    <w:rsid w:val="006F6329"/>
    <w:rsid w:val="00710607"/>
    <w:rsid w:val="00712CE1"/>
    <w:rsid w:val="00720DFF"/>
    <w:rsid w:val="007218C0"/>
    <w:rsid w:val="00762CC5"/>
    <w:rsid w:val="00781CBD"/>
    <w:rsid w:val="00783517"/>
    <w:rsid w:val="007906B4"/>
    <w:rsid w:val="007A4FCB"/>
    <w:rsid w:val="007A7F58"/>
    <w:rsid w:val="007B3109"/>
    <w:rsid w:val="007C013D"/>
    <w:rsid w:val="007D1C49"/>
    <w:rsid w:val="007E4A2C"/>
    <w:rsid w:val="007E759D"/>
    <w:rsid w:val="007F49FD"/>
    <w:rsid w:val="00802F29"/>
    <w:rsid w:val="00812471"/>
    <w:rsid w:val="008261A5"/>
    <w:rsid w:val="008314AD"/>
    <w:rsid w:val="0083382E"/>
    <w:rsid w:val="00844A10"/>
    <w:rsid w:val="00855325"/>
    <w:rsid w:val="00862E34"/>
    <w:rsid w:val="00865915"/>
    <w:rsid w:val="00871832"/>
    <w:rsid w:val="00886CCE"/>
    <w:rsid w:val="00896B33"/>
    <w:rsid w:val="008A62FB"/>
    <w:rsid w:val="008A77B7"/>
    <w:rsid w:val="008B0F67"/>
    <w:rsid w:val="008C1D82"/>
    <w:rsid w:val="008C608D"/>
    <w:rsid w:val="008E13F7"/>
    <w:rsid w:val="008E461D"/>
    <w:rsid w:val="008F08E5"/>
    <w:rsid w:val="008F0EA4"/>
    <w:rsid w:val="008F5213"/>
    <w:rsid w:val="009066C5"/>
    <w:rsid w:val="0090748B"/>
    <w:rsid w:val="009174B1"/>
    <w:rsid w:val="00920C9C"/>
    <w:rsid w:val="00922754"/>
    <w:rsid w:val="00925781"/>
    <w:rsid w:val="009258D0"/>
    <w:rsid w:val="0093153B"/>
    <w:rsid w:val="009317AE"/>
    <w:rsid w:val="00935AB3"/>
    <w:rsid w:val="0095135D"/>
    <w:rsid w:val="00964F99"/>
    <w:rsid w:val="009734CE"/>
    <w:rsid w:val="00980909"/>
    <w:rsid w:val="00980EDB"/>
    <w:rsid w:val="009864F4"/>
    <w:rsid w:val="0099478D"/>
    <w:rsid w:val="00996E1A"/>
    <w:rsid w:val="009A4414"/>
    <w:rsid w:val="009D24DA"/>
    <w:rsid w:val="009D2D7E"/>
    <w:rsid w:val="009D5738"/>
    <w:rsid w:val="009D5D75"/>
    <w:rsid w:val="009F32A2"/>
    <w:rsid w:val="009F54CE"/>
    <w:rsid w:val="00A01098"/>
    <w:rsid w:val="00A0406F"/>
    <w:rsid w:val="00A06264"/>
    <w:rsid w:val="00A1639A"/>
    <w:rsid w:val="00A202C5"/>
    <w:rsid w:val="00A215C9"/>
    <w:rsid w:val="00A4056C"/>
    <w:rsid w:val="00A46956"/>
    <w:rsid w:val="00A5364B"/>
    <w:rsid w:val="00A546DC"/>
    <w:rsid w:val="00A615E0"/>
    <w:rsid w:val="00A65E2B"/>
    <w:rsid w:val="00A74AA0"/>
    <w:rsid w:val="00A7546D"/>
    <w:rsid w:val="00A76369"/>
    <w:rsid w:val="00A77100"/>
    <w:rsid w:val="00A90E7B"/>
    <w:rsid w:val="00AA49AA"/>
    <w:rsid w:val="00AA4D97"/>
    <w:rsid w:val="00AC5F86"/>
    <w:rsid w:val="00AC7EF4"/>
    <w:rsid w:val="00AD17B7"/>
    <w:rsid w:val="00AE5B2B"/>
    <w:rsid w:val="00AF3723"/>
    <w:rsid w:val="00AF618E"/>
    <w:rsid w:val="00B02702"/>
    <w:rsid w:val="00B077D5"/>
    <w:rsid w:val="00B1598B"/>
    <w:rsid w:val="00B160DA"/>
    <w:rsid w:val="00B200E4"/>
    <w:rsid w:val="00B35B6D"/>
    <w:rsid w:val="00B35DC6"/>
    <w:rsid w:val="00B410AA"/>
    <w:rsid w:val="00B51116"/>
    <w:rsid w:val="00B51699"/>
    <w:rsid w:val="00B53FAF"/>
    <w:rsid w:val="00B63153"/>
    <w:rsid w:val="00B6527D"/>
    <w:rsid w:val="00B73B3A"/>
    <w:rsid w:val="00B74507"/>
    <w:rsid w:val="00B747F3"/>
    <w:rsid w:val="00B75718"/>
    <w:rsid w:val="00B75E7E"/>
    <w:rsid w:val="00B92005"/>
    <w:rsid w:val="00B93817"/>
    <w:rsid w:val="00BA0B96"/>
    <w:rsid w:val="00BB15DA"/>
    <w:rsid w:val="00BB340D"/>
    <w:rsid w:val="00BC2A3A"/>
    <w:rsid w:val="00BC2BCB"/>
    <w:rsid w:val="00BC43AB"/>
    <w:rsid w:val="00BC64EC"/>
    <w:rsid w:val="00BD073D"/>
    <w:rsid w:val="00BE16CD"/>
    <w:rsid w:val="00BE36BB"/>
    <w:rsid w:val="00BF02E7"/>
    <w:rsid w:val="00BF0444"/>
    <w:rsid w:val="00BF3AFD"/>
    <w:rsid w:val="00C00C49"/>
    <w:rsid w:val="00C05691"/>
    <w:rsid w:val="00C1606C"/>
    <w:rsid w:val="00C1720E"/>
    <w:rsid w:val="00C20EEA"/>
    <w:rsid w:val="00C23180"/>
    <w:rsid w:val="00C41492"/>
    <w:rsid w:val="00C6469E"/>
    <w:rsid w:val="00C702B5"/>
    <w:rsid w:val="00C70389"/>
    <w:rsid w:val="00C7341F"/>
    <w:rsid w:val="00C904B6"/>
    <w:rsid w:val="00C96DF4"/>
    <w:rsid w:val="00C97C2E"/>
    <w:rsid w:val="00CA43E4"/>
    <w:rsid w:val="00CA4A39"/>
    <w:rsid w:val="00CA7BB6"/>
    <w:rsid w:val="00CB08A0"/>
    <w:rsid w:val="00CC00BA"/>
    <w:rsid w:val="00CC1337"/>
    <w:rsid w:val="00CC48DF"/>
    <w:rsid w:val="00CD70E7"/>
    <w:rsid w:val="00CD7363"/>
    <w:rsid w:val="00CE0C1F"/>
    <w:rsid w:val="00CE455F"/>
    <w:rsid w:val="00CE5010"/>
    <w:rsid w:val="00CE687E"/>
    <w:rsid w:val="00CF0163"/>
    <w:rsid w:val="00CF0BF9"/>
    <w:rsid w:val="00CF5957"/>
    <w:rsid w:val="00D04BA2"/>
    <w:rsid w:val="00D077B0"/>
    <w:rsid w:val="00D21234"/>
    <w:rsid w:val="00D22D42"/>
    <w:rsid w:val="00D36D8D"/>
    <w:rsid w:val="00D41712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108D"/>
    <w:rsid w:val="00D83CB7"/>
    <w:rsid w:val="00D85E04"/>
    <w:rsid w:val="00D87286"/>
    <w:rsid w:val="00D97FA8"/>
    <w:rsid w:val="00DA08B0"/>
    <w:rsid w:val="00DC1935"/>
    <w:rsid w:val="00DC4B56"/>
    <w:rsid w:val="00DC584B"/>
    <w:rsid w:val="00DC7B25"/>
    <w:rsid w:val="00DD6B73"/>
    <w:rsid w:val="00DE6366"/>
    <w:rsid w:val="00DF0408"/>
    <w:rsid w:val="00E112C9"/>
    <w:rsid w:val="00E118FF"/>
    <w:rsid w:val="00E158F7"/>
    <w:rsid w:val="00E2087E"/>
    <w:rsid w:val="00E347F2"/>
    <w:rsid w:val="00E36818"/>
    <w:rsid w:val="00E47B97"/>
    <w:rsid w:val="00E50D05"/>
    <w:rsid w:val="00E5203C"/>
    <w:rsid w:val="00E61C65"/>
    <w:rsid w:val="00E6326D"/>
    <w:rsid w:val="00E634CC"/>
    <w:rsid w:val="00E71ED6"/>
    <w:rsid w:val="00E82F0E"/>
    <w:rsid w:val="00E96FAC"/>
    <w:rsid w:val="00EA05CA"/>
    <w:rsid w:val="00EA129F"/>
    <w:rsid w:val="00EB076D"/>
    <w:rsid w:val="00EB514B"/>
    <w:rsid w:val="00ED0582"/>
    <w:rsid w:val="00ED39A3"/>
    <w:rsid w:val="00EE31F6"/>
    <w:rsid w:val="00EE36DC"/>
    <w:rsid w:val="00EF2759"/>
    <w:rsid w:val="00F044EE"/>
    <w:rsid w:val="00F10D6A"/>
    <w:rsid w:val="00F3320B"/>
    <w:rsid w:val="00F40E92"/>
    <w:rsid w:val="00F41947"/>
    <w:rsid w:val="00F435AA"/>
    <w:rsid w:val="00F76C6A"/>
    <w:rsid w:val="00F83BF1"/>
    <w:rsid w:val="00F90CB9"/>
    <w:rsid w:val="00F92EAD"/>
    <w:rsid w:val="00F97373"/>
    <w:rsid w:val="00FA6854"/>
    <w:rsid w:val="00FB064F"/>
    <w:rsid w:val="00FB144F"/>
    <w:rsid w:val="00FB159A"/>
    <w:rsid w:val="00FB4D77"/>
    <w:rsid w:val="00FB6E2B"/>
    <w:rsid w:val="00FC497D"/>
    <w:rsid w:val="00FD0461"/>
    <w:rsid w:val="00FD076B"/>
    <w:rsid w:val="00FF3782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560B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F5BE-528C-452F-85EB-E9579741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4</cp:revision>
  <cp:lastPrinted>2017-12-15T09:20:00Z</cp:lastPrinted>
  <dcterms:created xsi:type="dcterms:W3CDTF">2022-09-30T06:50:00Z</dcterms:created>
  <dcterms:modified xsi:type="dcterms:W3CDTF">2022-09-30T13:38:00Z</dcterms:modified>
</cp:coreProperties>
</file>