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E2CD1" w14:textId="77777777" w:rsidR="00C7341F" w:rsidRDefault="00C7341F" w:rsidP="000C770D">
      <w:pPr>
        <w:spacing w:after="0" w:line="360" w:lineRule="auto"/>
        <w:rPr>
          <w:rFonts w:ascii="Arial" w:hAnsi="Arial" w:cs="Arial"/>
          <w:b/>
        </w:rPr>
      </w:pPr>
      <w:r w:rsidRPr="0054412E">
        <w:rPr>
          <w:rFonts w:ascii="Arial" w:hAnsi="Arial" w:cs="Arial"/>
          <w:b/>
        </w:rPr>
        <w:t xml:space="preserve">Hamburg: </w:t>
      </w:r>
      <w:r>
        <w:rPr>
          <w:rFonts w:ascii="Arial" w:hAnsi="Arial" w:cs="Arial"/>
          <w:b/>
        </w:rPr>
        <w:t>Investmentmarkt 1.</w:t>
      </w:r>
      <w:r w:rsidRPr="00B9324B">
        <w:rPr>
          <w:rFonts w:ascii="Arial" w:hAnsi="Arial" w:cs="Arial"/>
          <w:b/>
        </w:rPr>
        <w:t xml:space="preserve"> Quartal 20</w:t>
      </w:r>
      <w:r>
        <w:rPr>
          <w:rFonts w:ascii="Arial" w:hAnsi="Arial" w:cs="Arial"/>
          <w:b/>
        </w:rPr>
        <w:t>22</w:t>
      </w:r>
    </w:p>
    <w:p w14:paraId="6919F2CA" w14:textId="77777777" w:rsidR="00D04BA2" w:rsidRPr="00656B29" w:rsidRDefault="009A4414" w:rsidP="000C770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Rekordergebnis durch Sondereffekt</w:t>
      </w:r>
    </w:p>
    <w:p w14:paraId="23842E4F" w14:textId="77777777" w:rsidR="00590903" w:rsidRPr="0090748B" w:rsidRDefault="00590903" w:rsidP="005909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0F1535C" w14:textId="520CDB8C" w:rsidR="00D04BA2" w:rsidRPr="00687D00" w:rsidRDefault="00C7341F" w:rsidP="000C770D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Hamburg</w:t>
      </w:r>
      <w:r w:rsidR="003B4CCF" w:rsidRPr="00063A33">
        <w:rPr>
          <w:rFonts w:ascii="Arial" w:hAnsi="Arial" w:cs="Arial"/>
          <w:b/>
          <w:sz w:val="20"/>
          <w:szCs w:val="20"/>
        </w:rPr>
        <w:t xml:space="preserve">, </w:t>
      </w:r>
      <w:r w:rsidR="00A202C5">
        <w:rPr>
          <w:rFonts w:ascii="Arial" w:hAnsi="Arial" w:cs="Arial"/>
          <w:b/>
          <w:sz w:val="20"/>
          <w:szCs w:val="20"/>
        </w:rPr>
        <w:t>1</w:t>
      </w:r>
      <w:r w:rsidR="003B4CCF" w:rsidRPr="00063A33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April 2022</w:t>
      </w:r>
      <w:r w:rsidR="003B4CCF" w:rsidRPr="00063A33">
        <w:rPr>
          <w:rFonts w:ascii="Arial" w:hAnsi="Arial" w:cs="Arial"/>
          <w:b/>
          <w:sz w:val="20"/>
          <w:szCs w:val="20"/>
        </w:rPr>
        <w:t xml:space="preserve"> </w:t>
      </w:r>
      <w:r w:rsidR="003B4CCF" w:rsidRPr="00687D00">
        <w:rPr>
          <w:rFonts w:ascii="Arial" w:hAnsi="Arial" w:cs="Arial"/>
          <w:b/>
          <w:sz w:val="20"/>
          <w:szCs w:val="20"/>
        </w:rPr>
        <w:t>–</w:t>
      </w:r>
      <w:r w:rsidR="003B4CCF" w:rsidRPr="00687D00">
        <w:rPr>
          <w:rFonts w:ascii="Arial" w:hAnsi="Arial" w:cs="Arial"/>
          <w:sz w:val="20"/>
          <w:szCs w:val="20"/>
        </w:rPr>
        <w:t xml:space="preserve"> </w:t>
      </w:r>
      <w:r w:rsidR="009A4414" w:rsidRPr="00687D00">
        <w:rPr>
          <w:rFonts w:ascii="Arial" w:hAnsi="Arial" w:cs="Arial"/>
          <w:sz w:val="20"/>
          <w:szCs w:val="20"/>
        </w:rPr>
        <w:t>Die Überna</w:t>
      </w:r>
      <w:r w:rsidR="006E4CF0">
        <w:rPr>
          <w:rFonts w:ascii="Arial" w:hAnsi="Arial" w:cs="Arial"/>
          <w:sz w:val="20"/>
          <w:szCs w:val="20"/>
        </w:rPr>
        <w:t xml:space="preserve">hme des Büroimmobilienmanagers </w:t>
      </w:r>
      <w:proofErr w:type="spellStart"/>
      <w:r w:rsidR="006E4CF0">
        <w:rPr>
          <w:rFonts w:ascii="Arial" w:hAnsi="Arial" w:cs="Arial"/>
          <w:sz w:val="20"/>
          <w:szCs w:val="20"/>
        </w:rPr>
        <w:t>a</w:t>
      </w:r>
      <w:r w:rsidR="009A4414" w:rsidRPr="00687D00">
        <w:rPr>
          <w:rFonts w:ascii="Arial" w:hAnsi="Arial" w:cs="Arial"/>
          <w:sz w:val="20"/>
          <w:szCs w:val="20"/>
        </w:rPr>
        <w:t>lstria</w:t>
      </w:r>
      <w:proofErr w:type="spellEnd"/>
      <w:r w:rsidR="006E4C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4CF0">
        <w:rPr>
          <w:rFonts w:ascii="Arial" w:hAnsi="Arial" w:cs="Arial"/>
          <w:sz w:val="20"/>
          <w:szCs w:val="20"/>
        </w:rPr>
        <w:t>o</w:t>
      </w:r>
      <w:r w:rsidR="009A4414" w:rsidRPr="00687D00">
        <w:rPr>
          <w:rFonts w:ascii="Arial" w:hAnsi="Arial" w:cs="Arial"/>
          <w:sz w:val="20"/>
          <w:szCs w:val="20"/>
        </w:rPr>
        <w:t>ffice</w:t>
      </w:r>
      <w:proofErr w:type="spellEnd"/>
      <w:r w:rsidR="009A4414" w:rsidRPr="00687D00">
        <w:rPr>
          <w:rFonts w:ascii="Arial" w:hAnsi="Arial" w:cs="Arial"/>
          <w:sz w:val="20"/>
          <w:szCs w:val="20"/>
        </w:rPr>
        <w:t xml:space="preserve"> durch den kanadischen Vermögensverwalter </w:t>
      </w:r>
      <w:proofErr w:type="spellStart"/>
      <w:r w:rsidR="009A4414" w:rsidRPr="00687D00">
        <w:rPr>
          <w:rFonts w:ascii="Arial" w:hAnsi="Arial" w:cs="Arial"/>
          <w:sz w:val="20"/>
          <w:szCs w:val="20"/>
        </w:rPr>
        <w:t>Brookfield</w:t>
      </w:r>
      <w:proofErr w:type="spellEnd"/>
      <w:r w:rsidR="009A4414" w:rsidRPr="00687D00">
        <w:rPr>
          <w:rFonts w:ascii="Arial" w:hAnsi="Arial" w:cs="Arial"/>
          <w:sz w:val="20"/>
          <w:szCs w:val="20"/>
        </w:rPr>
        <w:t xml:space="preserve"> Properties sorgte für das höchste jemals </w:t>
      </w:r>
      <w:r w:rsidR="00E347F2">
        <w:rPr>
          <w:rFonts w:ascii="Arial" w:hAnsi="Arial" w:cs="Arial"/>
          <w:sz w:val="20"/>
          <w:szCs w:val="20"/>
        </w:rPr>
        <w:t>erfasst</w:t>
      </w:r>
      <w:r w:rsidR="009A4414" w:rsidRPr="00687D00">
        <w:rPr>
          <w:rFonts w:ascii="Arial" w:hAnsi="Arial" w:cs="Arial"/>
          <w:sz w:val="20"/>
          <w:szCs w:val="20"/>
        </w:rPr>
        <w:t xml:space="preserve">e Umsatzergebnis eines 1. Quartals auf dem </w:t>
      </w:r>
      <w:r w:rsidR="00BF02E7">
        <w:rPr>
          <w:rFonts w:ascii="Arial" w:hAnsi="Arial" w:cs="Arial"/>
          <w:sz w:val="20"/>
          <w:szCs w:val="20"/>
        </w:rPr>
        <w:t>I</w:t>
      </w:r>
      <w:r w:rsidR="009A4414" w:rsidRPr="00687D00">
        <w:rPr>
          <w:rFonts w:ascii="Arial" w:hAnsi="Arial" w:cs="Arial"/>
          <w:sz w:val="20"/>
          <w:szCs w:val="20"/>
        </w:rPr>
        <w:t>nvestmentmarkt für gewerbliche Immobilien</w:t>
      </w:r>
      <w:r w:rsidR="00BF02E7">
        <w:rPr>
          <w:rFonts w:ascii="Arial" w:hAnsi="Arial" w:cs="Arial"/>
          <w:sz w:val="20"/>
          <w:szCs w:val="20"/>
        </w:rPr>
        <w:t xml:space="preserve"> in Hamburg</w:t>
      </w:r>
      <w:r w:rsidR="009A4414" w:rsidRPr="00687D00">
        <w:rPr>
          <w:rFonts w:ascii="Arial" w:hAnsi="Arial" w:cs="Arial"/>
          <w:sz w:val="20"/>
          <w:szCs w:val="20"/>
        </w:rPr>
        <w:t>. So belief sich das Transaktionsvolumen</w:t>
      </w:r>
      <w:r w:rsidR="006E5F6E" w:rsidRPr="00687D00">
        <w:rPr>
          <w:rFonts w:ascii="Arial" w:hAnsi="Arial" w:cs="Arial"/>
          <w:sz w:val="20"/>
          <w:szCs w:val="20"/>
        </w:rPr>
        <w:t xml:space="preserve"> (TAV)</w:t>
      </w:r>
      <w:r w:rsidR="009A4414" w:rsidRPr="00687D00">
        <w:rPr>
          <w:rFonts w:ascii="Arial" w:hAnsi="Arial" w:cs="Arial"/>
          <w:sz w:val="20"/>
          <w:szCs w:val="20"/>
        </w:rPr>
        <w:t xml:space="preserve"> in den ersten drei Monaten auf rund 1,9 Mrd. €</w:t>
      </w:r>
      <w:r w:rsidR="007C013D" w:rsidRPr="00687D00">
        <w:rPr>
          <w:rFonts w:ascii="Arial" w:hAnsi="Arial" w:cs="Arial"/>
          <w:sz w:val="20"/>
          <w:szCs w:val="20"/>
        </w:rPr>
        <w:t xml:space="preserve"> und lag damit 171</w:t>
      </w:r>
      <w:r w:rsidR="005F6E2B">
        <w:rPr>
          <w:rFonts w:ascii="Arial" w:hAnsi="Arial" w:cs="Arial"/>
          <w:sz w:val="20"/>
          <w:szCs w:val="20"/>
        </w:rPr>
        <w:t> </w:t>
      </w:r>
      <w:r w:rsidR="007C013D" w:rsidRPr="00687D00">
        <w:rPr>
          <w:rFonts w:ascii="Arial" w:hAnsi="Arial" w:cs="Arial"/>
          <w:sz w:val="20"/>
          <w:szCs w:val="20"/>
        </w:rPr>
        <w:t>% über dem Vorjahresquartal</w:t>
      </w:r>
      <w:r w:rsidR="009A4414" w:rsidRPr="00687D00">
        <w:rPr>
          <w:rFonts w:ascii="Arial" w:hAnsi="Arial" w:cs="Arial"/>
          <w:sz w:val="20"/>
          <w:szCs w:val="20"/>
        </w:rPr>
        <w:t xml:space="preserve">. </w:t>
      </w:r>
      <w:r w:rsidR="004839BD">
        <w:rPr>
          <w:rFonts w:ascii="Arial" w:hAnsi="Arial" w:cs="Arial"/>
          <w:sz w:val="20"/>
          <w:szCs w:val="20"/>
        </w:rPr>
        <w:t>Durch die Übernahme wech</w:t>
      </w:r>
      <w:r w:rsidR="002A028B">
        <w:rPr>
          <w:rFonts w:ascii="Arial" w:hAnsi="Arial" w:cs="Arial"/>
          <w:sz w:val="20"/>
          <w:szCs w:val="20"/>
        </w:rPr>
        <w:t>selten alleine in Hamburg über 30</w:t>
      </w:r>
      <w:r w:rsidR="004839BD">
        <w:rPr>
          <w:rFonts w:ascii="Arial" w:hAnsi="Arial" w:cs="Arial"/>
          <w:sz w:val="20"/>
          <w:szCs w:val="20"/>
        </w:rPr>
        <w:t xml:space="preserve"> </w:t>
      </w:r>
      <w:r w:rsidR="002A028B">
        <w:rPr>
          <w:rFonts w:ascii="Arial" w:hAnsi="Arial" w:cs="Arial"/>
          <w:sz w:val="20"/>
          <w:szCs w:val="20"/>
        </w:rPr>
        <w:t>Immobilen</w:t>
      </w:r>
      <w:r w:rsidR="004839BD">
        <w:rPr>
          <w:rFonts w:ascii="Arial" w:hAnsi="Arial" w:cs="Arial"/>
          <w:sz w:val="20"/>
          <w:szCs w:val="20"/>
        </w:rPr>
        <w:t xml:space="preserve"> mit einem Wert von rund 1,5 Mrd. € den Eigentümer. </w:t>
      </w:r>
      <w:r w:rsidR="00710607" w:rsidRPr="00687D00">
        <w:rPr>
          <w:rFonts w:ascii="Arial" w:hAnsi="Arial" w:cs="Arial"/>
          <w:sz w:val="20"/>
          <w:szCs w:val="20"/>
        </w:rPr>
        <w:t xml:space="preserve">Um diesen Sondereffekt bereinigt </w:t>
      </w:r>
      <w:r w:rsidR="001922E2">
        <w:rPr>
          <w:rFonts w:ascii="Arial" w:hAnsi="Arial" w:cs="Arial"/>
          <w:sz w:val="20"/>
          <w:szCs w:val="20"/>
        </w:rPr>
        <w:t>lag</w:t>
      </w:r>
      <w:r w:rsidR="001922E2" w:rsidRPr="00687D00">
        <w:rPr>
          <w:rFonts w:ascii="Arial" w:hAnsi="Arial" w:cs="Arial"/>
          <w:sz w:val="20"/>
          <w:szCs w:val="20"/>
        </w:rPr>
        <w:t xml:space="preserve"> </w:t>
      </w:r>
      <w:r w:rsidR="00710607" w:rsidRPr="00687D00">
        <w:rPr>
          <w:rFonts w:ascii="Arial" w:hAnsi="Arial" w:cs="Arial"/>
          <w:sz w:val="20"/>
          <w:szCs w:val="20"/>
        </w:rPr>
        <w:t xml:space="preserve">das </w:t>
      </w:r>
      <w:r w:rsidR="006E5F6E" w:rsidRPr="00687D00">
        <w:rPr>
          <w:rFonts w:ascii="Arial" w:hAnsi="Arial" w:cs="Arial"/>
          <w:sz w:val="20"/>
          <w:szCs w:val="20"/>
        </w:rPr>
        <w:t xml:space="preserve">TAV </w:t>
      </w:r>
      <w:r w:rsidR="00710607" w:rsidRPr="00687D00">
        <w:rPr>
          <w:rFonts w:ascii="Arial" w:hAnsi="Arial" w:cs="Arial"/>
          <w:sz w:val="20"/>
          <w:szCs w:val="20"/>
        </w:rPr>
        <w:t>bei</w:t>
      </w:r>
      <w:r w:rsidR="006E5F6E" w:rsidRPr="00687D00">
        <w:rPr>
          <w:rFonts w:ascii="Arial" w:hAnsi="Arial" w:cs="Arial"/>
          <w:sz w:val="20"/>
          <w:szCs w:val="20"/>
        </w:rPr>
        <w:t xml:space="preserve"> </w:t>
      </w:r>
      <w:r w:rsidR="00710607" w:rsidRPr="00687D00">
        <w:rPr>
          <w:rFonts w:ascii="Arial" w:hAnsi="Arial" w:cs="Arial"/>
          <w:sz w:val="20"/>
          <w:szCs w:val="20"/>
        </w:rPr>
        <w:t xml:space="preserve">rund 440 Mio. € und damit deutlich unter dem </w:t>
      </w:r>
      <w:r w:rsidR="00C97C2E">
        <w:rPr>
          <w:rFonts w:ascii="Arial" w:hAnsi="Arial" w:cs="Arial"/>
          <w:sz w:val="20"/>
          <w:szCs w:val="20"/>
        </w:rPr>
        <w:t>Vorjahreswert von 700 Mio. €</w:t>
      </w:r>
      <w:r w:rsidR="00BF02E7">
        <w:rPr>
          <w:rFonts w:ascii="Arial" w:hAnsi="Arial" w:cs="Arial"/>
          <w:sz w:val="20"/>
          <w:szCs w:val="20"/>
        </w:rPr>
        <w:t xml:space="preserve">, was insbesondere auf </w:t>
      </w:r>
      <w:r w:rsidR="00687D00">
        <w:rPr>
          <w:rFonts w:ascii="Arial" w:hAnsi="Arial" w:cs="Arial"/>
          <w:sz w:val="20"/>
          <w:szCs w:val="20"/>
        </w:rPr>
        <w:t>fehlende Überläufer aus dem Vorjahr</w:t>
      </w:r>
      <w:r w:rsidR="00BF02E7">
        <w:rPr>
          <w:rFonts w:ascii="Arial" w:hAnsi="Arial" w:cs="Arial"/>
          <w:sz w:val="20"/>
          <w:szCs w:val="20"/>
        </w:rPr>
        <w:t xml:space="preserve"> zurückzuführen ist</w:t>
      </w:r>
      <w:r w:rsidR="00687D00">
        <w:rPr>
          <w:rFonts w:ascii="Arial" w:hAnsi="Arial" w:cs="Arial"/>
          <w:sz w:val="20"/>
          <w:szCs w:val="20"/>
        </w:rPr>
        <w:t xml:space="preserve">. </w:t>
      </w:r>
      <w:r w:rsidR="00CC00BA" w:rsidRPr="00687D00">
        <w:rPr>
          <w:rFonts w:ascii="Arial" w:hAnsi="Arial" w:cs="Arial"/>
          <w:b/>
          <w:sz w:val="20"/>
          <w:szCs w:val="20"/>
        </w:rPr>
        <w:t>Sandra Ludwig</w:t>
      </w:r>
      <w:r w:rsidR="00CC00BA" w:rsidRPr="00687D00">
        <w:rPr>
          <w:rFonts w:ascii="Arial" w:hAnsi="Arial" w:cs="Arial"/>
          <w:sz w:val="20"/>
          <w:szCs w:val="20"/>
        </w:rPr>
        <w:t>, Geschäftsführerin von Grossmann &amp; Berger, Mitglied von German Property Partners (GPP)</w:t>
      </w:r>
      <w:r w:rsidR="00CC00BA">
        <w:rPr>
          <w:rFonts w:ascii="Arial" w:hAnsi="Arial" w:cs="Arial"/>
          <w:sz w:val="20"/>
          <w:szCs w:val="20"/>
        </w:rPr>
        <w:t>, prognostiziert für den w</w:t>
      </w:r>
      <w:r w:rsidR="00C97C2E" w:rsidRPr="00142A67">
        <w:rPr>
          <w:rFonts w:ascii="Arial" w:hAnsi="Arial" w:cs="Arial"/>
          <w:sz w:val="20"/>
          <w:szCs w:val="20"/>
        </w:rPr>
        <w:t>eiteren</w:t>
      </w:r>
      <w:r w:rsidR="00710607" w:rsidRPr="00687D00">
        <w:rPr>
          <w:rFonts w:ascii="Arial" w:hAnsi="Arial" w:cs="Arial"/>
          <w:sz w:val="20"/>
          <w:szCs w:val="20"/>
        </w:rPr>
        <w:t xml:space="preserve"> Jahresverlauf: </w:t>
      </w:r>
      <w:r w:rsidR="00710607" w:rsidRPr="00687D00">
        <w:rPr>
          <w:rFonts w:ascii="Arial" w:hAnsi="Arial" w:cs="Arial"/>
          <w:i/>
          <w:sz w:val="20"/>
          <w:szCs w:val="20"/>
        </w:rPr>
        <w:t xml:space="preserve">„Aktuell sind viele Produkte im Markt und </w:t>
      </w:r>
      <w:r w:rsidR="00E6326D">
        <w:rPr>
          <w:rFonts w:ascii="Arial" w:hAnsi="Arial" w:cs="Arial"/>
          <w:i/>
          <w:sz w:val="20"/>
          <w:szCs w:val="20"/>
        </w:rPr>
        <w:t>die Transaktionspipeline ist bereits gut gefüllt</w:t>
      </w:r>
      <w:r w:rsidR="00710607" w:rsidRPr="00687D00">
        <w:rPr>
          <w:rFonts w:ascii="Arial" w:hAnsi="Arial" w:cs="Arial"/>
          <w:i/>
          <w:sz w:val="20"/>
          <w:szCs w:val="20"/>
        </w:rPr>
        <w:t xml:space="preserve">. </w:t>
      </w:r>
      <w:r w:rsidR="004839BD">
        <w:rPr>
          <w:rFonts w:ascii="Arial" w:hAnsi="Arial" w:cs="Arial"/>
          <w:i/>
          <w:sz w:val="20"/>
          <w:szCs w:val="20"/>
        </w:rPr>
        <w:t>Einige großvolumigere Bürodea</w:t>
      </w:r>
      <w:r w:rsidR="00A4056C">
        <w:rPr>
          <w:rFonts w:ascii="Arial" w:hAnsi="Arial" w:cs="Arial"/>
          <w:i/>
          <w:sz w:val="20"/>
          <w:szCs w:val="20"/>
        </w:rPr>
        <w:t xml:space="preserve">ls werden voraussichtlich im zweiten </w:t>
      </w:r>
      <w:r w:rsidR="004839BD">
        <w:rPr>
          <w:rFonts w:ascii="Arial" w:hAnsi="Arial" w:cs="Arial"/>
          <w:i/>
          <w:sz w:val="20"/>
          <w:szCs w:val="20"/>
        </w:rPr>
        <w:t xml:space="preserve">Quartal abgeschlossen. </w:t>
      </w:r>
      <w:r w:rsidR="00710607" w:rsidRPr="00687D00">
        <w:rPr>
          <w:rFonts w:ascii="Arial" w:hAnsi="Arial" w:cs="Arial"/>
          <w:i/>
          <w:sz w:val="20"/>
          <w:szCs w:val="20"/>
        </w:rPr>
        <w:t>Die Nachfrage</w:t>
      </w:r>
      <w:r w:rsidR="00CB08A0" w:rsidRPr="00687D00">
        <w:rPr>
          <w:rFonts w:ascii="Arial" w:hAnsi="Arial" w:cs="Arial"/>
          <w:i/>
          <w:sz w:val="20"/>
          <w:szCs w:val="20"/>
        </w:rPr>
        <w:t>, insbesondere nach ESG-konformen Core-Immobilien,</w:t>
      </w:r>
      <w:r w:rsidR="00710607" w:rsidRPr="00687D00">
        <w:rPr>
          <w:rFonts w:ascii="Arial" w:hAnsi="Arial" w:cs="Arial"/>
          <w:i/>
          <w:sz w:val="20"/>
          <w:szCs w:val="20"/>
        </w:rPr>
        <w:t xml:space="preserve"> ist </w:t>
      </w:r>
      <w:r w:rsidR="006E5F6E" w:rsidRPr="00687D00">
        <w:rPr>
          <w:rFonts w:ascii="Arial" w:hAnsi="Arial" w:cs="Arial"/>
          <w:i/>
          <w:sz w:val="20"/>
          <w:szCs w:val="20"/>
        </w:rPr>
        <w:t xml:space="preserve">trotz </w:t>
      </w:r>
      <w:r w:rsidR="00BF02E7">
        <w:rPr>
          <w:rFonts w:ascii="Arial" w:hAnsi="Arial" w:cs="Arial"/>
          <w:i/>
          <w:sz w:val="20"/>
          <w:szCs w:val="20"/>
        </w:rPr>
        <w:t xml:space="preserve">der politischen Unsicherheiten durch den </w:t>
      </w:r>
      <w:r w:rsidR="006E5F6E" w:rsidRPr="00687D00">
        <w:rPr>
          <w:rFonts w:ascii="Arial" w:hAnsi="Arial" w:cs="Arial"/>
          <w:i/>
          <w:sz w:val="20"/>
          <w:szCs w:val="20"/>
        </w:rPr>
        <w:t xml:space="preserve">Ukraine-Krieg </w:t>
      </w:r>
      <w:r w:rsidR="0047591A">
        <w:rPr>
          <w:rFonts w:ascii="Arial" w:hAnsi="Arial" w:cs="Arial"/>
          <w:i/>
          <w:sz w:val="20"/>
          <w:szCs w:val="20"/>
        </w:rPr>
        <w:t>nach wie vor</w:t>
      </w:r>
      <w:r w:rsidR="00710607" w:rsidRPr="00687D00">
        <w:rPr>
          <w:rFonts w:ascii="Arial" w:hAnsi="Arial" w:cs="Arial"/>
          <w:i/>
          <w:sz w:val="20"/>
          <w:szCs w:val="20"/>
        </w:rPr>
        <w:t xml:space="preserve"> hoch</w:t>
      </w:r>
      <w:r w:rsidR="00CB08A0" w:rsidRPr="00687D00">
        <w:rPr>
          <w:rFonts w:ascii="Arial" w:hAnsi="Arial" w:cs="Arial"/>
          <w:i/>
          <w:sz w:val="20"/>
          <w:szCs w:val="20"/>
        </w:rPr>
        <w:t xml:space="preserve">. </w:t>
      </w:r>
      <w:r w:rsidR="006E5F6E" w:rsidRPr="00687D00">
        <w:rPr>
          <w:rFonts w:ascii="Arial" w:hAnsi="Arial" w:cs="Arial"/>
          <w:i/>
          <w:sz w:val="20"/>
          <w:szCs w:val="20"/>
        </w:rPr>
        <w:t xml:space="preserve">Im Laufe des Jahres </w:t>
      </w:r>
      <w:r w:rsidR="00CB08A0" w:rsidRPr="00687D00">
        <w:rPr>
          <w:rFonts w:ascii="Arial" w:hAnsi="Arial" w:cs="Arial"/>
          <w:i/>
          <w:sz w:val="20"/>
          <w:szCs w:val="20"/>
        </w:rPr>
        <w:t xml:space="preserve">dürfte sich </w:t>
      </w:r>
      <w:r w:rsidR="00BF02E7">
        <w:rPr>
          <w:rFonts w:ascii="Arial" w:hAnsi="Arial" w:cs="Arial"/>
          <w:i/>
          <w:sz w:val="20"/>
          <w:szCs w:val="20"/>
        </w:rPr>
        <w:t xml:space="preserve">jedoch </w:t>
      </w:r>
      <w:r w:rsidR="006E5F6E" w:rsidRPr="00687D00">
        <w:rPr>
          <w:rFonts w:ascii="Arial" w:hAnsi="Arial" w:cs="Arial"/>
          <w:i/>
          <w:sz w:val="20"/>
          <w:szCs w:val="20"/>
        </w:rPr>
        <w:t xml:space="preserve">das steigende Zinsniveau auf die Kaufpreise auswirken und </w:t>
      </w:r>
      <w:r w:rsidR="004839BD">
        <w:rPr>
          <w:rFonts w:ascii="Arial" w:hAnsi="Arial" w:cs="Arial"/>
          <w:i/>
          <w:sz w:val="20"/>
          <w:szCs w:val="20"/>
        </w:rPr>
        <w:t>die Preisrallye hemmen</w:t>
      </w:r>
      <w:r w:rsidR="006E5F6E" w:rsidRPr="00687D00">
        <w:rPr>
          <w:rFonts w:ascii="Arial" w:hAnsi="Arial" w:cs="Arial"/>
          <w:i/>
          <w:sz w:val="20"/>
          <w:szCs w:val="20"/>
        </w:rPr>
        <w:t>.</w:t>
      </w:r>
      <w:r w:rsidR="00710607" w:rsidRPr="00687D00">
        <w:rPr>
          <w:rFonts w:ascii="Arial" w:hAnsi="Arial" w:cs="Arial"/>
          <w:i/>
          <w:sz w:val="20"/>
          <w:szCs w:val="20"/>
        </w:rPr>
        <w:t>“</w:t>
      </w:r>
      <w:r w:rsidR="00ED39A3" w:rsidRPr="00687D00">
        <w:rPr>
          <w:rFonts w:ascii="Arial" w:hAnsi="Arial" w:cs="Arial"/>
          <w:i/>
          <w:sz w:val="20"/>
          <w:szCs w:val="20"/>
        </w:rPr>
        <w:t xml:space="preserve">  </w:t>
      </w:r>
      <w:r w:rsidR="007C013D" w:rsidRPr="00687D00">
        <w:rPr>
          <w:rFonts w:ascii="Arial" w:hAnsi="Arial" w:cs="Arial"/>
          <w:i/>
          <w:sz w:val="20"/>
          <w:szCs w:val="20"/>
        </w:rPr>
        <w:t xml:space="preserve"> </w:t>
      </w:r>
    </w:p>
    <w:p w14:paraId="6517AEE9" w14:textId="77777777" w:rsidR="00ED39A3" w:rsidRDefault="00ED39A3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89E0D37" w14:textId="77777777" w:rsidR="00710607" w:rsidRPr="00D35A6D" w:rsidRDefault="00710607" w:rsidP="00710607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D35A6D">
        <w:rPr>
          <w:rFonts w:ascii="Arial" w:hAnsi="Arial" w:cs="Arial"/>
          <w:b/>
          <w:sz w:val="20"/>
          <w:szCs w:val="20"/>
        </w:rPr>
        <w:t xml:space="preserve">Markt im Detail: </w:t>
      </w:r>
    </w:p>
    <w:p w14:paraId="426DD863" w14:textId="659AA27E" w:rsidR="00710607" w:rsidRDefault="00710607" w:rsidP="006E4CF0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Büroimmobilien waren mit einem Anteil von rund 86</w:t>
      </w:r>
      <w:r w:rsidR="001B35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% </w:t>
      </w:r>
      <w:r w:rsidR="004839BD">
        <w:rPr>
          <w:rFonts w:ascii="Arial" w:hAnsi="Arial" w:cs="Arial"/>
          <w:sz w:val="20"/>
          <w:szCs w:val="20"/>
        </w:rPr>
        <w:t xml:space="preserve">am gewerblichen Transaktionsvolumen </w:t>
      </w:r>
      <w:r>
        <w:rPr>
          <w:rFonts w:ascii="Arial" w:hAnsi="Arial" w:cs="Arial"/>
          <w:sz w:val="20"/>
          <w:szCs w:val="20"/>
        </w:rPr>
        <w:t xml:space="preserve">die am stärksten gehandelte </w:t>
      </w:r>
      <w:proofErr w:type="spellStart"/>
      <w:r w:rsidRPr="00710607">
        <w:rPr>
          <w:rFonts w:ascii="Arial" w:hAnsi="Arial" w:cs="Arial"/>
          <w:sz w:val="20"/>
          <w:szCs w:val="20"/>
          <w:u w:val="single"/>
        </w:rPr>
        <w:t>Assetklasse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1922E2">
        <w:rPr>
          <w:rFonts w:ascii="Arial" w:hAnsi="Arial" w:cs="Arial"/>
          <w:sz w:val="20"/>
          <w:szCs w:val="20"/>
        </w:rPr>
        <w:t xml:space="preserve">Ihr </w:t>
      </w:r>
      <w:r>
        <w:rPr>
          <w:rFonts w:ascii="Arial" w:hAnsi="Arial" w:cs="Arial"/>
          <w:sz w:val="20"/>
          <w:szCs w:val="20"/>
        </w:rPr>
        <w:t>besonders hohe</w:t>
      </w:r>
      <w:r w:rsidR="001922E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Anteil lässt sich auf den </w:t>
      </w:r>
      <w:r w:rsidR="004839BD">
        <w:rPr>
          <w:rFonts w:ascii="Arial" w:hAnsi="Arial" w:cs="Arial"/>
          <w:sz w:val="20"/>
          <w:szCs w:val="20"/>
        </w:rPr>
        <w:t xml:space="preserve">beschriebenen </w:t>
      </w:r>
      <w:r>
        <w:rPr>
          <w:rFonts w:ascii="Arial" w:hAnsi="Arial" w:cs="Arial"/>
          <w:sz w:val="20"/>
          <w:szCs w:val="20"/>
        </w:rPr>
        <w:t xml:space="preserve">Sondereffekt zurückführen. </w:t>
      </w:r>
      <w:r w:rsidR="0047591A">
        <w:rPr>
          <w:rFonts w:ascii="Arial" w:hAnsi="Arial" w:cs="Arial"/>
          <w:sz w:val="20"/>
          <w:szCs w:val="20"/>
        </w:rPr>
        <w:t>Deutlich abgeschlagen folg</w:t>
      </w:r>
      <w:r w:rsidR="00CA43E4">
        <w:rPr>
          <w:rFonts w:ascii="Arial" w:hAnsi="Arial" w:cs="Arial"/>
          <w:sz w:val="20"/>
          <w:szCs w:val="20"/>
        </w:rPr>
        <w:t>t</w:t>
      </w:r>
      <w:r w:rsidR="0047591A"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z w:val="20"/>
          <w:szCs w:val="20"/>
        </w:rPr>
        <w:t xml:space="preserve">Gewerbegrundstücke und Industrie-/Logistikimmobilien mit </w:t>
      </w:r>
      <w:r w:rsidR="001922E2">
        <w:rPr>
          <w:rFonts w:ascii="Arial" w:hAnsi="Arial" w:cs="Arial"/>
          <w:sz w:val="20"/>
          <w:szCs w:val="20"/>
        </w:rPr>
        <w:t xml:space="preserve">einem Anteil von </w:t>
      </w:r>
      <w:r>
        <w:rPr>
          <w:rFonts w:ascii="Arial" w:hAnsi="Arial" w:cs="Arial"/>
          <w:sz w:val="20"/>
          <w:szCs w:val="20"/>
        </w:rPr>
        <w:t>jeweils rund 4</w:t>
      </w:r>
      <w:r w:rsidR="001B35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% auf Rang zwei und drei.</w:t>
      </w:r>
    </w:p>
    <w:p w14:paraId="79AE52B6" w14:textId="27174782" w:rsidR="00710607" w:rsidRDefault="00710607" w:rsidP="006E4CF0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710607">
        <w:rPr>
          <w:rFonts w:ascii="Arial" w:hAnsi="Arial" w:cs="Arial"/>
          <w:sz w:val="20"/>
          <w:szCs w:val="20"/>
        </w:rPr>
        <w:t xml:space="preserve">Auch bei der Verteilung des Transaktionsvolumens auf die </w:t>
      </w:r>
      <w:r w:rsidRPr="00710607">
        <w:rPr>
          <w:rFonts w:ascii="Arial" w:hAnsi="Arial" w:cs="Arial"/>
          <w:sz w:val="20"/>
          <w:szCs w:val="20"/>
          <w:u w:val="single"/>
        </w:rPr>
        <w:t>Käufergruppen</w:t>
      </w:r>
      <w:r w:rsidRPr="00710607">
        <w:rPr>
          <w:rFonts w:ascii="Arial" w:hAnsi="Arial" w:cs="Arial"/>
          <w:sz w:val="20"/>
          <w:szCs w:val="20"/>
        </w:rPr>
        <w:t xml:space="preserve"> ergibt sich ein ungewohntes Bild: </w:t>
      </w:r>
      <w:r>
        <w:rPr>
          <w:rFonts w:ascii="Arial" w:hAnsi="Arial" w:cs="Arial"/>
          <w:sz w:val="20"/>
          <w:szCs w:val="20"/>
        </w:rPr>
        <w:t>Fond</w:t>
      </w:r>
      <w:r w:rsidR="001922E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manager führ</w:t>
      </w:r>
      <w:r w:rsidR="00CA43E4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en mit </w:t>
      </w:r>
      <w:r w:rsidR="001922E2">
        <w:rPr>
          <w:rFonts w:ascii="Arial" w:hAnsi="Arial" w:cs="Arial"/>
          <w:sz w:val="20"/>
          <w:szCs w:val="20"/>
        </w:rPr>
        <w:t xml:space="preserve">einem Anteil von </w:t>
      </w:r>
      <w:r>
        <w:rPr>
          <w:rFonts w:ascii="Arial" w:hAnsi="Arial" w:cs="Arial"/>
          <w:sz w:val="20"/>
          <w:szCs w:val="20"/>
        </w:rPr>
        <w:t>rund 82</w:t>
      </w:r>
      <w:r w:rsidR="001922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% </w:t>
      </w:r>
      <w:r w:rsidR="004351E4">
        <w:rPr>
          <w:rFonts w:ascii="Arial" w:hAnsi="Arial" w:cs="Arial"/>
          <w:sz w:val="20"/>
          <w:szCs w:val="20"/>
        </w:rPr>
        <w:t>signifikant</w:t>
      </w:r>
      <w:r w:rsidR="006E5F6E">
        <w:rPr>
          <w:rFonts w:ascii="Arial" w:hAnsi="Arial" w:cs="Arial"/>
          <w:sz w:val="20"/>
          <w:szCs w:val="20"/>
        </w:rPr>
        <w:t>.</w:t>
      </w:r>
      <w:r w:rsidR="006E4CF0">
        <w:rPr>
          <w:rFonts w:ascii="Arial" w:hAnsi="Arial" w:cs="Arial"/>
          <w:sz w:val="20"/>
          <w:szCs w:val="20"/>
        </w:rPr>
        <w:t xml:space="preserve"> Um den </w:t>
      </w:r>
      <w:proofErr w:type="spellStart"/>
      <w:r w:rsidR="006E4CF0">
        <w:rPr>
          <w:rFonts w:ascii="Arial" w:hAnsi="Arial" w:cs="Arial"/>
          <w:sz w:val="20"/>
          <w:szCs w:val="20"/>
        </w:rPr>
        <w:t>a</w:t>
      </w:r>
      <w:r w:rsidR="009D5738">
        <w:rPr>
          <w:rFonts w:ascii="Arial" w:hAnsi="Arial" w:cs="Arial"/>
          <w:sz w:val="20"/>
          <w:szCs w:val="20"/>
        </w:rPr>
        <w:t>lstria</w:t>
      </w:r>
      <w:proofErr w:type="spellEnd"/>
      <w:r w:rsidR="009D5738">
        <w:rPr>
          <w:rFonts w:ascii="Arial" w:hAnsi="Arial" w:cs="Arial"/>
          <w:sz w:val="20"/>
          <w:szCs w:val="20"/>
        </w:rPr>
        <w:t xml:space="preserve">-Effekt bereinigt </w:t>
      </w:r>
      <w:r w:rsidR="007218C0">
        <w:rPr>
          <w:rFonts w:ascii="Arial" w:hAnsi="Arial" w:cs="Arial"/>
          <w:sz w:val="20"/>
          <w:szCs w:val="20"/>
        </w:rPr>
        <w:t xml:space="preserve">waren </w:t>
      </w:r>
      <w:r w:rsidR="001F6BCE" w:rsidRPr="00A546DC">
        <w:rPr>
          <w:rFonts w:ascii="Arial" w:hAnsi="Arial" w:cs="Arial"/>
          <w:sz w:val="20"/>
          <w:szCs w:val="20"/>
        </w:rPr>
        <w:t>Projektentwickler</w:t>
      </w:r>
      <w:r w:rsidR="007218C0" w:rsidRPr="00A546DC">
        <w:rPr>
          <w:rFonts w:ascii="Arial" w:hAnsi="Arial" w:cs="Arial"/>
          <w:sz w:val="20"/>
          <w:szCs w:val="20"/>
        </w:rPr>
        <w:t xml:space="preserve"> </w:t>
      </w:r>
      <w:r w:rsidR="00A546DC">
        <w:rPr>
          <w:rFonts w:ascii="Arial" w:hAnsi="Arial" w:cs="Arial"/>
          <w:sz w:val="20"/>
          <w:szCs w:val="20"/>
        </w:rPr>
        <w:t xml:space="preserve">mit einem </w:t>
      </w:r>
      <w:r w:rsidR="007218C0">
        <w:rPr>
          <w:rFonts w:ascii="Arial" w:hAnsi="Arial" w:cs="Arial"/>
          <w:sz w:val="20"/>
          <w:szCs w:val="20"/>
        </w:rPr>
        <w:t xml:space="preserve">Anteil </w:t>
      </w:r>
      <w:r w:rsidR="00A546DC">
        <w:rPr>
          <w:rFonts w:ascii="Arial" w:hAnsi="Arial" w:cs="Arial"/>
          <w:sz w:val="20"/>
          <w:szCs w:val="20"/>
        </w:rPr>
        <w:t xml:space="preserve">von 44 % </w:t>
      </w:r>
      <w:r w:rsidR="007218C0">
        <w:rPr>
          <w:rFonts w:ascii="Arial" w:hAnsi="Arial" w:cs="Arial"/>
          <w:sz w:val="20"/>
          <w:szCs w:val="20"/>
        </w:rPr>
        <w:t>die am stärksten vertretene Käufergruppe</w:t>
      </w:r>
      <w:r w:rsidR="00A546DC">
        <w:rPr>
          <w:rFonts w:ascii="Arial" w:hAnsi="Arial" w:cs="Arial"/>
          <w:sz w:val="20"/>
          <w:szCs w:val="20"/>
        </w:rPr>
        <w:t>.</w:t>
      </w:r>
    </w:p>
    <w:p w14:paraId="5C30CBB2" w14:textId="4867CD96" w:rsidR="001922E2" w:rsidRDefault="001922E2" w:rsidP="006E4CF0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Auf </w:t>
      </w:r>
      <w:r w:rsidRPr="006E5F6E">
        <w:rPr>
          <w:rFonts w:ascii="Arial" w:hAnsi="Arial" w:cs="Arial"/>
          <w:sz w:val="20"/>
          <w:szCs w:val="20"/>
          <w:u w:val="single"/>
        </w:rPr>
        <w:t>Verkäuferseite</w:t>
      </w:r>
      <w:r>
        <w:rPr>
          <w:rFonts w:ascii="Arial" w:hAnsi="Arial" w:cs="Arial"/>
          <w:sz w:val="20"/>
          <w:szCs w:val="20"/>
        </w:rPr>
        <w:t xml:space="preserve"> setzten sich Börsennotierte Immobilieninvestment AG/REITs durch. Auch hier wurde der hoh</w:t>
      </w:r>
      <w:r w:rsidR="000202AA">
        <w:rPr>
          <w:rFonts w:ascii="Arial" w:hAnsi="Arial" w:cs="Arial"/>
          <w:sz w:val="20"/>
          <w:szCs w:val="20"/>
        </w:rPr>
        <w:t xml:space="preserve">e Anteil von rund 84 % von der </w:t>
      </w:r>
      <w:proofErr w:type="spellStart"/>
      <w:r w:rsidR="000202A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lstria</w:t>
      </w:r>
      <w:proofErr w:type="spellEnd"/>
      <w:r>
        <w:rPr>
          <w:rFonts w:ascii="Arial" w:hAnsi="Arial" w:cs="Arial"/>
          <w:sz w:val="20"/>
          <w:szCs w:val="20"/>
        </w:rPr>
        <w:t>-Übernahme generiert.</w:t>
      </w:r>
      <w:r w:rsidR="002A028B">
        <w:rPr>
          <w:rFonts w:ascii="Arial" w:hAnsi="Arial" w:cs="Arial"/>
          <w:sz w:val="20"/>
          <w:szCs w:val="20"/>
        </w:rPr>
        <w:t xml:space="preserve"> </w:t>
      </w:r>
      <w:r w:rsidR="009D5738">
        <w:rPr>
          <w:rFonts w:ascii="Arial" w:hAnsi="Arial" w:cs="Arial"/>
          <w:sz w:val="20"/>
          <w:szCs w:val="20"/>
        </w:rPr>
        <w:t xml:space="preserve">Ohne diesen Sondereffekt bildeten </w:t>
      </w:r>
      <w:r w:rsidR="00A546DC">
        <w:rPr>
          <w:rFonts w:ascii="Arial" w:hAnsi="Arial" w:cs="Arial"/>
          <w:sz w:val="20"/>
          <w:szCs w:val="20"/>
        </w:rPr>
        <w:t>Projektentwickler</w:t>
      </w:r>
      <w:r w:rsidR="009D5738">
        <w:rPr>
          <w:rFonts w:ascii="Arial" w:hAnsi="Arial" w:cs="Arial"/>
          <w:sz w:val="20"/>
          <w:szCs w:val="20"/>
        </w:rPr>
        <w:t xml:space="preserve"> mit einem Anteil von </w:t>
      </w:r>
      <w:r w:rsidR="00A546DC">
        <w:rPr>
          <w:rFonts w:ascii="Arial" w:hAnsi="Arial" w:cs="Arial"/>
          <w:sz w:val="20"/>
          <w:szCs w:val="20"/>
        </w:rPr>
        <w:t>32</w:t>
      </w:r>
      <w:r w:rsidR="009D5738">
        <w:rPr>
          <w:rFonts w:ascii="Arial" w:hAnsi="Arial" w:cs="Arial"/>
          <w:sz w:val="20"/>
          <w:szCs w:val="20"/>
        </w:rPr>
        <w:t xml:space="preserve"> % die stärkste Verkäufergruppe.</w:t>
      </w:r>
      <w:r w:rsidR="00A546DC">
        <w:rPr>
          <w:rFonts w:ascii="Arial" w:hAnsi="Arial" w:cs="Arial"/>
          <w:sz w:val="20"/>
          <w:szCs w:val="20"/>
        </w:rPr>
        <w:t xml:space="preserve"> </w:t>
      </w:r>
    </w:p>
    <w:p w14:paraId="1703F1B6" w14:textId="340C45A7" w:rsidR="005E35CD" w:rsidRPr="005E35CD" w:rsidRDefault="001B3575" w:rsidP="006E4CF0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Auf </w:t>
      </w:r>
      <w:r w:rsidRPr="001B3575">
        <w:rPr>
          <w:rFonts w:ascii="Arial" w:hAnsi="Arial" w:cs="Arial"/>
          <w:sz w:val="20"/>
          <w:szCs w:val="20"/>
          <w:u w:val="single"/>
        </w:rPr>
        <w:t>internationale Käufer</w:t>
      </w:r>
      <w:r>
        <w:rPr>
          <w:rFonts w:ascii="Arial" w:hAnsi="Arial" w:cs="Arial"/>
          <w:sz w:val="20"/>
          <w:szCs w:val="20"/>
        </w:rPr>
        <w:t xml:space="preserve"> entfiel ein Anteil von 87 % des Transaktionsvolumens.</w:t>
      </w:r>
      <w:r w:rsidR="00C97C2E">
        <w:rPr>
          <w:rFonts w:ascii="Arial" w:hAnsi="Arial" w:cs="Arial"/>
          <w:sz w:val="20"/>
          <w:szCs w:val="20"/>
        </w:rPr>
        <w:t xml:space="preserve"> </w:t>
      </w:r>
      <w:r w:rsidR="000202AA">
        <w:rPr>
          <w:rFonts w:ascii="Arial" w:hAnsi="Arial" w:cs="Arial"/>
          <w:sz w:val="20"/>
          <w:szCs w:val="20"/>
        </w:rPr>
        <w:t xml:space="preserve">Ohne den </w:t>
      </w:r>
      <w:proofErr w:type="spellStart"/>
      <w:r w:rsidR="000202AA">
        <w:rPr>
          <w:rFonts w:ascii="Arial" w:hAnsi="Arial" w:cs="Arial"/>
          <w:sz w:val="20"/>
          <w:szCs w:val="20"/>
        </w:rPr>
        <w:t>a</w:t>
      </w:r>
      <w:r w:rsidR="009D5738">
        <w:rPr>
          <w:rFonts w:ascii="Arial" w:hAnsi="Arial" w:cs="Arial"/>
          <w:sz w:val="20"/>
          <w:szCs w:val="20"/>
        </w:rPr>
        <w:t>lstria</w:t>
      </w:r>
      <w:proofErr w:type="spellEnd"/>
      <w:r w:rsidR="009D5738">
        <w:rPr>
          <w:rFonts w:ascii="Arial" w:hAnsi="Arial" w:cs="Arial"/>
          <w:sz w:val="20"/>
          <w:szCs w:val="20"/>
        </w:rPr>
        <w:t xml:space="preserve">-Deal </w:t>
      </w:r>
      <w:r w:rsidR="00CA43E4">
        <w:rPr>
          <w:rFonts w:ascii="Arial" w:hAnsi="Arial" w:cs="Arial"/>
          <w:sz w:val="20"/>
          <w:szCs w:val="20"/>
        </w:rPr>
        <w:t>lag</w:t>
      </w:r>
      <w:r w:rsidR="00A546DC">
        <w:rPr>
          <w:rFonts w:ascii="Arial" w:hAnsi="Arial" w:cs="Arial"/>
          <w:sz w:val="20"/>
          <w:szCs w:val="20"/>
        </w:rPr>
        <w:t xml:space="preserve"> ihr Anteil bei 30</w:t>
      </w:r>
      <w:r w:rsidR="009D5738">
        <w:rPr>
          <w:rFonts w:ascii="Arial" w:hAnsi="Arial" w:cs="Arial"/>
          <w:sz w:val="20"/>
          <w:szCs w:val="20"/>
        </w:rPr>
        <w:t xml:space="preserve"> %. </w:t>
      </w:r>
    </w:p>
    <w:p w14:paraId="34C7463F" w14:textId="0BA012F5" w:rsidR="001B3575" w:rsidRPr="005E35CD" w:rsidRDefault="006E5F6E" w:rsidP="006E4CF0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5E35CD">
        <w:rPr>
          <w:rFonts w:ascii="Arial" w:hAnsi="Arial" w:cs="Arial"/>
          <w:sz w:val="20"/>
          <w:szCs w:val="20"/>
        </w:rPr>
        <w:t xml:space="preserve">Während die </w:t>
      </w:r>
      <w:r w:rsidRPr="005E35CD">
        <w:rPr>
          <w:rFonts w:ascii="Arial" w:hAnsi="Arial" w:cs="Arial"/>
          <w:sz w:val="20"/>
          <w:szCs w:val="20"/>
          <w:u w:val="single"/>
        </w:rPr>
        <w:t>Spitzenrendite</w:t>
      </w:r>
      <w:r w:rsidRPr="005E35CD">
        <w:rPr>
          <w:rFonts w:ascii="Arial" w:hAnsi="Arial" w:cs="Arial"/>
          <w:sz w:val="20"/>
          <w:szCs w:val="20"/>
        </w:rPr>
        <w:t xml:space="preserve"> für Geschäftshäuser auf niedrigem Vorjahresniveau (2,7</w:t>
      </w:r>
      <w:r w:rsidR="00781CBD" w:rsidRPr="005E35CD">
        <w:rPr>
          <w:rFonts w:ascii="Arial" w:hAnsi="Arial" w:cs="Arial"/>
          <w:sz w:val="20"/>
          <w:szCs w:val="20"/>
        </w:rPr>
        <w:t xml:space="preserve"> </w:t>
      </w:r>
      <w:r w:rsidRPr="005E35CD">
        <w:rPr>
          <w:rFonts w:ascii="Arial" w:hAnsi="Arial" w:cs="Arial"/>
          <w:sz w:val="20"/>
          <w:szCs w:val="20"/>
        </w:rPr>
        <w:t xml:space="preserve">%) blieb, sank </w:t>
      </w:r>
      <w:r w:rsidR="001922E2" w:rsidRPr="005E35CD">
        <w:rPr>
          <w:rFonts w:ascii="Arial" w:hAnsi="Arial" w:cs="Arial"/>
          <w:sz w:val="20"/>
          <w:szCs w:val="20"/>
        </w:rPr>
        <w:t>sie</w:t>
      </w:r>
      <w:r w:rsidRPr="005E35CD">
        <w:rPr>
          <w:rFonts w:ascii="Arial" w:hAnsi="Arial" w:cs="Arial"/>
          <w:sz w:val="20"/>
          <w:szCs w:val="20"/>
        </w:rPr>
        <w:t xml:space="preserve"> für Büroimmobilien um 0,1 %-Punkte auf 2,6 %. Die stark gestiegene Nachfrage nach Industrie- und Logistikobjekten führte zu einer erheblichen Renditekompression in diesem Segment</w:t>
      </w:r>
      <w:r w:rsidR="001922E2" w:rsidRPr="005E35CD">
        <w:rPr>
          <w:rFonts w:ascii="Arial" w:hAnsi="Arial" w:cs="Arial"/>
          <w:sz w:val="20"/>
          <w:szCs w:val="20"/>
        </w:rPr>
        <w:t>:</w:t>
      </w:r>
      <w:r w:rsidRPr="005E35CD">
        <w:rPr>
          <w:rFonts w:ascii="Arial" w:hAnsi="Arial" w:cs="Arial"/>
          <w:sz w:val="20"/>
          <w:szCs w:val="20"/>
        </w:rPr>
        <w:t xml:space="preserve"> Im Vorjahresvergleich fiel die Spitzenrendite um 0,6 %-Punkte auf 3,3 </w:t>
      </w:r>
      <w:r w:rsidR="001B3575" w:rsidRPr="005E35CD">
        <w:rPr>
          <w:rFonts w:ascii="Arial" w:hAnsi="Arial" w:cs="Arial"/>
          <w:sz w:val="20"/>
          <w:szCs w:val="20"/>
        </w:rPr>
        <w:t>%.</w:t>
      </w:r>
      <w:r w:rsidR="00712CE1" w:rsidRPr="005E35CD">
        <w:rPr>
          <w:rFonts w:ascii="Arial" w:hAnsi="Arial" w:cs="Arial"/>
          <w:sz w:val="20"/>
          <w:szCs w:val="20"/>
        </w:rPr>
        <w:br/>
      </w:r>
    </w:p>
    <w:p w14:paraId="5BDEA611" w14:textId="053180F0" w:rsidR="00C7341F" w:rsidRDefault="00C7341F" w:rsidP="00C7341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795C973" w14:textId="3638BD52" w:rsidR="00C7341F" w:rsidRDefault="0012484F" w:rsidP="00C7341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12CE1">
        <w:rPr>
          <w:rFonts w:ascii="Arial" w:hAnsi="Arial" w:cs="Arial"/>
          <w:noProof/>
          <w:sz w:val="20"/>
          <w:szCs w:val="20"/>
          <w:lang w:eastAsia="de-DE"/>
        </w:rPr>
        <w:lastRenderedPageBreak/>
        <w:drawing>
          <wp:anchor distT="0" distB="0" distL="114300" distR="114300" simplePos="0" relativeHeight="251658240" behindDoc="0" locked="0" layoutInCell="1" allowOverlap="1" wp14:anchorId="2549CDCC" wp14:editId="4B773107">
            <wp:simplePos x="0" y="0"/>
            <wp:positionH relativeFrom="margin">
              <wp:align>right</wp:align>
            </wp:positionH>
            <wp:positionV relativeFrom="paragraph">
              <wp:posOffset>247650</wp:posOffset>
            </wp:positionV>
            <wp:extent cx="2837815" cy="2044700"/>
            <wp:effectExtent l="19050" t="19050" r="19685" b="12700"/>
            <wp:wrapSquare wrapText="bothSides"/>
            <wp:docPr id="1" name="Grafik 1" descr="N:\Presse\5_PresseMITTEILUNGEN\Marktbericht Investment\2022\2022 Q1\Material\TAV_Grafik_PM_2022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resse\5_PresseMITTEILUNGEN\Marktbericht Investment\2022\2022 Q1\Material\TAV_Grafik_PM_2022Q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0447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2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3964"/>
        <w:gridCol w:w="993"/>
      </w:tblGrid>
      <w:tr w:rsidR="00C7341F" w:rsidRPr="006F49D0" w14:paraId="2F4A79AC" w14:textId="77777777" w:rsidTr="00CF0163">
        <w:trPr>
          <w:trHeight w:val="283"/>
        </w:trPr>
        <w:tc>
          <w:tcPr>
            <w:tcW w:w="3964" w:type="dxa"/>
            <w:shd w:val="clear" w:color="auto" w:fill="000000" w:themeFill="text1"/>
          </w:tcPr>
          <w:p w14:paraId="185DEA24" w14:textId="77777777" w:rsidR="00C7341F" w:rsidRPr="004712BA" w:rsidRDefault="00C7341F" w:rsidP="00927886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Investmentmarkt </w:t>
            </w:r>
            <w:r w:rsidRPr="00800E2C">
              <w:rPr>
                <w:rFonts w:ascii="Arial" w:hAnsi="Arial" w:cs="Arial"/>
                <w:b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Hamburg</w:t>
            </w:r>
            <w:r>
              <w:t xml:space="preserve"> </w:t>
            </w:r>
            <w:r w:rsidRPr="00800E2C">
              <w:rPr>
                <w:rFonts w:ascii="Arial" w:hAnsi="Arial" w:cs="Arial"/>
                <w:b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993" w:type="dxa"/>
            <w:shd w:val="clear" w:color="auto" w:fill="000000" w:themeFill="text1"/>
          </w:tcPr>
          <w:p w14:paraId="65EC24BE" w14:textId="77777777" w:rsidR="00C7341F" w:rsidRPr="004712BA" w:rsidRDefault="00C7341F" w:rsidP="00927886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Q</w:t>
            </w:r>
            <w:r>
              <w:rPr>
                <w:rFonts w:ascii="Arial" w:hAnsi="Arial" w:cs="Arial"/>
                <w:b/>
                <w:sz w:val="18"/>
                <w:szCs w:val="16"/>
              </w:rPr>
              <w:t>1</w:t>
            </w:r>
          </w:p>
        </w:tc>
      </w:tr>
      <w:tr w:rsidR="00C7341F" w:rsidRPr="006F49D0" w14:paraId="42F788D0" w14:textId="77777777" w:rsidTr="00CF0163">
        <w:trPr>
          <w:trHeight w:val="193"/>
        </w:trPr>
        <w:tc>
          <w:tcPr>
            <w:tcW w:w="3964" w:type="dxa"/>
          </w:tcPr>
          <w:p w14:paraId="572A7D7F" w14:textId="77777777" w:rsidR="00C7341F" w:rsidRPr="004712BA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Transaktionsvolumen </w:t>
            </w:r>
            <w:r w:rsidRPr="00CF57DD">
              <w:rPr>
                <w:rFonts w:ascii="Arial" w:hAnsi="Arial" w:cs="Arial"/>
                <w:sz w:val="18"/>
                <w:szCs w:val="16"/>
              </w:rPr>
              <w:t>[</w:t>
            </w:r>
            <w:r w:rsidRPr="004712BA">
              <w:rPr>
                <w:rFonts w:ascii="Arial" w:hAnsi="Arial" w:cs="Arial"/>
                <w:sz w:val="18"/>
                <w:szCs w:val="16"/>
              </w:rPr>
              <w:t>Mio. €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993" w:type="dxa"/>
            <w:vAlign w:val="center"/>
          </w:tcPr>
          <w:p w14:paraId="141D4BF4" w14:textId="77777777" w:rsidR="00C7341F" w:rsidRPr="00E771E0" w:rsidRDefault="001B3575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1.900</w:t>
            </w:r>
          </w:p>
        </w:tc>
      </w:tr>
      <w:tr w:rsidR="00C7341F" w:rsidRPr="006F49D0" w14:paraId="77D40A98" w14:textId="77777777" w:rsidTr="00CF0163">
        <w:trPr>
          <w:trHeight w:val="283"/>
        </w:trPr>
        <w:tc>
          <w:tcPr>
            <w:tcW w:w="3964" w:type="dxa"/>
          </w:tcPr>
          <w:p w14:paraId="2D485DBE" w14:textId="77777777" w:rsidR="00C7341F" w:rsidRPr="00A7575D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4C41151E" w14:textId="77777777" w:rsidR="00C7341F" w:rsidRPr="00E771E0" w:rsidRDefault="001B3575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+171</w:t>
            </w:r>
          </w:p>
        </w:tc>
      </w:tr>
      <w:tr w:rsidR="00C7341F" w:rsidRPr="006F49D0" w14:paraId="297EB5D3" w14:textId="77777777" w:rsidTr="00CF0163">
        <w:trPr>
          <w:trHeight w:val="283"/>
        </w:trPr>
        <w:tc>
          <w:tcPr>
            <w:tcW w:w="3964" w:type="dxa"/>
          </w:tcPr>
          <w:p w14:paraId="4DA1F0EA" w14:textId="77777777" w:rsidR="00C7341F" w:rsidRPr="00CF57DD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Anteil internationaler Investoren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58A41321" w14:textId="77777777" w:rsidR="00C7341F" w:rsidRPr="00E771E0" w:rsidRDefault="001B3575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87</w:t>
            </w:r>
          </w:p>
        </w:tc>
      </w:tr>
      <w:tr w:rsidR="00C7341F" w:rsidRPr="006F49D0" w14:paraId="7A04E1EC" w14:textId="77777777" w:rsidTr="00CF0163">
        <w:trPr>
          <w:trHeight w:val="283"/>
        </w:trPr>
        <w:tc>
          <w:tcPr>
            <w:tcW w:w="3964" w:type="dxa"/>
          </w:tcPr>
          <w:p w14:paraId="7D123B83" w14:textId="77777777" w:rsidR="00C7341F" w:rsidRPr="004712BA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Büro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3F8204F4" w14:textId="77777777" w:rsidR="00C7341F" w:rsidRPr="00E771E0" w:rsidRDefault="001B3575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2,60</w:t>
            </w:r>
          </w:p>
        </w:tc>
      </w:tr>
      <w:tr w:rsidR="00C7341F" w14:paraId="412D1554" w14:textId="77777777" w:rsidTr="00CF0163">
        <w:trPr>
          <w:trHeight w:val="283"/>
        </w:trPr>
        <w:tc>
          <w:tcPr>
            <w:tcW w:w="3964" w:type="dxa"/>
          </w:tcPr>
          <w:p w14:paraId="285C2069" w14:textId="77777777" w:rsidR="00C7341F" w:rsidRPr="00A7575D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993" w:type="dxa"/>
            <w:vAlign w:val="center"/>
          </w:tcPr>
          <w:p w14:paraId="7154116A" w14:textId="77777777" w:rsidR="00C7341F" w:rsidRPr="00E771E0" w:rsidRDefault="001B3575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-0,10</w:t>
            </w:r>
          </w:p>
        </w:tc>
      </w:tr>
      <w:tr w:rsidR="00C7341F" w:rsidRPr="006F49D0" w14:paraId="1F3F0D4C" w14:textId="77777777" w:rsidTr="00CF0163">
        <w:trPr>
          <w:trHeight w:val="283"/>
        </w:trPr>
        <w:tc>
          <w:tcPr>
            <w:tcW w:w="3964" w:type="dxa"/>
          </w:tcPr>
          <w:p w14:paraId="7998213C" w14:textId="77777777" w:rsidR="00C7341F" w:rsidRPr="004712BA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Geschäftshäuser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5C400650" w14:textId="77777777" w:rsidR="00C7341F" w:rsidRPr="00F67E03" w:rsidRDefault="001B3575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2,70</w:t>
            </w:r>
          </w:p>
        </w:tc>
      </w:tr>
      <w:tr w:rsidR="00C7341F" w14:paraId="7E04E2D1" w14:textId="77777777" w:rsidTr="00CF0163">
        <w:trPr>
          <w:trHeight w:val="283"/>
        </w:trPr>
        <w:tc>
          <w:tcPr>
            <w:tcW w:w="3964" w:type="dxa"/>
          </w:tcPr>
          <w:p w14:paraId="50EDD51B" w14:textId="77777777" w:rsidR="00C7341F" w:rsidRPr="00A7575D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993" w:type="dxa"/>
            <w:vAlign w:val="center"/>
          </w:tcPr>
          <w:p w14:paraId="4F154500" w14:textId="77777777" w:rsidR="00C7341F" w:rsidRPr="00F67E03" w:rsidRDefault="001B3575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0B7D28">
              <w:rPr>
                <w:rFonts w:ascii="Arial" w:hAnsi="Arial" w:cs="Arial"/>
                <w:sz w:val="18"/>
                <w:szCs w:val="16"/>
              </w:rPr>
              <w:t>±0,00</w:t>
            </w:r>
          </w:p>
        </w:tc>
      </w:tr>
      <w:tr w:rsidR="00C7341F" w:rsidRPr="006F49D0" w14:paraId="661023F9" w14:textId="77777777" w:rsidTr="00CF0163">
        <w:trPr>
          <w:trHeight w:val="283"/>
        </w:trPr>
        <w:tc>
          <w:tcPr>
            <w:tcW w:w="3964" w:type="dxa"/>
          </w:tcPr>
          <w:p w14:paraId="1C7E799E" w14:textId="77777777" w:rsidR="00C7341F" w:rsidRPr="004712BA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Logistik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3B0C6875" w14:textId="77777777" w:rsidR="00C7341F" w:rsidRPr="00F67E03" w:rsidRDefault="001B3575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3,30</w:t>
            </w:r>
          </w:p>
        </w:tc>
      </w:tr>
      <w:tr w:rsidR="00C7341F" w14:paraId="63C42E15" w14:textId="77777777" w:rsidTr="00CF0163">
        <w:trPr>
          <w:trHeight w:val="283"/>
        </w:trPr>
        <w:tc>
          <w:tcPr>
            <w:tcW w:w="3964" w:type="dxa"/>
          </w:tcPr>
          <w:p w14:paraId="1440EEA3" w14:textId="77777777" w:rsidR="00C7341F" w:rsidRPr="00A7575D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993" w:type="dxa"/>
            <w:vAlign w:val="center"/>
          </w:tcPr>
          <w:p w14:paraId="1A0F9B44" w14:textId="77777777" w:rsidR="00C7341F" w:rsidRPr="00F67E03" w:rsidRDefault="001B3575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-0,60</w:t>
            </w:r>
          </w:p>
        </w:tc>
      </w:tr>
      <w:tr w:rsidR="00C7341F" w:rsidRPr="006F49D0" w14:paraId="07A2DDCA" w14:textId="77777777" w:rsidTr="00CF0163">
        <w:trPr>
          <w:trHeight w:val="283"/>
        </w:trPr>
        <w:tc>
          <w:tcPr>
            <w:tcW w:w="3964" w:type="dxa"/>
            <w:tcBorders>
              <w:bottom w:val="single" w:sz="4" w:space="0" w:color="auto"/>
            </w:tcBorders>
          </w:tcPr>
          <w:p w14:paraId="7828C62D" w14:textId="77777777" w:rsidR="00C7341F" w:rsidRPr="004712BA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Stärkste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proofErr w:type="spellStart"/>
            <w:r w:rsidRPr="004712BA">
              <w:rPr>
                <w:rFonts w:ascii="Arial" w:hAnsi="Arial" w:cs="Arial"/>
                <w:b/>
                <w:sz w:val="18"/>
                <w:szCs w:val="16"/>
              </w:rPr>
              <w:t>Assetklasse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F47916D" w14:textId="77777777" w:rsidR="00C7341F" w:rsidRPr="00F67E03" w:rsidRDefault="001B3575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Büro</w:t>
            </w:r>
          </w:p>
        </w:tc>
      </w:tr>
      <w:tr w:rsidR="00C7341F" w:rsidRPr="006F49D0" w14:paraId="6440AD70" w14:textId="77777777" w:rsidTr="00CF0163">
        <w:trPr>
          <w:trHeight w:val="283"/>
        </w:trPr>
        <w:tc>
          <w:tcPr>
            <w:tcW w:w="3964" w:type="dxa"/>
            <w:tcBorders>
              <w:bottom w:val="single" w:sz="4" w:space="0" w:color="auto"/>
            </w:tcBorders>
          </w:tcPr>
          <w:p w14:paraId="0E234409" w14:textId="77777777" w:rsidR="00C7341F" w:rsidRPr="004712BA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Stärkste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proofErr w:type="spellStart"/>
            <w:r w:rsidRPr="004712BA">
              <w:rPr>
                <w:rFonts w:ascii="Arial" w:hAnsi="Arial" w:cs="Arial"/>
                <w:b/>
                <w:sz w:val="18"/>
                <w:szCs w:val="16"/>
              </w:rPr>
              <w:t>Assetklasse</w:t>
            </w:r>
            <w:proofErr w:type="spellEnd"/>
            <w:r w:rsidRPr="004712BA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9F5C2D7" w14:textId="77777777" w:rsidR="00C7341F" w:rsidRPr="00F67E03" w:rsidRDefault="001B3575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85,8</w:t>
            </w:r>
          </w:p>
        </w:tc>
      </w:tr>
    </w:tbl>
    <w:p w14:paraId="57438FD8" w14:textId="3743931A" w:rsidR="00C7341F" w:rsidRDefault="00C7341F" w:rsidP="0090748B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5F22503" w14:textId="77777777" w:rsidR="00C7341F" w:rsidRDefault="00C7341F" w:rsidP="0090748B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582D23C" w14:textId="77777777" w:rsidR="00C7341F" w:rsidRPr="00A0600B" w:rsidRDefault="00C7341F" w:rsidP="00C734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Ausgewählte bekannte Top-Transaktionen | Investmentmarkt Hamburg | 1.</w:t>
      </w:r>
      <w:r w:rsidRPr="00EE7FCA">
        <w:rPr>
          <w:rFonts w:ascii="Arial" w:hAnsi="Arial" w:cs="Arial"/>
          <w:b/>
          <w:sz w:val="20"/>
          <w:szCs w:val="20"/>
        </w:rPr>
        <w:t xml:space="preserve"> Quartal </w:t>
      </w:r>
      <w:r>
        <w:rPr>
          <w:rFonts w:ascii="Arial" w:hAnsi="Arial" w:cs="Arial"/>
          <w:b/>
          <w:sz w:val="20"/>
          <w:szCs w:val="20"/>
        </w:rPr>
        <w:t>202</w:t>
      </w:r>
      <w:r w:rsidR="002538F8">
        <w:rPr>
          <w:rFonts w:ascii="Arial" w:hAnsi="Arial" w:cs="Arial"/>
          <w:b/>
          <w:sz w:val="20"/>
          <w:szCs w:val="20"/>
        </w:rPr>
        <w:t>2</w:t>
      </w:r>
    </w:p>
    <w:tbl>
      <w:tblPr>
        <w:tblStyle w:val="TableGrid1"/>
        <w:tblpPr w:leftFromText="141" w:rightFromText="141" w:vertAnchor="text" w:horzAnchor="margin" w:tblpY="61"/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276"/>
        <w:gridCol w:w="1985"/>
        <w:gridCol w:w="1417"/>
        <w:gridCol w:w="1134"/>
      </w:tblGrid>
      <w:tr w:rsidR="00C7341F" w:rsidRPr="006F49D0" w14:paraId="4F21D6DF" w14:textId="77777777" w:rsidTr="0012484F">
        <w:trPr>
          <w:trHeight w:val="567"/>
        </w:trPr>
        <w:tc>
          <w:tcPr>
            <w:tcW w:w="2547" w:type="dxa"/>
            <w:shd w:val="clear" w:color="auto" w:fill="000000" w:themeFill="text1"/>
            <w:vAlign w:val="center"/>
          </w:tcPr>
          <w:p w14:paraId="46C82216" w14:textId="77777777" w:rsidR="00C7341F" w:rsidRPr="00C7341F" w:rsidRDefault="00C7341F" w:rsidP="0012484F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Projekt / Objekt</w:t>
            </w:r>
          </w:p>
          <w:p w14:paraId="06D07B1D" w14:textId="77777777" w:rsidR="00C7341F" w:rsidRPr="00C7341F" w:rsidRDefault="00C7341F" w:rsidP="0012484F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Straße Nr.</w:t>
            </w:r>
          </w:p>
        </w:tc>
        <w:tc>
          <w:tcPr>
            <w:tcW w:w="1417" w:type="dxa"/>
            <w:shd w:val="clear" w:color="auto" w:fill="000000" w:themeFill="text1"/>
          </w:tcPr>
          <w:p w14:paraId="070FC834" w14:textId="62260587" w:rsidR="00C7341F" w:rsidRPr="00C7341F" w:rsidRDefault="0012484F" w:rsidP="0012484F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br/>
            </w:r>
            <w:r w:rsidR="00C7341F"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Teilmarkt</w:t>
            </w:r>
          </w:p>
        </w:tc>
        <w:tc>
          <w:tcPr>
            <w:tcW w:w="1276" w:type="dxa"/>
            <w:shd w:val="clear" w:color="auto" w:fill="000000" w:themeFill="text1"/>
          </w:tcPr>
          <w:p w14:paraId="03801D01" w14:textId="1EDECB39" w:rsidR="00C7341F" w:rsidRPr="00C7341F" w:rsidRDefault="0012484F" w:rsidP="0012484F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br/>
            </w:r>
            <w:r w:rsidR="00C7341F"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Asset-klasse</w:t>
            </w:r>
          </w:p>
        </w:tc>
        <w:tc>
          <w:tcPr>
            <w:tcW w:w="1985" w:type="dxa"/>
            <w:shd w:val="clear" w:color="auto" w:fill="000000" w:themeFill="text1"/>
            <w:vAlign w:val="center"/>
          </w:tcPr>
          <w:p w14:paraId="64E565FC" w14:textId="77777777" w:rsidR="00C7341F" w:rsidRPr="00C7341F" w:rsidRDefault="00C7341F" w:rsidP="0012484F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Käufer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4F865E58" w14:textId="77777777" w:rsidR="00C7341F" w:rsidRPr="00C7341F" w:rsidRDefault="00C7341F" w:rsidP="0012484F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Verkäufer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70DE4216" w14:textId="39935B56" w:rsidR="00C7341F" w:rsidRPr="00C7341F" w:rsidRDefault="00C7341F" w:rsidP="0012484F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Kauf</w:t>
            </w:r>
            <w:r w:rsidR="0012484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-</w:t>
            </w: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preis*</w:t>
            </w:r>
          </w:p>
          <w:p w14:paraId="199A4A51" w14:textId="77777777" w:rsidR="00C7341F" w:rsidRPr="00C7341F" w:rsidRDefault="00C7341F" w:rsidP="0012484F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color w:val="FFFFFF" w:themeColor="background1"/>
                <w:sz w:val="18"/>
                <w:szCs w:val="16"/>
              </w:rPr>
              <w:t>[ca. Mio. €]</w:t>
            </w:r>
          </w:p>
        </w:tc>
      </w:tr>
      <w:tr w:rsidR="00C7341F" w:rsidRPr="00F2414C" w14:paraId="7AC1D298" w14:textId="77777777" w:rsidTr="0012484F">
        <w:trPr>
          <w:trHeight w:val="567"/>
        </w:trPr>
        <w:tc>
          <w:tcPr>
            <w:tcW w:w="2547" w:type="dxa"/>
            <w:shd w:val="clear" w:color="auto" w:fill="FFFFFF" w:themeFill="background1"/>
            <w:vAlign w:val="center"/>
          </w:tcPr>
          <w:p w14:paraId="603D13DC" w14:textId="732BA045" w:rsidR="00C7341F" w:rsidRPr="00CA462D" w:rsidRDefault="007A4FCB" w:rsidP="00DE636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„</w:t>
            </w:r>
            <w:proofErr w:type="spellStart"/>
            <w:r w:rsidR="00DE6366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>lstria</w:t>
            </w:r>
            <w:proofErr w:type="spellEnd"/>
            <w:r w:rsid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E6366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>ffice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“</w:t>
            </w:r>
            <w:r w:rsidR="0012484F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>Portfolio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2FB983" w14:textId="2FBD4EE3" w:rsidR="00C7341F" w:rsidRPr="00CA462D" w:rsidRDefault="007A4FCB" w:rsidP="007A4FCB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Hamburg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BECA139" w14:textId="3DDA50ED" w:rsidR="00C7341F" w:rsidRPr="00CA462D" w:rsidRDefault="00712CE1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Büro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FF1B7E2" w14:textId="3572C4F6" w:rsidR="00C7341F" w:rsidRPr="00CA462D" w:rsidRDefault="00712CE1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712CE1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Brookfield Properties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728516F" w14:textId="292A0E24" w:rsidR="00C7341F" w:rsidRPr="00CA462D" w:rsidRDefault="00712CE1" w:rsidP="0012484F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>alstria</w:t>
            </w:r>
            <w:proofErr w:type="spellEnd"/>
            <w:r w:rsidRP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>office</w:t>
            </w:r>
            <w:proofErr w:type="spellEnd"/>
            <w:r w:rsidRP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REIT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C90496" w14:textId="60755643" w:rsidR="00C7341F" w:rsidRPr="00CA462D" w:rsidRDefault="00712CE1" w:rsidP="00E347F2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  <w:r w:rsidR="00E347F2"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C7341F" w:rsidRPr="00F2414C" w14:paraId="6C281615" w14:textId="77777777" w:rsidTr="0012484F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14:paraId="78B904D4" w14:textId="10BD675B" w:rsidR="00C7341F" w:rsidRPr="00CA462D" w:rsidRDefault="00E347F2" w:rsidP="0012484F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="007A4FCB">
              <w:rPr>
                <w:rFonts w:ascii="Arial" w:hAnsi="Arial" w:cs="Arial"/>
                <w:color w:val="000000" w:themeColor="text1"/>
                <w:sz w:val="18"/>
                <w:szCs w:val="18"/>
              </w:rPr>
              <w:t>rundstück</w:t>
            </w:r>
            <w:r w:rsidR="0012484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>Seehafenstraße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FB43B5" w14:textId="42EB0DC0" w:rsidR="00C7341F" w:rsidRPr="00CA462D" w:rsidRDefault="00712CE1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Hamburg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Süd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E6158FB" w14:textId="5DF9560E" w:rsidR="00C7341F" w:rsidRPr="00CA462D" w:rsidRDefault="00E347F2" w:rsidP="00E347F2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Gewerbe-grundstück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779F9A7A" w14:textId="4440317A" w:rsidR="00C7341F" w:rsidRPr="00CA462D" w:rsidRDefault="00712CE1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Projektentwickler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40F63FEB" w14:textId="19FDBA67" w:rsidR="00C7341F" w:rsidRPr="00CA462D" w:rsidRDefault="00E347F2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47F2">
              <w:rPr>
                <w:rFonts w:ascii="Arial" w:hAnsi="Arial" w:cs="Arial"/>
                <w:color w:val="000000" w:themeColor="text1"/>
                <w:sz w:val="18"/>
                <w:szCs w:val="18"/>
              </w:rPr>
              <w:t>Corporate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FEEF1D" w14:textId="0A10C455" w:rsidR="00C7341F" w:rsidRPr="00CA462D" w:rsidRDefault="00712CE1" w:rsidP="00927886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70</w:t>
            </w:r>
          </w:p>
        </w:tc>
      </w:tr>
      <w:tr w:rsidR="00C7341F" w:rsidRPr="00F2414C" w14:paraId="4DEF231D" w14:textId="77777777" w:rsidTr="0012484F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14:paraId="58E408B5" w14:textId="77DBEFEE" w:rsidR="00C7341F" w:rsidRPr="00CA462D" w:rsidRDefault="007A4FCB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„</w:t>
            </w:r>
            <w:proofErr w:type="spellStart"/>
            <w:r w:rsid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>Peute</w:t>
            </w:r>
            <w:proofErr w:type="spellEnd"/>
            <w:r w:rsid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Dock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“</w:t>
            </w:r>
            <w:r w:rsid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(Bauabschnitt)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7A4FCB">
              <w:rPr>
                <w:rFonts w:ascii="Arial" w:hAnsi="Arial" w:cs="Arial"/>
                <w:color w:val="000000" w:themeColor="text1"/>
                <w:sz w:val="18"/>
                <w:szCs w:val="18"/>
              </w:rPr>
              <w:t>Oberwerder</w:t>
            </w:r>
            <w:proofErr w:type="spellEnd"/>
            <w:r w:rsidRPr="007A4F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Damm 11-21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2EE2F1" w14:textId="57ED599D" w:rsidR="00C7341F" w:rsidRPr="00CA462D" w:rsidRDefault="00712CE1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Hamburg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Ost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4C51391" w14:textId="060AC8F4" w:rsidR="00C7341F" w:rsidRPr="00CA462D" w:rsidRDefault="00712CE1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Industrie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Logistik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8C5741" w14:textId="67CE5CB8" w:rsidR="00C7341F" w:rsidRPr="00CA462D" w:rsidRDefault="007A4FCB" w:rsidP="0012484F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4FCB">
              <w:rPr>
                <w:rFonts w:ascii="Arial" w:hAnsi="Arial" w:cs="Arial"/>
                <w:sz w:val="18"/>
                <w:szCs w:val="18"/>
                <w:lang w:val="en-US"/>
              </w:rPr>
              <w:t xml:space="preserve">Deutsche </w:t>
            </w:r>
            <w:proofErr w:type="spellStart"/>
            <w:r w:rsidRPr="007A4FCB">
              <w:rPr>
                <w:rFonts w:ascii="Arial" w:hAnsi="Arial" w:cs="Arial"/>
                <w:sz w:val="18"/>
                <w:szCs w:val="18"/>
                <w:lang w:val="en-US"/>
              </w:rPr>
              <w:t>Immobilien</w:t>
            </w:r>
            <w:proofErr w:type="spellEnd"/>
            <w:r w:rsidR="00D8108D">
              <w:rPr>
                <w:rFonts w:ascii="Arial" w:hAnsi="Arial" w:cs="Arial"/>
                <w:sz w:val="18"/>
                <w:szCs w:val="18"/>
                <w:lang w:val="en-US"/>
              </w:rPr>
              <w:t>-AG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FC0737" w14:textId="467E3848" w:rsidR="00C7341F" w:rsidRPr="00CA462D" w:rsidRDefault="007A4FCB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4FCB">
              <w:rPr>
                <w:rFonts w:ascii="Arial" w:hAnsi="Arial" w:cs="Arial"/>
                <w:color w:val="000000" w:themeColor="text1"/>
                <w:sz w:val="18"/>
                <w:szCs w:val="18"/>
              </w:rPr>
              <w:t>Family Value Management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ADC86F" w14:textId="0DFAE33A" w:rsidR="00C7341F" w:rsidRPr="00CA462D" w:rsidRDefault="00712CE1" w:rsidP="00927886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45</w:t>
            </w:r>
          </w:p>
        </w:tc>
      </w:tr>
      <w:tr w:rsidR="00C7341F" w:rsidRPr="006F49D0" w14:paraId="3EDBA601" w14:textId="77777777" w:rsidTr="0012484F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14:paraId="6A22F2BD" w14:textId="35B44EA9" w:rsidR="00C7341F" w:rsidRPr="00CA462D" w:rsidRDefault="007A4FCB" w:rsidP="0012484F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„Karstadt“, </w:t>
            </w:r>
            <w:r w:rsidRPr="007A4FCB">
              <w:rPr>
                <w:rFonts w:ascii="Arial" w:hAnsi="Arial" w:cs="Arial"/>
                <w:sz w:val="18"/>
                <w:szCs w:val="18"/>
              </w:rPr>
              <w:t>Osterstraße 119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C72961" w14:textId="2979AE43" w:rsidR="00C7341F" w:rsidRPr="00CA462D" w:rsidRDefault="00E347F2" w:rsidP="00E347F2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Eimsbüttel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8B5D95" w14:textId="22A47273" w:rsidR="00C7341F" w:rsidRPr="00CA462D" w:rsidRDefault="007A4FCB" w:rsidP="0092788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Einzelhandel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91F3D3" w14:textId="28F7EE3B" w:rsidR="00C7341F" w:rsidRPr="00CA462D" w:rsidRDefault="007A4FCB" w:rsidP="0012484F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4FCB">
              <w:rPr>
                <w:rFonts w:ascii="Arial" w:hAnsi="Arial" w:cs="Arial"/>
                <w:sz w:val="18"/>
                <w:szCs w:val="18"/>
              </w:rPr>
              <w:t>Imvest</w:t>
            </w:r>
            <w:proofErr w:type="spellEnd"/>
            <w:r w:rsidRPr="007A4FCB">
              <w:rPr>
                <w:rFonts w:ascii="Arial" w:hAnsi="Arial" w:cs="Arial"/>
                <w:sz w:val="18"/>
                <w:szCs w:val="18"/>
              </w:rPr>
              <w:t xml:space="preserve"> Projektentwicklung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439F32" w14:textId="446D7459" w:rsidR="00C7341F" w:rsidRPr="00CA462D" w:rsidRDefault="007A4FCB" w:rsidP="0012484F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4FCB">
              <w:rPr>
                <w:rFonts w:ascii="Arial" w:hAnsi="Arial" w:cs="Arial"/>
                <w:sz w:val="18"/>
                <w:szCs w:val="18"/>
              </w:rPr>
              <w:t xml:space="preserve">SIGNA Holding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3F2E30" w14:textId="590CDE92" w:rsidR="00C7341F" w:rsidRPr="00CA462D" w:rsidRDefault="007A4FCB" w:rsidP="00927886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</w:tbl>
    <w:p w14:paraId="38EB286B" w14:textId="108EF0DE" w:rsidR="00C7341F" w:rsidRDefault="00C7341F" w:rsidP="00C7341F">
      <w:pPr>
        <w:widowControl w:val="0"/>
        <w:spacing w:after="0"/>
        <w:rPr>
          <w:rFonts w:ascii="Arial" w:hAnsi="Arial" w:cs="Arial"/>
          <w:sz w:val="16"/>
          <w:szCs w:val="16"/>
        </w:rPr>
      </w:pPr>
      <w:r w:rsidRPr="00D474C5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B4679D">
        <w:rPr>
          <w:rFonts w:ascii="Arial" w:hAnsi="Arial" w:cs="Arial"/>
          <w:sz w:val="16"/>
          <w:szCs w:val="16"/>
        </w:rPr>
        <w:t>Die aufgeführten Kaufpreise ba</w:t>
      </w:r>
      <w:r>
        <w:rPr>
          <w:rFonts w:ascii="Arial" w:hAnsi="Arial" w:cs="Arial"/>
          <w:sz w:val="16"/>
          <w:szCs w:val="16"/>
        </w:rPr>
        <w:t xml:space="preserve">sieren auf öffentlich verfügbaren Angaben; </w:t>
      </w:r>
      <w:r w:rsidRPr="00B4679D">
        <w:rPr>
          <w:rFonts w:ascii="Arial" w:hAnsi="Arial" w:cs="Arial"/>
          <w:sz w:val="16"/>
          <w:szCs w:val="16"/>
        </w:rPr>
        <w:t xml:space="preserve">wo solche fehlen, sind </w:t>
      </w:r>
      <w:r>
        <w:rPr>
          <w:rFonts w:ascii="Arial" w:hAnsi="Arial" w:cs="Arial"/>
          <w:sz w:val="16"/>
          <w:szCs w:val="16"/>
        </w:rPr>
        <w:t xml:space="preserve">die </w:t>
      </w:r>
      <w:r w:rsidRPr="00B4679D">
        <w:rPr>
          <w:rFonts w:ascii="Arial" w:hAnsi="Arial" w:cs="Arial"/>
          <w:sz w:val="16"/>
          <w:szCs w:val="16"/>
        </w:rPr>
        <w:t>Kaufpreise geschätzt</w:t>
      </w:r>
      <w:r w:rsidR="0012484F">
        <w:rPr>
          <w:rFonts w:ascii="Arial" w:hAnsi="Arial" w:cs="Arial"/>
          <w:sz w:val="16"/>
          <w:szCs w:val="16"/>
        </w:rPr>
        <w:t>.</w:t>
      </w:r>
    </w:p>
    <w:p w14:paraId="307A702E" w14:textId="77777777" w:rsidR="00C7341F" w:rsidRDefault="00C7341F" w:rsidP="0090748B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42E7059" w14:textId="15475145" w:rsidR="0090748B" w:rsidRDefault="0090748B" w:rsidP="0090748B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Der </w:t>
      </w:r>
      <w:hyperlink r:id="rId9" w:history="1">
        <w:r w:rsidRPr="0012484F">
          <w:rPr>
            <w:rStyle w:val="Hyperlink"/>
            <w:rFonts w:ascii="Arial" w:eastAsia="Arial" w:hAnsi="Arial" w:cs="Arial"/>
            <w:sz w:val="20"/>
            <w:szCs w:val="20"/>
          </w:rPr>
          <w:t xml:space="preserve">Marktbericht </w:t>
        </w:r>
        <w:r w:rsidR="0012484F" w:rsidRPr="0012484F">
          <w:rPr>
            <w:rStyle w:val="Hyperlink"/>
            <w:rFonts w:ascii="Arial" w:eastAsia="Arial" w:hAnsi="Arial" w:cs="Arial"/>
            <w:sz w:val="20"/>
            <w:szCs w:val="20"/>
          </w:rPr>
          <w:t>Investment Hamburg 1Q2022</w:t>
        </w:r>
      </w:hyperlink>
      <w:r w:rsidR="0012484F">
        <w:rPr>
          <w:rFonts w:ascii="Arial" w:eastAsia="Arial" w:hAnsi="Arial" w:cs="Arial"/>
          <w:color w:val="000000" w:themeColor="text1"/>
          <w:sz w:val="20"/>
          <w:szCs w:val="20"/>
        </w:rPr>
        <w:t xml:space="preserve"> steht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in Kürze auf unserer </w:t>
      </w:r>
      <w:r w:rsidRPr="0012484F">
        <w:rPr>
          <w:rFonts w:ascii="Arial" w:eastAsia="Arial" w:hAnsi="Arial" w:cs="Arial"/>
          <w:sz w:val="20"/>
          <w:szCs w:val="20"/>
        </w:rPr>
        <w:t>Website zum Download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bereit.</w:t>
      </w:r>
    </w:p>
    <w:p w14:paraId="6498E5CA" w14:textId="77777777" w:rsidR="0090748B" w:rsidRDefault="0090748B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42EEB00" w14:textId="77777777" w:rsidR="00B747F3" w:rsidRPr="0090748B" w:rsidRDefault="00B747F3" w:rsidP="00B747F3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Ü</w:t>
      </w:r>
      <w:r w:rsidRPr="0090748B">
        <w:rPr>
          <w:rFonts w:ascii="Arial" w:hAnsi="Arial" w:cs="Arial"/>
          <w:b/>
          <w:sz w:val="16"/>
          <w:szCs w:val="16"/>
        </w:rPr>
        <w:t>ber Grossmann &amp; Berger</w:t>
      </w:r>
    </w:p>
    <w:p w14:paraId="26FA39E4" w14:textId="77777777" w:rsidR="00B747F3" w:rsidRPr="004A6CA8" w:rsidRDefault="00B747F3" w:rsidP="00B747F3">
      <w:pPr>
        <w:spacing w:after="0" w:line="360" w:lineRule="auto"/>
        <w:rPr>
          <w:rFonts w:ascii="Arial" w:hAnsi="Arial" w:cs="Arial"/>
          <w:vanish/>
          <w:sz w:val="16"/>
          <w:szCs w:val="16"/>
          <w:specVanish/>
        </w:rPr>
      </w:pPr>
      <w:r w:rsidRPr="004A6CA8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4A6CA8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4A6CA8">
        <w:rPr>
          <w:rFonts w:ascii="Arial" w:hAnsi="Arial" w:cs="Arial"/>
          <w:snapToGrid w:val="0"/>
          <w:sz w:val="16"/>
          <w:szCs w:val="16"/>
        </w:rPr>
        <w:t xml:space="preserve"> gehört zu den führenden Immobiliendienstleistern für den Verkauf und die Vermietung von Gewerbe- und Wohn-Immobilien. Neben dem Hauptsitz in Hamburg unterhält das Unternehmen 20 Standorte. Hierüber ist Grossmann &amp; Berger flächendeckend im norddeutschen Markt präsent. Über die seit Mai 2021 zum Unternehmen gehörenden Gesellschaften </w:t>
      </w:r>
      <w:hyperlink r:id="rId11" w:history="1">
        <w:r w:rsidRPr="004A6CA8">
          <w:rPr>
            <w:rStyle w:val="Hyperlink"/>
            <w:rFonts w:ascii="Arial" w:hAnsi="Arial" w:cs="Arial"/>
            <w:snapToGrid w:val="0"/>
            <w:sz w:val="16"/>
            <w:szCs w:val="16"/>
          </w:rPr>
          <w:t>E &amp; G Real Estate</w:t>
        </w:r>
      </w:hyperlink>
      <w:r w:rsidRPr="004A6CA8">
        <w:rPr>
          <w:rFonts w:ascii="Arial" w:hAnsi="Arial" w:cs="Arial"/>
          <w:snapToGrid w:val="0"/>
          <w:sz w:val="16"/>
          <w:szCs w:val="16"/>
        </w:rPr>
        <w:t xml:space="preserve"> und </w:t>
      </w:r>
      <w:hyperlink r:id="rId12" w:history="1">
        <w:r w:rsidRPr="004A6CA8">
          <w:rPr>
            <w:rStyle w:val="Hyperlink"/>
            <w:rFonts w:ascii="Arial" w:hAnsi="Arial" w:cs="Arial"/>
            <w:snapToGrid w:val="0"/>
            <w:sz w:val="16"/>
            <w:szCs w:val="16"/>
          </w:rPr>
          <w:t>E &amp; G Private Immobilien</w:t>
        </w:r>
      </w:hyperlink>
      <w:r w:rsidRPr="004A6CA8">
        <w:rPr>
          <w:rFonts w:ascii="Arial" w:hAnsi="Arial" w:cs="Arial"/>
          <w:snapToGrid w:val="0"/>
          <w:sz w:val="16"/>
          <w:szCs w:val="16"/>
        </w:rPr>
        <w:t xml:space="preserve"> ist Grossmann &amp; Berger auch in den südlichen Metropolregionen Stuttgart und München vertreten. Rund 250 Mitarbeiter decken mit ihrer umfassenden Immobilienkompetenz das gesamte Branchen-Dienstleistungsspektrum ab. Bei ihrer Tätigkeit können sie auf mehr als 85 Jahre Unternehmenstradition zurückgreifen. </w:t>
      </w:r>
      <w:r w:rsidRPr="004A6CA8">
        <w:rPr>
          <w:rFonts w:ascii="Arial" w:hAnsi="Arial" w:cs="Arial"/>
          <w:sz w:val="16"/>
          <w:szCs w:val="16"/>
        </w:rPr>
        <w:t xml:space="preserve">Grossmann &amp; Berger ist ein Beteiligungsunternehmen der HASPA-Gruppe und Gründungsmitglied des deutschlandweiten Gewerbeimmobiliennetzwerks </w:t>
      </w:r>
      <w:hyperlink r:id="rId13" w:history="1">
        <w:r w:rsidRPr="004A6CA8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4A6CA8">
        <w:rPr>
          <w:rFonts w:ascii="Arial" w:hAnsi="Arial" w:cs="Arial"/>
          <w:sz w:val="16"/>
          <w:szCs w:val="16"/>
        </w:rPr>
        <w:t xml:space="preserve"> (GPP).</w:t>
      </w:r>
    </w:p>
    <w:p w14:paraId="688B9FF7" w14:textId="77777777" w:rsidR="00B747F3" w:rsidRPr="004A6CA8" w:rsidRDefault="00B747F3" w:rsidP="00B747F3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A6CA8">
        <w:rPr>
          <w:rFonts w:ascii="Arial" w:hAnsi="Arial" w:cs="Arial"/>
          <w:sz w:val="16"/>
          <w:szCs w:val="16"/>
        </w:rPr>
        <w:t xml:space="preserve"> </w:t>
      </w:r>
    </w:p>
    <w:p w14:paraId="4F84B327" w14:textId="77777777" w:rsidR="00B747F3" w:rsidRPr="00583E25" w:rsidRDefault="00B747F3" w:rsidP="00B747F3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4CECEBB6" w14:textId="7527D848" w:rsidR="00503D8C" w:rsidRPr="00712CE1" w:rsidRDefault="00B747F3" w:rsidP="00B747F3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3C6AB4">
        <w:rPr>
          <w:rFonts w:ascii="Arial" w:hAnsi="Arial" w:cs="Arial"/>
          <w:sz w:val="16"/>
          <w:szCs w:val="16"/>
        </w:rPr>
        <w:t xml:space="preserve">Die </w:t>
      </w:r>
      <w:hyperlink r:id="rId14" w:history="1">
        <w:r w:rsidRPr="003C6AB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3C6AB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5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3C6AB4">
        <w:rPr>
          <w:rFonts w:ascii="Arial" w:hAnsi="Arial" w:cs="Arial"/>
          <w:sz w:val="16"/>
          <w:szCs w:val="16"/>
        </w:rPr>
        <w:t xml:space="preserve"> sowie die dazugehörigen </w:t>
      </w:r>
      <w:hyperlink r:id="rId16" w:history="1">
        <w:r w:rsidRPr="003C6AB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3C6AB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7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>
        <w:rPr>
          <w:rFonts w:ascii="Arial" w:hAnsi="Arial" w:cs="Arial"/>
          <w:sz w:val="16"/>
          <w:szCs w:val="16"/>
        </w:rPr>
        <w:t xml:space="preserve"> mit dem Betreff „Abmeldung aus Presseverteiler“.</w:t>
      </w:r>
    </w:p>
    <w:sectPr w:rsidR="00503D8C" w:rsidRPr="00712CE1" w:rsidSect="00D83CB7">
      <w:headerReference w:type="default" r:id="rId18"/>
      <w:footerReference w:type="default" r:id="rId19"/>
      <w:headerReference w:type="first" r:id="rId20"/>
      <w:footerReference w:type="first" r:id="rId21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0391B" w16cex:dateUtc="2022-03-31T12:28:00Z"/>
  <w16cex:commentExtensible w16cex:durableId="25F0394C" w16cex:dateUtc="2022-03-31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377545" w16cid:durableId="25F0391B"/>
  <w16cid:commentId w16cid:paraId="4A657374" w16cid:durableId="25F039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8BC0F" w14:textId="77777777" w:rsidR="00BC43AB" w:rsidRDefault="00BC43AB">
      <w:r>
        <w:separator/>
      </w:r>
    </w:p>
  </w:endnote>
  <w:endnote w:type="continuationSeparator" w:id="0">
    <w:p w14:paraId="72684366" w14:textId="77777777" w:rsidR="00BC43AB" w:rsidRDefault="00BC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10022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B92005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(0)40/350 80 2-0 | www.grossmann-berger.de</w:t>
    </w:r>
  </w:p>
  <w:p w14:paraId="5E0EDDBC" w14:textId="46A7EEAC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D8108D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D8108D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ECEE9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648292C5" wp14:editId="00457459">
          <wp:simplePos x="0" y="0"/>
          <wp:positionH relativeFrom="column">
            <wp:posOffset>-615315</wp:posOffset>
          </wp:positionH>
          <wp:positionV relativeFrom="page">
            <wp:posOffset>9457690</wp:posOffset>
          </wp:positionV>
          <wp:extent cx="7346950" cy="1140460"/>
          <wp:effectExtent l="0" t="0" r="6350" b="2540"/>
          <wp:wrapThrough wrapText="bothSides">
            <wp:wrapPolygon edited="0">
              <wp:start x="0" y="0"/>
              <wp:lineTo x="0" y="21287"/>
              <wp:lineTo x="21563" y="21287"/>
              <wp:lineTo x="21563" y="0"/>
              <wp:lineTo x="0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38A66" w14:textId="77777777" w:rsidR="00BC43AB" w:rsidRDefault="00BC43AB">
      <w:r>
        <w:separator/>
      </w:r>
    </w:p>
  </w:footnote>
  <w:footnote w:type="continuationSeparator" w:id="0">
    <w:p w14:paraId="4809C114" w14:textId="77777777" w:rsidR="00BC43AB" w:rsidRDefault="00BC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50661" w14:textId="77777777" w:rsidR="006138CB" w:rsidRPr="009E3ADA" w:rsidRDefault="00E5203C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C25E6F" wp14:editId="33ADA0D1">
              <wp:simplePos x="0" y="0"/>
              <wp:positionH relativeFrom="column">
                <wp:posOffset>-83516</wp:posOffset>
              </wp:positionH>
              <wp:positionV relativeFrom="paragraph">
                <wp:posOffset>22225</wp:posOffset>
              </wp:positionV>
              <wp:extent cx="4579620" cy="140398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6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D3993" w14:textId="77777777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 | Telefon: +49 (0)40/350 80</w:t>
                          </w:r>
                          <w:r w:rsidR="00CE687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8C25E6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6pt;margin-top:1.75pt;width:360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" filled="f" stroked="f">
              <v:textbox style="mso-fit-shape-to-text:t">
                <w:txbxContent>
                  <w:p w14:paraId="038D3993" w14:textId="77777777"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 | Telefon: +49 (0)40/350 80</w:t>
                    </w:r>
                    <w:r w:rsidR="00CE687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2-993 | b.finke@grossmann-berger.de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4672834A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6F632" w14:textId="77777777" w:rsidR="00D83CB7" w:rsidRDefault="00E5203C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FF3942" wp14:editId="28446FD2">
              <wp:simplePos x="0" y="0"/>
              <wp:positionH relativeFrom="column">
                <wp:posOffset>-80341</wp:posOffset>
              </wp:positionH>
              <wp:positionV relativeFrom="paragraph">
                <wp:posOffset>21590</wp:posOffset>
              </wp:positionV>
              <wp:extent cx="4579952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952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F569C" w14:textId="77777777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 | Telefon: +49 (0)40/350 80</w:t>
                          </w:r>
                          <w:r w:rsidR="00CE687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6FF39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.35pt;margin-top:1.7pt;width:360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" filled="f" stroked="f">
              <v:textbox style="mso-fit-shape-to-text:t">
                <w:txbxContent>
                  <w:p w14:paraId="341F569C" w14:textId="77777777"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 | Telefon: +49 (0)40/350 80</w:t>
                    </w:r>
                    <w:r w:rsidR="00CE687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2-993 | b.finke@grossmann-berger.de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3FAFB734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065F13"/>
    <w:multiLevelType w:val="hybridMultilevel"/>
    <w:tmpl w:val="4D16C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305C1"/>
    <w:multiLevelType w:val="hybridMultilevel"/>
    <w:tmpl w:val="BD4E0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C6700"/>
    <w:multiLevelType w:val="hybridMultilevel"/>
    <w:tmpl w:val="58B0B62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F830F8"/>
    <w:multiLevelType w:val="hybridMultilevel"/>
    <w:tmpl w:val="CE54F1DE"/>
    <w:lvl w:ilvl="0" w:tplc="41F6EF16">
      <w:start w:val="28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6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7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FF56F7"/>
    <w:multiLevelType w:val="hybridMultilevel"/>
    <w:tmpl w:val="F8825B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8"/>
  </w:num>
  <w:num w:numId="14">
    <w:abstractNumId w:val="16"/>
  </w:num>
  <w:num w:numId="15">
    <w:abstractNumId w:val="17"/>
  </w:num>
  <w:num w:numId="16">
    <w:abstractNumId w:val="11"/>
  </w:num>
  <w:num w:numId="17">
    <w:abstractNumId w:val="14"/>
  </w:num>
  <w:num w:numId="18">
    <w:abstractNumId w:val="12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59FE"/>
    <w:rsid w:val="000202AA"/>
    <w:rsid w:val="00022F16"/>
    <w:rsid w:val="00023D78"/>
    <w:rsid w:val="0003075C"/>
    <w:rsid w:val="00060743"/>
    <w:rsid w:val="00066796"/>
    <w:rsid w:val="000766D7"/>
    <w:rsid w:val="000B3315"/>
    <w:rsid w:val="000C770D"/>
    <w:rsid w:val="000E03F3"/>
    <w:rsid w:val="001029C4"/>
    <w:rsid w:val="0011486D"/>
    <w:rsid w:val="00121E33"/>
    <w:rsid w:val="0012484F"/>
    <w:rsid w:val="00126550"/>
    <w:rsid w:val="001324D6"/>
    <w:rsid w:val="00135BD2"/>
    <w:rsid w:val="00142A67"/>
    <w:rsid w:val="00154825"/>
    <w:rsid w:val="00155DAF"/>
    <w:rsid w:val="0017516B"/>
    <w:rsid w:val="00176F1D"/>
    <w:rsid w:val="00190298"/>
    <w:rsid w:val="001922E2"/>
    <w:rsid w:val="001A2ABE"/>
    <w:rsid w:val="001A360C"/>
    <w:rsid w:val="001A5E9E"/>
    <w:rsid w:val="001B3575"/>
    <w:rsid w:val="001D0D74"/>
    <w:rsid w:val="001D14DA"/>
    <w:rsid w:val="001E6995"/>
    <w:rsid w:val="001F1513"/>
    <w:rsid w:val="001F6BCE"/>
    <w:rsid w:val="00205769"/>
    <w:rsid w:val="00212FEC"/>
    <w:rsid w:val="002131BB"/>
    <w:rsid w:val="0022086D"/>
    <w:rsid w:val="002220CB"/>
    <w:rsid w:val="00227E31"/>
    <w:rsid w:val="00230F81"/>
    <w:rsid w:val="002538F8"/>
    <w:rsid w:val="00254C6F"/>
    <w:rsid w:val="0027266B"/>
    <w:rsid w:val="00281E80"/>
    <w:rsid w:val="002834B0"/>
    <w:rsid w:val="00283671"/>
    <w:rsid w:val="00284E27"/>
    <w:rsid w:val="002A028B"/>
    <w:rsid w:val="002A1973"/>
    <w:rsid w:val="002C2392"/>
    <w:rsid w:val="002D1C5C"/>
    <w:rsid w:val="002D1E20"/>
    <w:rsid w:val="002E6860"/>
    <w:rsid w:val="002F0411"/>
    <w:rsid w:val="00325E2A"/>
    <w:rsid w:val="0034786C"/>
    <w:rsid w:val="003517C9"/>
    <w:rsid w:val="0035325B"/>
    <w:rsid w:val="003577ED"/>
    <w:rsid w:val="00370000"/>
    <w:rsid w:val="00373507"/>
    <w:rsid w:val="0038230E"/>
    <w:rsid w:val="00382529"/>
    <w:rsid w:val="003A75E8"/>
    <w:rsid w:val="003B4CCF"/>
    <w:rsid w:val="003C6AB4"/>
    <w:rsid w:val="003E099F"/>
    <w:rsid w:val="003F1645"/>
    <w:rsid w:val="0040086D"/>
    <w:rsid w:val="004017D8"/>
    <w:rsid w:val="00411E03"/>
    <w:rsid w:val="004123B1"/>
    <w:rsid w:val="004303A1"/>
    <w:rsid w:val="004351E4"/>
    <w:rsid w:val="00440DC9"/>
    <w:rsid w:val="004506D2"/>
    <w:rsid w:val="00456F40"/>
    <w:rsid w:val="004609BD"/>
    <w:rsid w:val="004661EE"/>
    <w:rsid w:val="00466741"/>
    <w:rsid w:val="0047591A"/>
    <w:rsid w:val="004839BD"/>
    <w:rsid w:val="004A2BEA"/>
    <w:rsid w:val="004A3C64"/>
    <w:rsid w:val="004A5AEA"/>
    <w:rsid w:val="004B09DE"/>
    <w:rsid w:val="004B2FDA"/>
    <w:rsid w:val="004B480A"/>
    <w:rsid w:val="004E339B"/>
    <w:rsid w:val="004E4562"/>
    <w:rsid w:val="004F077F"/>
    <w:rsid w:val="005023DD"/>
    <w:rsid w:val="00503D8C"/>
    <w:rsid w:val="00522B84"/>
    <w:rsid w:val="00531A7F"/>
    <w:rsid w:val="005428C5"/>
    <w:rsid w:val="00543C55"/>
    <w:rsid w:val="00546707"/>
    <w:rsid w:val="005554C7"/>
    <w:rsid w:val="00582B99"/>
    <w:rsid w:val="00590903"/>
    <w:rsid w:val="005B0FC9"/>
    <w:rsid w:val="005B66D3"/>
    <w:rsid w:val="005C4556"/>
    <w:rsid w:val="005C5302"/>
    <w:rsid w:val="005E35CD"/>
    <w:rsid w:val="005E362E"/>
    <w:rsid w:val="005E4B48"/>
    <w:rsid w:val="005F6E2B"/>
    <w:rsid w:val="0061109D"/>
    <w:rsid w:val="00612AA0"/>
    <w:rsid w:val="006138CB"/>
    <w:rsid w:val="006224C4"/>
    <w:rsid w:val="006225EA"/>
    <w:rsid w:val="006261DF"/>
    <w:rsid w:val="00633B9C"/>
    <w:rsid w:val="00642074"/>
    <w:rsid w:val="00656B29"/>
    <w:rsid w:val="00687D00"/>
    <w:rsid w:val="00695E58"/>
    <w:rsid w:val="006A1329"/>
    <w:rsid w:val="006A66F9"/>
    <w:rsid w:val="006E4CF0"/>
    <w:rsid w:val="006E5F6E"/>
    <w:rsid w:val="00710607"/>
    <w:rsid w:val="00712CE1"/>
    <w:rsid w:val="00720DFF"/>
    <w:rsid w:val="007218C0"/>
    <w:rsid w:val="00762CC5"/>
    <w:rsid w:val="00781CBD"/>
    <w:rsid w:val="00783517"/>
    <w:rsid w:val="007906B4"/>
    <w:rsid w:val="007A4FCB"/>
    <w:rsid w:val="007A7F58"/>
    <w:rsid w:val="007C013D"/>
    <w:rsid w:val="007E759D"/>
    <w:rsid w:val="007F49FD"/>
    <w:rsid w:val="00812471"/>
    <w:rsid w:val="008261A5"/>
    <w:rsid w:val="008314AD"/>
    <w:rsid w:val="0083382E"/>
    <w:rsid w:val="00855325"/>
    <w:rsid w:val="00862E34"/>
    <w:rsid w:val="00865915"/>
    <w:rsid w:val="00871832"/>
    <w:rsid w:val="00886CCE"/>
    <w:rsid w:val="00896B33"/>
    <w:rsid w:val="008A62FB"/>
    <w:rsid w:val="008A77B7"/>
    <w:rsid w:val="008B0F67"/>
    <w:rsid w:val="008C608D"/>
    <w:rsid w:val="008E461D"/>
    <w:rsid w:val="008F08E5"/>
    <w:rsid w:val="008F0EA4"/>
    <w:rsid w:val="008F5213"/>
    <w:rsid w:val="009066C5"/>
    <w:rsid w:val="0090748B"/>
    <w:rsid w:val="00920C9C"/>
    <w:rsid w:val="00922754"/>
    <w:rsid w:val="00925781"/>
    <w:rsid w:val="009258D0"/>
    <w:rsid w:val="00935AB3"/>
    <w:rsid w:val="009734CE"/>
    <w:rsid w:val="00980EDB"/>
    <w:rsid w:val="009864F4"/>
    <w:rsid w:val="0099478D"/>
    <w:rsid w:val="00996E1A"/>
    <w:rsid w:val="009A4414"/>
    <w:rsid w:val="009D24DA"/>
    <w:rsid w:val="009D5738"/>
    <w:rsid w:val="009D5D75"/>
    <w:rsid w:val="009F32A2"/>
    <w:rsid w:val="009F54CE"/>
    <w:rsid w:val="00A06264"/>
    <w:rsid w:val="00A1639A"/>
    <w:rsid w:val="00A202C5"/>
    <w:rsid w:val="00A215C9"/>
    <w:rsid w:val="00A4056C"/>
    <w:rsid w:val="00A5364B"/>
    <w:rsid w:val="00A546DC"/>
    <w:rsid w:val="00A615E0"/>
    <w:rsid w:val="00A65E2B"/>
    <w:rsid w:val="00A74AA0"/>
    <w:rsid w:val="00A7546D"/>
    <w:rsid w:val="00A77100"/>
    <w:rsid w:val="00AA4D97"/>
    <w:rsid w:val="00AD17B7"/>
    <w:rsid w:val="00B077D5"/>
    <w:rsid w:val="00B200E4"/>
    <w:rsid w:val="00B35B6D"/>
    <w:rsid w:val="00B35DC6"/>
    <w:rsid w:val="00B51699"/>
    <w:rsid w:val="00B53FAF"/>
    <w:rsid w:val="00B63153"/>
    <w:rsid w:val="00B6527D"/>
    <w:rsid w:val="00B73B3A"/>
    <w:rsid w:val="00B74507"/>
    <w:rsid w:val="00B747F3"/>
    <w:rsid w:val="00B75718"/>
    <w:rsid w:val="00B75E7E"/>
    <w:rsid w:val="00B92005"/>
    <w:rsid w:val="00B93817"/>
    <w:rsid w:val="00BA0B96"/>
    <w:rsid w:val="00BB15DA"/>
    <w:rsid w:val="00BB340D"/>
    <w:rsid w:val="00BC2A3A"/>
    <w:rsid w:val="00BC43AB"/>
    <w:rsid w:val="00BC64EC"/>
    <w:rsid w:val="00BD073D"/>
    <w:rsid w:val="00BF02E7"/>
    <w:rsid w:val="00BF3AFD"/>
    <w:rsid w:val="00C1606C"/>
    <w:rsid w:val="00C1720E"/>
    <w:rsid w:val="00C20EEA"/>
    <w:rsid w:val="00C23180"/>
    <w:rsid w:val="00C41492"/>
    <w:rsid w:val="00C702B5"/>
    <w:rsid w:val="00C70389"/>
    <w:rsid w:val="00C7341F"/>
    <w:rsid w:val="00C904B6"/>
    <w:rsid w:val="00C96DF4"/>
    <w:rsid w:val="00C97C2E"/>
    <w:rsid w:val="00CA43E4"/>
    <w:rsid w:val="00CB08A0"/>
    <w:rsid w:val="00CC00BA"/>
    <w:rsid w:val="00CC1337"/>
    <w:rsid w:val="00CC48DF"/>
    <w:rsid w:val="00CD70E7"/>
    <w:rsid w:val="00CD7363"/>
    <w:rsid w:val="00CE0C1F"/>
    <w:rsid w:val="00CE455F"/>
    <w:rsid w:val="00CE687E"/>
    <w:rsid w:val="00CF0163"/>
    <w:rsid w:val="00CF0BF9"/>
    <w:rsid w:val="00CF5957"/>
    <w:rsid w:val="00D04BA2"/>
    <w:rsid w:val="00D077B0"/>
    <w:rsid w:val="00D21234"/>
    <w:rsid w:val="00D22D42"/>
    <w:rsid w:val="00D36D8D"/>
    <w:rsid w:val="00D45711"/>
    <w:rsid w:val="00D500FC"/>
    <w:rsid w:val="00D51597"/>
    <w:rsid w:val="00D5326E"/>
    <w:rsid w:val="00D55867"/>
    <w:rsid w:val="00D634A3"/>
    <w:rsid w:val="00D72339"/>
    <w:rsid w:val="00D73E47"/>
    <w:rsid w:val="00D74ABB"/>
    <w:rsid w:val="00D8108D"/>
    <w:rsid w:val="00D83CB7"/>
    <w:rsid w:val="00D97FA8"/>
    <w:rsid w:val="00DC7B25"/>
    <w:rsid w:val="00DD6B73"/>
    <w:rsid w:val="00DE6366"/>
    <w:rsid w:val="00E112C9"/>
    <w:rsid w:val="00E158F7"/>
    <w:rsid w:val="00E2087E"/>
    <w:rsid w:val="00E347F2"/>
    <w:rsid w:val="00E36818"/>
    <w:rsid w:val="00E47B97"/>
    <w:rsid w:val="00E5203C"/>
    <w:rsid w:val="00E61C65"/>
    <w:rsid w:val="00E6326D"/>
    <w:rsid w:val="00E634CC"/>
    <w:rsid w:val="00E82F0E"/>
    <w:rsid w:val="00E96FAC"/>
    <w:rsid w:val="00EA129F"/>
    <w:rsid w:val="00ED0582"/>
    <w:rsid w:val="00ED39A3"/>
    <w:rsid w:val="00EE31F6"/>
    <w:rsid w:val="00EE36DC"/>
    <w:rsid w:val="00F044EE"/>
    <w:rsid w:val="00F3320B"/>
    <w:rsid w:val="00F40E92"/>
    <w:rsid w:val="00F41947"/>
    <w:rsid w:val="00F435AA"/>
    <w:rsid w:val="00F76C6A"/>
    <w:rsid w:val="00F83BF1"/>
    <w:rsid w:val="00F90CB9"/>
    <w:rsid w:val="00F97373"/>
    <w:rsid w:val="00FA6854"/>
    <w:rsid w:val="00FB064F"/>
    <w:rsid w:val="00FB144F"/>
    <w:rsid w:val="00FB159A"/>
    <w:rsid w:val="00FB4D77"/>
    <w:rsid w:val="00FB6E2B"/>
    <w:rsid w:val="00FC497D"/>
    <w:rsid w:val="00FD076B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6EE4B44"/>
  <w15:docId w15:val="{00E98723-0562-49FF-BF92-99B3AA9F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Grid2">
    <w:name w:val="Table Grid2"/>
    <w:basedOn w:val="NormaleTabelle"/>
    <w:next w:val="Tabellenraster"/>
    <w:uiPriority w:val="59"/>
    <w:rsid w:val="00C7341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locked/>
    <w:rsid w:val="00C7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C7341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B09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09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09DE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09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09DE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ermanpropertypartners.de/d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eug-immobilien.de/privat-immobilien" TargetMode="External"/><Relationship Id="rId17" Type="http://schemas.openxmlformats.org/officeDocument/2006/relationships/hyperlink" Target="mailto:presse@grossmann-berger.de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file:///\\file01\Marketing\Presse\5_PresseMITTEILUNGEN\Marktbericht%20B&#252;ro\2020\2020%20Q2\20180517_Dokumentation%20der%20Verarbeitungstaetigkeit%20nach%20DSGVO_Presse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g-immobilien.de/gewerbe-immobilien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www.grossmann-berger.de/news/pressemapp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rossmann-berger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marktbericht/gewerbe/hamburg-investment/" TargetMode="External"/><Relationship Id="rId14" Type="http://schemas.openxmlformats.org/officeDocument/2006/relationships/hyperlink" Target="https://www.grossmann-berger.de/datenschutz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9024-6D9C-4672-A83D-262DE1FC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26</cp:revision>
  <cp:lastPrinted>2017-12-15T09:20:00Z</cp:lastPrinted>
  <dcterms:created xsi:type="dcterms:W3CDTF">2022-03-31T12:43:00Z</dcterms:created>
  <dcterms:modified xsi:type="dcterms:W3CDTF">2022-04-01T12:06:00Z</dcterms:modified>
</cp:coreProperties>
</file>