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4F6DA" w14:textId="768A34BC" w:rsidR="00F87749" w:rsidRDefault="00C86C02" w:rsidP="000C770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Berlin</w:t>
      </w:r>
      <w:r w:rsidR="00C7341F" w:rsidRPr="0054412E">
        <w:rPr>
          <w:rFonts w:ascii="Arial" w:hAnsi="Arial" w:cs="Arial"/>
          <w:b/>
        </w:rPr>
        <w:t xml:space="preserve">: </w:t>
      </w:r>
      <w:r w:rsidR="00C7341F">
        <w:rPr>
          <w:rFonts w:ascii="Arial" w:hAnsi="Arial" w:cs="Arial"/>
          <w:b/>
        </w:rPr>
        <w:t>Investmentmarkt 1.</w:t>
      </w:r>
      <w:r w:rsidR="00501E7D">
        <w:rPr>
          <w:rFonts w:ascii="Arial" w:hAnsi="Arial" w:cs="Arial"/>
          <w:b/>
        </w:rPr>
        <w:t>-</w:t>
      </w:r>
      <w:r w:rsidR="00787C24">
        <w:rPr>
          <w:rFonts w:ascii="Arial" w:hAnsi="Arial" w:cs="Arial"/>
          <w:b/>
        </w:rPr>
        <w:t>4</w:t>
      </w:r>
      <w:r w:rsidR="00FA50A7">
        <w:rPr>
          <w:rFonts w:ascii="Arial" w:hAnsi="Arial" w:cs="Arial"/>
          <w:b/>
        </w:rPr>
        <w:t>.</w:t>
      </w:r>
      <w:r w:rsidR="00C7341F" w:rsidRPr="00B9324B">
        <w:rPr>
          <w:rFonts w:ascii="Arial" w:hAnsi="Arial" w:cs="Arial"/>
          <w:b/>
        </w:rPr>
        <w:t xml:space="preserve"> Quartal 20</w:t>
      </w:r>
      <w:r w:rsidR="00C7341F">
        <w:rPr>
          <w:rFonts w:ascii="Arial" w:hAnsi="Arial" w:cs="Arial"/>
          <w:b/>
        </w:rPr>
        <w:t>22</w:t>
      </w:r>
    </w:p>
    <w:p w14:paraId="525E7BEC" w14:textId="796A8BF7" w:rsidR="00004FEC" w:rsidRPr="0090748B" w:rsidRDefault="00546610" w:rsidP="0059090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Kl</w:t>
      </w:r>
      <w:r w:rsidR="0017402C">
        <w:rPr>
          <w:rFonts w:ascii="Arial" w:hAnsi="Arial" w:cs="Arial"/>
          <w:b/>
          <w:sz w:val="28"/>
          <w:szCs w:val="28"/>
        </w:rPr>
        <w:t xml:space="preserve">einvolumige Transaktionen statt typischer </w:t>
      </w:r>
      <w:r>
        <w:rPr>
          <w:rFonts w:ascii="Arial" w:hAnsi="Arial" w:cs="Arial"/>
          <w:b/>
          <w:sz w:val="28"/>
          <w:szCs w:val="28"/>
        </w:rPr>
        <w:t>Großdeals</w:t>
      </w:r>
    </w:p>
    <w:p w14:paraId="5B6FC281" w14:textId="078868F0" w:rsidR="00153029" w:rsidRDefault="00FA50A7" w:rsidP="0029474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Berlin</w:t>
      </w:r>
      <w:r w:rsidR="003B4CCF" w:rsidRPr="00063A33">
        <w:rPr>
          <w:rFonts w:ascii="Arial" w:hAnsi="Arial" w:cs="Arial"/>
          <w:b/>
          <w:sz w:val="20"/>
          <w:szCs w:val="20"/>
        </w:rPr>
        <w:t xml:space="preserve">, </w:t>
      </w:r>
      <w:r w:rsidR="00C66B88">
        <w:rPr>
          <w:rFonts w:ascii="Arial" w:hAnsi="Arial" w:cs="Arial"/>
          <w:b/>
          <w:sz w:val="20"/>
          <w:szCs w:val="20"/>
        </w:rPr>
        <w:t>03</w:t>
      </w:r>
      <w:r w:rsidR="003B4CCF" w:rsidRPr="00063A33">
        <w:rPr>
          <w:rFonts w:ascii="Arial" w:hAnsi="Arial" w:cs="Arial"/>
          <w:b/>
          <w:sz w:val="20"/>
          <w:szCs w:val="20"/>
        </w:rPr>
        <w:t xml:space="preserve">. </w:t>
      </w:r>
      <w:r w:rsidR="00787C24">
        <w:rPr>
          <w:rFonts w:ascii="Arial" w:hAnsi="Arial" w:cs="Arial"/>
          <w:b/>
          <w:sz w:val="20"/>
          <w:szCs w:val="20"/>
        </w:rPr>
        <w:t>Januar</w:t>
      </w:r>
      <w:r w:rsidR="009C12BC">
        <w:rPr>
          <w:rFonts w:ascii="Arial" w:hAnsi="Arial" w:cs="Arial"/>
          <w:b/>
          <w:sz w:val="20"/>
          <w:szCs w:val="20"/>
        </w:rPr>
        <w:t xml:space="preserve"> 2023</w:t>
      </w:r>
      <w:r w:rsidR="003B4CCF" w:rsidRPr="00063A33">
        <w:rPr>
          <w:rFonts w:ascii="Arial" w:hAnsi="Arial" w:cs="Arial"/>
          <w:b/>
          <w:sz w:val="20"/>
          <w:szCs w:val="20"/>
        </w:rPr>
        <w:t xml:space="preserve"> </w:t>
      </w:r>
      <w:r w:rsidR="0029474A" w:rsidRPr="00687D00">
        <w:rPr>
          <w:rFonts w:ascii="Arial" w:hAnsi="Arial" w:cs="Arial"/>
          <w:b/>
          <w:sz w:val="20"/>
          <w:szCs w:val="20"/>
        </w:rPr>
        <w:t>–</w:t>
      </w:r>
      <w:r w:rsidR="0029474A">
        <w:rPr>
          <w:rFonts w:ascii="Arial" w:hAnsi="Arial" w:cs="Arial"/>
          <w:b/>
          <w:sz w:val="20"/>
          <w:szCs w:val="20"/>
        </w:rPr>
        <w:t xml:space="preserve"> </w:t>
      </w:r>
      <w:r w:rsidR="005B2A58">
        <w:rPr>
          <w:rFonts w:ascii="Arial" w:hAnsi="Arial" w:cs="Arial"/>
          <w:sz w:val="20"/>
          <w:szCs w:val="20"/>
        </w:rPr>
        <w:t xml:space="preserve">Abwartende Haltung und </w:t>
      </w:r>
      <w:r w:rsidR="00BB7641">
        <w:rPr>
          <w:rFonts w:ascii="Arial" w:hAnsi="Arial" w:cs="Arial"/>
          <w:sz w:val="20"/>
          <w:szCs w:val="20"/>
        </w:rPr>
        <w:t>langwierige</w:t>
      </w:r>
      <w:r w:rsidR="005B2A58">
        <w:rPr>
          <w:rFonts w:ascii="Arial" w:hAnsi="Arial" w:cs="Arial"/>
          <w:sz w:val="20"/>
          <w:szCs w:val="20"/>
        </w:rPr>
        <w:t xml:space="preserve"> Kaufprozesse – d</w:t>
      </w:r>
      <w:r w:rsidR="00004FEC">
        <w:rPr>
          <w:rFonts w:ascii="Arial" w:hAnsi="Arial" w:cs="Arial"/>
          <w:sz w:val="20"/>
          <w:szCs w:val="20"/>
        </w:rPr>
        <w:t>as verlangsamte Transaktionsgeschehen auf dem</w:t>
      </w:r>
      <w:r w:rsidR="00004FEC" w:rsidRPr="00004FEC">
        <w:rPr>
          <w:rFonts w:ascii="Arial" w:hAnsi="Arial" w:cs="Arial"/>
          <w:sz w:val="20"/>
          <w:szCs w:val="20"/>
        </w:rPr>
        <w:t xml:space="preserve"> Berliner Investmentmarkt für gewerbliche Immobilien</w:t>
      </w:r>
      <w:r w:rsidR="00004FEC">
        <w:rPr>
          <w:rFonts w:ascii="Arial" w:hAnsi="Arial" w:cs="Arial"/>
          <w:sz w:val="20"/>
          <w:szCs w:val="20"/>
        </w:rPr>
        <w:t xml:space="preserve"> </w:t>
      </w:r>
      <w:r w:rsidR="005B2A58">
        <w:rPr>
          <w:rFonts w:ascii="Arial" w:hAnsi="Arial" w:cs="Arial"/>
          <w:sz w:val="20"/>
          <w:szCs w:val="20"/>
        </w:rPr>
        <w:t xml:space="preserve">hielt </w:t>
      </w:r>
      <w:r w:rsidR="00004FEC">
        <w:rPr>
          <w:rFonts w:ascii="Arial" w:hAnsi="Arial" w:cs="Arial"/>
          <w:sz w:val="20"/>
          <w:szCs w:val="20"/>
        </w:rPr>
        <w:t xml:space="preserve">auch </w:t>
      </w:r>
      <w:r w:rsidR="00F957C8">
        <w:rPr>
          <w:rFonts w:ascii="Arial" w:hAnsi="Arial" w:cs="Arial"/>
          <w:sz w:val="20"/>
          <w:szCs w:val="20"/>
        </w:rPr>
        <w:t>im 4. Quartal</w:t>
      </w:r>
      <w:r w:rsidR="00004FEC">
        <w:rPr>
          <w:rFonts w:ascii="Arial" w:hAnsi="Arial" w:cs="Arial"/>
          <w:sz w:val="20"/>
          <w:szCs w:val="20"/>
        </w:rPr>
        <w:t xml:space="preserve"> an. </w:t>
      </w:r>
      <w:r w:rsidR="00F957C8">
        <w:rPr>
          <w:rFonts w:ascii="Arial" w:hAnsi="Arial" w:cs="Arial"/>
          <w:sz w:val="20"/>
          <w:szCs w:val="20"/>
        </w:rPr>
        <w:t>Das Transaktionsvolumen (TAV) belief sich zum Ende des Jahres auf rund 7,8 Mrd. €</w:t>
      </w:r>
      <w:r w:rsidR="00930CEF">
        <w:rPr>
          <w:rFonts w:ascii="Arial" w:hAnsi="Arial" w:cs="Arial"/>
          <w:sz w:val="20"/>
          <w:szCs w:val="20"/>
        </w:rPr>
        <w:t xml:space="preserve"> und verzeichnet damit ein Minus von 26 %</w:t>
      </w:r>
      <w:r w:rsidR="00BD4EBC">
        <w:rPr>
          <w:rFonts w:ascii="Arial" w:hAnsi="Arial" w:cs="Arial"/>
          <w:sz w:val="20"/>
          <w:szCs w:val="20"/>
        </w:rPr>
        <w:t xml:space="preserve"> im Vergleich zum V</w:t>
      </w:r>
      <w:r w:rsidR="00930CEF">
        <w:rPr>
          <w:rFonts w:ascii="Arial" w:hAnsi="Arial" w:cs="Arial"/>
          <w:sz w:val="20"/>
          <w:szCs w:val="20"/>
        </w:rPr>
        <w:t>orjahr.</w:t>
      </w:r>
      <w:r w:rsidR="00BD4EBC">
        <w:rPr>
          <w:rFonts w:ascii="Arial" w:hAnsi="Arial" w:cs="Arial"/>
          <w:sz w:val="20"/>
          <w:szCs w:val="20"/>
        </w:rPr>
        <w:t xml:space="preserve"> Dieses Ergebnis liegt deutlich unter dem </w:t>
      </w:r>
      <w:r w:rsidR="00BB7641">
        <w:rPr>
          <w:rFonts w:ascii="Arial" w:hAnsi="Arial" w:cs="Arial"/>
          <w:sz w:val="20"/>
          <w:szCs w:val="20"/>
        </w:rPr>
        <w:t>Fünf</w:t>
      </w:r>
      <w:r w:rsidR="00BD4EBC">
        <w:rPr>
          <w:rFonts w:ascii="Arial" w:hAnsi="Arial" w:cs="Arial"/>
          <w:sz w:val="20"/>
          <w:szCs w:val="20"/>
        </w:rPr>
        <w:t>-Jahres-Mittel von 8,7 Mrd. €,</w:t>
      </w:r>
      <w:r w:rsidR="00BD4EBC" w:rsidRPr="00BD4EBC">
        <w:rPr>
          <w:rFonts w:ascii="Arial" w:hAnsi="Arial" w:cs="Arial"/>
          <w:sz w:val="20"/>
          <w:szCs w:val="20"/>
        </w:rPr>
        <w:t xml:space="preserve"> </w:t>
      </w:r>
      <w:r w:rsidR="000B711C">
        <w:rPr>
          <w:rFonts w:ascii="Arial" w:hAnsi="Arial" w:cs="Arial"/>
          <w:sz w:val="20"/>
          <w:szCs w:val="20"/>
        </w:rPr>
        <w:t>je</w:t>
      </w:r>
      <w:r w:rsidR="00BD4EBC">
        <w:rPr>
          <w:rFonts w:ascii="Arial" w:hAnsi="Arial" w:cs="Arial"/>
          <w:sz w:val="20"/>
          <w:szCs w:val="20"/>
        </w:rPr>
        <w:t xml:space="preserve">doch klar über dem </w:t>
      </w:r>
      <w:r w:rsidR="00BB7641">
        <w:rPr>
          <w:rFonts w:ascii="Arial" w:hAnsi="Arial" w:cs="Arial"/>
          <w:sz w:val="20"/>
          <w:szCs w:val="20"/>
        </w:rPr>
        <w:t>Zehn-Jahres-M</w:t>
      </w:r>
      <w:r w:rsidR="00BD4EBC">
        <w:rPr>
          <w:rFonts w:ascii="Arial" w:hAnsi="Arial" w:cs="Arial"/>
          <w:sz w:val="20"/>
          <w:szCs w:val="20"/>
        </w:rPr>
        <w:t>ittel vo</w:t>
      </w:r>
      <w:r w:rsidR="00153029">
        <w:rPr>
          <w:rFonts w:ascii="Arial" w:hAnsi="Arial" w:cs="Arial"/>
          <w:sz w:val="20"/>
          <w:szCs w:val="20"/>
        </w:rPr>
        <w:t>n 7,1 Mrd. €.</w:t>
      </w:r>
    </w:p>
    <w:p w14:paraId="4BD602D3" w14:textId="77777777" w:rsidR="00153029" w:rsidRDefault="00153029" w:rsidP="0029474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8DDA738" w14:textId="77948C10" w:rsidR="00004FEC" w:rsidRDefault="00BB7641" w:rsidP="0029474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4B6E37">
        <w:rPr>
          <w:rFonts w:ascii="Arial" w:hAnsi="Arial" w:cs="Arial"/>
          <w:i/>
          <w:sz w:val="20"/>
          <w:szCs w:val="20"/>
        </w:rPr>
        <w:t>Auch gegen Jahresende prägten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die</w:t>
      </w:r>
      <w:r w:rsidRPr="00004FEC">
        <w:rPr>
          <w:rFonts w:ascii="Arial" w:hAnsi="Arial" w:cs="Arial"/>
          <w:i/>
          <w:sz w:val="20"/>
          <w:szCs w:val="20"/>
        </w:rPr>
        <w:t xml:space="preserve"> </w:t>
      </w:r>
      <w:r w:rsidR="00546610">
        <w:rPr>
          <w:rFonts w:ascii="Arial" w:hAnsi="Arial" w:cs="Arial"/>
          <w:i/>
          <w:sz w:val="20"/>
          <w:szCs w:val="20"/>
        </w:rPr>
        <w:t>gestiegenen Zinsen und ihre V</w:t>
      </w:r>
      <w:r w:rsidRPr="00004FEC">
        <w:rPr>
          <w:rFonts w:ascii="Arial" w:hAnsi="Arial" w:cs="Arial"/>
          <w:i/>
          <w:sz w:val="20"/>
          <w:szCs w:val="20"/>
        </w:rPr>
        <w:t xml:space="preserve">olatilität </w:t>
      </w:r>
      <w:r>
        <w:rPr>
          <w:rFonts w:ascii="Arial" w:hAnsi="Arial" w:cs="Arial"/>
          <w:i/>
          <w:sz w:val="20"/>
          <w:szCs w:val="20"/>
        </w:rPr>
        <w:t>den</w:t>
      </w:r>
      <w:r w:rsidR="00004FEC">
        <w:rPr>
          <w:rFonts w:ascii="Arial" w:hAnsi="Arial" w:cs="Arial"/>
          <w:i/>
          <w:sz w:val="20"/>
          <w:szCs w:val="20"/>
        </w:rPr>
        <w:t xml:space="preserve"> gewerbliche</w:t>
      </w:r>
      <w:r>
        <w:rPr>
          <w:rFonts w:ascii="Arial" w:hAnsi="Arial" w:cs="Arial"/>
          <w:i/>
          <w:sz w:val="20"/>
          <w:szCs w:val="20"/>
        </w:rPr>
        <w:t>n</w:t>
      </w:r>
      <w:r w:rsidR="00004FEC">
        <w:rPr>
          <w:rFonts w:ascii="Arial" w:hAnsi="Arial" w:cs="Arial"/>
          <w:i/>
          <w:sz w:val="20"/>
          <w:szCs w:val="20"/>
        </w:rPr>
        <w:t xml:space="preserve"> Berliner Transaktionsmarkt</w:t>
      </w:r>
      <w:r w:rsidR="00004FEC" w:rsidRPr="00004FEC">
        <w:rPr>
          <w:rFonts w:ascii="Arial" w:hAnsi="Arial" w:cs="Arial"/>
          <w:i/>
          <w:sz w:val="20"/>
          <w:szCs w:val="20"/>
        </w:rPr>
        <w:t>. Investoren fehlt nach wie vor eine belastbare Kalkulationsgrundlage</w:t>
      </w:r>
      <w:r w:rsidR="00004FEC">
        <w:rPr>
          <w:rFonts w:ascii="Arial" w:hAnsi="Arial" w:cs="Arial"/>
          <w:i/>
          <w:sz w:val="20"/>
          <w:szCs w:val="20"/>
        </w:rPr>
        <w:t xml:space="preserve"> für </w:t>
      </w:r>
      <w:r>
        <w:rPr>
          <w:rFonts w:ascii="Arial" w:hAnsi="Arial" w:cs="Arial"/>
          <w:i/>
          <w:sz w:val="20"/>
          <w:szCs w:val="20"/>
        </w:rPr>
        <w:t xml:space="preserve">ihre </w:t>
      </w:r>
      <w:r w:rsidR="00004FEC">
        <w:rPr>
          <w:rFonts w:ascii="Arial" w:hAnsi="Arial" w:cs="Arial"/>
          <w:i/>
          <w:sz w:val="20"/>
          <w:szCs w:val="20"/>
        </w:rPr>
        <w:t>Kaufentscheidungen</w:t>
      </w:r>
      <w:r w:rsidR="00004FEC">
        <w:rPr>
          <w:rFonts w:ascii="Arial" w:hAnsi="Arial" w:cs="Arial"/>
          <w:sz w:val="20"/>
          <w:szCs w:val="20"/>
        </w:rPr>
        <w:t>“, sagt</w:t>
      </w:r>
      <w:r w:rsidR="00004FEC" w:rsidRPr="00004FEC">
        <w:t xml:space="preserve"> </w:t>
      </w:r>
      <w:r w:rsidR="00004FEC" w:rsidRPr="00004FEC">
        <w:rPr>
          <w:rFonts w:ascii="Arial" w:hAnsi="Arial" w:cs="Arial"/>
          <w:b/>
          <w:sz w:val="20"/>
          <w:szCs w:val="20"/>
        </w:rPr>
        <w:t>Sandra Ludwig</w:t>
      </w:r>
      <w:r w:rsidR="00004FEC" w:rsidRPr="00004FEC">
        <w:rPr>
          <w:rFonts w:ascii="Arial" w:hAnsi="Arial" w:cs="Arial"/>
          <w:sz w:val="20"/>
          <w:szCs w:val="20"/>
        </w:rPr>
        <w:t>, Geschäftsführerin von Grossmann &amp; Berger, Mitglied von German Property Partners (GPP).</w:t>
      </w:r>
      <w:r w:rsidR="00004FEC">
        <w:rPr>
          <w:rFonts w:ascii="Arial" w:hAnsi="Arial" w:cs="Arial"/>
          <w:sz w:val="20"/>
          <w:szCs w:val="20"/>
        </w:rPr>
        <w:t xml:space="preserve"> </w:t>
      </w:r>
      <w:r w:rsidR="005B2A58">
        <w:rPr>
          <w:rFonts w:ascii="Arial" w:hAnsi="Arial" w:cs="Arial"/>
          <w:sz w:val="20"/>
          <w:szCs w:val="20"/>
        </w:rPr>
        <w:t xml:space="preserve">Viele Verkaufsprozesse verzögerten sich oder </w:t>
      </w:r>
      <w:r w:rsidR="00546610">
        <w:rPr>
          <w:rFonts w:ascii="Arial" w:hAnsi="Arial" w:cs="Arial"/>
          <w:sz w:val="20"/>
          <w:szCs w:val="20"/>
        </w:rPr>
        <w:t xml:space="preserve">die Transaktionen </w:t>
      </w:r>
      <w:r w:rsidR="005B2A58">
        <w:rPr>
          <w:rFonts w:ascii="Arial" w:hAnsi="Arial" w:cs="Arial"/>
          <w:sz w:val="20"/>
          <w:szCs w:val="20"/>
        </w:rPr>
        <w:t xml:space="preserve">kamen nicht zustande. </w:t>
      </w:r>
      <w:r w:rsidR="00153029">
        <w:rPr>
          <w:rFonts w:ascii="Arial" w:hAnsi="Arial" w:cs="Arial"/>
          <w:sz w:val="20"/>
          <w:szCs w:val="20"/>
        </w:rPr>
        <w:t>Vor allem</w:t>
      </w:r>
      <w:r w:rsidR="005B2A58">
        <w:rPr>
          <w:rFonts w:ascii="Arial" w:hAnsi="Arial" w:cs="Arial"/>
          <w:sz w:val="20"/>
          <w:szCs w:val="20"/>
        </w:rPr>
        <w:t xml:space="preserve"> </w:t>
      </w:r>
      <w:r w:rsidR="00153029">
        <w:rPr>
          <w:rFonts w:ascii="Arial" w:hAnsi="Arial" w:cs="Arial"/>
          <w:sz w:val="20"/>
          <w:szCs w:val="20"/>
        </w:rPr>
        <w:t>im 2. Halbjahr</w:t>
      </w:r>
      <w:r w:rsidR="005B2A58">
        <w:rPr>
          <w:rFonts w:ascii="Arial" w:hAnsi="Arial" w:cs="Arial"/>
          <w:sz w:val="20"/>
          <w:szCs w:val="20"/>
        </w:rPr>
        <w:t xml:space="preserve"> machte sich bei </w:t>
      </w:r>
      <w:r w:rsidR="00546610">
        <w:rPr>
          <w:rFonts w:ascii="Arial" w:hAnsi="Arial" w:cs="Arial"/>
          <w:sz w:val="20"/>
          <w:szCs w:val="20"/>
        </w:rPr>
        <w:t xml:space="preserve">institutionellen </w:t>
      </w:r>
      <w:r w:rsidR="005B2A58">
        <w:rPr>
          <w:rFonts w:ascii="Arial" w:hAnsi="Arial" w:cs="Arial"/>
          <w:sz w:val="20"/>
          <w:szCs w:val="20"/>
        </w:rPr>
        <w:t>Investoren</w:t>
      </w:r>
      <w:r w:rsidR="00546610">
        <w:rPr>
          <w:rFonts w:ascii="Arial" w:hAnsi="Arial" w:cs="Arial"/>
          <w:sz w:val="20"/>
          <w:szCs w:val="20"/>
        </w:rPr>
        <w:t xml:space="preserve"> </w:t>
      </w:r>
      <w:r w:rsidR="005B2A58">
        <w:rPr>
          <w:rFonts w:ascii="Arial" w:hAnsi="Arial" w:cs="Arial"/>
          <w:sz w:val="20"/>
          <w:szCs w:val="20"/>
        </w:rPr>
        <w:t>eine abwartende Haltung b</w:t>
      </w:r>
      <w:r>
        <w:rPr>
          <w:rFonts w:ascii="Arial" w:hAnsi="Arial" w:cs="Arial"/>
          <w:sz w:val="20"/>
          <w:szCs w:val="20"/>
        </w:rPr>
        <w:t>emerkbar</w:t>
      </w:r>
      <w:r w:rsidR="005B2A58">
        <w:rPr>
          <w:rFonts w:ascii="Arial" w:hAnsi="Arial" w:cs="Arial"/>
          <w:sz w:val="20"/>
          <w:szCs w:val="20"/>
        </w:rPr>
        <w:t>.</w:t>
      </w:r>
    </w:p>
    <w:p w14:paraId="11E9E1A5" w14:textId="54822013" w:rsidR="005B2A58" w:rsidRDefault="005B2A58" w:rsidP="0029474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6024511" w14:textId="6A5B85B9" w:rsidR="003F0987" w:rsidRPr="00BB7641" w:rsidRDefault="005B2A58" w:rsidP="0029474A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</w:t>
      </w:r>
      <w:r w:rsidR="00173FDB">
        <w:rPr>
          <w:rFonts w:ascii="Arial" w:hAnsi="Arial" w:cs="Arial"/>
          <w:sz w:val="20"/>
          <w:szCs w:val="20"/>
        </w:rPr>
        <w:t>das kommende Jahr</w:t>
      </w:r>
      <w:r>
        <w:rPr>
          <w:rFonts w:ascii="Arial" w:hAnsi="Arial" w:cs="Arial"/>
          <w:sz w:val="20"/>
          <w:szCs w:val="20"/>
        </w:rPr>
        <w:t xml:space="preserve"> prognostiziert </w:t>
      </w:r>
      <w:r w:rsidRPr="005B2A58">
        <w:rPr>
          <w:rFonts w:ascii="Arial" w:hAnsi="Arial" w:cs="Arial"/>
          <w:b/>
          <w:sz w:val="20"/>
          <w:szCs w:val="20"/>
        </w:rPr>
        <w:t>Ludwig</w:t>
      </w:r>
      <w:r w:rsidR="00BB7641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„</w:t>
      </w:r>
      <w:r w:rsidR="003F0987" w:rsidRPr="00173FDB">
        <w:rPr>
          <w:rFonts w:ascii="Arial" w:hAnsi="Arial" w:cs="Arial"/>
          <w:i/>
          <w:sz w:val="20"/>
          <w:szCs w:val="20"/>
        </w:rPr>
        <w:t xml:space="preserve">2023 werden die Zinsentwicklung und die politische Lage in Osteuropa </w:t>
      </w:r>
      <w:r w:rsidR="00173FDB">
        <w:rPr>
          <w:rFonts w:ascii="Arial" w:hAnsi="Arial" w:cs="Arial"/>
          <w:i/>
          <w:sz w:val="20"/>
          <w:szCs w:val="20"/>
        </w:rPr>
        <w:t xml:space="preserve">weiterhin </w:t>
      </w:r>
      <w:r w:rsidR="00BB7641">
        <w:rPr>
          <w:rFonts w:ascii="Arial" w:hAnsi="Arial" w:cs="Arial"/>
          <w:i/>
          <w:sz w:val="20"/>
          <w:szCs w:val="20"/>
        </w:rPr>
        <w:t xml:space="preserve">für </w:t>
      </w:r>
      <w:r w:rsidR="003F0987" w:rsidRPr="00173FDB">
        <w:rPr>
          <w:rFonts w:ascii="Arial" w:hAnsi="Arial" w:cs="Arial"/>
          <w:i/>
          <w:sz w:val="20"/>
          <w:szCs w:val="20"/>
        </w:rPr>
        <w:t>Unsicherheit bei Investoren sorgen. Ab der Jahresmitte erwarten wir ein teilweises Wiederaufleben des Marktes</w:t>
      </w:r>
      <w:r w:rsidR="00173FDB" w:rsidRPr="00173FDB">
        <w:rPr>
          <w:rFonts w:ascii="Arial" w:hAnsi="Arial" w:cs="Arial"/>
          <w:i/>
          <w:sz w:val="20"/>
          <w:szCs w:val="20"/>
        </w:rPr>
        <w:t>, sofern ein stabil</w:t>
      </w:r>
      <w:r w:rsidR="00BB7641">
        <w:rPr>
          <w:rFonts w:ascii="Arial" w:hAnsi="Arial" w:cs="Arial"/>
          <w:i/>
          <w:sz w:val="20"/>
          <w:szCs w:val="20"/>
        </w:rPr>
        <w:t>es</w:t>
      </w:r>
      <w:r w:rsidR="00173FDB" w:rsidRPr="00173FDB">
        <w:rPr>
          <w:rFonts w:ascii="Arial" w:hAnsi="Arial" w:cs="Arial"/>
          <w:i/>
          <w:sz w:val="20"/>
          <w:szCs w:val="20"/>
        </w:rPr>
        <w:t xml:space="preserve"> Zinsniveau verlässlichere Kalkulationen</w:t>
      </w:r>
      <w:r w:rsidR="00394EDE">
        <w:rPr>
          <w:rFonts w:ascii="Arial" w:hAnsi="Arial" w:cs="Arial"/>
          <w:i/>
          <w:sz w:val="20"/>
          <w:szCs w:val="20"/>
        </w:rPr>
        <w:t xml:space="preserve"> </w:t>
      </w:r>
      <w:r w:rsidR="00BB7641">
        <w:rPr>
          <w:rFonts w:ascii="Arial" w:hAnsi="Arial" w:cs="Arial"/>
          <w:i/>
          <w:sz w:val="20"/>
          <w:szCs w:val="20"/>
        </w:rPr>
        <w:t>erlaubt</w:t>
      </w:r>
      <w:r w:rsidR="00173FDB" w:rsidRPr="00173FDB">
        <w:rPr>
          <w:rFonts w:ascii="Arial" w:hAnsi="Arial" w:cs="Arial"/>
          <w:i/>
          <w:sz w:val="20"/>
          <w:szCs w:val="20"/>
        </w:rPr>
        <w:t>.</w:t>
      </w:r>
      <w:r w:rsidR="00173FDB">
        <w:rPr>
          <w:rFonts w:ascii="Arial" w:hAnsi="Arial" w:cs="Arial"/>
          <w:sz w:val="20"/>
          <w:szCs w:val="20"/>
        </w:rPr>
        <w:t>“</w:t>
      </w:r>
    </w:p>
    <w:p w14:paraId="40A163F9" w14:textId="2DF535D9" w:rsidR="00A070B6" w:rsidRDefault="00A070B6" w:rsidP="0029474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30350E8" w14:textId="3BC4E01D" w:rsidR="0039183F" w:rsidRPr="00BB7641" w:rsidRDefault="00710607" w:rsidP="00BB7641">
      <w:p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D35A6D">
        <w:rPr>
          <w:rFonts w:ascii="Arial" w:hAnsi="Arial" w:cs="Arial"/>
          <w:b/>
          <w:sz w:val="20"/>
          <w:szCs w:val="20"/>
        </w:rPr>
        <w:t xml:space="preserve">Markt im Detail: </w:t>
      </w:r>
    </w:p>
    <w:p w14:paraId="78D8938D" w14:textId="30B5AB84" w:rsidR="006D4101" w:rsidRPr="006D4101" w:rsidRDefault="00173FDB" w:rsidP="00462923">
      <w:pPr>
        <w:pStyle w:val="Listenabsatz"/>
        <w:numPr>
          <w:ilvl w:val="0"/>
          <w:numId w:val="20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Büroimmobilien blieben mit rund</w:t>
      </w:r>
      <w:r w:rsidR="006D4101">
        <w:rPr>
          <w:rFonts w:ascii="Arial" w:hAnsi="Arial" w:cs="Arial"/>
          <w:sz w:val="20"/>
          <w:szCs w:val="20"/>
        </w:rPr>
        <w:t xml:space="preserve"> 73 % die meistgehandelte </w:t>
      </w:r>
      <w:r w:rsidR="006D4101" w:rsidRPr="006D4101">
        <w:rPr>
          <w:rFonts w:ascii="Arial" w:hAnsi="Arial" w:cs="Arial"/>
          <w:sz w:val="20"/>
          <w:szCs w:val="20"/>
          <w:u w:val="single"/>
        </w:rPr>
        <w:t>Assetklasse</w:t>
      </w:r>
      <w:r w:rsidR="006D4101">
        <w:rPr>
          <w:rFonts w:ascii="Arial" w:hAnsi="Arial" w:cs="Arial"/>
          <w:sz w:val="20"/>
          <w:szCs w:val="20"/>
          <w:u w:val="single"/>
        </w:rPr>
        <w:t>.</w:t>
      </w:r>
      <w:r w:rsidR="006D4101" w:rsidRPr="00173FDB">
        <w:rPr>
          <w:rFonts w:ascii="Arial" w:hAnsi="Arial" w:cs="Arial"/>
          <w:sz w:val="20"/>
          <w:szCs w:val="20"/>
        </w:rPr>
        <w:t xml:space="preserve"> </w:t>
      </w:r>
      <w:r w:rsidR="006D4101">
        <w:rPr>
          <w:rFonts w:ascii="Arial" w:hAnsi="Arial" w:cs="Arial"/>
          <w:sz w:val="20"/>
          <w:szCs w:val="20"/>
        </w:rPr>
        <w:t>Die einzige weitere Assetklasse</w:t>
      </w:r>
      <w:r>
        <w:rPr>
          <w:rFonts w:ascii="Arial" w:hAnsi="Arial" w:cs="Arial"/>
          <w:sz w:val="20"/>
          <w:szCs w:val="20"/>
        </w:rPr>
        <w:t>, die einen</w:t>
      </w:r>
      <w:r w:rsidR="006D4101">
        <w:rPr>
          <w:rFonts w:ascii="Arial" w:hAnsi="Arial" w:cs="Arial"/>
          <w:sz w:val="20"/>
          <w:szCs w:val="20"/>
        </w:rPr>
        <w:t xml:space="preserve"> zweistelligen </w:t>
      </w:r>
      <w:r>
        <w:rPr>
          <w:rFonts w:ascii="Arial" w:hAnsi="Arial" w:cs="Arial"/>
          <w:sz w:val="20"/>
          <w:szCs w:val="20"/>
        </w:rPr>
        <w:t>TAV-Anteil erreichte,</w:t>
      </w:r>
      <w:r w:rsidR="006D4101">
        <w:rPr>
          <w:rFonts w:ascii="Arial" w:hAnsi="Arial" w:cs="Arial"/>
          <w:sz w:val="20"/>
          <w:szCs w:val="20"/>
        </w:rPr>
        <w:t xml:space="preserve"> war </w:t>
      </w:r>
      <w:r>
        <w:rPr>
          <w:rFonts w:ascii="Arial" w:hAnsi="Arial" w:cs="Arial"/>
          <w:sz w:val="20"/>
          <w:szCs w:val="20"/>
        </w:rPr>
        <w:t xml:space="preserve">die </w:t>
      </w:r>
      <w:r w:rsidR="006D4101">
        <w:rPr>
          <w:rFonts w:ascii="Arial" w:hAnsi="Arial" w:cs="Arial"/>
          <w:sz w:val="20"/>
          <w:szCs w:val="20"/>
        </w:rPr>
        <w:t>Mischnutzung (10 %).</w:t>
      </w:r>
      <w:r w:rsidR="00CD1091">
        <w:rPr>
          <w:rFonts w:ascii="Arial" w:hAnsi="Arial" w:cs="Arial"/>
          <w:sz w:val="20"/>
          <w:szCs w:val="20"/>
        </w:rPr>
        <w:t xml:space="preserve"> Auf Platz drei folgten Grundstücke mit rund 7 %.</w:t>
      </w:r>
    </w:p>
    <w:p w14:paraId="70F7C34C" w14:textId="00C68D78" w:rsidR="00E77773" w:rsidRPr="00004FEC" w:rsidRDefault="00862E02" w:rsidP="00004FEC">
      <w:pPr>
        <w:pStyle w:val="Listenabsatz"/>
        <w:numPr>
          <w:ilvl w:val="0"/>
          <w:numId w:val="20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Transaktionen der </w:t>
      </w:r>
      <w:r w:rsidR="00AF7365" w:rsidRPr="00E77773">
        <w:rPr>
          <w:rFonts w:ascii="Arial" w:hAnsi="Arial" w:cs="Arial"/>
          <w:sz w:val="20"/>
          <w:szCs w:val="20"/>
          <w:u w:val="single"/>
        </w:rPr>
        <w:t>Größenklass</w:t>
      </w:r>
      <w:r w:rsidR="00E77773" w:rsidRPr="00E77773">
        <w:rPr>
          <w:rFonts w:ascii="Arial" w:hAnsi="Arial" w:cs="Arial"/>
          <w:sz w:val="20"/>
          <w:szCs w:val="20"/>
          <w:u w:val="single"/>
        </w:rPr>
        <w:t>e</w:t>
      </w:r>
      <w:r w:rsidRPr="00862E02">
        <w:rPr>
          <w:rFonts w:ascii="Arial" w:hAnsi="Arial" w:cs="Arial"/>
          <w:sz w:val="20"/>
          <w:szCs w:val="20"/>
        </w:rPr>
        <w:t xml:space="preserve"> </w:t>
      </w:r>
      <w:r w:rsidR="004B6E37">
        <w:rPr>
          <w:rFonts w:ascii="Arial" w:hAnsi="Arial" w:cs="Arial"/>
          <w:sz w:val="20"/>
          <w:szCs w:val="20"/>
        </w:rPr>
        <w:t>ab</w:t>
      </w:r>
      <w:r w:rsidRPr="00862E02">
        <w:rPr>
          <w:rFonts w:ascii="Arial" w:hAnsi="Arial" w:cs="Arial"/>
          <w:sz w:val="20"/>
          <w:szCs w:val="20"/>
        </w:rPr>
        <w:t xml:space="preserve"> 100 Mio. €</w:t>
      </w:r>
      <w:r>
        <w:rPr>
          <w:rFonts w:ascii="Arial" w:hAnsi="Arial" w:cs="Arial"/>
          <w:sz w:val="20"/>
          <w:szCs w:val="20"/>
        </w:rPr>
        <w:t xml:space="preserve"> machten mit 67 %, wie bereits im letzten Jahr, den größten Teil des TAV aus. </w:t>
      </w:r>
      <w:r w:rsidR="00546610">
        <w:rPr>
          <w:rFonts w:ascii="Arial" w:hAnsi="Arial" w:cs="Arial"/>
          <w:sz w:val="20"/>
          <w:szCs w:val="20"/>
        </w:rPr>
        <w:t xml:space="preserve">Jedoch war die Anzahl dieser großvolumigen Deals mit 24 deutlich geringer als im Vorjahr (34). </w:t>
      </w:r>
      <w:r>
        <w:rPr>
          <w:rFonts w:ascii="Arial" w:hAnsi="Arial" w:cs="Arial"/>
          <w:sz w:val="20"/>
          <w:szCs w:val="20"/>
        </w:rPr>
        <w:t>Mit Abstand folgten darauf</w:t>
      </w:r>
      <w:r w:rsidR="00004FEC">
        <w:rPr>
          <w:rFonts w:ascii="Arial" w:hAnsi="Arial" w:cs="Arial"/>
          <w:sz w:val="20"/>
          <w:szCs w:val="20"/>
        </w:rPr>
        <w:t xml:space="preserve"> die Größensegmente von 51 bis 100 Mio. € (17 %) und von 26 bis 50 Mio. € (11 %).</w:t>
      </w:r>
    </w:p>
    <w:p w14:paraId="6030F7C8" w14:textId="6297771D" w:rsidR="00E77773" w:rsidRPr="00E77773" w:rsidRDefault="00E77773" w:rsidP="00462923">
      <w:pPr>
        <w:pStyle w:val="Listenabsatz"/>
        <w:numPr>
          <w:ilvl w:val="0"/>
          <w:numId w:val="20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E77773">
        <w:rPr>
          <w:rFonts w:ascii="Arial" w:hAnsi="Arial" w:cs="Arial"/>
          <w:sz w:val="20"/>
          <w:szCs w:val="20"/>
          <w:u w:val="single"/>
        </w:rPr>
        <w:t>Portfolioverkäufe</w:t>
      </w:r>
      <w:r w:rsidRPr="00E77773">
        <w:rPr>
          <w:rFonts w:ascii="Arial" w:hAnsi="Arial" w:cs="Arial"/>
          <w:sz w:val="20"/>
          <w:szCs w:val="20"/>
        </w:rPr>
        <w:t xml:space="preserve"> generierten rund 34 % des TAV.</w:t>
      </w:r>
    </w:p>
    <w:p w14:paraId="580C67C0" w14:textId="67C16F78" w:rsidR="00F54F30" w:rsidRPr="00E77773" w:rsidRDefault="00E77773" w:rsidP="00F54F30">
      <w:pPr>
        <w:pStyle w:val="Listenabsatz"/>
        <w:numPr>
          <w:ilvl w:val="0"/>
          <w:numId w:val="20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E77773">
        <w:rPr>
          <w:rFonts w:ascii="Arial" w:hAnsi="Arial" w:cs="Arial"/>
          <w:sz w:val="20"/>
          <w:szCs w:val="20"/>
        </w:rPr>
        <w:t xml:space="preserve">Der Anteil der </w:t>
      </w:r>
      <w:r>
        <w:rPr>
          <w:rFonts w:ascii="Arial" w:hAnsi="Arial" w:cs="Arial"/>
          <w:sz w:val="20"/>
          <w:szCs w:val="20"/>
          <w:u w:val="single"/>
        </w:rPr>
        <w:t>i</w:t>
      </w:r>
      <w:r w:rsidR="003F4FE3" w:rsidRPr="003C2366">
        <w:rPr>
          <w:rFonts w:ascii="Arial" w:hAnsi="Arial" w:cs="Arial"/>
          <w:sz w:val="20"/>
          <w:szCs w:val="20"/>
          <w:u w:val="single"/>
        </w:rPr>
        <w:t>nternational</w:t>
      </w:r>
      <w:r>
        <w:rPr>
          <w:rFonts w:ascii="Arial" w:hAnsi="Arial" w:cs="Arial"/>
          <w:sz w:val="20"/>
          <w:szCs w:val="20"/>
          <w:u w:val="single"/>
        </w:rPr>
        <w:t>en Investoren</w:t>
      </w:r>
      <w:r w:rsidRPr="00E77773">
        <w:rPr>
          <w:rFonts w:ascii="Arial" w:hAnsi="Arial" w:cs="Arial"/>
          <w:sz w:val="20"/>
          <w:szCs w:val="20"/>
        </w:rPr>
        <w:t xml:space="preserve"> </w:t>
      </w:r>
      <w:r w:rsidR="004C3D1A">
        <w:rPr>
          <w:rFonts w:ascii="Arial" w:hAnsi="Arial" w:cs="Arial"/>
          <w:sz w:val="20"/>
          <w:szCs w:val="20"/>
        </w:rPr>
        <w:t>belief sich auf rund</w:t>
      </w:r>
      <w:r w:rsidRPr="00E77773">
        <w:rPr>
          <w:rFonts w:ascii="Arial" w:hAnsi="Arial" w:cs="Arial"/>
          <w:sz w:val="20"/>
          <w:szCs w:val="20"/>
        </w:rPr>
        <w:t xml:space="preserve"> 60 %</w:t>
      </w:r>
      <w:r w:rsidR="00546610">
        <w:rPr>
          <w:rFonts w:ascii="Arial" w:hAnsi="Arial" w:cs="Arial"/>
          <w:sz w:val="20"/>
          <w:szCs w:val="20"/>
        </w:rPr>
        <w:t xml:space="preserve">. </w:t>
      </w:r>
      <w:r w:rsidR="00C66B88">
        <w:rPr>
          <w:rFonts w:ascii="Arial" w:hAnsi="Arial" w:cs="Arial"/>
          <w:sz w:val="20"/>
          <w:szCs w:val="20"/>
        </w:rPr>
        <w:t>Im Vergle</w:t>
      </w:r>
      <w:r w:rsidR="0026534A">
        <w:rPr>
          <w:rFonts w:ascii="Arial" w:hAnsi="Arial" w:cs="Arial"/>
          <w:sz w:val="20"/>
          <w:szCs w:val="20"/>
        </w:rPr>
        <w:t xml:space="preserve">ich </w:t>
      </w:r>
      <w:r w:rsidR="00C66B88">
        <w:rPr>
          <w:rFonts w:ascii="Arial" w:hAnsi="Arial" w:cs="Arial"/>
          <w:sz w:val="20"/>
          <w:szCs w:val="20"/>
        </w:rPr>
        <w:t>zur 1. Jahreshälfte (71 %) ist im 2. Halbjahr (</w:t>
      </w:r>
      <w:r w:rsidR="008D114D">
        <w:rPr>
          <w:rFonts w:ascii="Arial" w:hAnsi="Arial" w:cs="Arial"/>
          <w:sz w:val="20"/>
          <w:szCs w:val="20"/>
        </w:rPr>
        <w:t>58</w:t>
      </w:r>
      <w:r w:rsidR="00C66B88">
        <w:rPr>
          <w:rFonts w:ascii="Arial" w:hAnsi="Arial" w:cs="Arial"/>
          <w:sz w:val="20"/>
          <w:szCs w:val="20"/>
        </w:rPr>
        <w:t xml:space="preserve"> %) eine </w:t>
      </w:r>
      <w:r w:rsidR="00A750B2">
        <w:rPr>
          <w:rFonts w:ascii="Arial" w:hAnsi="Arial" w:cs="Arial"/>
          <w:sz w:val="20"/>
          <w:szCs w:val="20"/>
        </w:rPr>
        <w:t>klare</w:t>
      </w:r>
      <w:r w:rsidR="00C66B88">
        <w:rPr>
          <w:rFonts w:ascii="Arial" w:hAnsi="Arial" w:cs="Arial"/>
          <w:sz w:val="20"/>
          <w:szCs w:val="20"/>
        </w:rPr>
        <w:t xml:space="preserve"> Zurückhaltung spürbar.</w:t>
      </w:r>
    </w:p>
    <w:p w14:paraId="05FC4BCF" w14:textId="02DE49EE" w:rsidR="00192A39" w:rsidRPr="00787C24" w:rsidRDefault="00C66B88" w:rsidP="00C66B88">
      <w:pPr>
        <w:pStyle w:val="Listenabsatz"/>
        <w:numPr>
          <w:ilvl w:val="0"/>
          <w:numId w:val="20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Investmentmanager </w:t>
      </w:r>
      <w:r w:rsidR="004B6E37">
        <w:rPr>
          <w:rFonts w:ascii="Arial" w:hAnsi="Arial" w:cs="Arial"/>
          <w:sz w:val="20"/>
          <w:szCs w:val="20"/>
        </w:rPr>
        <w:t>waren</w:t>
      </w:r>
      <w:r w:rsidR="006D4101">
        <w:rPr>
          <w:rFonts w:ascii="Arial" w:hAnsi="Arial" w:cs="Arial"/>
          <w:sz w:val="20"/>
          <w:szCs w:val="20"/>
        </w:rPr>
        <w:t xml:space="preserve"> mit rund 16 % die</w:t>
      </w:r>
      <w:r w:rsidR="006D4101" w:rsidRPr="006D4101">
        <w:rPr>
          <w:rFonts w:ascii="Arial" w:hAnsi="Arial" w:cs="Arial"/>
          <w:sz w:val="20"/>
          <w:szCs w:val="20"/>
        </w:rPr>
        <w:t xml:space="preserve"> aktivste</w:t>
      </w:r>
      <w:r w:rsidR="006D4101" w:rsidRPr="00173FDB">
        <w:rPr>
          <w:rFonts w:ascii="Arial" w:hAnsi="Arial" w:cs="Arial"/>
          <w:sz w:val="20"/>
          <w:szCs w:val="20"/>
        </w:rPr>
        <w:t xml:space="preserve"> </w:t>
      </w:r>
      <w:r w:rsidR="006D4101">
        <w:rPr>
          <w:rFonts w:ascii="Arial" w:hAnsi="Arial" w:cs="Arial"/>
          <w:sz w:val="20"/>
          <w:szCs w:val="20"/>
          <w:u w:val="single"/>
        </w:rPr>
        <w:t>Käufergruppe</w:t>
      </w:r>
      <w:r w:rsidR="006D4101">
        <w:rPr>
          <w:rFonts w:ascii="Arial" w:hAnsi="Arial" w:cs="Arial"/>
          <w:sz w:val="20"/>
          <w:szCs w:val="20"/>
        </w:rPr>
        <w:t>,</w:t>
      </w:r>
      <w:r w:rsidR="004C3D1A">
        <w:rPr>
          <w:rFonts w:ascii="Arial" w:hAnsi="Arial" w:cs="Arial"/>
          <w:sz w:val="20"/>
          <w:szCs w:val="20"/>
        </w:rPr>
        <w:t xml:space="preserve"> verzeichneten allerding</w:t>
      </w:r>
      <w:r w:rsidR="0026534A">
        <w:rPr>
          <w:rFonts w:ascii="Arial" w:hAnsi="Arial" w:cs="Arial"/>
          <w:sz w:val="20"/>
          <w:szCs w:val="20"/>
        </w:rPr>
        <w:t>s</w:t>
      </w:r>
      <w:r w:rsidR="004C3D1A">
        <w:rPr>
          <w:rFonts w:ascii="Arial" w:hAnsi="Arial" w:cs="Arial"/>
          <w:sz w:val="20"/>
          <w:szCs w:val="20"/>
        </w:rPr>
        <w:t xml:space="preserve"> im Vergleich zum Vorjahr ein Minus von rund 46 %</w:t>
      </w:r>
      <w:r w:rsidR="0026534A">
        <w:rPr>
          <w:rFonts w:ascii="Arial" w:hAnsi="Arial" w:cs="Arial"/>
          <w:sz w:val="20"/>
          <w:szCs w:val="20"/>
        </w:rPr>
        <w:t>. Dies ist</w:t>
      </w:r>
      <w:r w:rsidRPr="00C66B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auf die</w:t>
      </w:r>
      <w:r w:rsidRPr="00C66B88">
        <w:rPr>
          <w:rFonts w:ascii="Arial" w:hAnsi="Arial" w:cs="Arial"/>
          <w:sz w:val="20"/>
          <w:szCs w:val="20"/>
        </w:rPr>
        <w:t xml:space="preserve"> Zurückhaltung und Verunsicherung ihrer institutionellen Anleger zurückzuführen</w:t>
      </w:r>
      <w:r w:rsidR="004C3D1A">
        <w:rPr>
          <w:rFonts w:ascii="Arial" w:hAnsi="Arial" w:cs="Arial"/>
          <w:sz w:val="20"/>
          <w:szCs w:val="20"/>
        </w:rPr>
        <w:t>. A</w:t>
      </w:r>
      <w:r w:rsidR="006D4101">
        <w:rPr>
          <w:rFonts w:ascii="Arial" w:hAnsi="Arial" w:cs="Arial"/>
          <w:sz w:val="20"/>
          <w:szCs w:val="20"/>
        </w:rPr>
        <w:t xml:space="preserve">uf Rang zwei und drei lagen </w:t>
      </w:r>
      <w:r w:rsidR="004C3D1A">
        <w:rPr>
          <w:rFonts w:ascii="Arial" w:hAnsi="Arial" w:cs="Arial"/>
          <w:sz w:val="20"/>
          <w:szCs w:val="20"/>
        </w:rPr>
        <w:t xml:space="preserve">Versorgungswerke und </w:t>
      </w:r>
      <w:r w:rsidR="006D4101">
        <w:rPr>
          <w:rFonts w:ascii="Arial" w:hAnsi="Arial" w:cs="Arial"/>
          <w:sz w:val="20"/>
          <w:szCs w:val="20"/>
        </w:rPr>
        <w:t xml:space="preserve">Pensionsfonds (14 %) </w:t>
      </w:r>
      <w:r w:rsidR="004C3D1A">
        <w:rPr>
          <w:rFonts w:ascii="Arial" w:hAnsi="Arial" w:cs="Arial"/>
          <w:sz w:val="20"/>
          <w:szCs w:val="20"/>
        </w:rPr>
        <w:t>sowie</w:t>
      </w:r>
      <w:r w:rsidR="006D4101">
        <w:rPr>
          <w:rFonts w:ascii="Arial" w:hAnsi="Arial" w:cs="Arial"/>
          <w:sz w:val="20"/>
          <w:szCs w:val="20"/>
        </w:rPr>
        <w:t xml:space="preserve"> Offene Immobilienpublikumsfonds (10 %).</w:t>
      </w:r>
    </w:p>
    <w:p w14:paraId="027DE88D" w14:textId="25BF8EF8" w:rsidR="00192A39" w:rsidRPr="008238F0" w:rsidRDefault="006D4101" w:rsidP="006D4101">
      <w:pPr>
        <w:pStyle w:val="Listenabsatz"/>
        <w:numPr>
          <w:ilvl w:val="0"/>
          <w:numId w:val="20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Auf </w:t>
      </w:r>
      <w:r w:rsidR="00192A39" w:rsidRPr="003C2366">
        <w:rPr>
          <w:rFonts w:ascii="Arial" w:hAnsi="Arial" w:cs="Arial"/>
          <w:sz w:val="20"/>
          <w:szCs w:val="20"/>
          <w:u w:val="single"/>
        </w:rPr>
        <w:t>Verkäuferseite</w:t>
      </w:r>
      <w:r w:rsidR="00192A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lösten </w:t>
      </w:r>
      <w:r w:rsidR="00C66B88">
        <w:rPr>
          <w:rFonts w:ascii="Arial" w:hAnsi="Arial" w:cs="Arial"/>
          <w:sz w:val="20"/>
          <w:szCs w:val="20"/>
        </w:rPr>
        <w:t xml:space="preserve">Investmentmanager </w:t>
      </w:r>
      <w:r>
        <w:rPr>
          <w:rFonts w:ascii="Arial" w:hAnsi="Arial" w:cs="Arial"/>
          <w:sz w:val="20"/>
          <w:szCs w:val="20"/>
        </w:rPr>
        <w:t xml:space="preserve">(21 %) </w:t>
      </w:r>
      <w:r w:rsidRPr="006D4101">
        <w:rPr>
          <w:rFonts w:ascii="Arial" w:hAnsi="Arial" w:cs="Arial"/>
          <w:sz w:val="20"/>
          <w:szCs w:val="20"/>
        </w:rPr>
        <w:t>Börsennotierte Immobilieninvestment-AG</w:t>
      </w:r>
      <w:r w:rsidR="00BB7641">
        <w:rPr>
          <w:rFonts w:ascii="Arial" w:hAnsi="Arial" w:cs="Arial"/>
          <w:sz w:val="20"/>
          <w:szCs w:val="20"/>
        </w:rPr>
        <w:t>s</w:t>
      </w:r>
      <w:r w:rsidRPr="006D4101">
        <w:rPr>
          <w:rFonts w:ascii="Arial" w:hAnsi="Arial" w:cs="Arial"/>
          <w:sz w:val="20"/>
          <w:szCs w:val="20"/>
        </w:rPr>
        <w:t>/REIT</w:t>
      </w:r>
      <w:r w:rsidR="00BB764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als stärkste </w:t>
      </w:r>
      <w:r w:rsidR="004C3D1A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ruppe </w:t>
      </w:r>
      <w:r w:rsidR="004C3D1A">
        <w:rPr>
          <w:rFonts w:ascii="Arial" w:hAnsi="Arial" w:cs="Arial"/>
          <w:sz w:val="20"/>
          <w:szCs w:val="20"/>
        </w:rPr>
        <w:t xml:space="preserve">im 4. Quartal </w:t>
      </w:r>
      <w:r>
        <w:rPr>
          <w:rFonts w:ascii="Arial" w:hAnsi="Arial" w:cs="Arial"/>
          <w:sz w:val="20"/>
          <w:szCs w:val="20"/>
        </w:rPr>
        <w:t>ab</w:t>
      </w:r>
      <w:r w:rsidR="004C3D1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4C3D1A">
        <w:rPr>
          <w:rFonts w:ascii="Arial" w:hAnsi="Arial" w:cs="Arial"/>
          <w:sz w:val="20"/>
          <w:szCs w:val="20"/>
        </w:rPr>
        <w:t>Auf Platz zwei folgten</w:t>
      </w:r>
      <w:r>
        <w:rPr>
          <w:rFonts w:ascii="Arial" w:hAnsi="Arial" w:cs="Arial"/>
          <w:sz w:val="20"/>
          <w:szCs w:val="20"/>
        </w:rPr>
        <w:t xml:space="preserve"> Projektentwickler mit rund 16 %.</w:t>
      </w:r>
    </w:p>
    <w:p w14:paraId="761B7D3F" w14:textId="182D0C59" w:rsidR="006D4101" w:rsidRPr="00CD1091" w:rsidRDefault="00CD1091" w:rsidP="00CD1091">
      <w:pPr>
        <w:pStyle w:val="Listenabsatz"/>
        <w:numPr>
          <w:ilvl w:val="0"/>
          <w:numId w:val="20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CD1091">
        <w:rPr>
          <w:rFonts w:ascii="Arial" w:hAnsi="Arial" w:cs="Arial"/>
          <w:sz w:val="20"/>
          <w:szCs w:val="20"/>
        </w:rPr>
        <w:lastRenderedPageBreak/>
        <w:t xml:space="preserve">Der </w:t>
      </w:r>
      <w:r w:rsidR="006778B1">
        <w:rPr>
          <w:rFonts w:ascii="Arial" w:hAnsi="Arial" w:cs="Arial"/>
          <w:sz w:val="20"/>
          <w:szCs w:val="20"/>
        </w:rPr>
        <w:t>größte Anteil des TAV entfiel auf den</w:t>
      </w:r>
      <w:r w:rsidRPr="006778B1">
        <w:rPr>
          <w:rFonts w:ascii="Arial" w:hAnsi="Arial" w:cs="Arial"/>
          <w:sz w:val="20"/>
          <w:szCs w:val="20"/>
        </w:rPr>
        <w:t xml:space="preserve"> </w:t>
      </w:r>
      <w:r w:rsidR="006D4101" w:rsidRPr="00DF31D9">
        <w:rPr>
          <w:rFonts w:ascii="Arial" w:hAnsi="Arial" w:cs="Arial"/>
          <w:sz w:val="20"/>
          <w:szCs w:val="20"/>
          <w:u w:val="single"/>
        </w:rPr>
        <w:t>Teilmarkt</w:t>
      </w:r>
      <w:r w:rsidR="006778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Berlin-</w:t>
      </w:r>
      <w:r w:rsidRPr="00CD1091">
        <w:rPr>
          <w:rFonts w:ascii="Arial" w:hAnsi="Arial" w:cs="Arial"/>
          <w:sz w:val="20"/>
          <w:szCs w:val="20"/>
        </w:rPr>
        <w:t>Mitte (23 %)</w:t>
      </w:r>
      <w:r w:rsidR="00BB7641">
        <w:rPr>
          <w:rFonts w:ascii="Arial" w:hAnsi="Arial" w:cs="Arial"/>
          <w:sz w:val="20"/>
          <w:szCs w:val="20"/>
        </w:rPr>
        <w:t xml:space="preserve"> vor</w:t>
      </w:r>
      <w:r w:rsidR="006778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 w:rsidR="00BB7641">
        <w:rPr>
          <w:rFonts w:ascii="Arial" w:hAnsi="Arial" w:cs="Arial"/>
          <w:sz w:val="20"/>
          <w:szCs w:val="20"/>
        </w:rPr>
        <w:t>iergarten (14 %) und Potsdamer/</w:t>
      </w:r>
      <w:r>
        <w:rPr>
          <w:rFonts w:ascii="Arial" w:hAnsi="Arial" w:cs="Arial"/>
          <w:sz w:val="20"/>
          <w:szCs w:val="20"/>
        </w:rPr>
        <w:t>Leipziger Platz (10 %).</w:t>
      </w:r>
    </w:p>
    <w:p w14:paraId="547B8A7C" w14:textId="74C7EEE6" w:rsidR="00862E02" w:rsidRDefault="006778B1" w:rsidP="008D0A26">
      <w:pPr>
        <w:pStyle w:val="Listenabsatz"/>
        <w:numPr>
          <w:ilvl w:val="0"/>
          <w:numId w:val="20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Aufgrund des hohen</w:t>
      </w:r>
      <w:r w:rsidR="00CD1091">
        <w:rPr>
          <w:rFonts w:ascii="Arial" w:hAnsi="Arial" w:cs="Arial"/>
          <w:sz w:val="20"/>
          <w:szCs w:val="20"/>
        </w:rPr>
        <w:t xml:space="preserve"> Zinsniveau</w:t>
      </w:r>
      <w:r>
        <w:rPr>
          <w:rFonts w:ascii="Arial" w:hAnsi="Arial" w:cs="Arial"/>
          <w:sz w:val="20"/>
          <w:szCs w:val="20"/>
        </w:rPr>
        <w:t xml:space="preserve">s stieg die </w:t>
      </w:r>
      <w:r w:rsidR="00862E02">
        <w:rPr>
          <w:rFonts w:ascii="Arial" w:hAnsi="Arial" w:cs="Arial"/>
          <w:sz w:val="20"/>
          <w:szCs w:val="20"/>
          <w:u w:val="single"/>
        </w:rPr>
        <w:t>Spitzenrendite</w:t>
      </w:r>
      <w:r>
        <w:rPr>
          <w:rFonts w:ascii="Arial" w:hAnsi="Arial" w:cs="Arial"/>
          <w:sz w:val="20"/>
          <w:szCs w:val="20"/>
        </w:rPr>
        <w:t xml:space="preserve"> in allen Assetklassen spürbar an.</w:t>
      </w:r>
      <w:r w:rsidR="00862E02">
        <w:rPr>
          <w:rFonts w:ascii="Arial" w:hAnsi="Arial" w:cs="Arial"/>
          <w:sz w:val="20"/>
          <w:szCs w:val="20"/>
        </w:rPr>
        <w:t xml:space="preserve"> </w:t>
      </w:r>
      <w:r w:rsidR="00CD1091">
        <w:rPr>
          <w:rFonts w:ascii="Arial" w:hAnsi="Arial" w:cs="Arial"/>
          <w:sz w:val="20"/>
          <w:szCs w:val="20"/>
        </w:rPr>
        <w:t>Büro</w:t>
      </w:r>
      <w:r w:rsidR="00862E02">
        <w:rPr>
          <w:rFonts w:ascii="Arial" w:hAnsi="Arial" w:cs="Arial"/>
          <w:sz w:val="20"/>
          <w:szCs w:val="20"/>
        </w:rPr>
        <w:t>objekte</w:t>
      </w:r>
      <w:r>
        <w:rPr>
          <w:rFonts w:ascii="Arial" w:hAnsi="Arial" w:cs="Arial"/>
          <w:sz w:val="20"/>
          <w:szCs w:val="20"/>
        </w:rPr>
        <w:t xml:space="preserve"> (</w:t>
      </w:r>
      <w:r w:rsidR="00862E02">
        <w:rPr>
          <w:rFonts w:ascii="Arial" w:hAnsi="Arial" w:cs="Arial"/>
          <w:sz w:val="20"/>
          <w:szCs w:val="20"/>
        </w:rPr>
        <w:t>3</w:t>
      </w:r>
      <w:r w:rsidR="00BB7641">
        <w:rPr>
          <w:rFonts w:ascii="Arial" w:hAnsi="Arial" w:cs="Arial"/>
          <w:sz w:val="20"/>
          <w:szCs w:val="20"/>
        </w:rPr>
        <w:t>,00</w:t>
      </w:r>
      <w:r>
        <w:rPr>
          <w:rFonts w:ascii="Arial" w:hAnsi="Arial" w:cs="Arial"/>
          <w:sz w:val="20"/>
          <w:szCs w:val="20"/>
        </w:rPr>
        <w:t xml:space="preserve"> %)</w:t>
      </w:r>
      <w:r w:rsidR="00862E02">
        <w:rPr>
          <w:rFonts w:ascii="Arial" w:hAnsi="Arial" w:cs="Arial"/>
          <w:sz w:val="20"/>
          <w:szCs w:val="20"/>
        </w:rPr>
        <w:t xml:space="preserve"> und </w:t>
      </w:r>
      <w:r w:rsidR="00D34C12">
        <w:rPr>
          <w:rFonts w:ascii="Arial" w:hAnsi="Arial" w:cs="Arial"/>
          <w:sz w:val="20"/>
          <w:szCs w:val="20"/>
        </w:rPr>
        <w:t>Geschäftshäuser (3,25 %) verzeichneten einen Anstieg um 0,3</w:t>
      </w:r>
      <w:r w:rsidR="00BB7641">
        <w:rPr>
          <w:rFonts w:ascii="Arial" w:hAnsi="Arial" w:cs="Arial"/>
          <w:sz w:val="20"/>
          <w:szCs w:val="20"/>
        </w:rPr>
        <w:t>0</w:t>
      </w:r>
      <w:r w:rsidR="00D34C12">
        <w:rPr>
          <w:rFonts w:ascii="Arial" w:hAnsi="Arial" w:cs="Arial"/>
          <w:sz w:val="20"/>
          <w:szCs w:val="20"/>
        </w:rPr>
        <w:t xml:space="preserve"> bzw. 0,45 %-Punkte. Die Spitzenrendite für </w:t>
      </w:r>
      <w:r w:rsidR="00862E02">
        <w:rPr>
          <w:rFonts w:ascii="Arial" w:hAnsi="Arial" w:cs="Arial"/>
          <w:sz w:val="20"/>
          <w:szCs w:val="20"/>
        </w:rPr>
        <w:t>Logistikimmobilien (3,</w:t>
      </w:r>
      <w:r w:rsidR="00D34C12">
        <w:rPr>
          <w:rFonts w:ascii="Arial" w:hAnsi="Arial" w:cs="Arial"/>
          <w:sz w:val="20"/>
          <w:szCs w:val="20"/>
        </w:rPr>
        <w:t>5</w:t>
      </w:r>
      <w:r w:rsidR="00BB7641">
        <w:rPr>
          <w:rFonts w:ascii="Arial" w:hAnsi="Arial" w:cs="Arial"/>
          <w:sz w:val="20"/>
          <w:szCs w:val="20"/>
        </w:rPr>
        <w:t>0</w:t>
      </w:r>
      <w:r w:rsidR="00862E02">
        <w:rPr>
          <w:rFonts w:ascii="Arial" w:hAnsi="Arial" w:cs="Arial"/>
          <w:sz w:val="20"/>
          <w:szCs w:val="20"/>
        </w:rPr>
        <w:t xml:space="preserve"> %) </w:t>
      </w:r>
      <w:r w:rsidR="00D34C12">
        <w:rPr>
          <w:rFonts w:ascii="Arial" w:hAnsi="Arial" w:cs="Arial"/>
          <w:sz w:val="20"/>
          <w:szCs w:val="20"/>
        </w:rPr>
        <w:t>stieg im Vergleich zum Vorjahr um 0,1</w:t>
      </w:r>
      <w:r w:rsidR="00BB7641">
        <w:rPr>
          <w:rFonts w:ascii="Arial" w:hAnsi="Arial" w:cs="Arial"/>
          <w:sz w:val="20"/>
          <w:szCs w:val="20"/>
        </w:rPr>
        <w:t>0</w:t>
      </w:r>
      <w:r w:rsidR="00D34C12">
        <w:rPr>
          <w:rFonts w:ascii="Arial" w:hAnsi="Arial" w:cs="Arial"/>
          <w:sz w:val="20"/>
          <w:szCs w:val="20"/>
        </w:rPr>
        <w:t xml:space="preserve"> %-Punkte.</w:t>
      </w:r>
    </w:p>
    <w:p w14:paraId="72017643" w14:textId="13371B1F" w:rsidR="00787C24" w:rsidRPr="008F0C4C" w:rsidRDefault="006B1624" w:rsidP="008F0C4C">
      <w:p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2E24A0">
        <w:rPr>
          <w:rFonts w:ascii="Arial" w:eastAsia="Arial" w:hAnsi="Arial" w:cs="Arial"/>
          <w:noProof/>
          <w:color w:val="000000" w:themeColor="text1"/>
          <w:sz w:val="20"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 wp14:anchorId="749AB96A" wp14:editId="639A0116">
            <wp:simplePos x="0" y="0"/>
            <wp:positionH relativeFrom="margin">
              <wp:posOffset>3350260</wp:posOffset>
            </wp:positionH>
            <wp:positionV relativeFrom="paragraph">
              <wp:posOffset>250825</wp:posOffset>
            </wp:positionV>
            <wp:extent cx="2701290" cy="2276475"/>
            <wp:effectExtent l="19050" t="19050" r="22860" b="28575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Presse\5_PresseMITTEILUNGEN\Marktbericht Investment BERLIN\2022\2022 Q2\Grafiken\TAV_Berlin_2022Q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22764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TableGrid2"/>
        <w:tblpPr w:leftFromText="141" w:rightFromText="141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3964"/>
        <w:gridCol w:w="993"/>
      </w:tblGrid>
      <w:tr w:rsidR="00C7341F" w:rsidRPr="006F49D0" w14:paraId="2F4A79AC" w14:textId="77777777" w:rsidTr="00CF0163">
        <w:trPr>
          <w:trHeight w:val="283"/>
        </w:trPr>
        <w:tc>
          <w:tcPr>
            <w:tcW w:w="3964" w:type="dxa"/>
            <w:shd w:val="clear" w:color="auto" w:fill="000000" w:themeFill="text1"/>
          </w:tcPr>
          <w:p w14:paraId="185DEA24" w14:textId="1BB84E6A" w:rsidR="00C7341F" w:rsidRPr="004712BA" w:rsidRDefault="00C7341F" w:rsidP="00C86C02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Investmentmarkt </w:t>
            </w:r>
            <w:r w:rsidRPr="00800E2C">
              <w:rPr>
                <w:rFonts w:ascii="Arial" w:hAnsi="Arial" w:cs="Arial"/>
                <w:b/>
                <w:sz w:val="20"/>
                <w:szCs w:val="20"/>
              </w:rPr>
              <w:t>|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86C02">
              <w:rPr>
                <w:rFonts w:ascii="Arial" w:hAnsi="Arial" w:cs="Arial"/>
                <w:b/>
                <w:sz w:val="20"/>
                <w:szCs w:val="20"/>
              </w:rPr>
              <w:t>Berlin</w:t>
            </w:r>
            <w:r>
              <w:t xml:space="preserve"> </w:t>
            </w:r>
            <w:r w:rsidRPr="00800E2C">
              <w:rPr>
                <w:rFonts w:ascii="Arial" w:hAnsi="Arial" w:cs="Arial"/>
                <w:b/>
                <w:sz w:val="20"/>
                <w:szCs w:val="20"/>
              </w:rPr>
              <w:t>|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2022</w:t>
            </w:r>
          </w:p>
        </w:tc>
        <w:tc>
          <w:tcPr>
            <w:tcW w:w="993" w:type="dxa"/>
            <w:shd w:val="clear" w:color="auto" w:fill="000000" w:themeFill="text1"/>
          </w:tcPr>
          <w:p w14:paraId="65EC24BE" w14:textId="7F2846A2" w:rsidR="00C7341F" w:rsidRPr="004712BA" w:rsidRDefault="00C7341F" w:rsidP="00927886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712BA">
              <w:rPr>
                <w:rFonts w:ascii="Arial" w:hAnsi="Arial" w:cs="Arial"/>
                <w:b/>
                <w:sz w:val="18"/>
                <w:szCs w:val="16"/>
              </w:rPr>
              <w:t>Q</w:t>
            </w:r>
            <w:r>
              <w:rPr>
                <w:rFonts w:ascii="Arial" w:hAnsi="Arial" w:cs="Arial"/>
                <w:b/>
                <w:sz w:val="18"/>
                <w:szCs w:val="16"/>
              </w:rPr>
              <w:t>1</w:t>
            </w:r>
            <w:r w:rsidR="00787C24">
              <w:rPr>
                <w:rFonts w:ascii="Arial" w:hAnsi="Arial" w:cs="Arial"/>
                <w:b/>
                <w:sz w:val="18"/>
                <w:szCs w:val="16"/>
              </w:rPr>
              <w:t>-4</w:t>
            </w:r>
          </w:p>
        </w:tc>
      </w:tr>
      <w:tr w:rsidR="00C7341F" w:rsidRPr="006F49D0" w14:paraId="42F788D0" w14:textId="77777777" w:rsidTr="004C3D1A">
        <w:trPr>
          <w:trHeight w:val="193"/>
        </w:trPr>
        <w:tc>
          <w:tcPr>
            <w:tcW w:w="3964" w:type="dxa"/>
          </w:tcPr>
          <w:p w14:paraId="572A7D7F" w14:textId="77777777" w:rsidR="00C7341F" w:rsidRPr="004712BA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Transaktionsvolumen </w:t>
            </w:r>
            <w:r w:rsidRPr="00CF57DD">
              <w:rPr>
                <w:rFonts w:ascii="Arial" w:hAnsi="Arial" w:cs="Arial"/>
                <w:sz w:val="18"/>
                <w:szCs w:val="16"/>
              </w:rPr>
              <w:t>[</w:t>
            </w:r>
            <w:r w:rsidRPr="004712BA">
              <w:rPr>
                <w:rFonts w:ascii="Arial" w:hAnsi="Arial" w:cs="Arial"/>
                <w:sz w:val="18"/>
                <w:szCs w:val="16"/>
              </w:rPr>
              <w:t>Mio. €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1D4BF4" w14:textId="5743DC9D" w:rsidR="00C7341F" w:rsidRPr="009C12BC" w:rsidRDefault="004C3D1A" w:rsidP="00A32BC5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  <w:highlight w:val="yellow"/>
              </w:rPr>
            </w:pPr>
            <w:r w:rsidRPr="004C3D1A">
              <w:rPr>
                <w:rFonts w:ascii="Arial" w:hAnsi="Arial" w:cs="Arial"/>
                <w:sz w:val="18"/>
                <w:szCs w:val="16"/>
              </w:rPr>
              <w:t>7.8</w:t>
            </w:r>
            <w:r w:rsidR="00E66ED5" w:rsidRPr="004C3D1A">
              <w:rPr>
                <w:rFonts w:ascii="Arial" w:hAnsi="Arial" w:cs="Arial"/>
                <w:sz w:val="18"/>
                <w:szCs w:val="16"/>
              </w:rPr>
              <w:t>00</w:t>
            </w:r>
          </w:p>
        </w:tc>
      </w:tr>
      <w:tr w:rsidR="00C7341F" w:rsidRPr="006F49D0" w14:paraId="77D40A98" w14:textId="77777777" w:rsidTr="00CF0163">
        <w:trPr>
          <w:trHeight w:val="283"/>
        </w:trPr>
        <w:tc>
          <w:tcPr>
            <w:tcW w:w="3964" w:type="dxa"/>
          </w:tcPr>
          <w:p w14:paraId="2D485DBE" w14:textId="77777777" w:rsidR="00C7341F" w:rsidRPr="00A7575D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A7575D">
              <w:rPr>
                <w:rFonts w:ascii="Arial" w:hAnsi="Arial" w:cs="Arial"/>
                <w:sz w:val="18"/>
                <w:szCs w:val="16"/>
              </w:rPr>
              <w:t xml:space="preserve">ggü.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993" w:type="dxa"/>
            <w:vAlign w:val="center"/>
          </w:tcPr>
          <w:p w14:paraId="4C41151E" w14:textId="78EB1198" w:rsidR="00C7341F" w:rsidRPr="009C12BC" w:rsidRDefault="00A32BC5" w:rsidP="004C3D1A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  <w:highlight w:val="yellow"/>
              </w:rPr>
            </w:pPr>
            <w:r w:rsidRPr="004C3D1A">
              <w:rPr>
                <w:rFonts w:ascii="Arial" w:hAnsi="Arial" w:cs="Arial"/>
                <w:sz w:val="18"/>
                <w:szCs w:val="16"/>
              </w:rPr>
              <w:t>-</w:t>
            </w:r>
            <w:r w:rsidR="004C3D1A" w:rsidRPr="004C3D1A">
              <w:rPr>
                <w:rFonts w:ascii="Arial" w:hAnsi="Arial" w:cs="Arial"/>
                <w:sz w:val="18"/>
                <w:szCs w:val="16"/>
              </w:rPr>
              <w:t>26</w:t>
            </w:r>
          </w:p>
        </w:tc>
      </w:tr>
      <w:tr w:rsidR="00C7341F" w:rsidRPr="006F49D0" w14:paraId="297EB5D3" w14:textId="77777777" w:rsidTr="00CF0163">
        <w:trPr>
          <w:trHeight w:val="283"/>
        </w:trPr>
        <w:tc>
          <w:tcPr>
            <w:tcW w:w="3964" w:type="dxa"/>
          </w:tcPr>
          <w:p w14:paraId="4DA1F0EA" w14:textId="77777777" w:rsidR="00C7341F" w:rsidRPr="00CF57DD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Anteil internationaler Investoren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993" w:type="dxa"/>
            <w:vAlign w:val="center"/>
          </w:tcPr>
          <w:p w14:paraId="58A41321" w14:textId="0CEBECB5" w:rsidR="00C7341F" w:rsidRPr="009C12BC" w:rsidRDefault="004C3D1A" w:rsidP="00E66ED5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  <w:highlight w:val="yellow"/>
              </w:rPr>
            </w:pPr>
            <w:r w:rsidRPr="004C3D1A">
              <w:rPr>
                <w:rFonts w:ascii="Arial" w:hAnsi="Arial" w:cs="Arial"/>
                <w:sz w:val="18"/>
                <w:szCs w:val="16"/>
              </w:rPr>
              <w:t>60</w:t>
            </w:r>
          </w:p>
        </w:tc>
      </w:tr>
      <w:tr w:rsidR="00C7341F" w:rsidRPr="006F49D0" w14:paraId="7A04E1EC" w14:textId="77777777" w:rsidTr="00CF0163">
        <w:trPr>
          <w:trHeight w:val="283"/>
        </w:trPr>
        <w:tc>
          <w:tcPr>
            <w:tcW w:w="3964" w:type="dxa"/>
          </w:tcPr>
          <w:p w14:paraId="7D123B83" w14:textId="77777777" w:rsidR="00C7341F" w:rsidRPr="004B1B8E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4B1B8E">
              <w:rPr>
                <w:rFonts w:ascii="Arial" w:hAnsi="Arial" w:cs="Arial"/>
                <w:b/>
                <w:sz w:val="18"/>
                <w:szCs w:val="16"/>
              </w:rPr>
              <w:t xml:space="preserve">Netto-Spitzenrendite Büro </w:t>
            </w:r>
            <w:r w:rsidRPr="004B1B8E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993" w:type="dxa"/>
            <w:vAlign w:val="center"/>
          </w:tcPr>
          <w:p w14:paraId="3F8204F4" w14:textId="1407DD5B" w:rsidR="00C7341F" w:rsidRPr="004C3D1A" w:rsidRDefault="004C3D1A" w:rsidP="00E66ED5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4C3D1A">
              <w:rPr>
                <w:rFonts w:ascii="Arial" w:hAnsi="Arial" w:cs="Arial"/>
                <w:sz w:val="18"/>
                <w:szCs w:val="16"/>
              </w:rPr>
              <w:t>3,0</w:t>
            </w:r>
          </w:p>
        </w:tc>
      </w:tr>
      <w:tr w:rsidR="00C7341F" w14:paraId="412D1554" w14:textId="77777777" w:rsidTr="00CF0163">
        <w:trPr>
          <w:trHeight w:val="283"/>
        </w:trPr>
        <w:tc>
          <w:tcPr>
            <w:tcW w:w="3964" w:type="dxa"/>
          </w:tcPr>
          <w:p w14:paraId="285C2069" w14:textId="77777777" w:rsidR="00C7341F" w:rsidRPr="004B1B8E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4B1B8E">
              <w:rPr>
                <w:rFonts w:ascii="Arial" w:hAnsi="Arial" w:cs="Arial"/>
                <w:sz w:val="18"/>
                <w:szCs w:val="16"/>
              </w:rPr>
              <w:t>ggü. Vorjahr [%-Pkt.]</w:t>
            </w:r>
          </w:p>
        </w:tc>
        <w:tc>
          <w:tcPr>
            <w:tcW w:w="993" w:type="dxa"/>
            <w:vAlign w:val="center"/>
          </w:tcPr>
          <w:p w14:paraId="7154116A" w14:textId="389D9CF6" w:rsidR="00C7341F" w:rsidRPr="004C3D1A" w:rsidRDefault="00A32BC5" w:rsidP="004C3D1A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4C3D1A">
              <w:rPr>
                <w:rFonts w:ascii="Arial" w:hAnsi="Arial" w:cs="Arial"/>
                <w:sz w:val="18"/>
                <w:szCs w:val="16"/>
              </w:rPr>
              <w:t>+</w:t>
            </w:r>
            <w:r w:rsidR="00586DAE" w:rsidRPr="004C3D1A">
              <w:rPr>
                <w:rFonts w:ascii="Arial" w:hAnsi="Arial" w:cs="Arial"/>
                <w:sz w:val="18"/>
                <w:szCs w:val="16"/>
              </w:rPr>
              <w:t>0,</w:t>
            </w:r>
            <w:r w:rsidR="004C3D1A" w:rsidRPr="004C3D1A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  <w:tr w:rsidR="00C7341F" w:rsidRPr="006F49D0" w14:paraId="1F3F0D4C" w14:textId="77777777" w:rsidTr="00CF0163">
        <w:trPr>
          <w:trHeight w:val="283"/>
        </w:trPr>
        <w:tc>
          <w:tcPr>
            <w:tcW w:w="3964" w:type="dxa"/>
          </w:tcPr>
          <w:p w14:paraId="7998213C" w14:textId="77777777" w:rsidR="00C7341F" w:rsidRPr="004B1B8E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4B1B8E">
              <w:rPr>
                <w:rFonts w:ascii="Arial" w:hAnsi="Arial" w:cs="Arial"/>
                <w:b/>
                <w:sz w:val="18"/>
                <w:szCs w:val="16"/>
              </w:rPr>
              <w:t xml:space="preserve">Netto-Spitzenrendite Geschäftshäuser </w:t>
            </w:r>
            <w:r w:rsidRPr="004B1B8E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993" w:type="dxa"/>
            <w:vAlign w:val="center"/>
          </w:tcPr>
          <w:p w14:paraId="5C400650" w14:textId="05A761AC" w:rsidR="00C7341F" w:rsidRPr="004C3D1A" w:rsidRDefault="00A32BC5" w:rsidP="004C3D1A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4C3D1A">
              <w:rPr>
                <w:rFonts w:ascii="Arial" w:hAnsi="Arial" w:cs="Arial"/>
                <w:sz w:val="18"/>
                <w:szCs w:val="16"/>
              </w:rPr>
              <w:t>3,</w:t>
            </w:r>
            <w:r w:rsidR="004C3D1A" w:rsidRPr="004C3D1A">
              <w:rPr>
                <w:rFonts w:ascii="Arial" w:hAnsi="Arial" w:cs="Arial"/>
                <w:sz w:val="18"/>
                <w:szCs w:val="16"/>
              </w:rPr>
              <w:t>2</w:t>
            </w:r>
            <w:r w:rsidR="00586DAE" w:rsidRPr="004C3D1A">
              <w:rPr>
                <w:rFonts w:ascii="Arial" w:hAnsi="Arial" w:cs="Arial"/>
                <w:sz w:val="18"/>
                <w:szCs w:val="16"/>
              </w:rPr>
              <w:t>5</w:t>
            </w:r>
          </w:p>
        </w:tc>
      </w:tr>
      <w:tr w:rsidR="00C7341F" w14:paraId="7E04E2D1" w14:textId="77777777" w:rsidTr="00CF0163">
        <w:trPr>
          <w:trHeight w:val="283"/>
        </w:trPr>
        <w:tc>
          <w:tcPr>
            <w:tcW w:w="3964" w:type="dxa"/>
          </w:tcPr>
          <w:p w14:paraId="50EDD51B" w14:textId="77777777" w:rsidR="00C7341F" w:rsidRPr="004B1B8E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4B1B8E">
              <w:rPr>
                <w:rFonts w:ascii="Arial" w:hAnsi="Arial" w:cs="Arial"/>
                <w:sz w:val="18"/>
                <w:szCs w:val="16"/>
              </w:rPr>
              <w:t>ggü. Vorjahr [%-Pkt.]</w:t>
            </w:r>
          </w:p>
        </w:tc>
        <w:tc>
          <w:tcPr>
            <w:tcW w:w="993" w:type="dxa"/>
            <w:vAlign w:val="center"/>
          </w:tcPr>
          <w:p w14:paraId="4F154500" w14:textId="1384E805" w:rsidR="00C7341F" w:rsidRPr="004C3D1A" w:rsidRDefault="00A32BC5" w:rsidP="004C3D1A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4C3D1A">
              <w:rPr>
                <w:rFonts w:ascii="Arial" w:hAnsi="Arial" w:cs="Arial"/>
                <w:sz w:val="18"/>
                <w:szCs w:val="16"/>
              </w:rPr>
              <w:t>+0</w:t>
            </w:r>
            <w:r w:rsidR="00384022" w:rsidRPr="004C3D1A">
              <w:rPr>
                <w:rFonts w:ascii="Arial" w:hAnsi="Arial" w:cs="Arial"/>
                <w:sz w:val="18"/>
                <w:szCs w:val="16"/>
              </w:rPr>
              <w:t>,</w:t>
            </w:r>
            <w:r w:rsidR="004C3D1A" w:rsidRPr="004C3D1A">
              <w:rPr>
                <w:rFonts w:ascii="Arial" w:hAnsi="Arial" w:cs="Arial"/>
                <w:sz w:val="18"/>
                <w:szCs w:val="16"/>
              </w:rPr>
              <w:t>4</w:t>
            </w:r>
            <w:r w:rsidR="00586DAE" w:rsidRPr="004C3D1A">
              <w:rPr>
                <w:rFonts w:ascii="Arial" w:hAnsi="Arial" w:cs="Arial"/>
                <w:sz w:val="18"/>
                <w:szCs w:val="16"/>
              </w:rPr>
              <w:t>5</w:t>
            </w:r>
          </w:p>
        </w:tc>
      </w:tr>
      <w:tr w:rsidR="00C7341F" w:rsidRPr="006F49D0" w14:paraId="661023F9" w14:textId="77777777" w:rsidTr="00CF0163">
        <w:trPr>
          <w:trHeight w:val="283"/>
        </w:trPr>
        <w:tc>
          <w:tcPr>
            <w:tcW w:w="3964" w:type="dxa"/>
          </w:tcPr>
          <w:p w14:paraId="1C7E799E" w14:textId="77777777" w:rsidR="00C7341F" w:rsidRPr="004B1B8E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4B1B8E">
              <w:rPr>
                <w:rFonts w:ascii="Arial" w:hAnsi="Arial" w:cs="Arial"/>
                <w:b/>
                <w:sz w:val="18"/>
                <w:szCs w:val="16"/>
              </w:rPr>
              <w:t xml:space="preserve">Netto-Spitzenrendite Logistik </w:t>
            </w:r>
            <w:r w:rsidRPr="004B1B8E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993" w:type="dxa"/>
            <w:vAlign w:val="center"/>
          </w:tcPr>
          <w:p w14:paraId="3B0C6875" w14:textId="101C114B" w:rsidR="00C7341F" w:rsidRPr="004C3D1A" w:rsidRDefault="00384022" w:rsidP="004C3D1A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4C3D1A">
              <w:rPr>
                <w:rFonts w:ascii="Arial" w:hAnsi="Arial" w:cs="Arial"/>
                <w:sz w:val="18"/>
                <w:szCs w:val="16"/>
              </w:rPr>
              <w:t>3,</w:t>
            </w:r>
            <w:r w:rsidR="004C3D1A" w:rsidRPr="004C3D1A">
              <w:rPr>
                <w:rFonts w:ascii="Arial" w:hAnsi="Arial" w:cs="Arial"/>
                <w:sz w:val="18"/>
                <w:szCs w:val="16"/>
              </w:rPr>
              <w:t>5</w:t>
            </w:r>
          </w:p>
        </w:tc>
      </w:tr>
      <w:tr w:rsidR="00C7341F" w14:paraId="63C42E15" w14:textId="77777777" w:rsidTr="00CF0163">
        <w:trPr>
          <w:trHeight w:val="283"/>
        </w:trPr>
        <w:tc>
          <w:tcPr>
            <w:tcW w:w="3964" w:type="dxa"/>
          </w:tcPr>
          <w:p w14:paraId="1440EEA3" w14:textId="77777777" w:rsidR="00C7341F" w:rsidRPr="004B1B8E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4B1B8E">
              <w:rPr>
                <w:rFonts w:ascii="Arial" w:hAnsi="Arial" w:cs="Arial"/>
                <w:sz w:val="18"/>
                <w:szCs w:val="16"/>
              </w:rPr>
              <w:t>ggü. Vorjahr [%-Pkt.]</w:t>
            </w:r>
          </w:p>
        </w:tc>
        <w:tc>
          <w:tcPr>
            <w:tcW w:w="993" w:type="dxa"/>
            <w:vAlign w:val="center"/>
          </w:tcPr>
          <w:p w14:paraId="1A0F9B44" w14:textId="059BB833" w:rsidR="00C7341F" w:rsidRPr="004C3D1A" w:rsidRDefault="004C3D1A" w:rsidP="00A32BC5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4C3D1A">
              <w:rPr>
                <w:rFonts w:ascii="Arial" w:hAnsi="Arial" w:cs="Arial"/>
                <w:sz w:val="18"/>
                <w:szCs w:val="16"/>
              </w:rPr>
              <w:t>+</w:t>
            </w:r>
            <w:r w:rsidR="00384022" w:rsidRPr="004C3D1A">
              <w:rPr>
                <w:rFonts w:ascii="Arial" w:hAnsi="Arial" w:cs="Arial"/>
                <w:sz w:val="18"/>
                <w:szCs w:val="16"/>
              </w:rPr>
              <w:t>0,</w:t>
            </w:r>
            <w:r w:rsidRPr="004C3D1A">
              <w:rPr>
                <w:rFonts w:ascii="Arial" w:hAnsi="Arial" w:cs="Arial"/>
                <w:sz w:val="18"/>
                <w:szCs w:val="16"/>
              </w:rPr>
              <w:t>1</w:t>
            </w:r>
          </w:p>
        </w:tc>
      </w:tr>
      <w:tr w:rsidR="00C7341F" w:rsidRPr="006F49D0" w14:paraId="07A2DDCA" w14:textId="77777777" w:rsidTr="00CF0163">
        <w:trPr>
          <w:trHeight w:val="283"/>
        </w:trPr>
        <w:tc>
          <w:tcPr>
            <w:tcW w:w="3964" w:type="dxa"/>
            <w:tcBorders>
              <w:bottom w:val="single" w:sz="4" w:space="0" w:color="auto"/>
            </w:tcBorders>
          </w:tcPr>
          <w:p w14:paraId="7828C62D" w14:textId="77777777" w:rsidR="00C7341F" w:rsidRPr="004B1B8E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4B1B8E">
              <w:rPr>
                <w:rFonts w:ascii="Arial" w:hAnsi="Arial" w:cs="Arial"/>
                <w:b/>
                <w:sz w:val="18"/>
                <w:szCs w:val="16"/>
              </w:rPr>
              <w:t>Stärkste Assetklasse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F47916D" w14:textId="305F0C6A" w:rsidR="00C7341F" w:rsidRPr="009C12BC" w:rsidRDefault="00384022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  <w:highlight w:val="yellow"/>
              </w:rPr>
            </w:pPr>
            <w:r w:rsidRPr="004C3D1A">
              <w:rPr>
                <w:rFonts w:ascii="Arial" w:hAnsi="Arial" w:cs="Arial"/>
                <w:sz w:val="18"/>
                <w:szCs w:val="16"/>
              </w:rPr>
              <w:t>Büro</w:t>
            </w:r>
          </w:p>
        </w:tc>
      </w:tr>
      <w:tr w:rsidR="00C7341F" w:rsidRPr="006F49D0" w14:paraId="6440AD70" w14:textId="77777777" w:rsidTr="00CF0163">
        <w:trPr>
          <w:trHeight w:val="283"/>
        </w:trPr>
        <w:tc>
          <w:tcPr>
            <w:tcW w:w="3964" w:type="dxa"/>
            <w:tcBorders>
              <w:bottom w:val="single" w:sz="4" w:space="0" w:color="auto"/>
            </w:tcBorders>
          </w:tcPr>
          <w:p w14:paraId="0E234409" w14:textId="77777777" w:rsidR="00C7341F" w:rsidRPr="004B1B8E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4B1B8E">
              <w:rPr>
                <w:rFonts w:ascii="Arial" w:hAnsi="Arial" w:cs="Arial"/>
                <w:b/>
                <w:sz w:val="18"/>
                <w:szCs w:val="16"/>
              </w:rPr>
              <w:t xml:space="preserve">Stärkste Assetklasse </w:t>
            </w:r>
            <w:r w:rsidRPr="004B1B8E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9F5C2D7" w14:textId="660D173C" w:rsidR="00C7341F" w:rsidRPr="009C12BC" w:rsidRDefault="00EA7B88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  <w:highlight w:val="yellow"/>
              </w:rPr>
            </w:pPr>
            <w:r w:rsidRPr="00EA7B88">
              <w:rPr>
                <w:rFonts w:ascii="Arial" w:hAnsi="Arial" w:cs="Arial"/>
                <w:sz w:val="18"/>
                <w:szCs w:val="16"/>
              </w:rPr>
              <w:t>73</w:t>
            </w:r>
          </w:p>
        </w:tc>
      </w:tr>
    </w:tbl>
    <w:p w14:paraId="06BD2443" w14:textId="45B13FFC" w:rsidR="00787C24" w:rsidRDefault="00787C24" w:rsidP="00BB4C96">
      <w:pPr>
        <w:rPr>
          <w:rFonts w:ascii="Arial" w:hAnsi="Arial" w:cs="Arial"/>
          <w:b/>
          <w:sz w:val="20"/>
          <w:szCs w:val="20"/>
        </w:rPr>
      </w:pPr>
    </w:p>
    <w:p w14:paraId="4582D23C" w14:textId="16287C2C" w:rsidR="00C7341F" w:rsidRPr="00A0600B" w:rsidRDefault="00C7341F" w:rsidP="00BB4C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Ausgewählte bekannte Top-Transaktionen | Investmentmarkt </w:t>
      </w:r>
      <w:r w:rsidR="00C86C02">
        <w:rPr>
          <w:rFonts w:ascii="Arial" w:hAnsi="Arial" w:cs="Arial"/>
          <w:b/>
          <w:sz w:val="20"/>
          <w:szCs w:val="20"/>
        </w:rPr>
        <w:t>Berlin</w:t>
      </w:r>
      <w:r>
        <w:rPr>
          <w:rFonts w:ascii="Arial" w:hAnsi="Arial" w:cs="Arial"/>
          <w:b/>
          <w:sz w:val="20"/>
          <w:szCs w:val="20"/>
        </w:rPr>
        <w:t xml:space="preserve"> | 1.</w:t>
      </w:r>
      <w:r w:rsidR="00787C24">
        <w:rPr>
          <w:rFonts w:ascii="Arial" w:hAnsi="Arial" w:cs="Arial"/>
          <w:b/>
          <w:sz w:val="20"/>
          <w:szCs w:val="20"/>
        </w:rPr>
        <w:t>-4</w:t>
      </w:r>
      <w:r w:rsidR="00B158A2">
        <w:rPr>
          <w:rFonts w:ascii="Arial" w:hAnsi="Arial" w:cs="Arial"/>
          <w:b/>
          <w:sz w:val="20"/>
          <w:szCs w:val="20"/>
        </w:rPr>
        <w:t>.</w:t>
      </w:r>
      <w:r w:rsidRPr="00EE7FCA">
        <w:rPr>
          <w:rFonts w:ascii="Arial" w:hAnsi="Arial" w:cs="Arial"/>
          <w:b/>
          <w:sz w:val="20"/>
          <w:szCs w:val="20"/>
        </w:rPr>
        <w:t xml:space="preserve"> Quartal </w:t>
      </w:r>
      <w:r>
        <w:rPr>
          <w:rFonts w:ascii="Arial" w:hAnsi="Arial" w:cs="Arial"/>
          <w:b/>
          <w:sz w:val="20"/>
          <w:szCs w:val="20"/>
        </w:rPr>
        <w:t>202</w:t>
      </w:r>
      <w:r w:rsidR="002538F8">
        <w:rPr>
          <w:rFonts w:ascii="Arial" w:hAnsi="Arial" w:cs="Arial"/>
          <w:b/>
          <w:sz w:val="20"/>
          <w:szCs w:val="20"/>
        </w:rPr>
        <w:t>2</w:t>
      </w:r>
    </w:p>
    <w:tbl>
      <w:tblPr>
        <w:tblStyle w:val="TableGrid1"/>
        <w:tblpPr w:leftFromText="141" w:rightFromText="141" w:vertAnchor="text" w:horzAnchor="margin" w:tblpY="61"/>
        <w:tblW w:w="9776" w:type="dxa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1276"/>
        <w:gridCol w:w="1559"/>
        <w:gridCol w:w="1843"/>
        <w:gridCol w:w="1134"/>
      </w:tblGrid>
      <w:tr w:rsidR="00C7341F" w:rsidRPr="006F49D0" w14:paraId="4F21D6DF" w14:textId="77777777" w:rsidTr="00C975AA">
        <w:trPr>
          <w:trHeight w:val="567"/>
        </w:trPr>
        <w:tc>
          <w:tcPr>
            <w:tcW w:w="2547" w:type="dxa"/>
            <w:shd w:val="clear" w:color="auto" w:fill="000000" w:themeFill="text1"/>
            <w:vAlign w:val="center"/>
          </w:tcPr>
          <w:p w14:paraId="46C82216" w14:textId="77777777" w:rsidR="00C7341F" w:rsidRPr="00C7341F" w:rsidRDefault="00C7341F" w:rsidP="00BB4C96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Projekt / Objekt</w:t>
            </w:r>
          </w:p>
          <w:p w14:paraId="06D07B1D" w14:textId="77777777" w:rsidR="00C7341F" w:rsidRPr="00C7341F" w:rsidRDefault="00C7341F" w:rsidP="00BB4C96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Straße Nr.</w:t>
            </w:r>
          </w:p>
        </w:tc>
        <w:tc>
          <w:tcPr>
            <w:tcW w:w="1417" w:type="dxa"/>
            <w:shd w:val="clear" w:color="auto" w:fill="000000" w:themeFill="text1"/>
          </w:tcPr>
          <w:p w14:paraId="070FC834" w14:textId="62260587" w:rsidR="00C7341F" w:rsidRPr="00C7341F" w:rsidRDefault="0012484F" w:rsidP="00BB4C96">
            <w:pPr>
              <w:widowControl w:val="0"/>
              <w:spacing w:before="60" w:afterLines="60" w:after="144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br/>
            </w:r>
            <w:r w:rsidR="00C7341F"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Teilmarkt</w:t>
            </w:r>
          </w:p>
        </w:tc>
        <w:tc>
          <w:tcPr>
            <w:tcW w:w="1276" w:type="dxa"/>
            <w:shd w:val="clear" w:color="auto" w:fill="000000" w:themeFill="text1"/>
          </w:tcPr>
          <w:p w14:paraId="03801D01" w14:textId="1EDECB39" w:rsidR="00C7341F" w:rsidRPr="00C7341F" w:rsidRDefault="0012484F" w:rsidP="00BB4C96">
            <w:pPr>
              <w:widowControl w:val="0"/>
              <w:spacing w:before="60" w:afterLines="60" w:after="144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br/>
            </w:r>
            <w:r w:rsidR="00C7341F"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Asset-klasse</w:t>
            </w:r>
          </w:p>
        </w:tc>
        <w:tc>
          <w:tcPr>
            <w:tcW w:w="1559" w:type="dxa"/>
            <w:shd w:val="clear" w:color="auto" w:fill="000000" w:themeFill="text1"/>
            <w:vAlign w:val="center"/>
          </w:tcPr>
          <w:p w14:paraId="64E565FC" w14:textId="77777777" w:rsidR="00C7341F" w:rsidRPr="00C7341F" w:rsidRDefault="00C7341F" w:rsidP="00BB4C96">
            <w:pPr>
              <w:widowControl w:val="0"/>
              <w:spacing w:before="60" w:afterLines="60" w:after="144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Käufer</w:t>
            </w:r>
          </w:p>
        </w:tc>
        <w:tc>
          <w:tcPr>
            <w:tcW w:w="1843" w:type="dxa"/>
            <w:shd w:val="clear" w:color="auto" w:fill="000000" w:themeFill="text1"/>
            <w:vAlign w:val="center"/>
          </w:tcPr>
          <w:p w14:paraId="4F865E58" w14:textId="77777777" w:rsidR="00C7341F" w:rsidRPr="00C7341F" w:rsidRDefault="00C7341F" w:rsidP="00BB4C96">
            <w:pPr>
              <w:widowControl w:val="0"/>
              <w:spacing w:before="60" w:afterLines="60" w:after="144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Verkäufer</w:t>
            </w: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70DE4216" w14:textId="39935B56" w:rsidR="00C7341F" w:rsidRPr="00C7341F" w:rsidRDefault="00C7341F" w:rsidP="00BB4C96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Kauf</w:t>
            </w:r>
            <w:r w:rsidR="0012484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-</w:t>
            </w:r>
            <w:r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preis*</w:t>
            </w:r>
          </w:p>
          <w:p w14:paraId="199A4A51" w14:textId="77777777" w:rsidR="00C7341F" w:rsidRPr="00C7341F" w:rsidRDefault="00C7341F" w:rsidP="00BB4C96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C7341F">
              <w:rPr>
                <w:rFonts w:ascii="Arial" w:hAnsi="Arial" w:cs="Arial"/>
                <w:color w:val="FFFFFF" w:themeColor="background1"/>
                <w:sz w:val="18"/>
                <w:szCs w:val="16"/>
              </w:rPr>
              <w:t>[ca. Mio. €]</w:t>
            </w:r>
          </w:p>
        </w:tc>
      </w:tr>
      <w:tr w:rsidR="00A32BC5" w:rsidRPr="00F2414C" w14:paraId="2F3AD57F" w14:textId="77777777" w:rsidTr="00BB4C96">
        <w:trPr>
          <w:trHeight w:val="567"/>
        </w:trPr>
        <w:tc>
          <w:tcPr>
            <w:tcW w:w="2547" w:type="dxa"/>
            <w:shd w:val="clear" w:color="auto" w:fill="auto"/>
            <w:vAlign w:val="center"/>
          </w:tcPr>
          <w:p w14:paraId="294DDE95" w14:textId="39719812" w:rsidR="00A32BC5" w:rsidRPr="00EA7B88" w:rsidRDefault="008B04D6" w:rsidP="00DA47B7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„Sony-Center“: Bahn-Tower, </w:t>
            </w:r>
            <w:r>
              <w:t xml:space="preserve"> </w:t>
            </w:r>
            <w:r w:rsidRPr="008B04D6">
              <w:rPr>
                <w:rFonts w:ascii="Arial" w:hAnsi="Arial" w:cs="Arial"/>
                <w:color w:val="000000" w:themeColor="text1"/>
                <w:sz w:val="18"/>
                <w:szCs w:val="18"/>
              </w:rPr>
              <w:t>Sony-Europazentrale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8B04D6">
              <w:rPr>
                <w:rFonts w:ascii="Arial" w:hAnsi="Arial" w:cs="Arial"/>
                <w:color w:val="000000" w:themeColor="text1"/>
                <w:sz w:val="18"/>
                <w:szCs w:val="18"/>
              </w:rPr>
              <w:t>Sanofi-Haus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8B04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Bürogebäude </w:t>
            </w:r>
            <w:r w:rsidR="00DA47B7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8B04D6">
              <w:rPr>
                <w:rFonts w:ascii="Arial" w:hAnsi="Arial" w:cs="Arial"/>
                <w:color w:val="000000" w:themeColor="text1"/>
                <w:sz w:val="18"/>
                <w:szCs w:val="18"/>
              </w:rPr>
              <w:t>m Forum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8B04D6">
              <w:rPr>
                <w:rFonts w:ascii="Arial" w:hAnsi="Arial" w:cs="Arial"/>
                <w:color w:val="000000" w:themeColor="text1"/>
                <w:sz w:val="18"/>
                <w:szCs w:val="18"/>
              </w:rPr>
              <w:t>Passarelle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60B805" w14:textId="1E1CF6DF" w:rsidR="00A32BC5" w:rsidRPr="00EA7B88" w:rsidRDefault="00BB7641" w:rsidP="00BB4C9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Potsdamer</w:t>
            </w:r>
            <w:r w:rsidR="001E76C4" w:rsidRPr="00EA7B8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/ Leipziger Platz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807301" w14:textId="378A4407" w:rsidR="00A32BC5" w:rsidRPr="00EA7B88" w:rsidRDefault="001E76C4" w:rsidP="00BB4C9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A7B8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Büro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C8C960" w14:textId="1B164AA9" w:rsidR="00A32BC5" w:rsidRPr="00EA7B88" w:rsidRDefault="00EA7B88" w:rsidP="00BB4C9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7B88">
              <w:rPr>
                <w:rFonts w:ascii="Arial" w:hAnsi="Arial" w:cs="Arial"/>
                <w:sz w:val="18"/>
                <w:szCs w:val="18"/>
                <w:lang w:val="en-US"/>
              </w:rPr>
              <w:t>Norwegian Government Pension Fund Global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E243D0" w14:textId="27D5C93F" w:rsidR="00A32BC5" w:rsidRPr="00EA7B88" w:rsidRDefault="001E76C4" w:rsidP="00BB4C9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7B88">
              <w:rPr>
                <w:rFonts w:ascii="Arial" w:hAnsi="Arial" w:cs="Arial"/>
                <w:color w:val="000000" w:themeColor="text1"/>
                <w:sz w:val="18"/>
                <w:szCs w:val="18"/>
              </w:rPr>
              <w:t>Oxford Properties/Madison International Realty</w:t>
            </w:r>
            <w:r w:rsidR="002B16FA" w:rsidRPr="00EA7B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505789" w14:textId="2D641C3B" w:rsidR="00A32BC5" w:rsidRPr="00EA7B88" w:rsidRDefault="001E76C4" w:rsidP="00BB4C96">
            <w:pPr>
              <w:widowControl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7B88">
              <w:rPr>
                <w:rFonts w:ascii="Arial" w:hAnsi="Arial" w:cs="Arial"/>
                <w:color w:val="000000" w:themeColor="text1"/>
                <w:sz w:val="18"/>
                <w:szCs w:val="18"/>
              </w:rPr>
              <w:t>677</w:t>
            </w:r>
          </w:p>
        </w:tc>
      </w:tr>
      <w:tr w:rsidR="00AF41DF" w:rsidRPr="00F2414C" w14:paraId="3229A735" w14:textId="77777777" w:rsidTr="00A5271F">
        <w:trPr>
          <w:trHeight w:val="567"/>
        </w:trPr>
        <w:tc>
          <w:tcPr>
            <w:tcW w:w="2547" w:type="dxa"/>
            <w:shd w:val="clear" w:color="auto" w:fill="auto"/>
            <w:vAlign w:val="center"/>
          </w:tcPr>
          <w:p w14:paraId="06EFB4A4" w14:textId="466A5688" w:rsidR="00AF41DF" w:rsidRPr="00EA7B88" w:rsidRDefault="00AF41DF" w:rsidP="00153029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7B88">
              <w:rPr>
                <w:rFonts w:ascii="Arial" w:hAnsi="Arial" w:cs="Arial"/>
                <w:color w:val="000000" w:themeColor="text1"/>
                <w:sz w:val="18"/>
                <w:szCs w:val="18"/>
              </w:rPr>
              <w:t>„Voltair</w:t>
            </w:r>
            <w:r w:rsidR="00153029">
              <w:rPr>
                <w:rFonts w:ascii="Arial" w:hAnsi="Arial" w:cs="Arial"/>
                <w:color w:val="000000" w:themeColor="text1"/>
                <w:sz w:val="18"/>
                <w:szCs w:val="18"/>
              </w:rPr>
              <w:t>“</w:t>
            </w:r>
            <w:r w:rsidR="008B04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="008B04D6" w:rsidRPr="008B04D6">
              <w:rPr>
                <w:rFonts w:ascii="Arial" w:hAnsi="Arial" w:cs="Arial"/>
                <w:color w:val="000000" w:themeColor="text1"/>
                <w:sz w:val="18"/>
                <w:szCs w:val="18"/>
              </w:rPr>
              <w:t>Voltairestraße 2a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F1B3AC" w14:textId="240124B6" w:rsidR="00AF41DF" w:rsidRPr="00EA7B88" w:rsidRDefault="00AF41DF" w:rsidP="00BB4C9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EA7B8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Berlin-Mitte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869AE3" w14:textId="3794F5F3" w:rsidR="00AF41DF" w:rsidRPr="00EA7B88" w:rsidRDefault="00AF41DF" w:rsidP="00BB4C9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A7B8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Büro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F0C24B" w14:textId="6860515C" w:rsidR="00AF41DF" w:rsidRPr="00EA7B88" w:rsidRDefault="00EA7B88" w:rsidP="00BB4C9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7B88">
              <w:rPr>
                <w:rFonts w:ascii="Arial" w:hAnsi="Arial" w:cs="Arial"/>
                <w:sz w:val="18"/>
                <w:szCs w:val="18"/>
                <w:lang w:val="en-US"/>
              </w:rPr>
              <w:t>Norges Government Pension Fund Global / Swiss Life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5A8A31" w14:textId="38BE6F84" w:rsidR="00AF41DF" w:rsidRPr="00EA7B88" w:rsidRDefault="00EA7B88" w:rsidP="00BB4C9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7B88">
              <w:rPr>
                <w:rFonts w:ascii="Arial" w:hAnsi="Arial" w:cs="Arial"/>
                <w:color w:val="000000" w:themeColor="text1"/>
                <w:sz w:val="18"/>
                <w:szCs w:val="18"/>
              </w:rPr>
              <w:t>Gädeke &amp; Sons / ABG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745690" w14:textId="0F9C62A5" w:rsidR="00AF41DF" w:rsidRPr="00EA7B88" w:rsidRDefault="00AF41DF" w:rsidP="00BB4C96">
            <w:pPr>
              <w:widowControl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7B88">
              <w:rPr>
                <w:rFonts w:ascii="Arial" w:hAnsi="Arial" w:cs="Arial"/>
                <w:color w:val="000000" w:themeColor="text1"/>
                <w:sz w:val="18"/>
                <w:szCs w:val="18"/>
              </w:rPr>
              <w:t>457</w:t>
            </w:r>
          </w:p>
        </w:tc>
      </w:tr>
      <w:tr w:rsidR="00A74C65" w:rsidRPr="00F2414C" w14:paraId="19FC96DC" w14:textId="77777777" w:rsidTr="00A5271F">
        <w:trPr>
          <w:trHeight w:val="567"/>
        </w:trPr>
        <w:tc>
          <w:tcPr>
            <w:tcW w:w="2547" w:type="dxa"/>
            <w:shd w:val="clear" w:color="auto" w:fill="auto"/>
            <w:vAlign w:val="center"/>
          </w:tcPr>
          <w:p w14:paraId="4E015A8A" w14:textId="5EE43501" w:rsidR="00A74C65" w:rsidRPr="002E7124" w:rsidRDefault="00A74C65" w:rsidP="008E664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153029">
              <w:rPr>
                <w:rFonts w:ascii="Arial" w:hAnsi="Arial" w:cs="Arial"/>
                <w:color w:val="000000" w:themeColor="text1"/>
                <w:sz w:val="18"/>
                <w:szCs w:val="18"/>
              </w:rPr>
              <w:t>„</w:t>
            </w:r>
            <w:r w:rsidR="00153029" w:rsidRPr="00153029">
              <w:rPr>
                <w:rFonts w:ascii="Arial" w:hAnsi="Arial" w:cs="Arial"/>
                <w:color w:val="000000" w:themeColor="text1"/>
                <w:sz w:val="18"/>
                <w:szCs w:val="18"/>
              </w:rPr>
              <w:t>QH Spring</w:t>
            </w:r>
            <w:r w:rsidR="00153029">
              <w:rPr>
                <w:rFonts w:ascii="Arial" w:hAnsi="Arial" w:cs="Arial"/>
                <w:color w:val="000000" w:themeColor="text1"/>
                <w:sz w:val="18"/>
                <w:szCs w:val="18"/>
              </w:rPr>
              <w:t>“</w:t>
            </w:r>
            <w:r w:rsidR="00AD1870">
              <w:rPr>
                <w:rFonts w:ascii="Arial" w:hAnsi="Arial" w:cs="Arial"/>
                <w:color w:val="000000" w:themeColor="text1"/>
                <w:sz w:val="18"/>
                <w:szCs w:val="18"/>
              </w:rPr>
              <w:t>, Heidestraße 5</w:t>
            </w:r>
            <w:r w:rsidR="008E664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bookmarkStart w:id="0" w:name="_GoBack"/>
            <w:bookmarkEnd w:id="0"/>
            <w:r w:rsidR="00153029">
              <w:rPr>
                <w:rFonts w:ascii="Arial" w:hAnsi="Arial" w:cs="Arial"/>
                <w:color w:val="000000" w:themeColor="text1"/>
                <w:sz w:val="18"/>
                <w:szCs w:val="18"/>
              </w:rPr>
              <w:t>„</w:t>
            </w:r>
            <w:r w:rsidR="00153029" w:rsidRPr="001530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QH </w:t>
            </w:r>
            <w:r w:rsidR="009E17F7">
              <w:rPr>
                <w:rFonts w:ascii="Arial" w:hAnsi="Arial" w:cs="Arial"/>
                <w:color w:val="000000" w:themeColor="text1"/>
                <w:sz w:val="18"/>
                <w:szCs w:val="18"/>
              </w:rPr>
              <w:t>Core</w:t>
            </w:r>
            <w:r w:rsidR="00153029">
              <w:rPr>
                <w:rFonts w:ascii="Arial" w:hAnsi="Arial" w:cs="Arial"/>
                <w:color w:val="000000" w:themeColor="text1"/>
                <w:sz w:val="18"/>
                <w:szCs w:val="18"/>
              </w:rPr>
              <w:t>“</w:t>
            </w:r>
            <w:r w:rsidR="008B04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Heidestraße </w:t>
            </w:r>
            <w:r w:rsidR="00AD1870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FB35B4" w14:textId="72EBC167" w:rsidR="00A74C65" w:rsidRPr="002E7124" w:rsidRDefault="00153029" w:rsidP="00BB4C9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153029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Tiergarten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47FE80" w14:textId="324F0C58" w:rsidR="00A74C65" w:rsidRPr="002E7124" w:rsidRDefault="00A74C65" w:rsidP="00BB4C9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15302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Büro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FB529C" w14:textId="5DBDA7E4" w:rsidR="00A74C65" w:rsidRPr="002E7124" w:rsidRDefault="00153029" w:rsidP="00BB4C9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153029">
              <w:rPr>
                <w:rFonts w:ascii="Arial" w:hAnsi="Arial" w:cs="Arial"/>
                <w:sz w:val="18"/>
                <w:szCs w:val="18"/>
                <w:lang w:val="en-US"/>
              </w:rPr>
              <w:t>Vivion Group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9D09E9" w14:textId="3F08804B" w:rsidR="00A74C65" w:rsidRPr="002E7124" w:rsidRDefault="00A74C65" w:rsidP="00BB4C9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153029">
              <w:rPr>
                <w:rFonts w:ascii="Arial" w:hAnsi="Arial" w:cs="Arial"/>
                <w:color w:val="000000" w:themeColor="text1"/>
                <w:sz w:val="18"/>
                <w:szCs w:val="18"/>
              </w:rPr>
              <w:t>Aggregate Holdings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91DDF2" w14:textId="0585AC35" w:rsidR="00A74C65" w:rsidRPr="002E7124" w:rsidRDefault="00694C32" w:rsidP="00BB4C96">
            <w:pPr>
              <w:widowControl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153029">
              <w:rPr>
                <w:rFonts w:ascii="Arial" w:hAnsi="Arial" w:cs="Arial"/>
                <w:color w:val="000000" w:themeColor="text1"/>
                <w:sz w:val="18"/>
                <w:szCs w:val="18"/>
              </w:rPr>
              <w:t>456</w:t>
            </w:r>
          </w:p>
        </w:tc>
      </w:tr>
      <w:tr w:rsidR="00153029" w:rsidRPr="00F2414C" w14:paraId="5F4ABAAD" w14:textId="77777777" w:rsidTr="00153029">
        <w:trPr>
          <w:trHeight w:val="56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ADC21C8" w14:textId="0338BB10" w:rsidR="00153029" w:rsidRPr="00153029" w:rsidRDefault="00153029" w:rsidP="00153029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„</w:t>
            </w:r>
            <w:r w:rsidRPr="00153029">
              <w:rPr>
                <w:rFonts w:ascii="Arial" w:hAnsi="Arial" w:cs="Arial"/>
                <w:color w:val="000000" w:themeColor="text1"/>
                <w:sz w:val="18"/>
                <w:szCs w:val="18"/>
              </w:rPr>
              <w:t>Urban Tech Republic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“</w:t>
            </w:r>
            <w:r w:rsidR="008B04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="008B04D6">
              <w:t xml:space="preserve"> </w:t>
            </w:r>
            <w:r w:rsidR="008B04D6" w:rsidRPr="008B04D6">
              <w:rPr>
                <w:rFonts w:ascii="Arial" w:hAnsi="Arial" w:cs="Arial"/>
                <w:color w:val="000000" w:themeColor="text1"/>
                <w:sz w:val="18"/>
                <w:szCs w:val="18"/>
              </w:rPr>
              <w:t>Saatwinkler Damm 74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A08C501" w14:textId="187764C1" w:rsidR="00153029" w:rsidRPr="00153029" w:rsidRDefault="00153029" w:rsidP="00153029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53029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Reinickendorf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D7A9EEB" w14:textId="3760F3F7" w:rsidR="00153029" w:rsidRPr="00153029" w:rsidRDefault="00153029" w:rsidP="00153029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5302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Büro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42F51E6" w14:textId="1D7C18E2" w:rsidR="00153029" w:rsidRPr="00153029" w:rsidRDefault="00153029" w:rsidP="00153029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302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Land Berlin Liegenschaftsfonds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665A4B2" w14:textId="3CD35AE3" w:rsidR="00153029" w:rsidRPr="00153029" w:rsidRDefault="00153029" w:rsidP="00153029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3029">
              <w:rPr>
                <w:rFonts w:ascii="Arial" w:hAnsi="Arial" w:cs="Arial"/>
                <w:color w:val="000000" w:themeColor="text1"/>
                <w:sz w:val="18"/>
                <w:szCs w:val="18"/>
              </w:rPr>
              <w:t>Bundesanstalt für Immobilienaufgaben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46C06B9" w14:textId="13528691" w:rsidR="00153029" w:rsidRPr="00153029" w:rsidRDefault="00153029" w:rsidP="00153029">
            <w:pPr>
              <w:widowControl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3029">
              <w:rPr>
                <w:rFonts w:ascii="Arial" w:hAnsi="Arial" w:cs="Arial"/>
                <w:color w:val="000000" w:themeColor="text1"/>
                <w:sz w:val="18"/>
                <w:szCs w:val="18"/>
              </w:rPr>
              <w:t>261</w:t>
            </w:r>
          </w:p>
        </w:tc>
      </w:tr>
      <w:tr w:rsidR="00153029" w:rsidRPr="00F2414C" w14:paraId="17DE9172" w14:textId="77777777" w:rsidTr="00BB4C96">
        <w:trPr>
          <w:trHeight w:val="567"/>
        </w:trPr>
        <w:tc>
          <w:tcPr>
            <w:tcW w:w="2547" w:type="dxa"/>
            <w:shd w:val="clear" w:color="auto" w:fill="auto"/>
            <w:vAlign w:val="center"/>
          </w:tcPr>
          <w:p w14:paraId="7EA24246" w14:textId="1F1D35C2" w:rsidR="00153029" w:rsidRPr="002E7124" w:rsidRDefault="00153029" w:rsidP="00153029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„</w:t>
            </w:r>
            <w:r w:rsidRPr="00153029">
              <w:rPr>
                <w:rFonts w:ascii="Arial" w:hAnsi="Arial" w:cs="Arial"/>
                <w:color w:val="000000" w:themeColor="text1"/>
                <w:sz w:val="18"/>
                <w:szCs w:val="18"/>
              </w:rPr>
              <w:t>Techno Campus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“</w:t>
            </w:r>
            <w:r w:rsidR="008B04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="008B04D6">
              <w:t xml:space="preserve"> </w:t>
            </w:r>
            <w:r w:rsidR="008B04D6" w:rsidRPr="008B04D6">
              <w:rPr>
                <w:rFonts w:ascii="Arial" w:hAnsi="Arial" w:cs="Arial"/>
                <w:color w:val="000000" w:themeColor="text1"/>
                <w:sz w:val="18"/>
                <w:szCs w:val="18"/>
              </w:rPr>
              <w:t>Siemensdamm 59-63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D56ABF" w14:textId="78A45E67" w:rsidR="00153029" w:rsidRPr="002E7124" w:rsidRDefault="00153029" w:rsidP="00153029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Peripherie-</w:t>
            </w:r>
            <w:r w:rsidRPr="00153029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West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6CE9D7" w14:textId="60286CD4" w:rsidR="00153029" w:rsidRPr="002E7124" w:rsidRDefault="00153029" w:rsidP="00153029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15302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Büro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53CFBE" w14:textId="5FB64494" w:rsidR="00153029" w:rsidRPr="002E7124" w:rsidRDefault="00153029" w:rsidP="00153029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153029">
              <w:rPr>
                <w:rFonts w:ascii="Arial" w:hAnsi="Arial" w:cs="Arial"/>
                <w:sz w:val="18"/>
                <w:szCs w:val="18"/>
                <w:lang w:val="en-US"/>
              </w:rPr>
              <w:t>Caleus Capital Partners für GIC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55A8C7" w14:textId="66B92EA6" w:rsidR="00153029" w:rsidRPr="002E7124" w:rsidRDefault="00153029" w:rsidP="00153029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153029">
              <w:rPr>
                <w:rFonts w:ascii="Arial" w:hAnsi="Arial" w:cs="Arial"/>
                <w:color w:val="000000" w:themeColor="text1"/>
                <w:sz w:val="18"/>
                <w:szCs w:val="18"/>
              </w:rPr>
              <w:t>Axa Investment Managers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38C4B1" w14:textId="58908190" w:rsidR="00153029" w:rsidRPr="002E7124" w:rsidRDefault="00153029" w:rsidP="00153029">
            <w:pPr>
              <w:widowControl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153029">
              <w:rPr>
                <w:rFonts w:ascii="Arial" w:hAnsi="Arial" w:cs="Arial"/>
                <w:color w:val="000000" w:themeColor="text1"/>
                <w:sz w:val="18"/>
                <w:szCs w:val="18"/>
              </w:rPr>
              <w:t>vertraulich</w:t>
            </w:r>
          </w:p>
        </w:tc>
      </w:tr>
    </w:tbl>
    <w:p w14:paraId="1643DBD5" w14:textId="31124693" w:rsidR="001E76C4" w:rsidRDefault="00C7341F" w:rsidP="001E76C4">
      <w:pPr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474C5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r w:rsidRPr="00B4679D">
        <w:rPr>
          <w:rFonts w:ascii="Arial" w:hAnsi="Arial" w:cs="Arial"/>
          <w:sz w:val="16"/>
          <w:szCs w:val="16"/>
        </w:rPr>
        <w:t>Die aufgeführten Kaufpreise ba</w:t>
      </w:r>
      <w:r>
        <w:rPr>
          <w:rFonts w:ascii="Arial" w:hAnsi="Arial" w:cs="Arial"/>
          <w:sz w:val="16"/>
          <w:szCs w:val="16"/>
        </w:rPr>
        <w:t xml:space="preserve">sieren auf öffentlich verfügbaren Angaben; </w:t>
      </w:r>
      <w:r w:rsidRPr="00B4679D">
        <w:rPr>
          <w:rFonts w:ascii="Arial" w:hAnsi="Arial" w:cs="Arial"/>
          <w:sz w:val="16"/>
          <w:szCs w:val="16"/>
        </w:rPr>
        <w:t xml:space="preserve">wo solche fehlen, sind </w:t>
      </w:r>
      <w:r>
        <w:rPr>
          <w:rFonts w:ascii="Arial" w:hAnsi="Arial" w:cs="Arial"/>
          <w:sz w:val="16"/>
          <w:szCs w:val="16"/>
        </w:rPr>
        <w:t xml:space="preserve">die </w:t>
      </w:r>
      <w:r w:rsidRPr="00B4679D">
        <w:rPr>
          <w:rFonts w:ascii="Arial" w:hAnsi="Arial" w:cs="Arial"/>
          <w:sz w:val="16"/>
          <w:szCs w:val="16"/>
        </w:rPr>
        <w:t>Kaufpreise geschätzt</w:t>
      </w:r>
      <w:r w:rsidR="001E76C4">
        <w:rPr>
          <w:rFonts w:ascii="Arial" w:hAnsi="Arial" w:cs="Arial"/>
          <w:sz w:val="16"/>
          <w:szCs w:val="16"/>
        </w:rPr>
        <w:t>;</w:t>
      </w:r>
      <w:r w:rsidR="001E76C4" w:rsidRPr="001E76C4">
        <w:rPr>
          <w:rFonts w:ascii="Arial" w:hAnsi="Arial" w:cs="Arial"/>
          <w:sz w:val="16"/>
          <w:szCs w:val="16"/>
        </w:rPr>
        <w:t xml:space="preserve"> </w:t>
      </w:r>
      <w:r w:rsidR="001E76C4">
        <w:rPr>
          <w:rFonts w:ascii="Arial" w:hAnsi="Arial" w:cs="Arial"/>
          <w:sz w:val="16"/>
          <w:szCs w:val="16"/>
        </w:rPr>
        <w:t>neue Deals/Deals aus jeweiligem Berichtsquartal sind grau hinterlegt</w:t>
      </w:r>
    </w:p>
    <w:p w14:paraId="38EB286B" w14:textId="108EF0DE" w:rsidR="00C7341F" w:rsidRDefault="00C7341F" w:rsidP="00C7341F">
      <w:pPr>
        <w:widowControl w:val="0"/>
        <w:spacing w:after="0"/>
        <w:rPr>
          <w:rFonts w:ascii="Arial" w:hAnsi="Arial" w:cs="Arial"/>
          <w:sz w:val="16"/>
          <w:szCs w:val="16"/>
        </w:rPr>
      </w:pPr>
    </w:p>
    <w:p w14:paraId="76750CA4" w14:textId="77777777" w:rsidR="00095399" w:rsidRDefault="00095399" w:rsidP="0090748B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42E7059" w14:textId="399407F5" w:rsidR="0090748B" w:rsidRDefault="0090748B" w:rsidP="0090748B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86C02">
        <w:rPr>
          <w:rFonts w:ascii="Arial" w:eastAsia="Arial" w:hAnsi="Arial" w:cs="Arial"/>
          <w:sz w:val="20"/>
          <w:szCs w:val="20"/>
        </w:rPr>
        <w:t xml:space="preserve">Der </w:t>
      </w:r>
      <w:hyperlink r:id="rId9" w:history="1">
        <w:r w:rsidR="00787C24">
          <w:rPr>
            <w:rStyle w:val="Hyperlink"/>
            <w:rFonts w:ascii="Arial" w:hAnsi="Arial" w:cs="Arial"/>
            <w:snapToGrid w:val="0"/>
            <w:sz w:val="20"/>
            <w:szCs w:val="20"/>
          </w:rPr>
          <w:t>Marktbericht Investment Berlin 2022/Q4</w:t>
        </w:r>
      </w:hyperlink>
      <w:r w:rsidR="0012484F" w:rsidRPr="003D69DE">
        <w:rPr>
          <w:rFonts w:ascii="Arial" w:eastAsia="Arial" w:hAnsi="Arial" w:cs="Arial"/>
          <w:sz w:val="20"/>
          <w:szCs w:val="20"/>
        </w:rPr>
        <w:t xml:space="preserve"> steht</w:t>
      </w:r>
      <w:r w:rsidRPr="003D69DE">
        <w:rPr>
          <w:rFonts w:ascii="Arial" w:eastAsia="Arial" w:hAnsi="Arial" w:cs="Arial"/>
          <w:sz w:val="20"/>
          <w:szCs w:val="20"/>
        </w:rPr>
        <w:t xml:space="preserve"> in</w:t>
      </w:r>
      <w:r w:rsidRPr="00C86C0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Kürze auf unserer </w:t>
      </w:r>
      <w:r w:rsidRPr="0012484F">
        <w:rPr>
          <w:rFonts w:ascii="Arial" w:eastAsia="Arial" w:hAnsi="Arial" w:cs="Arial"/>
          <w:sz w:val="20"/>
          <w:szCs w:val="20"/>
        </w:rPr>
        <w:t>Website zum Download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bereit.</w:t>
      </w:r>
    </w:p>
    <w:p w14:paraId="6498E5CA" w14:textId="77777777" w:rsidR="0090748B" w:rsidRDefault="0090748B" w:rsidP="000C77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2900A69" w14:textId="77777777" w:rsidR="00B466DD" w:rsidRPr="0090748B" w:rsidRDefault="00B466DD" w:rsidP="00B466DD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90748B">
        <w:rPr>
          <w:rFonts w:ascii="Arial" w:hAnsi="Arial" w:cs="Arial"/>
          <w:b/>
          <w:sz w:val="16"/>
          <w:szCs w:val="16"/>
        </w:rPr>
        <w:t>Über Grossmann &amp; Berger</w:t>
      </w:r>
    </w:p>
    <w:p w14:paraId="5AEC3C7A" w14:textId="77777777" w:rsidR="00B466DD" w:rsidRPr="00521AA1" w:rsidRDefault="00B466DD" w:rsidP="00B466DD">
      <w:pPr>
        <w:spacing w:after="0" w:line="360" w:lineRule="auto"/>
        <w:rPr>
          <w:rFonts w:ascii="Arial" w:hAnsi="Arial" w:cs="Arial"/>
          <w:vanish/>
          <w:sz w:val="16"/>
          <w:szCs w:val="16"/>
          <w:specVanish/>
        </w:rPr>
      </w:pPr>
      <w:r w:rsidRPr="00521AA1">
        <w:rPr>
          <w:rFonts w:ascii="Arial" w:hAnsi="Arial" w:cs="Arial"/>
          <w:snapToGrid w:val="0"/>
          <w:sz w:val="16"/>
          <w:szCs w:val="16"/>
        </w:rPr>
        <w:t xml:space="preserve">Die </w:t>
      </w:r>
      <w:hyperlink r:id="rId10" w:history="1">
        <w:r w:rsidRPr="00521AA1">
          <w:rPr>
            <w:rStyle w:val="Hyperlink"/>
            <w:rFonts w:ascii="Arial" w:hAnsi="Arial" w:cs="Arial"/>
            <w:snapToGrid w:val="0"/>
            <w:sz w:val="16"/>
            <w:szCs w:val="16"/>
          </w:rPr>
          <w:t>Grossmann &amp; Berger GmbH</w:t>
        </w:r>
      </w:hyperlink>
      <w:r w:rsidRPr="00521AA1">
        <w:rPr>
          <w:rFonts w:ascii="Arial" w:hAnsi="Arial" w:cs="Arial"/>
          <w:snapToGrid w:val="0"/>
          <w:sz w:val="16"/>
          <w:szCs w:val="16"/>
        </w:rPr>
        <w:t xml:space="preserve"> gehört zu den führenden Immobiliendienstleistern für den Verkauf und die Vermietung von Gewerbe- und Wohn-Immobilien.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Pr="00521AA1">
        <w:rPr>
          <w:rFonts w:ascii="Arial" w:hAnsi="Arial" w:cs="Arial"/>
          <w:snapToGrid w:val="0"/>
          <w:sz w:val="16"/>
          <w:szCs w:val="16"/>
        </w:rPr>
        <w:t xml:space="preserve">Den Hauptsitz in Hamburg miteingerechnet, unterhält das Unternehmen 22 Standorte. Hierüber ist Grossmann &amp; Berger flächendeckend im norddeutschen Markt präsent. Über die seit Mai 2021 zum Unternehmen gehörenden Gesellschaften </w:t>
      </w:r>
      <w:hyperlink r:id="rId11" w:history="1">
        <w:r w:rsidRPr="00521AA1">
          <w:rPr>
            <w:rStyle w:val="Hyperlink"/>
            <w:rFonts w:ascii="Arial" w:hAnsi="Arial" w:cs="Arial"/>
            <w:snapToGrid w:val="0"/>
            <w:sz w:val="16"/>
            <w:szCs w:val="16"/>
          </w:rPr>
          <w:t xml:space="preserve">E &amp; G </w:t>
        </w:r>
        <w:r w:rsidRPr="00521AA1">
          <w:rPr>
            <w:rStyle w:val="Hyperlink"/>
            <w:rFonts w:ascii="Arial" w:hAnsi="Arial" w:cs="Arial"/>
            <w:snapToGrid w:val="0"/>
            <w:sz w:val="16"/>
            <w:szCs w:val="16"/>
          </w:rPr>
          <w:lastRenderedPageBreak/>
          <w:t>Real Estate</w:t>
        </w:r>
      </w:hyperlink>
      <w:r w:rsidRPr="00521AA1">
        <w:rPr>
          <w:rFonts w:ascii="Arial" w:hAnsi="Arial" w:cs="Arial"/>
          <w:snapToGrid w:val="0"/>
          <w:sz w:val="16"/>
          <w:szCs w:val="16"/>
        </w:rPr>
        <w:t xml:space="preserve"> und </w:t>
      </w:r>
      <w:hyperlink r:id="rId12" w:history="1">
        <w:r w:rsidRPr="00521AA1">
          <w:rPr>
            <w:rStyle w:val="Hyperlink"/>
            <w:rFonts w:ascii="Arial" w:hAnsi="Arial" w:cs="Arial"/>
            <w:snapToGrid w:val="0"/>
            <w:sz w:val="16"/>
            <w:szCs w:val="16"/>
          </w:rPr>
          <w:t>E &amp; G Private Immobilien</w:t>
        </w:r>
      </w:hyperlink>
      <w:r w:rsidRPr="00521AA1">
        <w:rPr>
          <w:rFonts w:ascii="Arial" w:hAnsi="Arial" w:cs="Arial"/>
          <w:snapToGrid w:val="0"/>
          <w:sz w:val="16"/>
          <w:szCs w:val="16"/>
        </w:rPr>
        <w:t xml:space="preserve"> ist Grossmann &amp; Berger auch in den südlichen Metropolregionen Stuttgart und München vertreten.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Pr="00521AA1">
        <w:rPr>
          <w:rFonts w:ascii="Arial" w:hAnsi="Arial" w:cs="Arial"/>
          <w:snapToGrid w:val="0"/>
          <w:sz w:val="16"/>
          <w:szCs w:val="16"/>
        </w:rPr>
        <w:t>Rund 240 Mitarbeiter decken mit ihrer umfassenden Immobilienkompetenz das gesamte Branchen-Dienstleistungsspektrum ab. Bei ihrer Tätigkeit können sie auf mehr als 85 Jahre Unternehmenstradition zurückgreifen.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Pr="00521AA1">
        <w:rPr>
          <w:rFonts w:ascii="Arial" w:hAnsi="Arial" w:cs="Arial"/>
          <w:sz w:val="16"/>
          <w:szCs w:val="16"/>
        </w:rPr>
        <w:t xml:space="preserve">Grossmann &amp; Berger ist ein Beteiligungsunternehmen der HASPA-Gruppe und Gründungsmitglied des deutschlandweiten Gewerbeimmobiliennetzwerks </w:t>
      </w:r>
      <w:hyperlink r:id="rId13" w:history="1">
        <w:r w:rsidRPr="00521AA1">
          <w:rPr>
            <w:rStyle w:val="Hyperlink"/>
            <w:rFonts w:ascii="Arial" w:hAnsi="Arial" w:cs="Arial"/>
            <w:sz w:val="16"/>
            <w:szCs w:val="16"/>
          </w:rPr>
          <w:t>German Property Partners</w:t>
        </w:r>
      </w:hyperlink>
      <w:r w:rsidRPr="00521AA1">
        <w:rPr>
          <w:rFonts w:ascii="Arial" w:hAnsi="Arial" w:cs="Arial"/>
          <w:sz w:val="16"/>
          <w:szCs w:val="16"/>
        </w:rPr>
        <w:t xml:space="preserve"> (GPP).</w:t>
      </w:r>
    </w:p>
    <w:p w14:paraId="33D90876" w14:textId="77777777" w:rsidR="00B466DD" w:rsidRPr="00521AA1" w:rsidRDefault="00B466DD" w:rsidP="00B466DD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28265F2D" w14:textId="77777777" w:rsidR="00B466DD" w:rsidRDefault="00B466DD" w:rsidP="00B466DD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631DFFB0" w14:textId="77777777" w:rsidR="00B466DD" w:rsidRDefault="00B466DD" w:rsidP="00B466DD">
      <w:pPr>
        <w:spacing w:after="0" w:line="360" w:lineRule="auto"/>
        <w:rPr>
          <w:rStyle w:val="Fett"/>
          <w:rFonts w:ascii="Arial" w:hAnsi="Arial" w:cs="Arial"/>
          <w:b w:val="0"/>
          <w:color w:val="000000" w:themeColor="text1"/>
          <w:sz w:val="20"/>
          <w:szCs w:val="20"/>
        </w:rPr>
      </w:pPr>
      <w:r w:rsidRPr="006225C9">
        <w:rPr>
          <w:rFonts w:ascii="Arial" w:hAnsi="Arial" w:cs="Arial"/>
          <w:sz w:val="16"/>
          <w:szCs w:val="16"/>
        </w:rPr>
        <w:t xml:space="preserve">Die </w:t>
      </w:r>
      <w:hyperlink r:id="rId14" w:history="1">
        <w:r w:rsidRPr="006225C9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6225C9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5" w:history="1">
        <w:r w:rsidRPr="006225C9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6225C9">
        <w:rPr>
          <w:rFonts w:ascii="Arial" w:hAnsi="Arial" w:cs="Arial"/>
          <w:sz w:val="16"/>
          <w:szCs w:val="16"/>
        </w:rPr>
        <w:t xml:space="preserve"> sowie die dazugehörigen </w:t>
      </w:r>
      <w:hyperlink r:id="rId16" w:history="1">
        <w:r w:rsidRPr="006225C9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6225C9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7" w:history="1">
        <w:r w:rsidRPr="006225C9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>
        <w:rPr>
          <w:rFonts w:ascii="Arial" w:hAnsi="Arial" w:cs="Arial"/>
          <w:sz w:val="16"/>
          <w:szCs w:val="16"/>
        </w:rPr>
        <w:t xml:space="preserve"> mit dem Betreff „Abmeldung aus Presseverteiler".</w:t>
      </w:r>
    </w:p>
    <w:p w14:paraId="4CECEBB6" w14:textId="7E7D937C" w:rsidR="00503D8C" w:rsidRPr="00712CE1" w:rsidRDefault="00503D8C" w:rsidP="00B747F3">
      <w:pPr>
        <w:spacing w:after="0" w:line="360" w:lineRule="auto"/>
        <w:rPr>
          <w:rFonts w:ascii="Arial" w:hAnsi="Arial" w:cs="Arial"/>
          <w:sz w:val="16"/>
          <w:szCs w:val="16"/>
        </w:rPr>
      </w:pPr>
    </w:p>
    <w:sectPr w:rsidR="00503D8C" w:rsidRPr="00712CE1" w:rsidSect="00D83CB7">
      <w:headerReference w:type="default" r:id="rId18"/>
      <w:footerReference w:type="default" r:id="rId19"/>
      <w:headerReference w:type="first" r:id="rId20"/>
      <w:footerReference w:type="first" r:id="rId21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0391B" w16cex:dateUtc="2022-03-31T12:28:00Z"/>
  <w16cex:commentExtensible w16cex:durableId="25F0394C" w16cex:dateUtc="2022-03-31T12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377545" w16cid:durableId="25F0391B"/>
  <w16cid:commentId w16cid:paraId="4A657374" w16cid:durableId="25F039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8BC0F" w14:textId="77777777" w:rsidR="00BC43AB" w:rsidRDefault="00BC43AB">
      <w:r>
        <w:separator/>
      </w:r>
    </w:p>
  </w:endnote>
  <w:endnote w:type="continuationSeparator" w:id="0">
    <w:p w14:paraId="72684366" w14:textId="77777777" w:rsidR="00BC43AB" w:rsidRDefault="00BC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10022" w14:textId="3E650D65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Pr="00D83CB7">
      <w:rPr>
        <w:rFonts w:ascii="Arial" w:hAnsi="Arial" w:cs="Arial"/>
        <w:color w:val="918F90"/>
        <w:sz w:val="18"/>
        <w:szCs w:val="18"/>
      </w:rPr>
      <w:t>| Bleichenbrücke</w:t>
    </w:r>
    <w:r w:rsidR="00B92005">
      <w:rPr>
        <w:rFonts w:ascii="Arial" w:hAnsi="Arial" w:cs="Arial"/>
        <w:color w:val="918F90"/>
        <w:sz w:val="18"/>
        <w:szCs w:val="18"/>
      </w:rPr>
      <w:t xml:space="preserve"> 9 | </w:t>
    </w:r>
    <w:r w:rsidRPr="00D83CB7">
      <w:rPr>
        <w:rFonts w:ascii="Arial" w:hAnsi="Arial" w:cs="Arial"/>
        <w:color w:val="918F90"/>
        <w:sz w:val="18"/>
        <w:szCs w:val="18"/>
      </w:rPr>
      <w:t>20354 Hamburg | Tel. +49 (0)40</w:t>
    </w:r>
    <w:r w:rsidR="00501E7D">
      <w:rPr>
        <w:rFonts w:ascii="Arial" w:hAnsi="Arial" w:cs="Arial"/>
        <w:color w:val="918F90"/>
        <w:sz w:val="18"/>
        <w:szCs w:val="18"/>
      </w:rPr>
      <w:t xml:space="preserve"> </w:t>
    </w:r>
    <w:r w:rsidRPr="00D83CB7">
      <w:rPr>
        <w:rFonts w:ascii="Arial" w:hAnsi="Arial" w:cs="Arial"/>
        <w:color w:val="918F90"/>
        <w:sz w:val="18"/>
        <w:szCs w:val="18"/>
      </w:rPr>
      <w:t>/</w:t>
    </w:r>
    <w:r w:rsidR="00501E7D">
      <w:rPr>
        <w:rFonts w:ascii="Arial" w:hAnsi="Arial" w:cs="Arial"/>
        <w:color w:val="918F90"/>
        <w:sz w:val="18"/>
        <w:szCs w:val="18"/>
      </w:rPr>
      <w:t xml:space="preserve"> </w:t>
    </w:r>
    <w:r w:rsidRPr="00D83CB7">
      <w:rPr>
        <w:rFonts w:ascii="Arial" w:hAnsi="Arial" w:cs="Arial"/>
        <w:color w:val="918F90"/>
        <w:sz w:val="18"/>
        <w:szCs w:val="18"/>
      </w:rPr>
      <w:t>350 80 2-0 | www.grossmann-berger.de</w:t>
    </w:r>
  </w:p>
  <w:p w14:paraId="5E0EDDBC" w14:textId="71A8C964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8E6646">
      <w:rPr>
        <w:rStyle w:val="Seitenzahl"/>
        <w:rFonts w:ascii="Arial" w:hAnsi="Arial" w:cs="Arial"/>
        <w:noProof/>
        <w:color w:val="000000" w:themeColor="text1"/>
        <w:sz w:val="18"/>
        <w:szCs w:val="18"/>
      </w:rPr>
      <w:t>3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8E6646">
      <w:rPr>
        <w:rStyle w:val="Seitenzahl"/>
        <w:rFonts w:ascii="Arial" w:hAnsi="Arial" w:cs="Arial"/>
        <w:noProof/>
        <w:color w:val="000000" w:themeColor="text1"/>
        <w:sz w:val="18"/>
        <w:szCs w:val="18"/>
      </w:rPr>
      <w:t>3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ECEE9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648292C5" wp14:editId="00457459">
          <wp:simplePos x="0" y="0"/>
          <wp:positionH relativeFrom="column">
            <wp:posOffset>-615315</wp:posOffset>
          </wp:positionH>
          <wp:positionV relativeFrom="page">
            <wp:posOffset>9457690</wp:posOffset>
          </wp:positionV>
          <wp:extent cx="7346950" cy="1140460"/>
          <wp:effectExtent l="0" t="0" r="6350" b="2540"/>
          <wp:wrapThrough wrapText="bothSides">
            <wp:wrapPolygon edited="0">
              <wp:start x="0" y="0"/>
              <wp:lineTo x="0" y="21287"/>
              <wp:lineTo x="21563" y="21287"/>
              <wp:lineTo x="21563" y="0"/>
              <wp:lineTo x="0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40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38A66" w14:textId="77777777" w:rsidR="00BC43AB" w:rsidRDefault="00BC43AB">
      <w:r>
        <w:separator/>
      </w:r>
    </w:p>
  </w:footnote>
  <w:footnote w:type="continuationSeparator" w:id="0">
    <w:p w14:paraId="4809C114" w14:textId="77777777" w:rsidR="00BC43AB" w:rsidRDefault="00BC4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50661" w14:textId="77777777" w:rsidR="006138CB" w:rsidRPr="009E3ADA" w:rsidRDefault="00E5203C" w:rsidP="006138CB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C25E6F" wp14:editId="42127F1E">
              <wp:simplePos x="0" y="0"/>
              <wp:positionH relativeFrom="column">
                <wp:posOffset>-81916</wp:posOffset>
              </wp:positionH>
              <wp:positionV relativeFrom="paragraph">
                <wp:posOffset>20955</wp:posOffset>
              </wp:positionV>
              <wp:extent cx="5019675" cy="140398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96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D3993" w14:textId="4A00A497" w:rsidR="00E5203C" w:rsidRPr="001E3456" w:rsidRDefault="00E5203C" w:rsidP="00E5203C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29474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Kat</w:t>
                          </w:r>
                          <w:r w:rsidR="00602EF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ha</w:t>
                          </w:r>
                          <w:r w:rsidR="0029474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rina Koester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| Telefon: +49 (0)40</w:t>
                          </w:r>
                          <w:r w:rsidR="00501E7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="00501E7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350 80</w:t>
                          </w:r>
                          <w:r w:rsidR="00CE687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</w:t>
                          </w:r>
                          <w:r w:rsidR="0029474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</w:t>
                          </w:r>
                          <w:r w:rsidR="003D69D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88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29474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k.koester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C25E6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.45pt;margin-top:1.65pt;width:39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" filled="f" stroked="f">
              <v:textbox style="mso-fit-shape-to-text:t">
                <w:txbxContent>
                  <w:p w14:paraId="038D3993" w14:textId="4A00A497" w:rsidR="00E5203C" w:rsidRPr="001E3456" w:rsidRDefault="00E5203C" w:rsidP="00E5203C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29474A">
                      <w:rPr>
                        <w:rFonts w:ascii="Arial" w:hAnsi="Arial" w:cs="Arial"/>
                        <w:sz w:val="16"/>
                        <w:szCs w:val="16"/>
                      </w:rPr>
                      <w:t>Kat</w:t>
                    </w:r>
                    <w:r w:rsidR="00602EF0">
                      <w:rPr>
                        <w:rFonts w:ascii="Arial" w:hAnsi="Arial" w:cs="Arial"/>
                        <w:sz w:val="16"/>
                        <w:szCs w:val="16"/>
                      </w:rPr>
                      <w:t>ha</w:t>
                    </w:r>
                    <w:r w:rsidR="0029474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rina Koester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| Telefon: +49 (0)40</w:t>
                    </w:r>
                    <w:r w:rsidR="00501E7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="00501E7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350 80</w:t>
                    </w:r>
                    <w:r w:rsidR="00CE687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</w:t>
                    </w:r>
                    <w:r w:rsidR="0029474A">
                      <w:rPr>
                        <w:rFonts w:ascii="Arial" w:hAnsi="Arial" w:cs="Arial"/>
                        <w:sz w:val="16"/>
                        <w:szCs w:val="16"/>
                      </w:rPr>
                      <w:t>9</w:t>
                    </w:r>
                    <w:r w:rsidR="003D69DE">
                      <w:rPr>
                        <w:rFonts w:ascii="Arial" w:hAnsi="Arial" w:cs="Arial"/>
                        <w:sz w:val="16"/>
                        <w:szCs w:val="16"/>
                      </w:rPr>
                      <w:t>88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29474A">
                      <w:rPr>
                        <w:rFonts w:ascii="Arial" w:hAnsi="Arial" w:cs="Arial"/>
                        <w:sz w:val="16"/>
                        <w:szCs w:val="16"/>
                      </w:rPr>
                      <w:t>k.koester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4672834A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6F632" w14:textId="77777777" w:rsidR="00D83CB7" w:rsidRDefault="00E5203C" w:rsidP="000C770D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FF3942" wp14:editId="1F9AD08A">
              <wp:simplePos x="0" y="0"/>
              <wp:positionH relativeFrom="column">
                <wp:posOffset>-78646</wp:posOffset>
              </wp:positionH>
              <wp:positionV relativeFrom="paragraph">
                <wp:posOffset>22092</wp:posOffset>
              </wp:positionV>
              <wp:extent cx="4947313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7313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1F569C" w14:textId="4B7A5418" w:rsidR="00E5203C" w:rsidRPr="001E3456" w:rsidRDefault="00E5203C" w:rsidP="00E5203C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29474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Katharina Koester</w:t>
                          </w:r>
                          <w:r w:rsidR="00602EF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| Telefon: +49 (0)40</w:t>
                          </w:r>
                          <w:r w:rsidR="00501E7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="00501E7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350 80</w:t>
                          </w:r>
                          <w:r w:rsidR="00CE687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</w:t>
                          </w:r>
                          <w:r w:rsidR="0029474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</w:t>
                          </w:r>
                          <w:r w:rsidR="003D69D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88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29474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k.koester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F394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.2pt;margin-top:1.75pt;width:389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" filled="f" stroked="f">
              <v:textbox style="mso-fit-shape-to-text:t">
                <w:txbxContent>
                  <w:p w14:paraId="341F569C" w14:textId="4B7A5418" w:rsidR="00E5203C" w:rsidRPr="001E3456" w:rsidRDefault="00E5203C" w:rsidP="00E5203C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29474A">
                      <w:rPr>
                        <w:rFonts w:ascii="Arial" w:hAnsi="Arial" w:cs="Arial"/>
                        <w:sz w:val="16"/>
                        <w:szCs w:val="16"/>
                      </w:rPr>
                      <w:t>Katharina Koester</w:t>
                    </w:r>
                    <w:r w:rsidR="00602EF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| Telefon: +49 (0)40</w:t>
                    </w:r>
                    <w:r w:rsidR="00501E7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="00501E7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350 80</w:t>
                    </w:r>
                    <w:r w:rsidR="00CE687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</w:t>
                    </w:r>
                    <w:r w:rsidR="0029474A">
                      <w:rPr>
                        <w:rFonts w:ascii="Arial" w:hAnsi="Arial" w:cs="Arial"/>
                        <w:sz w:val="16"/>
                        <w:szCs w:val="16"/>
                      </w:rPr>
                      <w:t>9</w:t>
                    </w:r>
                    <w:r w:rsidR="003D69DE">
                      <w:rPr>
                        <w:rFonts w:ascii="Arial" w:hAnsi="Arial" w:cs="Arial"/>
                        <w:sz w:val="16"/>
                        <w:szCs w:val="16"/>
                      </w:rPr>
                      <w:t>88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29474A">
                      <w:rPr>
                        <w:rFonts w:ascii="Arial" w:hAnsi="Arial" w:cs="Arial"/>
                        <w:sz w:val="16"/>
                        <w:szCs w:val="16"/>
                      </w:rPr>
                      <w:t>k.koester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3FAFB734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EB0C52"/>
    <w:multiLevelType w:val="hybridMultilevel"/>
    <w:tmpl w:val="1CE495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65F13"/>
    <w:multiLevelType w:val="hybridMultilevel"/>
    <w:tmpl w:val="4D16C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305C1"/>
    <w:multiLevelType w:val="hybridMultilevel"/>
    <w:tmpl w:val="BD4E0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85A89"/>
    <w:multiLevelType w:val="hybridMultilevel"/>
    <w:tmpl w:val="E0EEAA7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C7B8E"/>
    <w:multiLevelType w:val="hybridMultilevel"/>
    <w:tmpl w:val="970AC426"/>
    <w:lvl w:ilvl="0" w:tplc="C4768AF6">
      <w:start w:val="6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10B33"/>
    <w:multiLevelType w:val="hybridMultilevel"/>
    <w:tmpl w:val="B51EE262"/>
    <w:lvl w:ilvl="0" w:tplc="84565650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C6700"/>
    <w:multiLevelType w:val="hybridMultilevel"/>
    <w:tmpl w:val="C38C55C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F830F8"/>
    <w:multiLevelType w:val="hybridMultilevel"/>
    <w:tmpl w:val="CE54F1DE"/>
    <w:lvl w:ilvl="0" w:tplc="41F6EF16">
      <w:start w:val="28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0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1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FF56F7"/>
    <w:multiLevelType w:val="hybridMultilevel"/>
    <w:tmpl w:val="F8825B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21576"/>
    <w:multiLevelType w:val="hybridMultilevel"/>
    <w:tmpl w:val="3378CEC8"/>
    <w:lvl w:ilvl="0" w:tplc="5D5025CA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22"/>
  </w:num>
  <w:num w:numId="14">
    <w:abstractNumId w:val="20"/>
  </w:num>
  <w:num w:numId="15">
    <w:abstractNumId w:val="21"/>
  </w:num>
  <w:num w:numId="16">
    <w:abstractNumId w:val="12"/>
  </w:num>
  <w:num w:numId="17">
    <w:abstractNumId w:val="18"/>
  </w:num>
  <w:num w:numId="18">
    <w:abstractNumId w:val="13"/>
  </w:num>
  <w:num w:numId="19">
    <w:abstractNumId w:val="23"/>
  </w:num>
  <w:num w:numId="20">
    <w:abstractNumId w:val="17"/>
  </w:num>
  <w:num w:numId="21">
    <w:abstractNumId w:val="15"/>
  </w:num>
  <w:num w:numId="22">
    <w:abstractNumId w:val="11"/>
  </w:num>
  <w:num w:numId="23">
    <w:abstractNumId w:val="24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04FEC"/>
    <w:rsid w:val="0000598D"/>
    <w:rsid w:val="000159FE"/>
    <w:rsid w:val="000202AA"/>
    <w:rsid w:val="00022F16"/>
    <w:rsid w:val="00023D78"/>
    <w:rsid w:val="00030053"/>
    <w:rsid w:val="0003075C"/>
    <w:rsid w:val="00050080"/>
    <w:rsid w:val="00054DC9"/>
    <w:rsid w:val="00060743"/>
    <w:rsid w:val="00066796"/>
    <w:rsid w:val="000766D7"/>
    <w:rsid w:val="00095399"/>
    <w:rsid w:val="000A42D3"/>
    <w:rsid w:val="000B3315"/>
    <w:rsid w:val="000B579C"/>
    <w:rsid w:val="000B711C"/>
    <w:rsid w:val="000C770D"/>
    <w:rsid w:val="000D3CAE"/>
    <w:rsid w:val="000D774D"/>
    <w:rsid w:val="000E03F3"/>
    <w:rsid w:val="000E120E"/>
    <w:rsid w:val="000F1B26"/>
    <w:rsid w:val="001029C4"/>
    <w:rsid w:val="00106F37"/>
    <w:rsid w:val="0011486D"/>
    <w:rsid w:val="00121E33"/>
    <w:rsid w:val="0012484F"/>
    <w:rsid w:val="00126550"/>
    <w:rsid w:val="001324D6"/>
    <w:rsid w:val="00135BD2"/>
    <w:rsid w:val="00142A67"/>
    <w:rsid w:val="00153029"/>
    <w:rsid w:val="00154825"/>
    <w:rsid w:val="00155DAF"/>
    <w:rsid w:val="0016391F"/>
    <w:rsid w:val="00173FDB"/>
    <w:rsid w:val="0017402C"/>
    <w:rsid w:val="0017516B"/>
    <w:rsid w:val="00176F1D"/>
    <w:rsid w:val="00190298"/>
    <w:rsid w:val="001922E2"/>
    <w:rsid w:val="00192A39"/>
    <w:rsid w:val="001A2ABE"/>
    <w:rsid w:val="001A360C"/>
    <w:rsid w:val="001A5E9E"/>
    <w:rsid w:val="001B3575"/>
    <w:rsid w:val="001C0EEE"/>
    <w:rsid w:val="001D0D74"/>
    <w:rsid w:val="001D14DA"/>
    <w:rsid w:val="001E6995"/>
    <w:rsid w:val="001E76C4"/>
    <w:rsid w:val="001F1513"/>
    <w:rsid w:val="001F6BCE"/>
    <w:rsid w:val="00202AE4"/>
    <w:rsid w:val="00205769"/>
    <w:rsid w:val="00206F94"/>
    <w:rsid w:val="00210B56"/>
    <w:rsid w:val="00212FEC"/>
    <w:rsid w:val="002131BB"/>
    <w:rsid w:val="0022086D"/>
    <w:rsid w:val="002220CB"/>
    <w:rsid w:val="00225F74"/>
    <w:rsid w:val="00227E31"/>
    <w:rsid w:val="00230F81"/>
    <w:rsid w:val="002538F8"/>
    <w:rsid w:val="00254C6F"/>
    <w:rsid w:val="0026534A"/>
    <w:rsid w:val="00267947"/>
    <w:rsid w:val="00267E4A"/>
    <w:rsid w:val="0027266B"/>
    <w:rsid w:val="00281E80"/>
    <w:rsid w:val="002834B0"/>
    <w:rsid w:val="00283671"/>
    <w:rsid w:val="00284E27"/>
    <w:rsid w:val="0028566C"/>
    <w:rsid w:val="0029474A"/>
    <w:rsid w:val="002A028B"/>
    <w:rsid w:val="002A1973"/>
    <w:rsid w:val="002A7665"/>
    <w:rsid w:val="002B0935"/>
    <w:rsid w:val="002B16FA"/>
    <w:rsid w:val="002B1F33"/>
    <w:rsid w:val="002C2392"/>
    <w:rsid w:val="002C31E8"/>
    <w:rsid w:val="002C3E12"/>
    <w:rsid w:val="002D1C5C"/>
    <w:rsid w:val="002D1E20"/>
    <w:rsid w:val="002D6EF1"/>
    <w:rsid w:val="002E24A0"/>
    <w:rsid w:val="002E6860"/>
    <w:rsid w:val="002E7124"/>
    <w:rsid w:val="002F0411"/>
    <w:rsid w:val="00304104"/>
    <w:rsid w:val="00325E2A"/>
    <w:rsid w:val="0034786C"/>
    <w:rsid w:val="003517C9"/>
    <w:rsid w:val="0035325B"/>
    <w:rsid w:val="003559FF"/>
    <w:rsid w:val="003577ED"/>
    <w:rsid w:val="00370000"/>
    <w:rsid w:val="00373507"/>
    <w:rsid w:val="00376D12"/>
    <w:rsid w:val="0038230E"/>
    <w:rsid w:val="00382529"/>
    <w:rsid w:val="00384022"/>
    <w:rsid w:val="0039183F"/>
    <w:rsid w:val="00394EDE"/>
    <w:rsid w:val="003A3481"/>
    <w:rsid w:val="003A75E8"/>
    <w:rsid w:val="003B42CD"/>
    <w:rsid w:val="003B4CCF"/>
    <w:rsid w:val="003C2366"/>
    <w:rsid w:val="003C6AB4"/>
    <w:rsid w:val="003D52A0"/>
    <w:rsid w:val="003D69DE"/>
    <w:rsid w:val="003E099F"/>
    <w:rsid w:val="003F0987"/>
    <w:rsid w:val="003F1645"/>
    <w:rsid w:val="003F4284"/>
    <w:rsid w:val="003F4FE3"/>
    <w:rsid w:val="0040086D"/>
    <w:rsid w:val="004017D8"/>
    <w:rsid w:val="00406121"/>
    <w:rsid w:val="00411E03"/>
    <w:rsid w:val="004123B1"/>
    <w:rsid w:val="004303A1"/>
    <w:rsid w:val="004351E4"/>
    <w:rsid w:val="0043721F"/>
    <w:rsid w:val="00440DC9"/>
    <w:rsid w:val="0044622D"/>
    <w:rsid w:val="004506D2"/>
    <w:rsid w:val="00456F40"/>
    <w:rsid w:val="004609BD"/>
    <w:rsid w:val="004661EE"/>
    <w:rsid w:val="00466741"/>
    <w:rsid w:val="0047591A"/>
    <w:rsid w:val="004818C4"/>
    <w:rsid w:val="004839BD"/>
    <w:rsid w:val="00491E10"/>
    <w:rsid w:val="004A2BEA"/>
    <w:rsid w:val="004A3C64"/>
    <w:rsid w:val="004A5AEA"/>
    <w:rsid w:val="004B09DE"/>
    <w:rsid w:val="004B1B8E"/>
    <w:rsid w:val="004B2FDA"/>
    <w:rsid w:val="004B480A"/>
    <w:rsid w:val="004B6E37"/>
    <w:rsid w:val="004C1FA6"/>
    <w:rsid w:val="004C3D1A"/>
    <w:rsid w:val="004E339B"/>
    <w:rsid w:val="004E4562"/>
    <w:rsid w:val="004F077F"/>
    <w:rsid w:val="004F139A"/>
    <w:rsid w:val="00501E7D"/>
    <w:rsid w:val="005023DD"/>
    <w:rsid w:val="00503D8C"/>
    <w:rsid w:val="00512345"/>
    <w:rsid w:val="005223FE"/>
    <w:rsid w:val="00522B84"/>
    <w:rsid w:val="00531A7F"/>
    <w:rsid w:val="005428C5"/>
    <w:rsid w:val="00543C55"/>
    <w:rsid w:val="00546610"/>
    <w:rsid w:val="00546707"/>
    <w:rsid w:val="005554C7"/>
    <w:rsid w:val="00565657"/>
    <w:rsid w:val="00582B99"/>
    <w:rsid w:val="00586DAE"/>
    <w:rsid w:val="00590903"/>
    <w:rsid w:val="00593B27"/>
    <w:rsid w:val="005A0778"/>
    <w:rsid w:val="005B0FC9"/>
    <w:rsid w:val="005B2A58"/>
    <w:rsid w:val="005B66D3"/>
    <w:rsid w:val="005C4556"/>
    <w:rsid w:val="005C5302"/>
    <w:rsid w:val="005E35CD"/>
    <w:rsid w:val="005E362E"/>
    <w:rsid w:val="005E4B48"/>
    <w:rsid w:val="005F6E2B"/>
    <w:rsid w:val="00602EF0"/>
    <w:rsid w:val="0061109D"/>
    <w:rsid w:val="00612AA0"/>
    <w:rsid w:val="006138CB"/>
    <w:rsid w:val="006224C4"/>
    <w:rsid w:val="006225EA"/>
    <w:rsid w:val="006261DF"/>
    <w:rsid w:val="006263BD"/>
    <w:rsid w:val="00633B9C"/>
    <w:rsid w:val="00642074"/>
    <w:rsid w:val="00643A54"/>
    <w:rsid w:val="0065677B"/>
    <w:rsid w:val="00656B29"/>
    <w:rsid w:val="00665A14"/>
    <w:rsid w:val="00665FC2"/>
    <w:rsid w:val="006778B1"/>
    <w:rsid w:val="00687D00"/>
    <w:rsid w:val="00694C32"/>
    <w:rsid w:val="00695E58"/>
    <w:rsid w:val="006A1329"/>
    <w:rsid w:val="006A66F9"/>
    <w:rsid w:val="006B1624"/>
    <w:rsid w:val="006D4101"/>
    <w:rsid w:val="006D7DC5"/>
    <w:rsid w:val="006E4CF0"/>
    <w:rsid w:val="006E5F6E"/>
    <w:rsid w:val="00710607"/>
    <w:rsid w:val="00712CE1"/>
    <w:rsid w:val="00720DFF"/>
    <w:rsid w:val="007218C0"/>
    <w:rsid w:val="00724F8C"/>
    <w:rsid w:val="00727E22"/>
    <w:rsid w:val="00762CC5"/>
    <w:rsid w:val="0076540A"/>
    <w:rsid w:val="00776CA6"/>
    <w:rsid w:val="00781CBD"/>
    <w:rsid w:val="00783517"/>
    <w:rsid w:val="00787C24"/>
    <w:rsid w:val="007906B4"/>
    <w:rsid w:val="007A4FCB"/>
    <w:rsid w:val="007A7F58"/>
    <w:rsid w:val="007B78A8"/>
    <w:rsid w:val="007C013D"/>
    <w:rsid w:val="007C5658"/>
    <w:rsid w:val="007E4885"/>
    <w:rsid w:val="007E759D"/>
    <w:rsid w:val="007F49FD"/>
    <w:rsid w:val="00812471"/>
    <w:rsid w:val="008143C6"/>
    <w:rsid w:val="008238F0"/>
    <w:rsid w:val="008261A5"/>
    <w:rsid w:val="008314AD"/>
    <w:rsid w:val="0083382E"/>
    <w:rsid w:val="00855325"/>
    <w:rsid w:val="00862E02"/>
    <w:rsid w:val="00862E34"/>
    <w:rsid w:val="00865915"/>
    <w:rsid w:val="00865D20"/>
    <w:rsid w:val="00871832"/>
    <w:rsid w:val="00886CCE"/>
    <w:rsid w:val="00896B33"/>
    <w:rsid w:val="008A62FB"/>
    <w:rsid w:val="008A77B7"/>
    <w:rsid w:val="008B04D6"/>
    <w:rsid w:val="008B0F67"/>
    <w:rsid w:val="008B5E36"/>
    <w:rsid w:val="008C608D"/>
    <w:rsid w:val="008D0A26"/>
    <w:rsid w:val="008D114D"/>
    <w:rsid w:val="008E461D"/>
    <w:rsid w:val="008E6646"/>
    <w:rsid w:val="008F02E9"/>
    <w:rsid w:val="008F08E5"/>
    <w:rsid w:val="008F0C4C"/>
    <w:rsid w:val="008F0EA4"/>
    <w:rsid w:val="008F5213"/>
    <w:rsid w:val="009066C5"/>
    <w:rsid w:val="0090748B"/>
    <w:rsid w:val="00920C9C"/>
    <w:rsid w:val="00922754"/>
    <w:rsid w:val="00925781"/>
    <w:rsid w:val="00925804"/>
    <w:rsid w:val="009258D0"/>
    <w:rsid w:val="00930CEF"/>
    <w:rsid w:val="00935AB3"/>
    <w:rsid w:val="00946BF0"/>
    <w:rsid w:val="009734CE"/>
    <w:rsid w:val="00977A88"/>
    <w:rsid w:val="00980EDB"/>
    <w:rsid w:val="009864F4"/>
    <w:rsid w:val="0099478D"/>
    <w:rsid w:val="00996E1A"/>
    <w:rsid w:val="009A0FA2"/>
    <w:rsid w:val="009A4414"/>
    <w:rsid w:val="009C12BC"/>
    <w:rsid w:val="009D24DA"/>
    <w:rsid w:val="009D5738"/>
    <w:rsid w:val="009D5D75"/>
    <w:rsid w:val="009E17F7"/>
    <w:rsid w:val="009F1ABD"/>
    <w:rsid w:val="009F32A2"/>
    <w:rsid w:val="009F54CE"/>
    <w:rsid w:val="00A00F36"/>
    <w:rsid w:val="00A06264"/>
    <w:rsid w:val="00A070B6"/>
    <w:rsid w:val="00A146EB"/>
    <w:rsid w:val="00A1639A"/>
    <w:rsid w:val="00A202C5"/>
    <w:rsid w:val="00A215C9"/>
    <w:rsid w:val="00A25A45"/>
    <w:rsid w:val="00A3218E"/>
    <w:rsid w:val="00A32BC5"/>
    <w:rsid w:val="00A4056C"/>
    <w:rsid w:val="00A5271F"/>
    <w:rsid w:val="00A5364B"/>
    <w:rsid w:val="00A546DC"/>
    <w:rsid w:val="00A549D4"/>
    <w:rsid w:val="00A615E0"/>
    <w:rsid w:val="00A65E2B"/>
    <w:rsid w:val="00A74AA0"/>
    <w:rsid w:val="00A74C65"/>
    <w:rsid w:val="00A750B2"/>
    <w:rsid w:val="00A7546D"/>
    <w:rsid w:val="00A77100"/>
    <w:rsid w:val="00A83D73"/>
    <w:rsid w:val="00A97481"/>
    <w:rsid w:val="00AA42EB"/>
    <w:rsid w:val="00AA4D97"/>
    <w:rsid w:val="00AC2FA7"/>
    <w:rsid w:val="00AD17B7"/>
    <w:rsid w:val="00AD1870"/>
    <w:rsid w:val="00AE6AED"/>
    <w:rsid w:val="00AF1DF7"/>
    <w:rsid w:val="00AF41DF"/>
    <w:rsid w:val="00AF7365"/>
    <w:rsid w:val="00AF7477"/>
    <w:rsid w:val="00B04DDD"/>
    <w:rsid w:val="00B077D5"/>
    <w:rsid w:val="00B11C7C"/>
    <w:rsid w:val="00B158A2"/>
    <w:rsid w:val="00B200E4"/>
    <w:rsid w:val="00B27A3F"/>
    <w:rsid w:val="00B356BB"/>
    <w:rsid w:val="00B35B6D"/>
    <w:rsid w:val="00B35DC6"/>
    <w:rsid w:val="00B4312D"/>
    <w:rsid w:val="00B466DD"/>
    <w:rsid w:val="00B51699"/>
    <w:rsid w:val="00B53FAF"/>
    <w:rsid w:val="00B63153"/>
    <w:rsid w:val="00B6527D"/>
    <w:rsid w:val="00B70B17"/>
    <w:rsid w:val="00B73B3A"/>
    <w:rsid w:val="00B74507"/>
    <w:rsid w:val="00B747F3"/>
    <w:rsid w:val="00B75718"/>
    <w:rsid w:val="00B75E7E"/>
    <w:rsid w:val="00B81422"/>
    <w:rsid w:val="00B8524B"/>
    <w:rsid w:val="00B92005"/>
    <w:rsid w:val="00B93817"/>
    <w:rsid w:val="00B973C2"/>
    <w:rsid w:val="00BA0B96"/>
    <w:rsid w:val="00BB15DA"/>
    <w:rsid w:val="00BB340D"/>
    <w:rsid w:val="00BB4C96"/>
    <w:rsid w:val="00BB7641"/>
    <w:rsid w:val="00BC2A3A"/>
    <w:rsid w:val="00BC43AB"/>
    <w:rsid w:val="00BC64EC"/>
    <w:rsid w:val="00BD073D"/>
    <w:rsid w:val="00BD4EBC"/>
    <w:rsid w:val="00BF02E7"/>
    <w:rsid w:val="00BF3AFD"/>
    <w:rsid w:val="00C0727C"/>
    <w:rsid w:val="00C1606C"/>
    <w:rsid w:val="00C1720E"/>
    <w:rsid w:val="00C20EEA"/>
    <w:rsid w:val="00C23180"/>
    <w:rsid w:val="00C33731"/>
    <w:rsid w:val="00C41492"/>
    <w:rsid w:val="00C4157B"/>
    <w:rsid w:val="00C53BFC"/>
    <w:rsid w:val="00C66B88"/>
    <w:rsid w:val="00C702B5"/>
    <w:rsid w:val="00C70389"/>
    <w:rsid w:val="00C7341F"/>
    <w:rsid w:val="00C86C02"/>
    <w:rsid w:val="00C904B6"/>
    <w:rsid w:val="00C96DF4"/>
    <w:rsid w:val="00C975AA"/>
    <w:rsid w:val="00C97C2E"/>
    <w:rsid w:val="00CA43E4"/>
    <w:rsid w:val="00CB08A0"/>
    <w:rsid w:val="00CB627A"/>
    <w:rsid w:val="00CC00BA"/>
    <w:rsid w:val="00CC051D"/>
    <w:rsid w:val="00CC1337"/>
    <w:rsid w:val="00CC48DF"/>
    <w:rsid w:val="00CC6AC4"/>
    <w:rsid w:val="00CD1091"/>
    <w:rsid w:val="00CD70E7"/>
    <w:rsid w:val="00CD7363"/>
    <w:rsid w:val="00CE0C1F"/>
    <w:rsid w:val="00CE455F"/>
    <w:rsid w:val="00CE4ADD"/>
    <w:rsid w:val="00CE687E"/>
    <w:rsid w:val="00CF0163"/>
    <w:rsid w:val="00CF0BF9"/>
    <w:rsid w:val="00CF5957"/>
    <w:rsid w:val="00CF7742"/>
    <w:rsid w:val="00D04BA2"/>
    <w:rsid w:val="00D077B0"/>
    <w:rsid w:val="00D21234"/>
    <w:rsid w:val="00D22D42"/>
    <w:rsid w:val="00D2358B"/>
    <w:rsid w:val="00D34C12"/>
    <w:rsid w:val="00D36D8D"/>
    <w:rsid w:val="00D42378"/>
    <w:rsid w:val="00D44421"/>
    <w:rsid w:val="00D45711"/>
    <w:rsid w:val="00D500FC"/>
    <w:rsid w:val="00D51597"/>
    <w:rsid w:val="00D5326E"/>
    <w:rsid w:val="00D55867"/>
    <w:rsid w:val="00D634A3"/>
    <w:rsid w:val="00D6360E"/>
    <w:rsid w:val="00D72339"/>
    <w:rsid w:val="00D73E47"/>
    <w:rsid w:val="00D74ABB"/>
    <w:rsid w:val="00D8108D"/>
    <w:rsid w:val="00D816FA"/>
    <w:rsid w:val="00D83CB7"/>
    <w:rsid w:val="00D87371"/>
    <w:rsid w:val="00D97FA8"/>
    <w:rsid w:val="00DA47B7"/>
    <w:rsid w:val="00DA6FD3"/>
    <w:rsid w:val="00DC7B25"/>
    <w:rsid w:val="00DD6B73"/>
    <w:rsid w:val="00DE52CF"/>
    <w:rsid w:val="00DE6366"/>
    <w:rsid w:val="00DF0AB8"/>
    <w:rsid w:val="00DF31D9"/>
    <w:rsid w:val="00E06713"/>
    <w:rsid w:val="00E112C9"/>
    <w:rsid w:val="00E158F7"/>
    <w:rsid w:val="00E2087E"/>
    <w:rsid w:val="00E235B2"/>
    <w:rsid w:val="00E347F2"/>
    <w:rsid w:val="00E36818"/>
    <w:rsid w:val="00E47B97"/>
    <w:rsid w:val="00E47C25"/>
    <w:rsid w:val="00E5203C"/>
    <w:rsid w:val="00E61C65"/>
    <w:rsid w:val="00E6326D"/>
    <w:rsid w:val="00E634CC"/>
    <w:rsid w:val="00E65705"/>
    <w:rsid w:val="00E66ED5"/>
    <w:rsid w:val="00E77773"/>
    <w:rsid w:val="00E82F0E"/>
    <w:rsid w:val="00E96FAC"/>
    <w:rsid w:val="00EA129F"/>
    <w:rsid w:val="00EA1FCC"/>
    <w:rsid w:val="00EA7B88"/>
    <w:rsid w:val="00ED0582"/>
    <w:rsid w:val="00ED39A3"/>
    <w:rsid w:val="00EE31F6"/>
    <w:rsid w:val="00EE36DC"/>
    <w:rsid w:val="00F00E7D"/>
    <w:rsid w:val="00F044EE"/>
    <w:rsid w:val="00F15839"/>
    <w:rsid w:val="00F3320B"/>
    <w:rsid w:val="00F40E92"/>
    <w:rsid w:val="00F41947"/>
    <w:rsid w:val="00F435AA"/>
    <w:rsid w:val="00F54F30"/>
    <w:rsid w:val="00F76C6A"/>
    <w:rsid w:val="00F77F10"/>
    <w:rsid w:val="00F81B5E"/>
    <w:rsid w:val="00F83BF1"/>
    <w:rsid w:val="00F85C11"/>
    <w:rsid w:val="00F87749"/>
    <w:rsid w:val="00F90CB9"/>
    <w:rsid w:val="00F91F76"/>
    <w:rsid w:val="00F957C8"/>
    <w:rsid w:val="00F97373"/>
    <w:rsid w:val="00FA50A7"/>
    <w:rsid w:val="00FA6854"/>
    <w:rsid w:val="00FB064F"/>
    <w:rsid w:val="00FB144F"/>
    <w:rsid w:val="00FB159A"/>
    <w:rsid w:val="00FB4D77"/>
    <w:rsid w:val="00FB6E2B"/>
    <w:rsid w:val="00FC497D"/>
    <w:rsid w:val="00FD076B"/>
    <w:rsid w:val="00FF3782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5"/>
    <o:shapelayout v:ext="edit">
      <o:idmap v:ext="edit" data="1"/>
    </o:shapelayout>
  </w:shapeDefaults>
  <w:decimalSymbol w:val=","/>
  <w:listSeparator w:val=";"/>
  <w14:docId w14:val="36EE4B44"/>
  <w15:docId w15:val="{00E98723-0562-49FF-BF92-99B3AA9F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800080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qFormat/>
    <w:locked/>
    <w:rsid w:val="00382529"/>
    <w:rPr>
      <w:b/>
      <w:bCs/>
    </w:rPr>
  </w:style>
  <w:style w:type="table" w:customStyle="1" w:styleId="TableGrid2">
    <w:name w:val="Table Grid2"/>
    <w:basedOn w:val="NormaleTabelle"/>
    <w:next w:val="Tabellenraster"/>
    <w:uiPriority w:val="59"/>
    <w:rsid w:val="00C7341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locked/>
    <w:rsid w:val="00C7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59"/>
    <w:rsid w:val="00C7341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B09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09D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09DE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09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09DE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germanpropertypartners.de/de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eug-immobilien.de/privat-immobilien" TargetMode="External"/><Relationship Id="rId17" Type="http://schemas.openxmlformats.org/officeDocument/2006/relationships/hyperlink" Target="mailto:presse@grossmann-berger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rossmann-berger.de/unternehmen/pressemappe/nutzungsbedingungen-press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g-immobilien.de/gewerbe-immobili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rossmann-berger.de/unternehmen/pressemappe/" TargetMode="External"/><Relationship Id="rId23" Type="http://schemas.openxmlformats.org/officeDocument/2006/relationships/theme" Target="theme/theme1.xml"/><Relationship Id="rId28" Type="http://schemas.microsoft.com/office/2018/08/relationships/commentsExtensible" Target="commentsExtensible.xml"/><Relationship Id="rId10" Type="http://schemas.openxmlformats.org/officeDocument/2006/relationships/hyperlink" Target="https://www.grossmann-berger.d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info/marktberichte-preistrends" TargetMode="External"/><Relationship Id="rId14" Type="http://schemas.openxmlformats.org/officeDocument/2006/relationships/hyperlink" Target="https://www.grossmann-berger.de/datenschutz/" TargetMode="External"/><Relationship Id="rId22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03030-6110-4C39-B39E-A7202EE5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 bi</dc:creator>
  <cp:lastModifiedBy>Katharina Koester</cp:lastModifiedBy>
  <cp:revision>3</cp:revision>
  <cp:lastPrinted>2022-12-30T12:25:00Z</cp:lastPrinted>
  <dcterms:created xsi:type="dcterms:W3CDTF">2023-01-03T10:39:00Z</dcterms:created>
  <dcterms:modified xsi:type="dcterms:W3CDTF">2023-01-03T10:41:00Z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-1847800222</vt:i4>
  </property>
</Properties>
</file>