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D771" w14:textId="490CAB1C" w:rsidR="00D04BA2" w:rsidRPr="005D1DAB" w:rsidRDefault="00140D8F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Berlin</w:t>
      </w:r>
      <w:r w:rsidR="007970A0" w:rsidRPr="00470BC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Investment</w:t>
      </w:r>
      <w:r w:rsidR="002C055A" w:rsidRPr="00470BCC">
        <w:rPr>
          <w:rFonts w:ascii="Arial" w:hAnsi="Arial" w:cs="Arial"/>
          <w:b/>
        </w:rPr>
        <w:t xml:space="preserve">markt </w:t>
      </w:r>
      <w:r w:rsidR="00452892">
        <w:rPr>
          <w:rFonts w:ascii="Arial" w:hAnsi="Arial" w:cs="Arial"/>
          <w:b/>
        </w:rPr>
        <w:t>1</w:t>
      </w:r>
      <w:r w:rsidR="00267258">
        <w:rPr>
          <w:rFonts w:ascii="Arial" w:hAnsi="Arial" w:cs="Arial"/>
          <w:b/>
        </w:rPr>
        <w:t>.-</w:t>
      </w:r>
      <w:r w:rsidR="00C65D69">
        <w:rPr>
          <w:rFonts w:ascii="Arial" w:hAnsi="Arial" w:cs="Arial"/>
          <w:b/>
        </w:rPr>
        <w:t>4</w:t>
      </w:r>
      <w:r w:rsidR="0089000C" w:rsidRPr="00470BCC">
        <w:rPr>
          <w:rFonts w:ascii="Arial" w:hAnsi="Arial" w:cs="Arial"/>
          <w:b/>
        </w:rPr>
        <w:t>. Quartal 20</w:t>
      </w:r>
      <w:r w:rsidR="00452892">
        <w:rPr>
          <w:rFonts w:ascii="Arial" w:hAnsi="Arial" w:cs="Arial"/>
          <w:b/>
        </w:rPr>
        <w:t>20</w:t>
      </w:r>
      <w:r w:rsidR="00470BCC">
        <w:rPr>
          <w:rFonts w:ascii="Arial" w:hAnsi="Arial" w:cs="Arial"/>
          <w:b/>
        </w:rPr>
        <w:br/>
      </w:r>
      <w:r w:rsidR="009F17BD">
        <w:rPr>
          <w:rFonts w:ascii="Arial" w:hAnsi="Arial" w:cs="Arial"/>
          <w:b/>
          <w:sz w:val="28"/>
          <w:szCs w:val="28"/>
        </w:rPr>
        <w:t xml:space="preserve">Solides Transaktionsvolumen nach Vorjahresrekord 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689C87" w14:textId="461FBD62" w:rsidR="00363DD7" w:rsidRPr="004E312C" w:rsidRDefault="00140D8F" w:rsidP="003C4D42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FC455D">
        <w:rPr>
          <w:rFonts w:ascii="Arial" w:hAnsi="Arial" w:cs="Arial"/>
          <w:b/>
          <w:sz w:val="20"/>
          <w:szCs w:val="20"/>
        </w:rPr>
        <w:t>,</w:t>
      </w:r>
      <w:r w:rsidR="00E0411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C455D">
        <w:rPr>
          <w:rFonts w:ascii="Arial" w:hAnsi="Arial" w:cs="Arial"/>
          <w:b/>
          <w:sz w:val="20"/>
          <w:szCs w:val="20"/>
        </w:rPr>
        <w:t>14</w:t>
      </w:r>
      <w:r w:rsidR="00732079">
        <w:rPr>
          <w:rFonts w:ascii="Arial" w:hAnsi="Arial" w:cs="Arial"/>
          <w:b/>
          <w:sz w:val="20"/>
          <w:szCs w:val="20"/>
        </w:rPr>
        <w:t xml:space="preserve">. </w:t>
      </w:r>
      <w:r w:rsidR="00C65D69">
        <w:rPr>
          <w:rFonts w:ascii="Arial" w:hAnsi="Arial" w:cs="Arial"/>
          <w:b/>
          <w:sz w:val="20"/>
          <w:szCs w:val="20"/>
        </w:rPr>
        <w:t>Januar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</w:t>
      </w:r>
      <w:r w:rsidR="00C65D69">
        <w:rPr>
          <w:rFonts w:ascii="Arial" w:hAnsi="Arial" w:cs="Arial"/>
          <w:b/>
          <w:sz w:val="20"/>
          <w:szCs w:val="20"/>
        </w:rPr>
        <w:t>1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FB4C38">
        <w:rPr>
          <w:rFonts w:ascii="Arial" w:hAnsi="Arial" w:cs="Arial"/>
          <w:sz w:val="20"/>
          <w:szCs w:val="20"/>
        </w:rPr>
        <w:t xml:space="preserve"> </w:t>
      </w:r>
      <w:r w:rsidR="00082B08">
        <w:rPr>
          <w:rFonts w:ascii="Arial" w:hAnsi="Arial" w:cs="Arial"/>
          <w:sz w:val="20"/>
          <w:szCs w:val="20"/>
        </w:rPr>
        <w:t>In der Bundeshauptstadt konnte der Markt für gewerbliche Immobilien-Investments</w:t>
      </w:r>
      <w:r w:rsidR="00AE4393">
        <w:rPr>
          <w:rFonts w:ascii="Arial" w:hAnsi="Arial" w:cs="Arial"/>
          <w:sz w:val="20"/>
          <w:szCs w:val="20"/>
        </w:rPr>
        <w:t xml:space="preserve"> 2020 erwartungsgemäß nicht mit dem Rekordjahr 2019 mithalten. Zum </w:t>
      </w:r>
      <w:r w:rsidR="00B602FA">
        <w:rPr>
          <w:rFonts w:ascii="Arial" w:hAnsi="Arial" w:cs="Arial"/>
          <w:sz w:val="20"/>
          <w:szCs w:val="20"/>
        </w:rPr>
        <w:t>Ende des 4. Quartals</w:t>
      </w:r>
      <w:r w:rsidR="00AE4393">
        <w:rPr>
          <w:rFonts w:ascii="Arial" w:hAnsi="Arial" w:cs="Arial"/>
          <w:sz w:val="20"/>
          <w:szCs w:val="20"/>
        </w:rPr>
        <w:t xml:space="preserve"> lag das Transaktionsvolumen mit 7,36 Mrd. € um 34 % unter dem Vorjahresniveau. Nach dem historisch starken Jahresauftakt sorgte die Corona-Pandemie für zwei </w:t>
      </w:r>
      <w:r w:rsidR="005F58C7">
        <w:rPr>
          <w:rFonts w:ascii="Arial" w:hAnsi="Arial" w:cs="Arial"/>
          <w:sz w:val="20"/>
          <w:szCs w:val="20"/>
        </w:rPr>
        <w:t xml:space="preserve">im Vergleich zu den Vorjahren </w:t>
      </w:r>
      <w:r w:rsidR="00AE4393">
        <w:rPr>
          <w:rFonts w:ascii="Arial" w:hAnsi="Arial" w:cs="Arial"/>
          <w:sz w:val="20"/>
          <w:szCs w:val="20"/>
        </w:rPr>
        <w:t xml:space="preserve">schwache mittlere Quartale, die durch das wieder erstarkende 4. Quartal nicht ausgeglichen werden konnten. </w:t>
      </w:r>
      <w:r w:rsidR="00AE4393" w:rsidRPr="005F58C7">
        <w:rPr>
          <w:rFonts w:ascii="Arial" w:hAnsi="Arial" w:cs="Arial"/>
          <w:i/>
          <w:sz w:val="20"/>
          <w:szCs w:val="20"/>
        </w:rPr>
        <w:t>„</w:t>
      </w:r>
      <w:r w:rsidR="00826A19">
        <w:rPr>
          <w:rFonts w:ascii="Arial" w:hAnsi="Arial" w:cs="Arial"/>
          <w:i/>
          <w:sz w:val="20"/>
          <w:szCs w:val="20"/>
        </w:rPr>
        <w:t xml:space="preserve">Anleger zeigten sich durch die Corona-Pandemie insgesamt deutlich </w:t>
      </w:r>
      <w:r w:rsidR="004E312C">
        <w:rPr>
          <w:rFonts w:ascii="Arial" w:hAnsi="Arial" w:cs="Arial"/>
          <w:i/>
          <w:sz w:val="20"/>
          <w:szCs w:val="20"/>
        </w:rPr>
        <w:t>zurückhaltender</w:t>
      </w:r>
      <w:r w:rsidR="00826A19">
        <w:rPr>
          <w:rFonts w:ascii="Arial" w:hAnsi="Arial" w:cs="Arial"/>
          <w:i/>
          <w:sz w:val="20"/>
          <w:szCs w:val="20"/>
        </w:rPr>
        <w:t xml:space="preserve"> und fokussierten sich weiter auf Core-Objekte mit bonitätsstarken Nutzern</w:t>
      </w:r>
      <w:r w:rsidR="005F58C7" w:rsidRPr="005F58C7">
        <w:rPr>
          <w:rFonts w:ascii="Arial" w:hAnsi="Arial" w:cs="Arial"/>
          <w:i/>
          <w:sz w:val="20"/>
          <w:szCs w:val="20"/>
        </w:rPr>
        <w:t>“,</w:t>
      </w:r>
      <w:r w:rsidR="005F58C7">
        <w:rPr>
          <w:rFonts w:ascii="Arial" w:hAnsi="Arial" w:cs="Arial"/>
          <w:sz w:val="20"/>
          <w:szCs w:val="20"/>
        </w:rPr>
        <w:t xml:space="preserve"> </w:t>
      </w:r>
      <w:r w:rsidR="009A5260">
        <w:rPr>
          <w:rFonts w:ascii="Arial" w:hAnsi="Arial" w:cs="Arial"/>
          <w:sz w:val="20"/>
          <w:szCs w:val="20"/>
        </w:rPr>
        <w:t>erläutert</w:t>
      </w:r>
      <w:r w:rsidR="005F58C7" w:rsidRPr="00365AF8">
        <w:rPr>
          <w:rFonts w:ascii="Arial" w:hAnsi="Arial" w:cs="Arial"/>
          <w:sz w:val="20"/>
          <w:szCs w:val="20"/>
        </w:rPr>
        <w:t xml:space="preserve"> </w:t>
      </w:r>
      <w:r w:rsidR="005F58C7" w:rsidRPr="00365AF8">
        <w:rPr>
          <w:rFonts w:ascii="Arial" w:hAnsi="Arial" w:cs="Arial"/>
          <w:b/>
          <w:sz w:val="20"/>
          <w:szCs w:val="20"/>
        </w:rPr>
        <w:t>Holger Michaelis</w:t>
      </w:r>
      <w:r w:rsidR="005F58C7" w:rsidRPr="00365AF8">
        <w:rPr>
          <w:rFonts w:ascii="Arial" w:hAnsi="Arial" w:cs="Arial"/>
          <w:sz w:val="20"/>
          <w:szCs w:val="20"/>
        </w:rPr>
        <w:t>, Geschäftsführer von Grossmann &amp; Berger</w:t>
      </w:r>
      <w:r w:rsidR="005F58C7">
        <w:rPr>
          <w:rFonts w:ascii="Arial" w:hAnsi="Arial" w:cs="Arial"/>
          <w:sz w:val="20"/>
          <w:szCs w:val="20"/>
        </w:rPr>
        <w:t>, Mitglied von German Property Partners (GPP).</w:t>
      </w:r>
      <w:r w:rsidR="009A5260">
        <w:rPr>
          <w:rFonts w:ascii="Arial" w:hAnsi="Arial" w:cs="Arial"/>
          <w:sz w:val="20"/>
          <w:szCs w:val="20"/>
        </w:rPr>
        <w:t xml:space="preserve"> </w:t>
      </w:r>
      <w:r w:rsidR="009A5260" w:rsidRPr="00B602FA">
        <w:rPr>
          <w:rFonts w:ascii="Arial" w:hAnsi="Arial" w:cs="Arial"/>
          <w:i/>
          <w:sz w:val="20"/>
          <w:szCs w:val="20"/>
        </w:rPr>
        <w:t>„</w:t>
      </w:r>
      <w:r w:rsidR="00826A19">
        <w:rPr>
          <w:rFonts w:ascii="Arial" w:hAnsi="Arial" w:cs="Arial"/>
          <w:i/>
          <w:sz w:val="20"/>
          <w:szCs w:val="20"/>
        </w:rPr>
        <w:t xml:space="preserve">Angesichts des anhaltenden Infektionsgeschehens gehen wir davon aus, dass der Umsatz </w:t>
      </w:r>
      <w:r w:rsidR="00DA6839">
        <w:rPr>
          <w:rFonts w:ascii="Arial" w:hAnsi="Arial" w:cs="Arial"/>
          <w:i/>
          <w:sz w:val="20"/>
          <w:szCs w:val="20"/>
        </w:rPr>
        <w:t xml:space="preserve">insbesondere </w:t>
      </w:r>
      <w:r w:rsidR="009F17BD">
        <w:rPr>
          <w:rFonts w:ascii="Arial" w:hAnsi="Arial" w:cs="Arial"/>
          <w:i/>
          <w:sz w:val="20"/>
          <w:szCs w:val="20"/>
        </w:rPr>
        <w:t>im Einzelhandels- und Hotelsegment</w:t>
      </w:r>
      <w:r w:rsidR="00DA6839">
        <w:rPr>
          <w:rFonts w:ascii="Arial" w:hAnsi="Arial" w:cs="Arial"/>
          <w:i/>
          <w:sz w:val="20"/>
          <w:szCs w:val="20"/>
        </w:rPr>
        <w:t xml:space="preserve"> </w:t>
      </w:r>
      <w:r w:rsidR="00826A19">
        <w:rPr>
          <w:rFonts w:ascii="Arial" w:hAnsi="Arial" w:cs="Arial"/>
          <w:i/>
          <w:sz w:val="20"/>
          <w:szCs w:val="20"/>
        </w:rPr>
        <w:t>in den kommenden drei Quartalen</w:t>
      </w:r>
      <w:r w:rsidR="004E312C">
        <w:rPr>
          <w:rFonts w:ascii="Arial" w:hAnsi="Arial" w:cs="Arial"/>
          <w:i/>
          <w:sz w:val="20"/>
          <w:szCs w:val="20"/>
        </w:rPr>
        <w:t xml:space="preserve"> </w:t>
      </w:r>
      <w:r w:rsidR="00DA6839">
        <w:rPr>
          <w:rFonts w:ascii="Arial" w:hAnsi="Arial" w:cs="Arial"/>
          <w:i/>
          <w:sz w:val="20"/>
          <w:szCs w:val="20"/>
        </w:rPr>
        <w:t>weiter verhalten</w:t>
      </w:r>
      <w:r w:rsidR="004E312C">
        <w:rPr>
          <w:rFonts w:ascii="Arial" w:hAnsi="Arial" w:cs="Arial"/>
          <w:i/>
          <w:sz w:val="20"/>
          <w:szCs w:val="20"/>
        </w:rPr>
        <w:t xml:space="preserve"> ausfallen wird. </w:t>
      </w:r>
      <w:r w:rsidR="009F17BD">
        <w:rPr>
          <w:rFonts w:ascii="Arial" w:hAnsi="Arial" w:cs="Arial"/>
          <w:i/>
          <w:sz w:val="20"/>
          <w:szCs w:val="20"/>
        </w:rPr>
        <w:t xml:space="preserve">Mit der breiten Durchimpfung der Bevölkerung </w:t>
      </w:r>
      <w:r w:rsidR="00AA05E8">
        <w:rPr>
          <w:rFonts w:ascii="Arial" w:hAnsi="Arial" w:cs="Arial"/>
          <w:i/>
          <w:sz w:val="20"/>
          <w:szCs w:val="20"/>
        </w:rPr>
        <w:t>werden die Reisetätigkeit und der stationäre Handel und somit die Attraktivität dieses Segments</w:t>
      </w:r>
      <w:r w:rsidR="004E312C">
        <w:rPr>
          <w:rFonts w:ascii="Arial" w:hAnsi="Arial" w:cs="Arial"/>
          <w:i/>
          <w:sz w:val="20"/>
          <w:szCs w:val="20"/>
        </w:rPr>
        <w:t xml:space="preserve"> wieder </w:t>
      </w:r>
      <w:r w:rsidR="00AA05E8">
        <w:rPr>
          <w:rFonts w:ascii="Arial" w:hAnsi="Arial" w:cs="Arial"/>
          <w:i/>
          <w:sz w:val="20"/>
          <w:szCs w:val="20"/>
        </w:rPr>
        <w:t>zunehmen</w:t>
      </w:r>
      <w:r w:rsidR="004E312C">
        <w:rPr>
          <w:rFonts w:ascii="Arial" w:hAnsi="Arial" w:cs="Arial"/>
          <w:i/>
          <w:sz w:val="20"/>
          <w:szCs w:val="20"/>
        </w:rPr>
        <w:t xml:space="preserve">. </w:t>
      </w:r>
      <w:r w:rsidR="00DA6839">
        <w:rPr>
          <w:rFonts w:ascii="Arial" w:hAnsi="Arial" w:cs="Arial"/>
          <w:i/>
          <w:sz w:val="20"/>
          <w:szCs w:val="20"/>
        </w:rPr>
        <w:t xml:space="preserve">Somit dürfte das Transaktionsgeschehen </w:t>
      </w:r>
      <w:r w:rsidR="009F17BD">
        <w:rPr>
          <w:rFonts w:ascii="Arial" w:hAnsi="Arial" w:cs="Arial"/>
          <w:i/>
          <w:sz w:val="20"/>
          <w:szCs w:val="20"/>
        </w:rPr>
        <w:t xml:space="preserve">auf dem Berliner Investmentmarkt </w:t>
      </w:r>
      <w:r w:rsidR="00DA6839">
        <w:rPr>
          <w:rFonts w:ascii="Arial" w:hAnsi="Arial" w:cs="Arial"/>
          <w:i/>
          <w:sz w:val="20"/>
          <w:szCs w:val="20"/>
        </w:rPr>
        <w:t xml:space="preserve">zum Jahresende </w:t>
      </w:r>
      <w:r w:rsidR="003B65F8">
        <w:rPr>
          <w:rFonts w:ascii="Arial" w:hAnsi="Arial" w:cs="Arial"/>
          <w:i/>
          <w:sz w:val="20"/>
          <w:szCs w:val="20"/>
        </w:rPr>
        <w:t>2021</w:t>
      </w:r>
      <w:r w:rsidR="00DA6839">
        <w:rPr>
          <w:rFonts w:ascii="Arial" w:hAnsi="Arial" w:cs="Arial"/>
          <w:i/>
          <w:sz w:val="20"/>
          <w:szCs w:val="20"/>
        </w:rPr>
        <w:t xml:space="preserve"> wieder Fahrt aufnehmen und für einen Gesamtumsatz auf ähnlichem Niveau wie in 2020 sorgen</w:t>
      </w:r>
      <w:r w:rsidR="00B602FA" w:rsidRPr="00B602FA">
        <w:rPr>
          <w:rFonts w:ascii="Arial" w:hAnsi="Arial" w:cs="Arial"/>
          <w:i/>
          <w:sz w:val="20"/>
          <w:szCs w:val="20"/>
        </w:rPr>
        <w:t>“</w:t>
      </w:r>
      <w:r w:rsidR="00B602FA">
        <w:rPr>
          <w:rFonts w:ascii="Arial" w:hAnsi="Arial" w:cs="Arial"/>
          <w:sz w:val="20"/>
          <w:szCs w:val="20"/>
        </w:rPr>
        <w:t xml:space="preserve">, führt </w:t>
      </w:r>
      <w:r w:rsidR="00B602FA" w:rsidRPr="00082B08">
        <w:rPr>
          <w:rFonts w:ascii="Arial" w:hAnsi="Arial" w:cs="Arial"/>
          <w:b/>
          <w:sz w:val="20"/>
          <w:szCs w:val="20"/>
        </w:rPr>
        <w:t>Michaelis</w:t>
      </w:r>
      <w:r w:rsidR="00B602FA">
        <w:rPr>
          <w:rFonts w:ascii="Arial" w:hAnsi="Arial" w:cs="Arial"/>
          <w:sz w:val="20"/>
          <w:szCs w:val="20"/>
        </w:rPr>
        <w:t xml:space="preserve"> weiter aus.</w:t>
      </w:r>
    </w:p>
    <w:p w14:paraId="1CE4666C" w14:textId="77777777" w:rsidR="00EE77BB" w:rsidRDefault="00EE77BB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037A73B" w14:textId="72435A19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1A3E9FCF" w14:textId="50616C7E" w:rsidR="00B27E63" w:rsidRPr="00B27E63" w:rsidRDefault="00082B08" w:rsidP="00B27E63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im 1. Quartal getätigte Portfolio-Kauf von rund 80 % der Anteile von TLG durch </w:t>
      </w:r>
      <w:proofErr w:type="spellStart"/>
      <w:r>
        <w:rPr>
          <w:rFonts w:ascii="Arial" w:hAnsi="Arial" w:cs="Arial"/>
          <w:sz w:val="20"/>
          <w:szCs w:val="20"/>
        </w:rPr>
        <w:t>Aroundtown</w:t>
      </w:r>
      <w:proofErr w:type="spellEnd"/>
      <w:r>
        <w:rPr>
          <w:rFonts w:ascii="Arial" w:hAnsi="Arial" w:cs="Arial"/>
          <w:sz w:val="20"/>
          <w:szCs w:val="20"/>
        </w:rPr>
        <w:t xml:space="preserve"> beschert dem Berliner Investmentmarkt ein insgesamt solides Transaktionsvolumen</w:t>
      </w:r>
      <w:r w:rsidR="00F758EB">
        <w:rPr>
          <w:rFonts w:ascii="Arial" w:hAnsi="Arial" w:cs="Arial"/>
          <w:sz w:val="20"/>
          <w:szCs w:val="20"/>
        </w:rPr>
        <w:t xml:space="preserve"> für 2020</w:t>
      </w:r>
      <w:r>
        <w:rPr>
          <w:rFonts w:ascii="Arial" w:hAnsi="Arial" w:cs="Arial"/>
          <w:sz w:val="20"/>
          <w:szCs w:val="20"/>
        </w:rPr>
        <w:t>.</w:t>
      </w:r>
      <w:r w:rsidR="00C55A4E">
        <w:rPr>
          <w:rFonts w:ascii="Arial" w:hAnsi="Arial" w:cs="Arial"/>
          <w:sz w:val="20"/>
          <w:szCs w:val="20"/>
        </w:rPr>
        <w:t xml:space="preserve"> Dieses liegt trotz der Corona-</w:t>
      </w:r>
      <w:r w:rsidR="00877D8E">
        <w:rPr>
          <w:rFonts w:ascii="Arial" w:hAnsi="Arial" w:cs="Arial"/>
          <w:sz w:val="20"/>
          <w:szCs w:val="20"/>
        </w:rPr>
        <w:t>Einflüsse deutlich über dem Zehn</w:t>
      </w:r>
      <w:r w:rsidR="00C55A4E">
        <w:rPr>
          <w:rFonts w:ascii="Arial" w:hAnsi="Arial" w:cs="Arial"/>
          <w:sz w:val="20"/>
          <w:szCs w:val="20"/>
        </w:rPr>
        <w:t>-Jahres-Mi</w:t>
      </w:r>
      <w:r w:rsidR="00877D8E">
        <w:rPr>
          <w:rFonts w:ascii="Arial" w:hAnsi="Arial" w:cs="Arial"/>
          <w:sz w:val="20"/>
          <w:szCs w:val="20"/>
        </w:rPr>
        <w:t>ttel von 5,9</w:t>
      </w:r>
      <w:r w:rsidR="00C55A4E">
        <w:rPr>
          <w:rFonts w:ascii="Arial" w:hAnsi="Arial" w:cs="Arial"/>
          <w:sz w:val="20"/>
          <w:szCs w:val="20"/>
        </w:rPr>
        <w:t xml:space="preserve"> Mrd. €.</w:t>
      </w:r>
    </w:p>
    <w:p w14:paraId="575F38FF" w14:textId="6C3B2837" w:rsidR="00B27E63" w:rsidRDefault="00F758EB" w:rsidP="00AF64D0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Anleger fokussierten sich angesichts der gegenwärtigen Pandemie auf Core-Objekte, wodurch insgesamt deutlich weniger Deals (2020</w:t>
      </w:r>
      <w:r w:rsidR="00C96910">
        <w:rPr>
          <w:rFonts w:ascii="Arial" w:hAnsi="Arial" w:cs="Arial"/>
          <w:sz w:val="20"/>
          <w:szCs w:val="20"/>
        </w:rPr>
        <w:t>: 119) getätigt wurden als 2019</w:t>
      </w:r>
      <w:r>
        <w:rPr>
          <w:rFonts w:ascii="Arial" w:hAnsi="Arial" w:cs="Arial"/>
          <w:sz w:val="20"/>
          <w:szCs w:val="20"/>
        </w:rPr>
        <w:t xml:space="preserve"> (146).</w:t>
      </w:r>
    </w:p>
    <w:p w14:paraId="627856B7" w14:textId="77777777" w:rsidR="0064290D" w:rsidRDefault="00B30501" w:rsidP="00AF64D0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stärksten zurückgegangen ist die Zahl an Hotel-Deals (-50 %), gef</w:t>
      </w:r>
      <w:r w:rsidR="0064290D">
        <w:rPr>
          <w:rFonts w:ascii="Arial" w:hAnsi="Arial" w:cs="Arial"/>
          <w:sz w:val="20"/>
          <w:szCs w:val="20"/>
        </w:rPr>
        <w:t>olgt von Gewerbe/Industrie</w:t>
      </w:r>
    </w:p>
    <w:p w14:paraId="3482BB9E" w14:textId="37FC3B36" w:rsidR="00B30501" w:rsidRDefault="0064290D" w:rsidP="0064290D">
      <w:pPr>
        <w:pStyle w:val="Listenabsatz"/>
        <w:spacing w:after="0" w:line="360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B30501">
        <w:rPr>
          <w:rFonts w:ascii="Arial" w:hAnsi="Arial" w:cs="Arial"/>
          <w:sz w:val="20"/>
          <w:szCs w:val="20"/>
        </w:rPr>
        <w:t xml:space="preserve">38 %) und Büro (-37 %). Folgerichtig </w:t>
      </w:r>
      <w:r w:rsidR="00C55A4E">
        <w:rPr>
          <w:rFonts w:ascii="Arial" w:hAnsi="Arial" w:cs="Arial"/>
          <w:sz w:val="20"/>
          <w:szCs w:val="20"/>
        </w:rPr>
        <w:t>reduzierte sich der</w:t>
      </w:r>
      <w:r w:rsidR="00B30501">
        <w:rPr>
          <w:rFonts w:ascii="Arial" w:hAnsi="Arial" w:cs="Arial"/>
          <w:sz w:val="20"/>
          <w:szCs w:val="20"/>
        </w:rPr>
        <w:t xml:space="preserve"> Volumenanteil der nach wie vor größten </w:t>
      </w:r>
      <w:proofErr w:type="spellStart"/>
      <w:r w:rsidR="00B30501">
        <w:rPr>
          <w:rFonts w:ascii="Arial" w:hAnsi="Arial" w:cs="Arial"/>
          <w:sz w:val="20"/>
          <w:szCs w:val="20"/>
        </w:rPr>
        <w:t>Assetklasse</w:t>
      </w:r>
      <w:proofErr w:type="spellEnd"/>
      <w:r w:rsidR="00B30501">
        <w:rPr>
          <w:rFonts w:ascii="Arial" w:hAnsi="Arial" w:cs="Arial"/>
          <w:sz w:val="20"/>
          <w:szCs w:val="20"/>
        </w:rPr>
        <w:t xml:space="preserve"> Büro auf 62 % (2019: 70 %).</w:t>
      </w:r>
    </w:p>
    <w:p w14:paraId="2128B3A8" w14:textId="65AEC5CF" w:rsidR="00E47E81" w:rsidRDefault="00E47E81" w:rsidP="00AF64D0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den insgesamt 22 Verkäufen über 100 Mio. € fielen 17 auf das 1. </w:t>
      </w:r>
      <w:r w:rsidR="007A6A6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 4. Quartal. Dies spiegelt das zurückhaltende Anlegerverhalten in den beiden mittleren Quartalen wider.</w:t>
      </w:r>
      <w:r w:rsidR="007A6A6B">
        <w:rPr>
          <w:rFonts w:ascii="Arial" w:hAnsi="Arial" w:cs="Arial"/>
          <w:sz w:val="20"/>
          <w:szCs w:val="20"/>
        </w:rPr>
        <w:t xml:space="preserve"> </w:t>
      </w:r>
      <w:r w:rsidR="00AF1AAD">
        <w:rPr>
          <w:rFonts w:ascii="Arial" w:hAnsi="Arial" w:cs="Arial"/>
          <w:sz w:val="20"/>
          <w:szCs w:val="20"/>
        </w:rPr>
        <w:t>Insgesamt ging das Transaktionsgeschehen in dieser Größenklasse gegenüber dem Vorjahr um 29 % zurück.</w:t>
      </w:r>
      <w:r w:rsidR="0045169C">
        <w:rPr>
          <w:rFonts w:ascii="Arial" w:hAnsi="Arial" w:cs="Arial"/>
          <w:sz w:val="20"/>
          <w:szCs w:val="20"/>
        </w:rPr>
        <w:t xml:space="preserve"> Hingegen stieg die Anzahl an Deals in der Größenklasse von 26 bis 50 Mio. € um 67 %.</w:t>
      </w:r>
    </w:p>
    <w:p w14:paraId="7CE78D8E" w14:textId="212B3E39" w:rsidR="0045169C" w:rsidRPr="00AF64D0" w:rsidRDefault="0045169C" w:rsidP="00AF64D0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D50B57">
        <w:rPr>
          <w:rFonts w:ascii="Arial" w:hAnsi="Arial" w:cs="Arial"/>
          <w:sz w:val="20"/>
          <w:szCs w:val="20"/>
        </w:rPr>
        <w:t>Spitzenr</w:t>
      </w:r>
      <w:r>
        <w:rPr>
          <w:rFonts w:ascii="Arial" w:hAnsi="Arial" w:cs="Arial"/>
          <w:sz w:val="20"/>
          <w:szCs w:val="20"/>
        </w:rPr>
        <w:t>enditen für Büro- und Geschäftshäu</w:t>
      </w:r>
      <w:r w:rsidR="00CB6115">
        <w:rPr>
          <w:rFonts w:ascii="Arial" w:hAnsi="Arial" w:cs="Arial"/>
          <w:sz w:val="20"/>
          <w:szCs w:val="20"/>
        </w:rPr>
        <w:t>ser blieben mit 2,7 % bzw. 2,8</w:t>
      </w:r>
      <w:r>
        <w:rPr>
          <w:rFonts w:ascii="Arial" w:hAnsi="Arial" w:cs="Arial"/>
          <w:sz w:val="20"/>
          <w:szCs w:val="20"/>
        </w:rPr>
        <w:t xml:space="preserve"> % unverändert auf </w:t>
      </w:r>
      <w:r w:rsidR="000676DC">
        <w:rPr>
          <w:rFonts w:ascii="Arial" w:hAnsi="Arial" w:cs="Arial"/>
          <w:sz w:val="20"/>
          <w:szCs w:val="20"/>
        </w:rPr>
        <w:t>dem niedrigen</w:t>
      </w:r>
      <w:r>
        <w:rPr>
          <w:rFonts w:ascii="Arial" w:hAnsi="Arial" w:cs="Arial"/>
          <w:sz w:val="20"/>
          <w:szCs w:val="20"/>
        </w:rPr>
        <w:t xml:space="preserve"> </w:t>
      </w:r>
      <w:r w:rsidR="000676DC">
        <w:rPr>
          <w:rFonts w:ascii="Arial" w:hAnsi="Arial" w:cs="Arial"/>
          <w:sz w:val="20"/>
          <w:szCs w:val="20"/>
        </w:rPr>
        <w:t>Vorjahresn</w:t>
      </w:r>
      <w:r>
        <w:rPr>
          <w:rFonts w:ascii="Arial" w:hAnsi="Arial" w:cs="Arial"/>
          <w:sz w:val="20"/>
          <w:szCs w:val="20"/>
        </w:rPr>
        <w:t>iveau.</w:t>
      </w:r>
      <w:r w:rsidR="00D50B57">
        <w:rPr>
          <w:rFonts w:ascii="Arial" w:hAnsi="Arial" w:cs="Arial"/>
          <w:sz w:val="20"/>
          <w:szCs w:val="20"/>
        </w:rPr>
        <w:t xml:space="preserve"> Die Spitzenrendite für Logist</w:t>
      </w:r>
      <w:r w:rsidR="00CB6115">
        <w:rPr>
          <w:rFonts w:ascii="Arial" w:hAnsi="Arial" w:cs="Arial"/>
          <w:sz w:val="20"/>
          <w:szCs w:val="20"/>
        </w:rPr>
        <w:t>ikimmobilien gab leicht auf 3,7 % nach (2019: 3,8</w:t>
      </w:r>
      <w:r w:rsidR="00D50B57">
        <w:rPr>
          <w:rFonts w:ascii="Arial" w:hAnsi="Arial" w:cs="Arial"/>
          <w:sz w:val="20"/>
          <w:szCs w:val="20"/>
        </w:rPr>
        <w:t xml:space="preserve"> %). </w:t>
      </w:r>
      <w:r w:rsidR="00D50B57" w:rsidRPr="00D50B57">
        <w:rPr>
          <w:rFonts w:ascii="Arial" w:hAnsi="Arial" w:cs="Arial"/>
          <w:i/>
          <w:sz w:val="20"/>
          <w:szCs w:val="20"/>
        </w:rPr>
        <w:t>„Aufgrund des Anlagedrucks der Core-affinen Investoren erwarten wir für Büro</w:t>
      </w:r>
      <w:r w:rsidR="000676DC">
        <w:rPr>
          <w:rFonts w:ascii="Arial" w:hAnsi="Arial" w:cs="Arial"/>
          <w:i/>
          <w:sz w:val="20"/>
          <w:szCs w:val="20"/>
        </w:rPr>
        <w:t>-O</w:t>
      </w:r>
      <w:r w:rsidR="00D50B57" w:rsidRPr="00D50B57">
        <w:rPr>
          <w:rFonts w:ascii="Arial" w:hAnsi="Arial" w:cs="Arial"/>
          <w:i/>
          <w:sz w:val="20"/>
          <w:szCs w:val="20"/>
        </w:rPr>
        <w:t>bjekte keine höhere Spitzenrendite in den kommenden Monaten“,</w:t>
      </w:r>
      <w:r w:rsidR="00D50B57">
        <w:rPr>
          <w:rFonts w:ascii="Arial" w:hAnsi="Arial" w:cs="Arial"/>
          <w:sz w:val="20"/>
          <w:szCs w:val="20"/>
        </w:rPr>
        <w:t xml:space="preserve"> so </w:t>
      </w:r>
      <w:r w:rsidR="00D50B57" w:rsidRPr="00144720">
        <w:rPr>
          <w:rFonts w:ascii="Arial" w:hAnsi="Arial" w:cs="Arial"/>
          <w:b/>
          <w:sz w:val="20"/>
          <w:szCs w:val="20"/>
        </w:rPr>
        <w:t>Ulrich Denk</w:t>
      </w:r>
      <w:r w:rsidR="00D50B57">
        <w:rPr>
          <w:rFonts w:ascii="Arial" w:hAnsi="Arial" w:cs="Arial"/>
          <w:sz w:val="20"/>
          <w:szCs w:val="20"/>
        </w:rPr>
        <w:t>, Investmentberater und Researcher bei Grossmann &amp; Berger in Berlin.</w:t>
      </w:r>
      <w:r w:rsidR="00D50B57" w:rsidRPr="0054450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30DEC9" w14:textId="01071C4D" w:rsidR="00140D8F" w:rsidRPr="00140D8F" w:rsidRDefault="00140D8F" w:rsidP="00140D8F">
      <w:pPr>
        <w:spacing w:after="0"/>
        <w:rPr>
          <w:rFonts w:ascii="Arial" w:hAnsi="Arial" w:cs="Arial"/>
          <w:noProof/>
          <w:color w:val="FF0000"/>
          <w:sz w:val="20"/>
          <w:szCs w:val="20"/>
          <w:lang w:eastAsia="de-DE"/>
        </w:rPr>
      </w:pPr>
    </w:p>
    <w:tbl>
      <w:tblPr>
        <w:tblStyle w:val="TableGrid2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140D8F" w:rsidRPr="006F49D0" w14:paraId="1402AFC6" w14:textId="77777777" w:rsidTr="00DB4565">
        <w:trPr>
          <w:trHeight w:val="416"/>
        </w:trPr>
        <w:tc>
          <w:tcPr>
            <w:tcW w:w="0" w:type="auto"/>
            <w:shd w:val="clear" w:color="auto" w:fill="1F242B" w:themeFill="text2"/>
          </w:tcPr>
          <w:p w14:paraId="3A1E0F20" w14:textId="77777777" w:rsidR="00140D8F" w:rsidRPr="00D550B6" w:rsidRDefault="00140D8F" w:rsidP="00DB4565">
            <w:pPr>
              <w:widowControl w:val="0"/>
              <w:spacing w:before="60" w:after="60"/>
              <w:rPr>
                <w:rFonts w:ascii="Arial" w:eastAsia="Cambria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Investmentmarkt | Berlin | 2020</w:t>
            </w:r>
          </w:p>
        </w:tc>
        <w:tc>
          <w:tcPr>
            <w:tcW w:w="1134" w:type="dxa"/>
            <w:shd w:val="clear" w:color="auto" w:fill="1F242B" w:themeFill="text2"/>
          </w:tcPr>
          <w:p w14:paraId="2E37213B" w14:textId="2EACCE18" w:rsidR="00140D8F" w:rsidRPr="00D550B6" w:rsidRDefault="00140D8F" w:rsidP="00DB45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Q1-4</w:t>
            </w:r>
          </w:p>
        </w:tc>
      </w:tr>
      <w:tr w:rsidR="00140D8F" w:rsidRPr="006F49D0" w14:paraId="00099707" w14:textId="77777777" w:rsidTr="00DB4565">
        <w:trPr>
          <w:trHeight w:val="283"/>
        </w:trPr>
        <w:tc>
          <w:tcPr>
            <w:tcW w:w="3823" w:type="dxa"/>
          </w:tcPr>
          <w:p w14:paraId="461E0284" w14:textId="77777777" w:rsidR="00140D8F" w:rsidRPr="004712BA" w:rsidRDefault="00140D8F" w:rsidP="00DB4565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085355A7" w14:textId="786A91FC" w:rsidR="00140D8F" w:rsidRPr="00D550B6" w:rsidRDefault="005B0B2F" w:rsidP="00DB456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40D8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</w:tr>
      <w:tr w:rsidR="00140D8F" w:rsidRPr="006F49D0" w14:paraId="3DABFDD4" w14:textId="77777777" w:rsidTr="00DB4565">
        <w:trPr>
          <w:trHeight w:val="283"/>
        </w:trPr>
        <w:tc>
          <w:tcPr>
            <w:tcW w:w="3823" w:type="dxa"/>
          </w:tcPr>
          <w:p w14:paraId="0AF3933B" w14:textId="77777777" w:rsidR="00140D8F" w:rsidRPr="00A7575D" w:rsidRDefault="00140D8F" w:rsidP="00DB456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3D63EDF1" w14:textId="5C478177" w:rsidR="00140D8F" w:rsidRPr="00D550B6" w:rsidRDefault="005B0B2F" w:rsidP="00DB456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</w:t>
            </w:r>
          </w:p>
        </w:tc>
      </w:tr>
      <w:tr w:rsidR="00140D8F" w:rsidRPr="006F49D0" w14:paraId="7D1774D8" w14:textId="77777777" w:rsidTr="00DB4565">
        <w:trPr>
          <w:trHeight w:val="283"/>
        </w:trPr>
        <w:tc>
          <w:tcPr>
            <w:tcW w:w="3823" w:type="dxa"/>
          </w:tcPr>
          <w:p w14:paraId="0A357606" w14:textId="77777777" w:rsidR="00140D8F" w:rsidRPr="005A6B93" w:rsidRDefault="00140D8F" w:rsidP="00DB456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5A6B93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 w:rsidRPr="005A6B93"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3FFD8D03" w14:textId="406F3BB2" w:rsidR="00140D8F" w:rsidRPr="005A6B93" w:rsidRDefault="00B05B3E" w:rsidP="00DB456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40D8F" w:rsidRPr="006F49D0" w14:paraId="437D1AC2" w14:textId="77777777" w:rsidTr="00DB4565">
        <w:trPr>
          <w:trHeight w:val="283"/>
        </w:trPr>
        <w:tc>
          <w:tcPr>
            <w:tcW w:w="3823" w:type="dxa"/>
          </w:tcPr>
          <w:p w14:paraId="07EA6A9F" w14:textId="77777777" w:rsidR="00140D8F" w:rsidRPr="00CF57DD" w:rsidRDefault="00140D8F" w:rsidP="00DB4565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7091BD2" w14:textId="7C0D0D33" w:rsidR="00140D8F" w:rsidRPr="00D550B6" w:rsidRDefault="00F01396" w:rsidP="00DB456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140D8F" w:rsidRPr="006F49D0" w14:paraId="2B5D0803" w14:textId="77777777" w:rsidTr="00DB4565">
        <w:trPr>
          <w:trHeight w:val="283"/>
        </w:trPr>
        <w:tc>
          <w:tcPr>
            <w:tcW w:w="3823" w:type="dxa"/>
          </w:tcPr>
          <w:p w14:paraId="31786BA7" w14:textId="77777777" w:rsidR="00140D8F" w:rsidRPr="004712BA" w:rsidRDefault="00140D8F" w:rsidP="00DB4565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3C6C413" w14:textId="2F60BDFE" w:rsidR="00140D8F" w:rsidRPr="00D550B6" w:rsidRDefault="00140D8F" w:rsidP="00BA23B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140D8F" w14:paraId="007DB13C" w14:textId="77777777" w:rsidTr="00DB4565">
        <w:trPr>
          <w:trHeight w:val="283"/>
        </w:trPr>
        <w:tc>
          <w:tcPr>
            <w:tcW w:w="3823" w:type="dxa"/>
          </w:tcPr>
          <w:p w14:paraId="2B091F5A" w14:textId="77777777" w:rsidR="00140D8F" w:rsidRPr="00A7575D" w:rsidRDefault="00140D8F" w:rsidP="00DB456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18048562" w14:textId="3A94011C" w:rsidR="00140D8F" w:rsidRPr="00D550B6" w:rsidRDefault="00F01396" w:rsidP="00BA23B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±</w:t>
            </w:r>
            <w:r w:rsidR="005B0B2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40D8F" w:rsidRPr="006F49D0" w14:paraId="6C7983E6" w14:textId="77777777" w:rsidTr="00DB4565">
        <w:trPr>
          <w:trHeight w:val="283"/>
        </w:trPr>
        <w:tc>
          <w:tcPr>
            <w:tcW w:w="3823" w:type="dxa"/>
          </w:tcPr>
          <w:p w14:paraId="7104F9D9" w14:textId="77777777" w:rsidR="00140D8F" w:rsidRPr="004712BA" w:rsidRDefault="00140D8F" w:rsidP="00DB4565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6F1FCBB" w14:textId="4A713F38" w:rsidR="00140D8F" w:rsidRPr="00D550B6" w:rsidRDefault="00F01396" w:rsidP="00BA23B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B0B2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0D8F" w14:paraId="12EDE7C3" w14:textId="77777777" w:rsidTr="00DB4565">
        <w:trPr>
          <w:trHeight w:val="283"/>
        </w:trPr>
        <w:tc>
          <w:tcPr>
            <w:tcW w:w="3823" w:type="dxa"/>
          </w:tcPr>
          <w:p w14:paraId="0CC5F2F6" w14:textId="77777777" w:rsidR="00140D8F" w:rsidRPr="00A7575D" w:rsidRDefault="00140D8F" w:rsidP="00DB456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1068A21" w14:textId="57EB9A31" w:rsidR="00140D8F" w:rsidRPr="00D550B6" w:rsidRDefault="00F01396" w:rsidP="00BA23B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02BB">
              <w:rPr>
                <w:rFonts w:ascii="Arial" w:hAnsi="Arial" w:cs="Arial"/>
                <w:sz w:val="18"/>
                <w:szCs w:val="16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B0B2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40D8F" w:rsidRPr="006F49D0" w14:paraId="01372052" w14:textId="77777777" w:rsidTr="00DB4565">
        <w:trPr>
          <w:trHeight w:val="283"/>
        </w:trPr>
        <w:tc>
          <w:tcPr>
            <w:tcW w:w="3823" w:type="dxa"/>
          </w:tcPr>
          <w:p w14:paraId="4BE0DA2A" w14:textId="77777777" w:rsidR="00140D8F" w:rsidRPr="004712BA" w:rsidRDefault="00140D8F" w:rsidP="00DB4565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0C1E4B30" w14:textId="68218AB8" w:rsidR="00140D8F" w:rsidRPr="001C4C33" w:rsidRDefault="005B0B2F" w:rsidP="00BA23B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140D8F" w14:paraId="63DEC0E6" w14:textId="77777777" w:rsidTr="00DB4565">
        <w:trPr>
          <w:trHeight w:val="283"/>
        </w:trPr>
        <w:tc>
          <w:tcPr>
            <w:tcW w:w="3823" w:type="dxa"/>
          </w:tcPr>
          <w:p w14:paraId="3ADF9FE3" w14:textId="77777777" w:rsidR="00140D8F" w:rsidRPr="00A7575D" w:rsidRDefault="00140D8F" w:rsidP="00DB456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005A6DA" w14:textId="0188AC96" w:rsidR="00140D8F" w:rsidRPr="001C4C33" w:rsidRDefault="005B0B2F" w:rsidP="00BA23B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</w:tr>
      <w:tr w:rsidR="00140D8F" w:rsidRPr="006F49D0" w14:paraId="1CAD91C9" w14:textId="77777777" w:rsidTr="00DB4565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739B313C" w14:textId="77777777" w:rsidR="00140D8F" w:rsidRPr="004712BA" w:rsidRDefault="00140D8F" w:rsidP="00DB4565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BCCA67" w14:textId="77777777" w:rsidR="00140D8F" w:rsidRPr="00D550B6" w:rsidRDefault="00140D8F" w:rsidP="00DB456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</w:tr>
      <w:tr w:rsidR="00140D8F" w:rsidRPr="006F49D0" w14:paraId="71689EF2" w14:textId="77777777" w:rsidTr="00DB4565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49BE809E" w14:textId="77777777" w:rsidR="00140D8F" w:rsidRPr="004712BA" w:rsidRDefault="00140D8F" w:rsidP="00DB4565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591ADF" w14:textId="24A17CE4" w:rsidR="00140D8F" w:rsidRPr="00D550B6" w:rsidRDefault="005B0B2F" w:rsidP="00DB456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</w:tbl>
    <w:p w14:paraId="20FF3D17" w14:textId="448BF5BD" w:rsidR="00655405" w:rsidRDefault="00E04117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1F460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2pt;margin-top:6.3pt;width:226.75pt;height:164.65pt;z-index:251659264;mso-position-horizontal-relative:margin;mso-position-vertical-relative:margin" stroked="t" strokecolor="black [3213]">
            <v:imagedata r:id="rId8" o:title="Investmentmarkt Berlin_4Q2020_de"/>
            <w10:wrap type="square" anchorx="margin" anchory="margin"/>
          </v:shape>
        </w:pict>
      </w:r>
    </w:p>
    <w:p w14:paraId="6BBA9DA5" w14:textId="713EA3E5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B228A32" w14:textId="471C595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28418B62" w14:textId="77777777" w:rsidR="00FC455D" w:rsidRDefault="00FC455D" w:rsidP="00140D8F">
      <w:pPr>
        <w:spacing w:after="0"/>
        <w:rPr>
          <w:rFonts w:ascii="Arial" w:hAnsi="Arial" w:cs="Arial"/>
          <w:b/>
          <w:sz w:val="20"/>
          <w:szCs w:val="20"/>
        </w:rPr>
      </w:pPr>
    </w:p>
    <w:p w14:paraId="785521D7" w14:textId="238E6190" w:rsidR="00140D8F" w:rsidRPr="008C11B2" w:rsidRDefault="00140D8F" w:rsidP="00140D8F">
      <w:pPr>
        <w:spacing w:after="0"/>
        <w:rPr>
          <w:rFonts w:ascii="Arial" w:hAnsi="Arial" w:cs="Arial"/>
          <w:b/>
          <w:sz w:val="20"/>
          <w:szCs w:val="20"/>
        </w:rPr>
      </w:pPr>
      <w:r w:rsidRPr="00523206">
        <w:rPr>
          <w:rFonts w:ascii="Arial" w:hAnsi="Arial" w:cs="Arial"/>
          <w:b/>
          <w:sz w:val="20"/>
          <w:szCs w:val="20"/>
        </w:rPr>
        <w:t>Ausgewählte Top-Transaktionen | Investmentmarkt Berlin | 1.</w:t>
      </w:r>
      <w:r>
        <w:rPr>
          <w:rFonts w:ascii="Arial" w:hAnsi="Arial" w:cs="Arial"/>
          <w:b/>
          <w:sz w:val="20"/>
          <w:szCs w:val="20"/>
        </w:rPr>
        <w:t>-4</w:t>
      </w:r>
      <w:r w:rsidRPr="00523206">
        <w:rPr>
          <w:rFonts w:ascii="Arial" w:hAnsi="Arial" w:cs="Arial"/>
          <w:b/>
          <w:sz w:val="20"/>
          <w:szCs w:val="20"/>
        </w:rPr>
        <w:t>. Quartal 2020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843"/>
        <w:gridCol w:w="1984"/>
        <w:gridCol w:w="1134"/>
      </w:tblGrid>
      <w:tr w:rsidR="00140D8F" w:rsidRPr="006F49D0" w14:paraId="55779971" w14:textId="77777777" w:rsidTr="00E06956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75001EAD" w14:textId="77777777" w:rsidR="00140D8F" w:rsidRDefault="00140D8F" w:rsidP="00DB4565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Projekt/Objekt</w:t>
            </w:r>
          </w:p>
          <w:p w14:paraId="20A5D081" w14:textId="77777777" w:rsidR="00140D8F" w:rsidRPr="00C626E7" w:rsidRDefault="00140D8F" w:rsidP="00DB4565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418" w:type="dxa"/>
            <w:shd w:val="clear" w:color="auto" w:fill="1F242B" w:themeFill="accent2"/>
            <w:vAlign w:val="center"/>
          </w:tcPr>
          <w:p w14:paraId="143CAFDF" w14:textId="77777777" w:rsidR="00140D8F" w:rsidRPr="009F10F1" w:rsidRDefault="00140D8F" w:rsidP="00E06956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7733AAAA" w14:textId="77777777" w:rsidR="00140D8F" w:rsidRPr="009F10F1" w:rsidRDefault="00140D8F" w:rsidP="00E06956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142745DB" w14:textId="77777777" w:rsidR="00140D8F" w:rsidRPr="009F10F1" w:rsidRDefault="00140D8F" w:rsidP="00DB4565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1984" w:type="dxa"/>
            <w:shd w:val="clear" w:color="auto" w:fill="1F242B" w:themeFill="accent2"/>
            <w:vAlign w:val="center"/>
          </w:tcPr>
          <w:p w14:paraId="41AF8D0B" w14:textId="77777777" w:rsidR="00140D8F" w:rsidRPr="009F10F1" w:rsidRDefault="00140D8F" w:rsidP="00DB4565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06C2B877" w14:textId="77777777" w:rsidR="00140D8F" w:rsidRPr="009F10F1" w:rsidRDefault="00140D8F" w:rsidP="00DB4565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772B5C0F" w14:textId="77777777" w:rsidR="00140D8F" w:rsidRPr="009F10F1" w:rsidRDefault="00140D8F" w:rsidP="00DB4565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140D8F" w:rsidRPr="006F49D0" w14:paraId="20A4F6FF" w14:textId="77777777" w:rsidTr="007A24E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84676C4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„Chaussee23“,</w:t>
            </w:r>
            <w:r>
              <w:rPr>
                <w:rFonts w:ascii="Arial" w:hAnsi="Arial" w:cs="Arial"/>
                <w:sz w:val="18"/>
                <w:szCs w:val="16"/>
              </w:rPr>
              <w:br/>
              <w:t>Chausseestraße 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71A90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2EC97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B3473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Credit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Suisse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A7E037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Barings Real Estate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Advisers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17FEA" w14:textId="77777777" w:rsidR="00140D8F" w:rsidRDefault="00140D8F" w:rsidP="00DB456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220</w:t>
            </w:r>
          </w:p>
        </w:tc>
      </w:tr>
      <w:tr w:rsidR="004C03E4" w:rsidRPr="006F49D0" w14:paraId="3A3A4867" w14:textId="77777777" w:rsidTr="007A24E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ADEB1D" w14:textId="77777777" w:rsidR="004C03E4" w:rsidRDefault="004C03E4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„Spreeturm Berlin“,</w:t>
            </w:r>
          </w:p>
          <w:p w14:paraId="28696354" w14:textId="18DE1457" w:rsidR="004C03E4" w:rsidRDefault="004C03E4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Am Postbahnhof 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144795" w14:textId="1429E180" w:rsidR="004C03E4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Friedrichshain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B1691" w14:textId="5C4F1267" w:rsidR="004C03E4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6D80D6" w14:textId="1B55C7E3" w:rsidR="004C03E4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A24E3">
              <w:rPr>
                <w:rFonts w:ascii="Arial" w:hAnsi="Arial" w:cs="Arial"/>
                <w:sz w:val="18"/>
                <w:szCs w:val="16"/>
              </w:rPr>
              <w:t>Talanx</w:t>
            </w:r>
            <w:proofErr w:type="spellEnd"/>
            <w:r w:rsidRPr="007A24E3">
              <w:rPr>
                <w:rFonts w:ascii="Arial" w:hAnsi="Arial" w:cs="Arial"/>
                <w:sz w:val="18"/>
                <w:szCs w:val="16"/>
              </w:rPr>
              <w:t xml:space="preserve"> Immobilen Management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F44225" w14:textId="77757B1E" w:rsidR="004C03E4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7A24E3">
              <w:rPr>
                <w:rFonts w:ascii="Arial" w:hAnsi="Arial" w:cs="Arial"/>
                <w:sz w:val="18"/>
                <w:szCs w:val="16"/>
              </w:rPr>
              <w:t>NAS Investment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9A6C52" w14:textId="79FDE198" w:rsidR="004C03E4" w:rsidRDefault="004C03E4" w:rsidP="00DB456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195</w:t>
            </w:r>
          </w:p>
        </w:tc>
      </w:tr>
      <w:tr w:rsidR="00140D8F" w:rsidRPr="006F49D0" w14:paraId="75043E17" w14:textId="77777777" w:rsidTr="007A24E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3A456F2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Quartier Schützenstraße,</w:t>
            </w:r>
            <w:r>
              <w:rPr>
                <w:rFonts w:ascii="Arial" w:hAnsi="Arial" w:cs="Arial"/>
                <w:sz w:val="18"/>
                <w:szCs w:val="16"/>
              </w:rPr>
              <w:br/>
              <w:t>Zimmerstraße 67-69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8789B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Mitte 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77AFF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65451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Henderson Park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D8371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>Caleus</w:t>
            </w:r>
            <w:proofErr w:type="spellEnd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 xml:space="preserve"> Capital Partners </w:t>
            </w:r>
            <w:proofErr w:type="spellStart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>für</w:t>
            </w:r>
            <w:proofErr w:type="spellEnd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 xml:space="preserve"> GIC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83B9F" w14:textId="77777777" w:rsidR="00140D8F" w:rsidRDefault="00140D8F" w:rsidP="00DB456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194</w:t>
            </w:r>
          </w:p>
        </w:tc>
      </w:tr>
      <w:tr w:rsidR="004C03E4" w:rsidRPr="006F49D0" w14:paraId="2D75662F" w14:textId="77777777" w:rsidTr="007A24E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FBE6DB7" w14:textId="77777777" w:rsidR="004C03E4" w:rsidRDefault="004C03E4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„Impulse“,</w:t>
            </w:r>
          </w:p>
          <w:p w14:paraId="43F3D320" w14:textId="3E72CA3F" w:rsidR="004C03E4" w:rsidRDefault="004C03E4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Stresemannstraße 69-71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75740" w14:textId="03820566" w:rsidR="004C03E4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Kreuzberg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B3047" w14:textId="271BBE35" w:rsidR="004C03E4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D801B7" w14:textId="2CD8D704" w:rsidR="004C03E4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7A24E3">
              <w:rPr>
                <w:rFonts w:ascii="Arial" w:hAnsi="Arial" w:cs="Arial"/>
                <w:sz w:val="18"/>
                <w:szCs w:val="16"/>
              </w:rPr>
              <w:t xml:space="preserve">Corpus </w:t>
            </w:r>
            <w:proofErr w:type="spellStart"/>
            <w:r w:rsidRPr="007A24E3">
              <w:rPr>
                <w:rFonts w:ascii="Arial" w:hAnsi="Arial" w:cs="Arial"/>
                <w:sz w:val="18"/>
                <w:szCs w:val="16"/>
              </w:rPr>
              <w:t>Sireo</w:t>
            </w:r>
            <w:proofErr w:type="spellEnd"/>
            <w:r w:rsidRPr="007A24E3">
              <w:rPr>
                <w:rFonts w:ascii="Arial" w:hAnsi="Arial" w:cs="Arial"/>
                <w:sz w:val="18"/>
                <w:szCs w:val="16"/>
              </w:rPr>
              <w:t xml:space="preserve"> für Swiss Life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C68EDD" w14:textId="0600BFFA" w:rsidR="004C03E4" w:rsidRPr="0020161B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7A24E3">
              <w:rPr>
                <w:rFonts w:ascii="Arial" w:hAnsi="Arial" w:cs="Arial"/>
                <w:sz w:val="18"/>
                <w:szCs w:val="16"/>
                <w:lang w:val="en-US"/>
              </w:rPr>
              <w:t>Blackrock Investment Management (</w:t>
            </w:r>
            <w:proofErr w:type="spellStart"/>
            <w:r w:rsidRPr="007A24E3">
              <w:rPr>
                <w:rFonts w:ascii="Arial" w:hAnsi="Arial" w:cs="Arial"/>
                <w:sz w:val="18"/>
                <w:szCs w:val="16"/>
                <w:lang w:val="en-US"/>
              </w:rPr>
              <w:t>für</w:t>
            </w:r>
            <w:proofErr w:type="spellEnd"/>
            <w:r w:rsidRPr="007A24E3">
              <w:rPr>
                <w:rFonts w:ascii="Arial" w:hAnsi="Arial" w:cs="Arial"/>
                <w:sz w:val="18"/>
                <w:szCs w:val="16"/>
                <w:lang w:val="en-US"/>
              </w:rPr>
              <w:t xml:space="preserve"> Eurozone Core Property Fund)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395C4" w14:textId="4B016C25" w:rsidR="004C03E4" w:rsidRDefault="004C03E4" w:rsidP="00DB456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179</w:t>
            </w:r>
          </w:p>
        </w:tc>
      </w:tr>
      <w:tr w:rsidR="00140D8F" w:rsidRPr="006F49D0" w14:paraId="7E08BFE1" w14:textId="77777777" w:rsidTr="009D7A78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ECEF7F5" w14:textId="51E688FC" w:rsidR="00140D8F" w:rsidRDefault="00140D8F" w:rsidP="004C03E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="004C03E4">
              <w:rPr>
                <w:rFonts w:ascii="Arial" w:hAnsi="Arial" w:cs="Arial"/>
                <w:sz w:val="18"/>
                <w:szCs w:val="16"/>
              </w:rPr>
              <w:t>Bricks</w:t>
            </w:r>
            <w:r>
              <w:rPr>
                <w:rFonts w:ascii="Arial" w:hAnsi="Arial" w:cs="Arial"/>
                <w:sz w:val="18"/>
                <w:szCs w:val="16"/>
              </w:rPr>
              <w:t>“,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="004C03E4">
              <w:rPr>
                <w:rFonts w:ascii="Arial" w:hAnsi="Arial" w:cs="Arial"/>
                <w:sz w:val="18"/>
                <w:szCs w:val="16"/>
              </w:rPr>
              <w:t>Hauptstraße 27-29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0B58BC" w14:textId="7EA66F1C" w:rsidR="00140D8F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Schöneberg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57D8E6" w14:textId="2F0FAC8E" w:rsidR="00140D8F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Misch-nutzung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28B6AA" w14:textId="6E0C6EAE" w:rsidR="00140D8F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7A24E3">
              <w:rPr>
                <w:rFonts w:ascii="Arial" w:hAnsi="Arial" w:cs="Arial"/>
                <w:sz w:val="18"/>
                <w:szCs w:val="16"/>
              </w:rPr>
              <w:t>CBRE Global Investors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F459B2" w14:textId="3B313F59" w:rsidR="00140D8F" w:rsidRDefault="007A24E3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A24E3">
              <w:rPr>
                <w:rFonts w:ascii="Arial" w:hAnsi="Arial" w:cs="Arial"/>
                <w:sz w:val="18"/>
                <w:szCs w:val="16"/>
              </w:rPr>
              <w:t>Trockland</w:t>
            </w:r>
            <w:proofErr w:type="spellEnd"/>
            <w:r w:rsidRPr="007A24E3">
              <w:rPr>
                <w:rFonts w:ascii="Arial" w:hAnsi="Arial" w:cs="Arial"/>
                <w:sz w:val="18"/>
                <w:szCs w:val="16"/>
              </w:rPr>
              <w:t xml:space="preserve"> Management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21D583" w14:textId="77D91FEC" w:rsidR="00140D8F" w:rsidRDefault="004C03E4" w:rsidP="00DB456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150</w:t>
            </w:r>
          </w:p>
        </w:tc>
      </w:tr>
      <w:tr w:rsidR="00140D8F" w:rsidRPr="006F49D0" w14:paraId="7BBC4B2E" w14:textId="77777777" w:rsidTr="007A24E3">
        <w:trPr>
          <w:trHeight w:val="75"/>
        </w:trPr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58AAF4C9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317DA22E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BC38C6A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7EE7FD8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73AB6A4A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2199D82" w14:textId="77777777" w:rsidR="00140D8F" w:rsidRDefault="00140D8F" w:rsidP="00DB456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40D8F" w:rsidRPr="006F49D0" w14:paraId="64083640" w14:textId="77777777" w:rsidTr="007A24E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41DBCF52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Hallen am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Borsigturm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br/>
              <w:t xml:space="preserve">Am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Borsigturm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2-14, 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D41A6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Reinickendorf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C5460" w14:textId="52C75EA3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Misch</w:t>
            </w:r>
            <w:r w:rsidR="007A24E3">
              <w:rPr>
                <w:rFonts w:ascii="Arial" w:hAnsi="Arial" w:cs="Arial"/>
                <w:sz w:val="18"/>
                <w:szCs w:val="16"/>
              </w:rPr>
              <w:t>-</w:t>
            </w:r>
            <w:r>
              <w:rPr>
                <w:rFonts w:ascii="Arial" w:hAnsi="Arial" w:cs="Arial"/>
                <w:sz w:val="18"/>
                <w:szCs w:val="16"/>
              </w:rPr>
              <w:t>nutzung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FD9CE5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ECE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Preferred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Equity Fund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8FBF8" w14:textId="77777777" w:rsidR="00140D8F" w:rsidRDefault="00140D8F" w:rsidP="00DB456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ECE European Prime Shopping Center Fund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73FD3" w14:textId="77777777" w:rsidR="00140D8F" w:rsidRDefault="00140D8F" w:rsidP="00DB456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vertraulich</w:t>
            </w:r>
          </w:p>
        </w:tc>
      </w:tr>
      <w:tr w:rsidR="005A2EE0" w:rsidRPr="006F49D0" w14:paraId="0C4FB8CF" w14:textId="77777777" w:rsidTr="007A24E3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536571F0" w14:textId="0CD4F81B" w:rsidR="005A2EE0" w:rsidRDefault="005A2EE0" w:rsidP="005A2EE0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Zalando Headquarter, </w:t>
            </w:r>
            <w:r>
              <w:t xml:space="preserve"> </w:t>
            </w:r>
            <w:r w:rsidRPr="0055030C">
              <w:rPr>
                <w:rFonts w:ascii="Arial" w:hAnsi="Arial" w:cs="Arial"/>
                <w:sz w:val="18"/>
                <w:szCs w:val="16"/>
              </w:rPr>
              <w:t>Edith-Kiss-Straße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0F913" w14:textId="613ED63C" w:rsidR="005A2EE0" w:rsidRDefault="005A2EE0" w:rsidP="005A2EE0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Friedrichshain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03587" w14:textId="42AD9F01" w:rsidR="005A2EE0" w:rsidRDefault="005A2EE0" w:rsidP="005A2EE0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25DF9" w14:textId="19B9AFB9" w:rsidR="005A2EE0" w:rsidRDefault="005A2EE0" w:rsidP="005A2EE0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HIH Real Estate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C02E1" w14:textId="03971531" w:rsidR="005A2EE0" w:rsidRDefault="005A2EE0" w:rsidP="005A2EE0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HIH Projektentwicklung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76163" w14:textId="1160CE7A" w:rsidR="005A2EE0" w:rsidRDefault="005A2EE0" w:rsidP="005A2EE0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vertraulich</w:t>
            </w:r>
          </w:p>
        </w:tc>
      </w:tr>
      <w:tr w:rsidR="00140D8F" w:rsidRPr="00797E2F" w14:paraId="79B7D8EB" w14:textId="77777777" w:rsidTr="00DB4565">
        <w:trPr>
          <w:trHeight w:val="455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27D26" w14:textId="77777777" w:rsidR="00140D8F" w:rsidRPr="001871BC" w:rsidRDefault="00140D8F" w:rsidP="00DB4565">
            <w:pPr>
              <w:widowControl w:val="0"/>
              <w:spacing w:after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474C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9D">
              <w:rPr>
                <w:rFonts w:ascii="Arial" w:hAnsi="Arial" w:cs="Arial"/>
                <w:sz w:val="16"/>
                <w:szCs w:val="16"/>
              </w:rPr>
              <w:t>Die aufgeführten Kaufpreise ba</w:t>
            </w:r>
            <w:r>
              <w:rPr>
                <w:rFonts w:ascii="Arial" w:hAnsi="Arial" w:cs="Arial"/>
                <w:sz w:val="16"/>
                <w:szCs w:val="16"/>
              </w:rPr>
              <w:t xml:space="preserve">sieren auf öffentlich verfügbaren Angaben; </w:t>
            </w:r>
            <w:r w:rsidRPr="00B4679D">
              <w:rPr>
                <w:rFonts w:ascii="Arial" w:hAnsi="Arial" w:cs="Arial"/>
                <w:sz w:val="16"/>
                <w:szCs w:val="16"/>
              </w:rPr>
              <w:t xml:space="preserve">wo solche fehlen, sind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B4679D">
              <w:rPr>
                <w:rFonts w:ascii="Arial" w:hAnsi="Arial" w:cs="Arial"/>
                <w:sz w:val="16"/>
                <w:szCs w:val="16"/>
              </w:rPr>
              <w:t>Kaufpreise geschätzt</w:t>
            </w:r>
            <w:r>
              <w:rPr>
                <w:rFonts w:ascii="Arial" w:hAnsi="Arial" w:cs="Arial"/>
                <w:sz w:val="16"/>
                <w:szCs w:val="16"/>
              </w:rPr>
              <w:t>; neue Deals/Deals aus jeweiligem Berichtsquartal sind grau hinterlegt</w:t>
            </w:r>
          </w:p>
        </w:tc>
      </w:tr>
    </w:tbl>
    <w:p w14:paraId="24398F28" w14:textId="64A025AE" w:rsidR="00140D8F" w:rsidRDefault="00140D8F" w:rsidP="00A3554C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570D34" w14:textId="5F769630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3D75A6" w:rsidRPr="0038067E">
          <w:rPr>
            <w:rStyle w:val="Hyperlink"/>
            <w:rFonts w:ascii="Arial" w:eastAsia="Arial" w:hAnsi="Arial" w:cs="Arial"/>
            <w:sz w:val="20"/>
            <w:szCs w:val="20"/>
          </w:rPr>
          <w:t>Marktbericht</w:t>
        </w:r>
      </w:hyperlink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7C6DFBB0" w14:textId="77777777" w:rsidR="0047313D" w:rsidRPr="00A3554C" w:rsidRDefault="0047313D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791DEA" w14:textId="77777777" w:rsidR="00F12C0D" w:rsidRPr="0090748B" w:rsidRDefault="00F12C0D" w:rsidP="00F12C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F30FAD6" w14:textId="5AD2D9F1" w:rsidR="00F12C0D" w:rsidRPr="00583E25" w:rsidRDefault="00F12C0D" w:rsidP="00F12C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  <w:r w:rsidR="0047391C">
        <w:rPr>
          <w:rFonts w:ascii="Arial" w:hAnsi="Arial" w:cs="Arial"/>
          <w:snapToGrid w:val="0"/>
          <w:sz w:val="16"/>
          <w:szCs w:val="16"/>
        </w:rPr>
        <w:t xml:space="preserve"> </w:t>
      </w: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5139D71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27835FB" w14:textId="6F59C554" w:rsidR="00503D8C" w:rsidRPr="00503D8C" w:rsidRDefault="00F12C0D" w:rsidP="00F12C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proofErr w:type="spellStart"/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  <w:proofErr w:type="spellEnd"/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02040DB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B86001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B86001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86001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 xml:space="preserve">20354 Hamburg | Tel. +49 (0)40/350 80 2-0 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www.grossmann-berger.de</w:t>
    </w:r>
    <w:proofErr w:type="spellEnd"/>
  </w:p>
  <w:p w14:paraId="5440A7EF" w14:textId="6CE91D8E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0411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0411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681185C0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045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6045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6045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681185C0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0455C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60455C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60455C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1B78524B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045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6045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6045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1B78524B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0455C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60455C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60455C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0F77D8"/>
    <w:multiLevelType w:val="hybridMultilevel"/>
    <w:tmpl w:val="F2B82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C9B"/>
    <w:rsid w:val="00004F2C"/>
    <w:rsid w:val="00010109"/>
    <w:rsid w:val="00012B3B"/>
    <w:rsid w:val="00013842"/>
    <w:rsid w:val="000159FE"/>
    <w:rsid w:val="00020E53"/>
    <w:rsid w:val="00022F16"/>
    <w:rsid w:val="00023D78"/>
    <w:rsid w:val="00026DC2"/>
    <w:rsid w:val="0003075C"/>
    <w:rsid w:val="00032A2D"/>
    <w:rsid w:val="000357E9"/>
    <w:rsid w:val="00037784"/>
    <w:rsid w:val="00041B84"/>
    <w:rsid w:val="0004323A"/>
    <w:rsid w:val="000528C2"/>
    <w:rsid w:val="00053F6A"/>
    <w:rsid w:val="00060743"/>
    <w:rsid w:val="00066796"/>
    <w:rsid w:val="000676DC"/>
    <w:rsid w:val="0007181C"/>
    <w:rsid w:val="000766D7"/>
    <w:rsid w:val="0007670A"/>
    <w:rsid w:val="00082B08"/>
    <w:rsid w:val="00084B37"/>
    <w:rsid w:val="0009653E"/>
    <w:rsid w:val="00097786"/>
    <w:rsid w:val="000A7D42"/>
    <w:rsid w:val="000B1606"/>
    <w:rsid w:val="000B174E"/>
    <w:rsid w:val="000B3315"/>
    <w:rsid w:val="000C118E"/>
    <w:rsid w:val="000C770D"/>
    <w:rsid w:val="000D2874"/>
    <w:rsid w:val="000D3E9F"/>
    <w:rsid w:val="000E03F3"/>
    <w:rsid w:val="000E27A9"/>
    <w:rsid w:val="000E2A43"/>
    <w:rsid w:val="000E404B"/>
    <w:rsid w:val="000E7457"/>
    <w:rsid w:val="000E7BC7"/>
    <w:rsid w:val="000F7242"/>
    <w:rsid w:val="001029C4"/>
    <w:rsid w:val="00104638"/>
    <w:rsid w:val="0011486D"/>
    <w:rsid w:val="0011512F"/>
    <w:rsid w:val="00121E33"/>
    <w:rsid w:val="00126550"/>
    <w:rsid w:val="00126D0B"/>
    <w:rsid w:val="001324D6"/>
    <w:rsid w:val="00135BD2"/>
    <w:rsid w:val="00135E09"/>
    <w:rsid w:val="00140D8F"/>
    <w:rsid w:val="0014445B"/>
    <w:rsid w:val="001522BE"/>
    <w:rsid w:val="00154825"/>
    <w:rsid w:val="0016200B"/>
    <w:rsid w:val="00163A27"/>
    <w:rsid w:val="0016611C"/>
    <w:rsid w:val="0017364E"/>
    <w:rsid w:val="0017516B"/>
    <w:rsid w:val="00176F1D"/>
    <w:rsid w:val="0018068D"/>
    <w:rsid w:val="00195E4A"/>
    <w:rsid w:val="001A2ABE"/>
    <w:rsid w:val="001A360C"/>
    <w:rsid w:val="001C0250"/>
    <w:rsid w:val="001D14DA"/>
    <w:rsid w:val="001D4EC2"/>
    <w:rsid w:val="001E01CC"/>
    <w:rsid w:val="001E6995"/>
    <w:rsid w:val="001F0339"/>
    <w:rsid w:val="001F1513"/>
    <w:rsid w:val="00205769"/>
    <w:rsid w:val="00210C50"/>
    <w:rsid w:val="00212FEC"/>
    <w:rsid w:val="002131BB"/>
    <w:rsid w:val="0022086D"/>
    <w:rsid w:val="0022251E"/>
    <w:rsid w:val="00226296"/>
    <w:rsid w:val="00227E31"/>
    <w:rsid w:val="00230F81"/>
    <w:rsid w:val="00231F4E"/>
    <w:rsid w:val="002341EE"/>
    <w:rsid w:val="00237341"/>
    <w:rsid w:val="002432BE"/>
    <w:rsid w:val="00251D5F"/>
    <w:rsid w:val="00254C6F"/>
    <w:rsid w:val="00255679"/>
    <w:rsid w:val="00267258"/>
    <w:rsid w:val="0027266B"/>
    <w:rsid w:val="00281E80"/>
    <w:rsid w:val="002834B0"/>
    <w:rsid w:val="00283671"/>
    <w:rsid w:val="002837B6"/>
    <w:rsid w:val="00284A5D"/>
    <w:rsid w:val="00284E27"/>
    <w:rsid w:val="00294B7D"/>
    <w:rsid w:val="002A11A2"/>
    <w:rsid w:val="002A1973"/>
    <w:rsid w:val="002A32F5"/>
    <w:rsid w:val="002A382D"/>
    <w:rsid w:val="002B0DAB"/>
    <w:rsid w:val="002B14F6"/>
    <w:rsid w:val="002C055A"/>
    <w:rsid w:val="002C2392"/>
    <w:rsid w:val="002C5947"/>
    <w:rsid w:val="002C60E4"/>
    <w:rsid w:val="002C7D6D"/>
    <w:rsid w:val="002D1C5C"/>
    <w:rsid w:val="002D1E20"/>
    <w:rsid w:val="002D4556"/>
    <w:rsid w:val="002D525C"/>
    <w:rsid w:val="002D68BA"/>
    <w:rsid w:val="002D7CF8"/>
    <w:rsid w:val="002E0757"/>
    <w:rsid w:val="002E4FA1"/>
    <w:rsid w:val="002E6860"/>
    <w:rsid w:val="002F0411"/>
    <w:rsid w:val="002F767E"/>
    <w:rsid w:val="00301264"/>
    <w:rsid w:val="003033FA"/>
    <w:rsid w:val="00304EAC"/>
    <w:rsid w:val="0030699E"/>
    <w:rsid w:val="003073BD"/>
    <w:rsid w:val="00312D28"/>
    <w:rsid w:val="00314914"/>
    <w:rsid w:val="00315D47"/>
    <w:rsid w:val="003246F0"/>
    <w:rsid w:val="00325E2A"/>
    <w:rsid w:val="003272F3"/>
    <w:rsid w:val="00337AAB"/>
    <w:rsid w:val="00345716"/>
    <w:rsid w:val="0034786C"/>
    <w:rsid w:val="003517C9"/>
    <w:rsid w:val="003579E5"/>
    <w:rsid w:val="00357EC4"/>
    <w:rsid w:val="00363DD7"/>
    <w:rsid w:val="00370000"/>
    <w:rsid w:val="00372819"/>
    <w:rsid w:val="00372924"/>
    <w:rsid w:val="00373507"/>
    <w:rsid w:val="00377771"/>
    <w:rsid w:val="0038230E"/>
    <w:rsid w:val="00382529"/>
    <w:rsid w:val="00397AD9"/>
    <w:rsid w:val="003A00C9"/>
    <w:rsid w:val="003A25A4"/>
    <w:rsid w:val="003B49E4"/>
    <w:rsid w:val="003B4CCF"/>
    <w:rsid w:val="003B65F8"/>
    <w:rsid w:val="003C4D42"/>
    <w:rsid w:val="003C57EB"/>
    <w:rsid w:val="003C6AB4"/>
    <w:rsid w:val="003C7E96"/>
    <w:rsid w:val="003D4104"/>
    <w:rsid w:val="003D75A6"/>
    <w:rsid w:val="003E099F"/>
    <w:rsid w:val="003E167F"/>
    <w:rsid w:val="003E4DF9"/>
    <w:rsid w:val="003E58D5"/>
    <w:rsid w:val="003E631E"/>
    <w:rsid w:val="003E684D"/>
    <w:rsid w:val="003E6983"/>
    <w:rsid w:val="003F1FE3"/>
    <w:rsid w:val="003F3EBE"/>
    <w:rsid w:val="003F665D"/>
    <w:rsid w:val="003F6E4C"/>
    <w:rsid w:val="0040086D"/>
    <w:rsid w:val="004017D8"/>
    <w:rsid w:val="00405188"/>
    <w:rsid w:val="00411E03"/>
    <w:rsid w:val="004123B1"/>
    <w:rsid w:val="00414EB4"/>
    <w:rsid w:val="00423634"/>
    <w:rsid w:val="004303A1"/>
    <w:rsid w:val="00440DC9"/>
    <w:rsid w:val="004506D2"/>
    <w:rsid w:val="00450AE4"/>
    <w:rsid w:val="0045169C"/>
    <w:rsid w:val="00452892"/>
    <w:rsid w:val="00456F40"/>
    <w:rsid w:val="00457511"/>
    <w:rsid w:val="004609BD"/>
    <w:rsid w:val="004661EE"/>
    <w:rsid w:val="00466741"/>
    <w:rsid w:val="00467736"/>
    <w:rsid w:val="00470064"/>
    <w:rsid w:val="00470BCC"/>
    <w:rsid w:val="0047313D"/>
    <w:rsid w:val="0047391C"/>
    <w:rsid w:val="00476156"/>
    <w:rsid w:val="00476F2C"/>
    <w:rsid w:val="00481938"/>
    <w:rsid w:val="004844BE"/>
    <w:rsid w:val="004A1122"/>
    <w:rsid w:val="004A2BEA"/>
    <w:rsid w:val="004A3C64"/>
    <w:rsid w:val="004A5AEA"/>
    <w:rsid w:val="004A78AB"/>
    <w:rsid w:val="004A7FB6"/>
    <w:rsid w:val="004B2FDA"/>
    <w:rsid w:val="004B480A"/>
    <w:rsid w:val="004B509C"/>
    <w:rsid w:val="004B5D36"/>
    <w:rsid w:val="004C03E4"/>
    <w:rsid w:val="004C0CA2"/>
    <w:rsid w:val="004C3F08"/>
    <w:rsid w:val="004C502D"/>
    <w:rsid w:val="004C638E"/>
    <w:rsid w:val="004D50C0"/>
    <w:rsid w:val="004D522A"/>
    <w:rsid w:val="004D772A"/>
    <w:rsid w:val="004E1CAB"/>
    <w:rsid w:val="004E312C"/>
    <w:rsid w:val="004E339B"/>
    <w:rsid w:val="004E4273"/>
    <w:rsid w:val="004E4562"/>
    <w:rsid w:val="004E5E8F"/>
    <w:rsid w:val="004F077F"/>
    <w:rsid w:val="004F5914"/>
    <w:rsid w:val="005023DD"/>
    <w:rsid w:val="00503D8C"/>
    <w:rsid w:val="00522B84"/>
    <w:rsid w:val="00525884"/>
    <w:rsid w:val="0053031B"/>
    <w:rsid w:val="00531A7F"/>
    <w:rsid w:val="00534BAD"/>
    <w:rsid w:val="005360E8"/>
    <w:rsid w:val="0053705C"/>
    <w:rsid w:val="005405CF"/>
    <w:rsid w:val="005428C5"/>
    <w:rsid w:val="00543C55"/>
    <w:rsid w:val="00545507"/>
    <w:rsid w:val="005507D3"/>
    <w:rsid w:val="0055393B"/>
    <w:rsid w:val="005554C7"/>
    <w:rsid w:val="00556F58"/>
    <w:rsid w:val="00557716"/>
    <w:rsid w:val="00560C86"/>
    <w:rsid w:val="00567D57"/>
    <w:rsid w:val="00575083"/>
    <w:rsid w:val="005768D5"/>
    <w:rsid w:val="00582B99"/>
    <w:rsid w:val="00590903"/>
    <w:rsid w:val="005A2CCD"/>
    <w:rsid w:val="005A2EE0"/>
    <w:rsid w:val="005A5C40"/>
    <w:rsid w:val="005A617A"/>
    <w:rsid w:val="005A7774"/>
    <w:rsid w:val="005B0765"/>
    <w:rsid w:val="005B0B2F"/>
    <w:rsid w:val="005B0FC9"/>
    <w:rsid w:val="005B623D"/>
    <w:rsid w:val="005B66D3"/>
    <w:rsid w:val="005C37D1"/>
    <w:rsid w:val="005C4556"/>
    <w:rsid w:val="005C5302"/>
    <w:rsid w:val="005D1DAB"/>
    <w:rsid w:val="005D307B"/>
    <w:rsid w:val="005D603E"/>
    <w:rsid w:val="005E1425"/>
    <w:rsid w:val="005E2ABB"/>
    <w:rsid w:val="005E3419"/>
    <w:rsid w:val="005E362E"/>
    <w:rsid w:val="005F1B2F"/>
    <w:rsid w:val="005F58C7"/>
    <w:rsid w:val="005F5C8E"/>
    <w:rsid w:val="005F7593"/>
    <w:rsid w:val="00600C8E"/>
    <w:rsid w:val="006029D7"/>
    <w:rsid w:val="00602CCA"/>
    <w:rsid w:val="0060455C"/>
    <w:rsid w:val="0061109D"/>
    <w:rsid w:val="00612AA0"/>
    <w:rsid w:val="00612FE1"/>
    <w:rsid w:val="006138CB"/>
    <w:rsid w:val="006201E1"/>
    <w:rsid w:val="006224C4"/>
    <w:rsid w:val="006225EA"/>
    <w:rsid w:val="00623750"/>
    <w:rsid w:val="00625156"/>
    <w:rsid w:val="006261DF"/>
    <w:rsid w:val="00626680"/>
    <w:rsid w:val="006323F8"/>
    <w:rsid w:val="00640CD0"/>
    <w:rsid w:val="00641270"/>
    <w:rsid w:val="00642074"/>
    <w:rsid w:val="00642409"/>
    <w:rsid w:val="006424F8"/>
    <w:rsid w:val="0064290D"/>
    <w:rsid w:val="00644AED"/>
    <w:rsid w:val="006517DA"/>
    <w:rsid w:val="00652204"/>
    <w:rsid w:val="00655405"/>
    <w:rsid w:val="00656301"/>
    <w:rsid w:val="0066326B"/>
    <w:rsid w:val="00663428"/>
    <w:rsid w:val="006640C4"/>
    <w:rsid w:val="00681CAB"/>
    <w:rsid w:val="006842EF"/>
    <w:rsid w:val="00695E58"/>
    <w:rsid w:val="0069757D"/>
    <w:rsid w:val="006977FA"/>
    <w:rsid w:val="006A1329"/>
    <w:rsid w:val="006A3FA5"/>
    <w:rsid w:val="006A66F9"/>
    <w:rsid w:val="006E2EF9"/>
    <w:rsid w:val="006E5C9C"/>
    <w:rsid w:val="006E639E"/>
    <w:rsid w:val="006F1774"/>
    <w:rsid w:val="006F5757"/>
    <w:rsid w:val="006F6BF1"/>
    <w:rsid w:val="00706771"/>
    <w:rsid w:val="00711680"/>
    <w:rsid w:val="007126FF"/>
    <w:rsid w:val="00714890"/>
    <w:rsid w:val="00717A20"/>
    <w:rsid w:val="00720DFF"/>
    <w:rsid w:val="007227E9"/>
    <w:rsid w:val="00730E23"/>
    <w:rsid w:val="00732079"/>
    <w:rsid w:val="007543F0"/>
    <w:rsid w:val="00762CC5"/>
    <w:rsid w:val="00763617"/>
    <w:rsid w:val="00764A52"/>
    <w:rsid w:val="00764CEA"/>
    <w:rsid w:val="00766A89"/>
    <w:rsid w:val="00774D89"/>
    <w:rsid w:val="00782411"/>
    <w:rsid w:val="007906B4"/>
    <w:rsid w:val="007970A0"/>
    <w:rsid w:val="007A24E3"/>
    <w:rsid w:val="007A6A6B"/>
    <w:rsid w:val="007B1D95"/>
    <w:rsid w:val="007B215B"/>
    <w:rsid w:val="007B4617"/>
    <w:rsid w:val="007C41FD"/>
    <w:rsid w:val="007D19A7"/>
    <w:rsid w:val="007D5CE6"/>
    <w:rsid w:val="007E6598"/>
    <w:rsid w:val="007E759D"/>
    <w:rsid w:val="007F2DBE"/>
    <w:rsid w:val="007F2F67"/>
    <w:rsid w:val="007F33B6"/>
    <w:rsid w:val="007F4E12"/>
    <w:rsid w:val="007F642D"/>
    <w:rsid w:val="007F756A"/>
    <w:rsid w:val="00801CFE"/>
    <w:rsid w:val="00807379"/>
    <w:rsid w:val="00812471"/>
    <w:rsid w:val="008261A5"/>
    <w:rsid w:val="00826A19"/>
    <w:rsid w:val="0083382E"/>
    <w:rsid w:val="00836A75"/>
    <w:rsid w:val="00842AD1"/>
    <w:rsid w:val="0085083D"/>
    <w:rsid w:val="00855325"/>
    <w:rsid w:val="00862A99"/>
    <w:rsid w:val="00862E34"/>
    <w:rsid w:val="00865915"/>
    <w:rsid w:val="00871832"/>
    <w:rsid w:val="00877D8E"/>
    <w:rsid w:val="00883F52"/>
    <w:rsid w:val="00886CCE"/>
    <w:rsid w:val="0089000C"/>
    <w:rsid w:val="008942C6"/>
    <w:rsid w:val="00896B33"/>
    <w:rsid w:val="008A57FE"/>
    <w:rsid w:val="008A62FB"/>
    <w:rsid w:val="008A77B7"/>
    <w:rsid w:val="008B0F67"/>
    <w:rsid w:val="008B2F6A"/>
    <w:rsid w:val="008B51C6"/>
    <w:rsid w:val="008C0E8F"/>
    <w:rsid w:val="008C608D"/>
    <w:rsid w:val="008E461D"/>
    <w:rsid w:val="008E6D4E"/>
    <w:rsid w:val="008F08E5"/>
    <w:rsid w:val="008F0EA4"/>
    <w:rsid w:val="008F38F6"/>
    <w:rsid w:val="008F5213"/>
    <w:rsid w:val="008F69E2"/>
    <w:rsid w:val="009000CF"/>
    <w:rsid w:val="009003ED"/>
    <w:rsid w:val="00904E1E"/>
    <w:rsid w:val="0090748B"/>
    <w:rsid w:val="00920C9C"/>
    <w:rsid w:val="00922754"/>
    <w:rsid w:val="00925781"/>
    <w:rsid w:val="009258D0"/>
    <w:rsid w:val="00926753"/>
    <w:rsid w:val="00926D96"/>
    <w:rsid w:val="009275BE"/>
    <w:rsid w:val="00935AB3"/>
    <w:rsid w:val="0093659D"/>
    <w:rsid w:val="00962189"/>
    <w:rsid w:val="009646C4"/>
    <w:rsid w:val="009734CE"/>
    <w:rsid w:val="0098460C"/>
    <w:rsid w:val="00990251"/>
    <w:rsid w:val="00992B56"/>
    <w:rsid w:val="00996030"/>
    <w:rsid w:val="00996E1A"/>
    <w:rsid w:val="00997000"/>
    <w:rsid w:val="009A5260"/>
    <w:rsid w:val="009B4392"/>
    <w:rsid w:val="009B79CE"/>
    <w:rsid w:val="009B7D09"/>
    <w:rsid w:val="009C14B3"/>
    <w:rsid w:val="009D24DA"/>
    <w:rsid w:val="009D5D75"/>
    <w:rsid w:val="009D7601"/>
    <w:rsid w:val="009D7A78"/>
    <w:rsid w:val="009E0C0B"/>
    <w:rsid w:val="009E349F"/>
    <w:rsid w:val="009F17BD"/>
    <w:rsid w:val="009F32A2"/>
    <w:rsid w:val="009F4C68"/>
    <w:rsid w:val="009F54CE"/>
    <w:rsid w:val="00A06264"/>
    <w:rsid w:val="00A128E3"/>
    <w:rsid w:val="00A1639A"/>
    <w:rsid w:val="00A17A14"/>
    <w:rsid w:val="00A215C9"/>
    <w:rsid w:val="00A30B7F"/>
    <w:rsid w:val="00A31351"/>
    <w:rsid w:val="00A32F0C"/>
    <w:rsid w:val="00A3554C"/>
    <w:rsid w:val="00A5364B"/>
    <w:rsid w:val="00A60999"/>
    <w:rsid w:val="00A615E0"/>
    <w:rsid w:val="00A65E2B"/>
    <w:rsid w:val="00A7200E"/>
    <w:rsid w:val="00A74AA0"/>
    <w:rsid w:val="00A7546D"/>
    <w:rsid w:val="00A77100"/>
    <w:rsid w:val="00A773B2"/>
    <w:rsid w:val="00A91138"/>
    <w:rsid w:val="00A92BB1"/>
    <w:rsid w:val="00AA05E8"/>
    <w:rsid w:val="00AA4D97"/>
    <w:rsid w:val="00AB1E81"/>
    <w:rsid w:val="00AD17B7"/>
    <w:rsid w:val="00AE33D7"/>
    <w:rsid w:val="00AE4393"/>
    <w:rsid w:val="00AF08D2"/>
    <w:rsid w:val="00AF1AAD"/>
    <w:rsid w:val="00AF64D0"/>
    <w:rsid w:val="00B05B3E"/>
    <w:rsid w:val="00B069C5"/>
    <w:rsid w:val="00B06D1B"/>
    <w:rsid w:val="00B077D5"/>
    <w:rsid w:val="00B16A78"/>
    <w:rsid w:val="00B200E4"/>
    <w:rsid w:val="00B26FFD"/>
    <w:rsid w:val="00B27E63"/>
    <w:rsid w:val="00B30501"/>
    <w:rsid w:val="00B35AFE"/>
    <w:rsid w:val="00B35B6D"/>
    <w:rsid w:val="00B35DC6"/>
    <w:rsid w:val="00B3619D"/>
    <w:rsid w:val="00B4232D"/>
    <w:rsid w:val="00B51699"/>
    <w:rsid w:val="00B53FAF"/>
    <w:rsid w:val="00B602FA"/>
    <w:rsid w:val="00B63153"/>
    <w:rsid w:val="00B6527D"/>
    <w:rsid w:val="00B66C16"/>
    <w:rsid w:val="00B72D7B"/>
    <w:rsid w:val="00B73B3A"/>
    <w:rsid w:val="00B74507"/>
    <w:rsid w:val="00B75718"/>
    <w:rsid w:val="00B75E7E"/>
    <w:rsid w:val="00B77EAB"/>
    <w:rsid w:val="00B86001"/>
    <w:rsid w:val="00B90261"/>
    <w:rsid w:val="00B92FD0"/>
    <w:rsid w:val="00B93817"/>
    <w:rsid w:val="00B96716"/>
    <w:rsid w:val="00B9682D"/>
    <w:rsid w:val="00B96FB1"/>
    <w:rsid w:val="00B97144"/>
    <w:rsid w:val="00BA0B96"/>
    <w:rsid w:val="00BA23BB"/>
    <w:rsid w:val="00BB15DA"/>
    <w:rsid w:val="00BB2707"/>
    <w:rsid w:val="00BB340D"/>
    <w:rsid w:val="00BB438E"/>
    <w:rsid w:val="00BB658C"/>
    <w:rsid w:val="00BC1B54"/>
    <w:rsid w:val="00BC2A3A"/>
    <w:rsid w:val="00BC39B1"/>
    <w:rsid w:val="00BC64EC"/>
    <w:rsid w:val="00BD073D"/>
    <w:rsid w:val="00BD380C"/>
    <w:rsid w:val="00BE4198"/>
    <w:rsid w:val="00BF3AFD"/>
    <w:rsid w:val="00C00F4E"/>
    <w:rsid w:val="00C023E8"/>
    <w:rsid w:val="00C04A14"/>
    <w:rsid w:val="00C1438E"/>
    <w:rsid w:val="00C1606C"/>
    <w:rsid w:val="00C171C1"/>
    <w:rsid w:val="00C205D6"/>
    <w:rsid w:val="00C23180"/>
    <w:rsid w:val="00C41492"/>
    <w:rsid w:val="00C502EC"/>
    <w:rsid w:val="00C50874"/>
    <w:rsid w:val="00C5466E"/>
    <w:rsid w:val="00C55A4E"/>
    <w:rsid w:val="00C63201"/>
    <w:rsid w:val="00C65D69"/>
    <w:rsid w:val="00C67D85"/>
    <w:rsid w:val="00C702B5"/>
    <w:rsid w:val="00C70389"/>
    <w:rsid w:val="00C733F1"/>
    <w:rsid w:val="00C8495F"/>
    <w:rsid w:val="00C904B6"/>
    <w:rsid w:val="00C90A75"/>
    <w:rsid w:val="00C9231A"/>
    <w:rsid w:val="00C93275"/>
    <w:rsid w:val="00C935BC"/>
    <w:rsid w:val="00C96910"/>
    <w:rsid w:val="00C96DF4"/>
    <w:rsid w:val="00CA58B6"/>
    <w:rsid w:val="00CA6A66"/>
    <w:rsid w:val="00CB6115"/>
    <w:rsid w:val="00CC1337"/>
    <w:rsid w:val="00CC2514"/>
    <w:rsid w:val="00CC3E33"/>
    <w:rsid w:val="00CC48DF"/>
    <w:rsid w:val="00CC4EF0"/>
    <w:rsid w:val="00CD42E0"/>
    <w:rsid w:val="00CD4A91"/>
    <w:rsid w:val="00CD4FDC"/>
    <w:rsid w:val="00CD70E7"/>
    <w:rsid w:val="00CD7363"/>
    <w:rsid w:val="00CE0BB9"/>
    <w:rsid w:val="00CE0C1F"/>
    <w:rsid w:val="00CE3370"/>
    <w:rsid w:val="00CE455F"/>
    <w:rsid w:val="00CF0BF9"/>
    <w:rsid w:val="00CF2C0D"/>
    <w:rsid w:val="00CF5957"/>
    <w:rsid w:val="00CF7C1F"/>
    <w:rsid w:val="00D04BA2"/>
    <w:rsid w:val="00D077B0"/>
    <w:rsid w:val="00D22D42"/>
    <w:rsid w:val="00D27B75"/>
    <w:rsid w:val="00D31A57"/>
    <w:rsid w:val="00D36D8D"/>
    <w:rsid w:val="00D412A7"/>
    <w:rsid w:val="00D41EEF"/>
    <w:rsid w:val="00D45711"/>
    <w:rsid w:val="00D500FC"/>
    <w:rsid w:val="00D50B57"/>
    <w:rsid w:val="00D5144F"/>
    <w:rsid w:val="00D51597"/>
    <w:rsid w:val="00D5326E"/>
    <w:rsid w:val="00D55867"/>
    <w:rsid w:val="00D57F53"/>
    <w:rsid w:val="00D634A3"/>
    <w:rsid w:val="00D64145"/>
    <w:rsid w:val="00D702C8"/>
    <w:rsid w:val="00D7232A"/>
    <w:rsid w:val="00D72339"/>
    <w:rsid w:val="00D73E47"/>
    <w:rsid w:val="00D74ABB"/>
    <w:rsid w:val="00D83CB7"/>
    <w:rsid w:val="00D8438D"/>
    <w:rsid w:val="00D916E0"/>
    <w:rsid w:val="00D9242A"/>
    <w:rsid w:val="00D95394"/>
    <w:rsid w:val="00D97FA8"/>
    <w:rsid w:val="00DA6839"/>
    <w:rsid w:val="00DC7B25"/>
    <w:rsid w:val="00DD4100"/>
    <w:rsid w:val="00DD681C"/>
    <w:rsid w:val="00DD6B73"/>
    <w:rsid w:val="00DE23F8"/>
    <w:rsid w:val="00DE3897"/>
    <w:rsid w:val="00DE7CC2"/>
    <w:rsid w:val="00DF2587"/>
    <w:rsid w:val="00E04117"/>
    <w:rsid w:val="00E05CF6"/>
    <w:rsid w:val="00E06956"/>
    <w:rsid w:val="00E112C9"/>
    <w:rsid w:val="00E1194F"/>
    <w:rsid w:val="00E1314C"/>
    <w:rsid w:val="00E158F7"/>
    <w:rsid w:val="00E2087E"/>
    <w:rsid w:val="00E23DD5"/>
    <w:rsid w:val="00E2636D"/>
    <w:rsid w:val="00E34976"/>
    <w:rsid w:val="00E36818"/>
    <w:rsid w:val="00E36E5F"/>
    <w:rsid w:val="00E4063D"/>
    <w:rsid w:val="00E42887"/>
    <w:rsid w:val="00E47248"/>
    <w:rsid w:val="00E47B97"/>
    <w:rsid w:val="00E47E81"/>
    <w:rsid w:val="00E5203C"/>
    <w:rsid w:val="00E634CC"/>
    <w:rsid w:val="00E67D78"/>
    <w:rsid w:val="00E705BE"/>
    <w:rsid w:val="00E82F0E"/>
    <w:rsid w:val="00E9556E"/>
    <w:rsid w:val="00E95F89"/>
    <w:rsid w:val="00E96065"/>
    <w:rsid w:val="00E96FAC"/>
    <w:rsid w:val="00EA129F"/>
    <w:rsid w:val="00EA1AD8"/>
    <w:rsid w:val="00EB3BE5"/>
    <w:rsid w:val="00EB7A31"/>
    <w:rsid w:val="00EB7C48"/>
    <w:rsid w:val="00ED0582"/>
    <w:rsid w:val="00ED1A9F"/>
    <w:rsid w:val="00ED7374"/>
    <w:rsid w:val="00EE2C4F"/>
    <w:rsid w:val="00EE31F6"/>
    <w:rsid w:val="00EE36DC"/>
    <w:rsid w:val="00EE77BB"/>
    <w:rsid w:val="00F00799"/>
    <w:rsid w:val="00F01396"/>
    <w:rsid w:val="00F044EE"/>
    <w:rsid w:val="00F12C0D"/>
    <w:rsid w:val="00F135B3"/>
    <w:rsid w:val="00F172FE"/>
    <w:rsid w:val="00F21E4A"/>
    <w:rsid w:val="00F3320B"/>
    <w:rsid w:val="00F4044F"/>
    <w:rsid w:val="00F40E92"/>
    <w:rsid w:val="00F41947"/>
    <w:rsid w:val="00F435AA"/>
    <w:rsid w:val="00F4603A"/>
    <w:rsid w:val="00F51D9B"/>
    <w:rsid w:val="00F66FF2"/>
    <w:rsid w:val="00F758EB"/>
    <w:rsid w:val="00F75C84"/>
    <w:rsid w:val="00F76C6A"/>
    <w:rsid w:val="00F83BF1"/>
    <w:rsid w:val="00F90CB9"/>
    <w:rsid w:val="00F92D87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C0A53"/>
    <w:rsid w:val="00FC1895"/>
    <w:rsid w:val="00FC455D"/>
    <w:rsid w:val="00FC497D"/>
    <w:rsid w:val="00FD076B"/>
    <w:rsid w:val="00FD160F"/>
    <w:rsid w:val="00FD41F3"/>
    <w:rsid w:val="00FE031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89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paragraph" w:customStyle="1" w:styleId="ZitatTextNL">
    <w:name w:val="Zitat Text NL"/>
    <w:basedOn w:val="FliesstextNL"/>
    <w:uiPriority w:val="99"/>
    <w:rsid w:val="0004323A"/>
    <w:pPr>
      <w:suppressAutoHyphens/>
    </w:pPr>
    <w:rPr>
      <w:rFonts w:ascii="Mark OT" w:hAnsi="Mark OT" w:cs="Mark OT"/>
      <w:b/>
      <w:bCs/>
      <w:spacing w:val="0"/>
    </w:rPr>
  </w:style>
  <w:style w:type="character" w:styleId="Hervorhebung">
    <w:name w:val="Emphasis"/>
    <w:basedOn w:val="Absatz-Standardschriftart"/>
    <w:uiPriority w:val="20"/>
    <w:qFormat/>
    <w:locked/>
    <w:rsid w:val="0004323A"/>
    <w:rPr>
      <w:i/>
      <w:iCs/>
    </w:rPr>
  </w:style>
  <w:style w:type="table" w:customStyle="1" w:styleId="TableGrid2">
    <w:name w:val="Table Grid2"/>
    <w:basedOn w:val="NormaleTabelle"/>
    <w:next w:val="Tabellenraster"/>
    <w:uiPriority w:val="59"/>
    <w:rsid w:val="00140D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140D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51D4-6FB9-4B71-BC2A-283D4D38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27</cp:revision>
  <cp:lastPrinted>2021-01-13T09:06:00Z</cp:lastPrinted>
  <dcterms:created xsi:type="dcterms:W3CDTF">2021-01-06T08:11:00Z</dcterms:created>
  <dcterms:modified xsi:type="dcterms:W3CDTF">2021-01-13T12:46:00Z</dcterms:modified>
</cp:coreProperties>
</file>