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29D372B0" w:rsidR="000D48D4" w:rsidRDefault="00424033" w:rsidP="00365A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D07EEA">
        <w:rPr>
          <w:rFonts w:ascii="Arial" w:hAnsi="Arial" w:cs="Arial"/>
          <w:b/>
        </w:rPr>
        <w:t>-4</w:t>
      </w:r>
      <w:r w:rsidR="00940FBB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2628F0">
        <w:rPr>
          <w:rFonts w:ascii="Arial" w:hAnsi="Arial" w:cs="Arial"/>
          <w:b/>
          <w:sz w:val="28"/>
          <w:szCs w:val="28"/>
        </w:rPr>
        <w:t>Stär</w:t>
      </w:r>
      <w:r w:rsidR="001B0D57">
        <w:rPr>
          <w:rFonts w:ascii="Arial" w:hAnsi="Arial" w:cs="Arial"/>
          <w:b/>
          <w:sz w:val="28"/>
          <w:szCs w:val="28"/>
        </w:rPr>
        <w:t>kstes 4. Quartal sorgt für Tope</w:t>
      </w:r>
      <w:bookmarkStart w:id="0" w:name="_GoBack"/>
      <w:bookmarkEnd w:id="0"/>
      <w:r w:rsidR="002628F0">
        <w:rPr>
          <w:rFonts w:ascii="Arial" w:hAnsi="Arial" w:cs="Arial"/>
          <w:b/>
          <w:sz w:val="28"/>
          <w:szCs w:val="28"/>
        </w:rPr>
        <w:t>rgebnis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33842881" w14:textId="2D9DE875" w:rsidR="001A5270" w:rsidRPr="001A5270" w:rsidRDefault="0042403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E90673" w:rsidRPr="00AB424B">
        <w:rPr>
          <w:rFonts w:ascii="Arial" w:hAnsi="Arial" w:cs="Arial"/>
          <w:b/>
          <w:sz w:val="20"/>
          <w:szCs w:val="20"/>
        </w:rPr>
        <w:t xml:space="preserve">, </w:t>
      </w:r>
      <w:r w:rsidR="008B14E6">
        <w:rPr>
          <w:rFonts w:ascii="Arial" w:hAnsi="Arial" w:cs="Arial"/>
          <w:b/>
          <w:sz w:val="20"/>
          <w:szCs w:val="20"/>
        </w:rPr>
        <w:t>11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07EEA">
        <w:rPr>
          <w:rFonts w:ascii="Arial" w:hAnsi="Arial" w:cs="Arial"/>
          <w:b/>
          <w:sz w:val="20"/>
          <w:szCs w:val="20"/>
        </w:rPr>
        <w:t>Januar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D07EEA">
        <w:rPr>
          <w:rFonts w:ascii="Arial" w:hAnsi="Arial" w:cs="Arial"/>
          <w:b/>
          <w:sz w:val="20"/>
          <w:szCs w:val="20"/>
        </w:rPr>
        <w:t>22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1A5270">
        <w:rPr>
          <w:rFonts w:ascii="Arial" w:hAnsi="Arial" w:cs="Arial"/>
          <w:sz w:val="20"/>
          <w:szCs w:val="20"/>
        </w:rPr>
        <w:t>Der Berliner Markt für gewerbliche Immobilieninvestments legte 2021 einen historischen Jahresendspurt hin: Mit 4,1 Mrd. € allein im 4. Quartal verbuchte die Bundeshauptstadt das höchste jemals gemessene Transaktionsvolumen (TAV) eines einzigen Q</w:t>
      </w:r>
      <w:r w:rsidR="00380BC4">
        <w:rPr>
          <w:rFonts w:ascii="Arial" w:hAnsi="Arial" w:cs="Arial"/>
          <w:sz w:val="20"/>
          <w:szCs w:val="20"/>
        </w:rPr>
        <w:t>uartals. Entsprechend hoch fiel</w:t>
      </w:r>
      <w:r w:rsidR="001A5270">
        <w:rPr>
          <w:rFonts w:ascii="Arial" w:hAnsi="Arial" w:cs="Arial"/>
          <w:sz w:val="20"/>
          <w:szCs w:val="20"/>
        </w:rPr>
        <w:t xml:space="preserve"> das TAV für das Gesamtjahr 2021 mit 10,5 Mrd. € aus, dem zweitbesten Ergebnis nach dem Rekordjahr 2019. Konnte bereits die „Fürst“-Transaktion im 2. Quartal den noch sehr schwachen Jahresauftakt wettmachen, führte eine Vielzahl weiterer großvolumiger Transaktionen zu diesem Topergebnis. </w:t>
      </w:r>
      <w:r w:rsidR="001A5270" w:rsidRPr="009705C3">
        <w:rPr>
          <w:rFonts w:ascii="Arial" w:hAnsi="Arial" w:cs="Arial"/>
          <w:i/>
          <w:sz w:val="20"/>
          <w:szCs w:val="20"/>
        </w:rPr>
        <w:t>„</w:t>
      </w:r>
      <w:r w:rsidR="009705C3" w:rsidRPr="009705C3">
        <w:rPr>
          <w:rFonts w:ascii="Arial" w:hAnsi="Arial" w:cs="Arial"/>
          <w:i/>
          <w:sz w:val="20"/>
          <w:szCs w:val="20"/>
        </w:rPr>
        <w:t xml:space="preserve">Unterm Strich ist aber nicht die hohe Anzahl an Großtransaktionen für dieses Ergebnis verantwortlich, sondern die gestiegenen Capital Values, die auf den hohen Mieten und </w:t>
      </w:r>
      <w:proofErr w:type="spellStart"/>
      <w:r w:rsidR="009705C3" w:rsidRPr="009705C3">
        <w:rPr>
          <w:rFonts w:ascii="Arial" w:hAnsi="Arial" w:cs="Arial"/>
          <w:i/>
          <w:sz w:val="20"/>
          <w:szCs w:val="20"/>
        </w:rPr>
        <w:t>Vervielfachern</w:t>
      </w:r>
      <w:proofErr w:type="spellEnd"/>
      <w:r w:rsidR="009705C3" w:rsidRPr="009705C3">
        <w:rPr>
          <w:rFonts w:ascii="Arial" w:hAnsi="Arial" w:cs="Arial"/>
          <w:i/>
          <w:sz w:val="20"/>
          <w:szCs w:val="20"/>
        </w:rPr>
        <w:t xml:space="preserve"> basieren. </w:t>
      </w:r>
      <w:r w:rsidR="001A5270" w:rsidRPr="009705C3">
        <w:rPr>
          <w:rFonts w:ascii="Arial" w:hAnsi="Arial" w:cs="Arial"/>
          <w:i/>
          <w:sz w:val="20"/>
          <w:szCs w:val="20"/>
        </w:rPr>
        <w:t>In der Größenklasse über 100 Mio. € gab es 31 Transaktionen</w:t>
      </w:r>
      <w:r w:rsidR="009705C3" w:rsidRPr="009705C3">
        <w:rPr>
          <w:rFonts w:ascii="Arial" w:hAnsi="Arial" w:cs="Arial"/>
          <w:i/>
          <w:sz w:val="20"/>
          <w:szCs w:val="20"/>
        </w:rPr>
        <w:t>, die insgesamt einen Umsatz von 6,6 Mrd. € auf sich vereinen“,</w:t>
      </w:r>
      <w:r w:rsidR="009705C3">
        <w:rPr>
          <w:rFonts w:ascii="Arial" w:hAnsi="Arial" w:cs="Arial"/>
          <w:sz w:val="20"/>
          <w:szCs w:val="20"/>
        </w:rPr>
        <w:t xml:space="preserve"> erläutert </w:t>
      </w:r>
      <w:r w:rsidR="009705C3" w:rsidRPr="009705C3">
        <w:rPr>
          <w:rFonts w:ascii="Arial" w:hAnsi="Arial" w:cs="Arial"/>
          <w:b/>
          <w:sz w:val="20"/>
          <w:szCs w:val="20"/>
        </w:rPr>
        <w:t>Holger Michaelis</w:t>
      </w:r>
      <w:r w:rsidR="009705C3">
        <w:rPr>
          <w:rFonts w:ascii="Arial" w:hAnsi="Arial" w:cs="Arial"/>
          <w:sz w:val="20"/>
          <w:szCs w:val="20"/>
        </w:rPr>
        <w:t xml:space="preserve">, Geschäftsführer von Grossmann &amp; Berger, Mitglied von German Property Partners (GPP). </w:t>
      </w:r>
      <w:r w:rsidR="00033D8C">
        <w:rPr>
          <w:rFonts w:ascii="Arial" w:hAnsi="Arial" w:cs="Arial"/>
          <w:sz w:val="20"/>
          <w:szCs w:val="20"/>
        </w:rPr>
        <w:t>Angesichts dieser äußerst hohen Umsatztätigkeit in 2021 dürfte nach Einschätzung von Grossmann &amp; Berger das TAV</w:t>
      </w:r>
      <w:r w:rsidR="007C0663">
        <w:rPr>
          <w:rFonts w:ascii="Arial" w:hAnsi="Arial" w:cs="Arial"/>
          <w:sz w:val="20"/>
          <w:szCs w:val="20"/>
        </w:rPr>
        <w:t xml:space="preserve"> in 2022 mit schätzungsweise 9</w:t>
      </w:r>
      <w:r w:rsidR="00033D8C">
        <w:rPr>
          <w:rFonts w:ascii="Arial" w:hAnsi="Arial" w:cs="Arial"/>
          <w:sz w:val="20"/>
          <w:szCs w:val="20"/>
        </w:rPr>
        <w:t xml:space="preserve"> Mrd. € wieder etwas moderater ausfallen.</w:t>
      </w:r>
    </w:p>
    <w:p w14:paraId="15C78DCB" w14:textId="77777777" w:rsidR="001A5270" w:rsidRDefault="001A5270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CE8AC6A" w14:textId="353B035F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9D59530" w14:textId="5BDB0A9A" w:rsidR="00F97A65" w:rsidRDefault="001C5781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Aufgrund</w:t>
      </w:r>
      <w:r w:rsidR="00493B78">
        <w:rPr>
          <w:rFonts w:ascii="Arial" w:hAnsi="Arial" w:cs="Arial"/>
          <w:sz w:val="20"/>
          <w:szCs w:val="20"/>
        </w:rPr>
        <w:t xml:space="preserve"> der anhaltenden Pandemie-Lage setzten Investoren weiterhin auf die sicheren </w:t>
      </w:r>
      <w:proofErr w:type="spellStart"/>
      <w:r w:rsidR="00493B78" w:rsidRPr="00493B78">
        <w:rPr>
          <w:rFonts w:ascii="Arial" w:hAnsi="Arial" w:cs="Arial"/>
          <w:sz w:val="20"/>
          <w:szCs w:val="20"/>
          <w:u w:val="single"/>
        </w:rPr>
        <w:t>Assetklassen</w:t>
      </w:r>
      <w:proofErr w:type="spellEnd"/>
      <w:r w:rsidR="00493B78">
        <w:rPr>
          <w:rFonts w:ascii="Arial" w:hAnsi="Arial" w:cs="Arial"/>
          <w:sz w:val="20"/>
          <w:szCs w:val="20"/>
        </w:rPr>
        <w:t xml:space="preserve"> Büro (56 %) und Mischnutzung (28 %) und mieden Hotels und Einzelhandels-Objekte.</w:t>
      </w:r>
    </w:p>
    <w:p w14:paraId="4B552B3F" w14:textId="1DC85C0F" w:rsidR="00933C0C" w:rsidRDefault="00493B78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hohe Volumen der</w:t>
      </w:r>
      <w:r w:rsidR="00933C0C">
        <w:rPr>
          <w:rFonts w:ascii="Arial" w:hAnsi="Arial" w:cs="Arial"/>
          <w:sz w:val="20"/>
          <w:szCs w:val="20"/>
        </w:rPr>
        <w:t xml:space="preserve"> </w:t>
      </w:r>
      <w:r w:rsidR="00933C0C" w:rsidRPr="005B2D0D">
        <w:rPr>
          <w:rFonts w:ascii="Arial" w:hAnsi="Arial" w:cs="Arial"/>
          <w:sz w:val="20"/>
          <w:szCs w:val="20"/>
          <w:u w:val="single"/>
        </w:rPr>
        <w:t>Größenklasse</w:t>
      </w:r>
      <w:r w:rsidR="00933C0C">
        <w:rPr>
          <w:rFonts w:ascii="Arial" w:hAnsi="Arial" w:cs="Arial"/>
          <w:sz w:val="20"/>
          <w:szCs w:val="20"/>
        </w:rPr>
        <w:t xml:space="preserve"> ab 100 Mio. € </w:t>
      </w:r>
      <w:r>
        <w:rPr>
          <w:rFonts w:ascii="Arial" w:hAnsi="Arial" w:cs="Arial"/>
          <w:sz w:val="20"/>
          <w:szCs w:val="20"/>
        </w:rPr>
        <w:t>spiegelt sich auch in dem hohen Anteil von 68</w:t>
      </w:r>
      <w:r w:rsidR="00933C0C">
        <w:rPr>
          <w:rFonts w:ascii="Arial" w:hAnsi="Arial" w:cs="Arial"/>
          <w:sz w:val="20"/>
          <w:szCs w:val="20"/>
        </w:rPr>
        <w:t xml:space="preserve"> % </w:t>
      </w:r>
      <w:r w:rsidR="001C5781">
        <w:rPr>
          <w:rFonts w:ascii="Arial" w:hAnsi="Arial" w:cs="Arial"/>
          <w:sz w:val="20"/>
          <w:szCs w:val="20"/>
        </w:rPr>
        <w:t xml:space="preserve">am Gesamtvolumen </w:t>
      </w:r>
      <w:r w:rsidR="00380BC4">
        <w:rPr>
          <w:rFonts w:ascii="Arial" w:hAnsi="Arial" w:cs="Arial"/>
          <w:sz w:val="20"/>
          <w:szCs w:val="20"/>
        </w:rPr>
        <w:t xml:space="preserve">in 2021 </w:t>
      </w:r>
      <w:r w:rsidR="001C5781">
        <w:rPr>
          <w:rFonts w:ascii="Arial" w:hAnsi="Arial" w:cs="Arial"/>
          <w:sz w:val="20"/>
          <w:szCs w:val="20"/>
        </w:rPr>
        <w:t>wider</w:t>
      </w:r>
      <w:r w:rsidR="00933C0C">
        <w:rPr>
          <w:rFonts w:ascii="Arial" w:hAnsi="Arial" w:cs="Arial"/>
          <w:sz w:val="20"/>
          <w:szCs w:val="20"/>
        </w:rPr>
        <w:t>.</w:t>
      </w:r>
    </w:p>
    <w:p w14:paraId="5D4C621A" w14:textId="0C97F990" w:rsidR="00933C0C" w:rsidRDefault="00493B78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00AEB">
        <w:rPr>
          <w:rFonts w:ascii="Arial" w:hAnsi="Arial" w:cs="Arial"/>
          <w:sz w:val="20"/>
          <w:szCs w:val="20"/>
        </w:rPr>
        <w:t xml:space="preserve">urch die „Fürst“-Transaktion </w:t>
      </w:r>
      <w:r w:rsidR="001C5781">
        <w:rPr>
          <w:rFonts w:ascii="Arial" w:hAnsi="Arial" w:cs="Arial"/>
          <w:sz w:val="20"/>
          <w:szCs w:val="20"/>
        </w:rPr>
        <w:t xml:space="preserve">im 2. Quartal </w:t>
      </w:r>
      <w:r>
        <w:rPr>
          <w:rFonts w:ascii="Arial" w:hAnsi="Arial" w:cs="Arial"/>
          <w:sz w:val="20"/>
          <w:szCs w:val="20"/>
        </w:rPr>
        <w:t xml:space="preserve">führten Fondsmanager mit 22 % auch zum Jahresende das Ranking der </w:t>
      </w:r>
      <w:r w:rsidRPr="00493B78">
        <w:rPr>
          <w:rFonts w:ascii="Arial" w:hAnsi="Arial" w:cs="Arial"/>
          <w:sz w:val="20"/>
          <w:szCs w:val="20"/>
          <w:u w:val="single"/>
        </w:rPr>
        <w:t>Käufergruppen</w:t>
      </w:r>
      <w:r>
        <w:rPr>
          <w:rFonts w:ascii="Arial" w:hAnsi="Arial" w:cs="Arial"/>
          <w:sz w:val="20"/>
          <w:szCs w:val="20"/>
        </w:rPr>
        <w:t xml:space="preserve"> an. Dahinter platzierten sich Private-Equity-Fonds/</w:t>
      </w:r>
      <w:proofErr w:type="spellStart"/>
      <w:r>
        <w:rPr>
          <w:rFonts w:ascii="Arial" w:hAnsi="Arial" w:cs="Arial"/>
          <w:sz w:val="20"/>
          <w:szCs w:val="20"/>
        </w:rPr>
        <w:t>Opportunity</w:t>
      </w:r>
      <w:proofErr w:type="spellEnd"/>
      <w:r>
        <w:rPr>
          <w:rFonts w:ascii="Arial" w:hAnsi="Arial" w:cs="Arial"/>
          <w:sz w:val="20"/>
          <w:szCs w:val="20"/>
        </w:rPr>
        <w:t xml:space="preserve"> Fonds und Projektentwickler mit jeweils 15 %.</w:t>
      </w:r>
    </w:p>
    <w:p w14:paraId="430BFC54" w14:textId="6CF932C3" w:rsidR="00360D71" w:rsidRDefault="005B2D0D" w:rsidP="003B27A3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Stärkste</w:t>
      </w:r>
      <w:r w:rsidR="00360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Verkäufer</w:t>
      </w:r>
      <w:r w:rsidRPr="001C5781">
        <w:rPr>
          <w:rFonts w:ascii="Arial" w:hAnsi="Arial" w:cs="Arial"/>
          <w:sz w:val="20"/>
          <w:szCs w:val="20"/>
          <w:u w:val="single"/>
        </w:rPr>
        <w:t>gruppe</w:t>
      </w:r>
      <w:r>
        <w:rPr>
          <w:rFonts w:ascii="Arial" w:hAnsi="Arial" w:cs="Arial"/>
          <w:sz w:val="20"/>
          <w:szCs w:val="20"/>
        </w:rPr>
        <w:t xml:space="preserve"> bildeten </w:t>
      </w:r>
      <w:r w:rsidR="003B27A3">
        <w:rPr>
          <w:rFonts w:ascii="Arial" w:hAnsi="Arial" w:cs="Arial"/>
          <w:sz w:val="20"/>
          <w:szCs w:val="20"/>
        </w:rPr>
        <w:t>Projektentwickler (28</w:t>
      </w:r>
      <w:r>
        <w:rPr>
          <w:rFonts w:ascii="Arial" w:hAnsi="Arial" w:cs="Arial"/>
          <w:sz w:val="20"/>
          <w:szCs w:val="20"/>
        </w:rPr>
        <w:t xml:space="preserve"> %), gefolgt von </w:t>
      </w:r>
      <w:r w:rsidR="003B27A3" w:rsidRPr="003B27A3">
        <w:rPr>
          <w:rFonts w:ascii="Arial" w:hAnsi="Arial" w:cs="Arial"/>
          <w:sz w:val="20"/>
          <w:szCs w:val="20"/>
        </w:rPr>
        <w:t>Nicht-börsennotierte</w:t>
      </w:r>
      <w:r w:rsidR="003B27A3">
        <w:rPr>
          <w:rFonts w:ascii="Arial" w:hAnsi="Arial" w:cs="Arial"/>
          <w:sz w:val="20"/>
          <w:szCs w:val="20"/>
        </w:rPr>
        <w:t>n</w:t>
      </w:r>
      <w:r w:rsidR="003B27A3" w:rsidRPr="003B27A3">
        <w:rPr>
          <w:rFonts w:ascii="Arial" w:hAnsi="Arial" w:cs="Arial"/>
          <w:sz w:val="20"/>
          <w:szCs w:val="20"/>
        </w:rPr>
        <w:t xml:space="preserve"> Immobiliengesellschaften </w:t>
      </w:r>
      <w:r w:rsidR="003B27A3">
        <w:rPr>
          <w:rFonts w:ascii="Arial" w:hAnsi="Arial" w:cs="Arial"/>
          <w:sz w:val="20"/>
          <w:szCs w:val="20"/>
        </w:rPr>
        <w:t>(15</w:t>
      </w:r>
      <w:r>
        <w:rPr>
          <w:rFonts w:ascii="Arial" w:hAnsi="Arial" w:cs="Arial"/>
          <w:sz w:val="20"/>
          <w:szCs w:val="20"/>
        </w:rPr>
        <w:t xml:space="preserve"> %).</w:t>
      </w:r>
      <w:r w:rsidR="00360D71">
        <w:rPr>
          <w:rFonts w:ascii="Arial" w:hAnsi="Arial" w:cs="Arial"/>
          <w:sz w:val="20"/>
          <w:szCs w:val="20"/>
        </w:rPr>
        <w:t xml:space="preserve"> </w:t>
      </w:r>
    </w:p>
    <w:p w14:paraId="620ADA57" w14:textId="6D23C4B7" w:rsidR="005B2D0D" w:rsidRDefault="003B27A3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Büro-Immobilien mit langen Mietverträgen, bevorzugt mit der öffentlichen Hand als Mieter, standen weiterhin im Fokus der Investoren</w:t>
      </w:r>
      <w:r w:rsidR="005B2D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Hierfür wurden </w:t>
      </w:r>
      <w:proofErr w:type="spellStart"/>
      <w:r>
        <w:rPr>
          <w:rFonts w:ascii="Arial" w:hAnsi="Arial" w:cs="Arial"/>
          <w:sz w:val="20"/>
          <w:szCs w:val="20"/>
        </w:rPr>
        <w:t>Vervielfacher</w:t>
      </w:r>
      <w:proofErr w:type="spellEnd"/>
      <w:r>
        <w:rPr>
          <w:rFonts w:ascii="Arial" w:hAnsi="Arial" w:cs="Arial"/>
          <w:sz w:val="20"/>
          <w:szCs w:val="20"/>
        </w:rPr>
        <w:t xml:space="preserve"> bis zum 38,5-Fachen b</w:t>
      </w:r>
      <w:r w:rsidR="001C5781">
        <w:rPr>
          <w:rFonts w:ascii="Arial" w:hAnsi="Arial" w:cs="Arial"/>
          <w:sz w:val="20"/>
          <w:szCs w:val="20"/>
        </w:rPr>
        <w:t>ezahlt, was die Spitzenrendite</w:t>
      </w:r>
      <w:r>
        <w:rPr>
          <w:rFonts w:ascii="Arial" w:hAnsi="Arial" w:cs="Arial"/>
          <w:sz w:val="20"/>
          <w:szCs w:val="20"/>
        </w:rPr>
        <w:t xml:space="preserve"> zum Jahresende </w:t>
      </w:r>
      <w:r w:rsidR="00380BC4"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>auf 2,6 % sinken ließ.</w:t>
      </w:r>
      <w:r w:rsidR="005B2D0D">
        <w:rPr>
          <w:rFonts w:ascii="Arial" w:hAnsi="Arial" w:cs="Arial"/>
          <w:sz w:val="20"/>
          <w:szCs w:val="20"/>
        </w:rPr>
        <w:t xml:space="preserve"> Einen deutlichen Rückgang der Spitzenrendite verzeichne</w:t>
      </w:r>
      <w:r>
        <w:rPr>
          <w:rFonts w:ascii="Arial" w:hAnsi="Arial" w:cs="Arial"/>
          <w:sz w:val="20"/>
          <w:szCs w:val="20"/>
        </w:rPr>
        <w:t>ten Logistik-Immobilien mit -0,4 Prozentpunkten gegenüber 2020 auf 3,4</w:t>
      </w:r>
      <w:r w:rsidR="005B2D0D">
        <w:rPr>
          <w:rFonts w:ascii="Arial" w:hAnsi="Arial" w:cs="Arial"/>
          <w:sz w:val="20"/>
          <w:szCs w:val="20"/>
        </w:rPr>
        <w:t xml:space="preserve"> %. </w:t>
      </w:r>
      <w:r>
        <w:rPr>
          <w:rFonts w:ascii="Arial" w:hAnsi="Arial" w:cs="Arial"/>
          <w:sz w:val="20"/>
          <w:szCs w:val="20"/>
        </w:rPr>
        <w:t>Auch die</w:t>
      </w:r>
      <w:r w:rsidR="005B2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Spitzenrendite für Geschäftshäuser gab </w:t>
      </w:r>
      <w:r w:rsidR="005B2D0D">
        <w:rPr>
          <w:rFonts w:ascii="Arial" w:hAnsi="Arial" w:cs="Arial"/>
          <w:sz w:val="20"/>
          <w:szCs w:val="20"/>
        </w:rPr>
        <w:t xml:space="preserve">gegenüber dem Vorjahr </w:t>
      </w:r>
      <w:r>
        <w:rPr>
          <w:rFonts w:ascii="Arial" w:hAnsi="Arial" w:cs="Arial"/>
          <w:sz w:val="20"/>
          <w:szCs w:val="20"/>
        </w:rPr>
        <w:t>leicht nach auf 2,75 %.</w:t>
      </w:r>
    </w:p>
    <w:p w14:paraId="7D76FF5E" w14:textId="1589934E" w:rsidR="005B2D0D" w:rsidRPr="009F1A62" w:rsidRDefault="00BF5FE7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Antei</w:t>
      </w:r>
      <w:r w:rsidR="00FE1A6B">
        <w:rPr>
          <w:rFonts w:ascii="Arial" w:hAnsi="Arial" w:cs="Arial"/>
          <w:sz w:val="20"/>
          <w:szCs w:val="20"/>
        </w:rPr>
        <w:t xml:space="preserve">l an internationalen Käufern </w:t>
      </w:r>
      <w:r w:rsidR="00A35FAE">
        <w:rPr>
          <w:rFonts w:ascii="Arial" w:hAnsi="Arial" w:cs="Arial"/>
          <w:sz w:val="20"/>
          <w:szCs w:val="20"/>
        </w:rPr>
        <w:t xml:space="preserve">stieg </w:t>
      </w:r>
      <w:r w:rsidR="0061246F">
        <w:rPr>
          <w:rFonts w:ascii="Arial" w:hAnsi="Arial" w:cs="Arial"/>
          <w:sz w:val="20"/>
          <w:szCs w:val="20"/>
        </w:rPr>
        <w:t>im Vergleich zum</w:t>
      </w:r>
      <w:r w:rsidR="00A35FAE">
        <w:rPr>
          <w:rFonts w:ascii="Arial" w:hAnsi="Arial" w:cs="Arial"/>
          <w:sz w:val="20"/>
          <w:szCs w:val="20"/>
        </w:rPr>
        <w:t xml:space="preserve"> Vorjahr leicht auf 58</w:t>
      </w:r>
      <w:r w:rsidR="00FE1A6B">
        <w:rPr>
          <w:rFonts w:ascii="Arial" w:hAnsi="Arial" w:cs="Arial"/>
          <w:sz w:val="20"/>
          <w:szCs w:val="20"/>
        </w:rPr>
        <w:t xml:space="preserve"> % </w:t>
      </w:r>
      <w:r w:rsidR="00A35FAE">
        <w:rPr>
          <w:rFonts w:ascii="Arial" w:hAnsi="Arial" w:cs="Arial"/>
          <w:sz w:val="20"/>
          <w:szCs w:val="20"/>
        </w:rPr>
        <w:t>an, was für die Bundeshauptstadt nach wie vor niedrig ist</w:t>
      </w:r>
      <w:r w:rsidR="00D93B80">
        <w:rPr>
          <w:rFonts w:ascii="Arial" w:hAnsi="Arial" w:cs="Arial"/>
          <w:sz w:val="20"/>
          <w:szCs w:val="20"/>
        </w:rPr>
        <w:t>.</w:t>
      </w:r>
    </w:p>
    <w:p w14:paraId="0119A0C6" w14:textId="056BC1FD" w:rsidR="0086528D" w:rsidRPr="0054334C" w:rsidRDefault="0054334C" w:rsidP="00543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F67EAF" w:rsidRPr="006F49D0" w14:paraId="4C2432D5" w14:textId="77777777" w:rsidTr="00F67EAF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4B0553A5" w14:textId="0C2D69E4" w:rsidR="00F67EAF" w:rsidRPr="004712BA" w:rsidRDefault="00F67EAF" w:rsidP="00F67EAF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424033">
              <w:rPr>
                <w:rFonts w:ascii="Arial" w:hAnsi="Arial" w:cs="Arial"/>
                <w:b/>
                <w:sz w:val="20"/>
                <w:szCs w:val="20"/>
              </w:rPr>
              <w:t xml:space="preserve"> 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666ADBF" w14:textId="06FD876A" w:rsidR="00F67EAF" w:rsidRPr="004712BA" w:rsidRDefault="00F67EAF" w:rsidP="00F67EA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D07EEA">
              <w:rPr>
                <w:rFonts w:ascii="Arial" w:hAnsi="Arial" w:cs="Arial"/>
                <w:b/>
                <w:sz w:val="18"/>
                <w:szCs w:val="16"/>
              </w:rPr>
              <w:t>-4</w:t>
            </w:r>
          </w:p>
        </w:tc>
      </w:tr>
      <w:tr w:rsidR="00F67EAF" w:rsidRPr="006F49D0" w14:paraId="4B06E1C6" w14:textId="77777777" w:rsidTr="00F67EAF">
        <w:trPr>
          <w:trHeight w:val="283"/>
        </w:trPr>
        <w:tc>
          <w:tcPr>
            <w:tcW w:w="3823" w:type="dxa"/>
          </w:tcPr>
          <w:p w14:paraId="23BEE2EF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149E39" w14:textId="35A5B1D8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10.500</w:t>
            </w:r>
          </w:p>
        </w:tc>
      </w:tr>
      <w:tr w:rsidR="00F67EAF" w:rsidRPr="006F49D0" w14:paraId="09A01916" w14:textId="77777777" w:rsidTr="00F67EAF">
        <w:trPr>
          <w:trHeight w:val="283"/>
        </w:trPr>
        <w:tc>
          <w:tcPr>
            <w:tcW w:w="3823" w:type="dxa"/>
          </w:tcPr>
          <w:p w14:paraId="62104683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56E0AC6" w14:textId="2993639F" w:rsidR="00F67EAF" w:rsidRPr="00BD6652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+43</w:t>
            </w:r>
          </w:p>
        </w:tc>
      </w:tr>
      <w:tr w:rsidR="00F67EAF" w:rsidRPr="006F49D0" w14:paraId="225182B5" w14:textId="77777777" w:rsidTr="00F67EAF">
        <w:trPr>
          <w:trHeight w:val="283"/>
        </w:trPr>
        <w:tc>
          <w:tcPr>
            <w:tcW w:w="3823" w:type="dxa"/>
          </w:tcPr>
          <w:p w14:paraId="5DEF1B96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90224FB" w14:textId="389D4F5D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</w:tr>
      <w:tr w:rsidR="00F67EAF" w:rsidRPr="006F49D0" w14:paraId="263CDC36" w14:textId="77777777" w:rsidTr="00F67EAF">
        <w:trPr>
          <w:trHeight w:val="283"/>
        </w:trPr>
        <w:tc>
          <w:tcPr>
            <w:tcW w:w="3823" w:type="dxa"/>
          </w:tcPr>
          <w:p w14:paraId="2C102535" w14:textId="77777777" w:rsidR="00F67EAF" w:rsidRPr="00CF57D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27038BA" w14:textId="50BED3FC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58</w:t>
            </w:r>
          </w:p>
        </w:tc>
      </w:tr>
      <w:tr w:rsidR="00F67EAF" w:rsidRPr="006F49D0" w14:paraId="6E4FA2FB" w14:textId="77777777" w:rsidTr="00F67EAF">
        <w:trPr>
          <w:trHeight w:val="283"/>
        </w:trPr>
        <w:tc>
          <w:tcPr>
            <w:tcW w:w="3823" w:type="dxa"/>
          </w:tcPr>
          <w:p w14:paraId="07D8D6A5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4AF25F3" w14:textId="7FF8C4DC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</w:t>
            </w:r>
          </w:p>
        </w:tc>
      </w:tr>
      <w:tr w:rsidR="00F67EAF" w14:paraId="54D1641E" w14:textId="77777777" w:rsidTr="00F67EAF">
        <w:trPr>
          <w:trHeight w:val="283"/>
        </w:trPr>
        <w:tc>
          <w:tcPr>
            <w:tcW w:w="3823" w:type="dxa"/>
          </w:tcPr>
          <w:p w14:paraId="002C70DF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3F2CDE3" w14:textId="79524DB2" w:rsidR="00F67EAF" w:rsidRPr="000B7D28" w:rsidRDefault="00932BAE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F04F64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F67EAF" w:rsidRPr="006F49D0" w14:paraId="108BDDCF" w14:textId="77777777" w:rsidTr="00F67EAF">
        <w:trPr>
          <w:trHeight w:val="283"/>
        </w:trPr>
        <w:tc>
          <w:tcPr>
            <w:tcW w:w="3823" w:type="dxa"/>
          </w:tcPr>
          <w:p w14:paraId="7FFAB547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0095197" w14:textId="51FCECFD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2,75</w:t>
            </w:r>
          </w:p>
        </w:tc>
      </w:tr>
      <w:tr w:rsidR="00F67EAF" w14:paraId="12487751" w14:textId="77777777" w:rsidTr="00F67EAF">
        <w:trPr>
          <w:trHeight w:val="283"/>
        </w:trPr>
        <w:tc>
          <w:tcPr>
            <w:tcW w:w="3823" w:type="dxa"/>
          </w:tcPr>
          <w:p w14:paraId="60C8FA68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93B4811" w14:textId="22818B37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-0,05</w:t>
            </w:r>
          </w:p>
        </w:tc>
      </w:tr>
      <w:tr w:rsidR="00F67EAF" w:rsidRPr="006F49D0" w14:paraId="3684343E" w14:textId="77777777" w:rsidTr="00F67EAF">
        <w:trPr>
          <w:trHeight w:val="283"/>
        </w:trPr>
        <w:tc>
          <w:tcPr>
            <w:tcW w:w="3823" w:type="dxa"/>
          </w:tcPr>
          <w:p w14:paraId="01160851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49AD25" w14:textId="00F64CA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F04F64">
              <w:rPr>
                <w:rFonts w:ascii="Arial" w:hAnsi="Arial" w:cs="Arial"/>
                <w:sz w:val="18"/>
                <w:szCs w:val="16"/>
              </w:rPr>
              <w:t>4</w:t>
            </w:r>
          </w:p>
        </w:tc>
      </w:tr>
      <w:tr w:rsidR="00F67EAF" w14:paraId="1AE6011C" w14:textId="77777777" w:rsidTr="00F67EAF">
        <w:trPr>
          <w:trHeight w:val="283"/>
        </w:trPr>
        <w:tc>
          <w:tcPr>
            <w:tcW w:w="3823" w:type="dxa"/>
          </w:tcPr>
          <w:p w14:paraId="08D4FEA0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E38FA44" w14:textId="7DFD9631" w:rsidR="00F67EAF" w:rsidRPr="000B7D28" w:rsidRDefault="00F67EAF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-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="00F04F64">
              <w:rPr>
                <w:rFonts w:ascii="Arial" w:hAnsi="Arial" w:cs="Arial"/>
                <w:sz w:val="18"/>
                <w:szCs w:val="16"/>
              </w:rPr>
              <w:t>,4</w:t>
            </w:r>
          </w:p>
        </w:tc>
      </w:tr>
      <w:tr w:rsidR="00F67EAF" w:rsidRPr="006F49D0" w14:paraId="73476F27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4C55323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30F87" w14:textId="71D7283D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F67EAF" w:rsidRPr="006F49D0" w14:paraId="4FA2101A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802574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99766" w14:textId="1AB16EEE" w:rsidR="00F67EAF" w:rsidRPr="000B7D28" w:rsidRDefault="00F04F64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</w:tbl>
    <w:p w14:paraId="7AFFF209" w14:textId="75CE4FD5" w:rsidR="000A5ED1" w:rsidRPr="00B26FFD" w:rsidRDefault="001B0D57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1193F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45pt;margin-top:5.2pt;width:226.75pt;height:159.9pt;z-index:251659264;mso-position-horizontal-relative:margin;mso-position-vertical-relative:margin" stroked="t" strokecolor="black [3213]">
            <v:imagedata r:id="rId8" o:title="TAV_Berlin_2021"/>
            <w10:wrap type="square" anchorx="margin" anchory="margin"/>
          </v:shape>
        </w:pict>
      </w:r>
    </w:p>
    <w:p w14:paraId="47F53CCE" w14:textId="31CF4809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EEA5946" w14:textId="77777777" w:rsidR="0054334C" w:rsidRDefault="0054334C" w:rsidP="004E7F0F">
      <w:pPr>
        <w:rPr>
          <w:rFonts w:ascii="Arial" w:hAnsi="Arial" w:cs="Arial"/>
          <w:b/>
          <w:sz w:val="20"/>
          <w:szCs w:val="20"/>
        </w:rPr>
      </w:pPr>
    </w:p>
    <w:p w14:paraId="513CABD7" w14:textId="613AF41F" w:rsidR="004E7F0F" w:rsidRPr="0054334C" w:rsidRDefault="004E7F0F" w:rsidP="00543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424033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D07EEA">
        <w:rPr>
          <w:rFonts w:ascii="Arial" w:hAnsi="Arial" w:cs="Arial"/>
          <w:b/>
          <w:sz w:val="20"/>
          <w:szCs w:val="20"/>
        </w:rPr>
        <w:t>-4</w:t>
      </w:r>
      <w:r w:rsidR="008457CE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71"/>
        <w:tblW w:w="1015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984"/>
        <w:gridCol w:w="2221"/>
        <w:gridCol w:w="1134"/>
      </w:tblGrid>
      <w:tr w:rsidR="0054334C" w:rsidRPr="006F49D0" w14:paraId="3052B16C" w14:textId="77777777" w:rsidTr="00F546EA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099BBF07" w14:textId="77777777" w:rsidR="0054334C" w:rsidRDefault="0054334C" w:rsidP="0054334C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36FC1BAD" w14:textId="77777777" w:rsidR="0054334C" w:rsidRPr="00C626E7" w:rsidRDefault="0054334C" w:rsidP="0054334C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418" w:type="dxa"/>
            <w:shd w:val="clear" w:color="auto" w:fill="1F242B" w:themeFill="accent2"/>
            <w:vAlign w:val="center"/>
          </w:tcPr>
          <w:p w14:paraId="00BE952B" w14:textId="77777777" w:rsidR="0054334C" w:rsidRPr="009F10F1" w:rsidRDefault="0054334C" w:rsidP="00F546EA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2A6D3384" w14:textId="77777777" w:rsidR="0054334C" w:rsidRPr="009F10F1" w:rsidRDefault="0054334C" w:rsidP="00F546EA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3A5E1ED4" w14:textId="77777777" w:rsidR="0054334C" w:rsidRPr="00351DE2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Käufer</w:t>
            </w:r>
          </w:p>
        </w:tc>
        <w:tc>
          <w:tcPr>
            <w:tcW w:w="2221" w:type="dxa"/>
            <w:shd w:val="clear" w:color="auto" w:fill="1F242B" w:themeFill="accent2"/>
            <w:vAlign w:val="center"/>
          </w:tcPr>
          <w:p w14:paraId="47D1821F" w14:textId="77777777" w:rsidR="0054334C" w:rsidRPr="00351DE2" w:rsidRDefault="0054334C" w:rsidP="0054334C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4B79ABFD" w14:textId="77777777" w:rsidR="0054334C" w:rsidRPr="009F10F1" w:rsidRDefault="0054334C" w:rsidP="0054334C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15C7E2C1" w14:textId="77777777" w:rsidR="0054334C" w:rsidRPr="009F10F1" w:rsidRDefault="0054334C" w:rsidP="0054334C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54334C" w:rsidRPr="00F2414C" w14:paraId="0D9A236F" w14:textId="77777777" w:rsidTr="00AF180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F6D559F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„Fürst“, </w:t>
            </w:r>
          </w:p>
          <w:p w14:paraId="507AA959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Kurfürstendamm 206-209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FAD74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Ku’damm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plus </w:t>
            </w: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Seitenstr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DE0C2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2542D00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Aggregate Holdings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24F0727" w14:textId="77777777" w:rsidR="0054334C" w:rsidRPr="002C4584" w:rsidRDefault="0054334C" w:rsidP="0054334C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Vivion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D25F2D" w14:textId="6DA4BF12" w:rsidR="0054334C" w:rsidRPr="002C4584" w:rsidRDefault="002F074B" w:rsidP="0054334C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1.25</w:t>
            </w:r>
            <w:r w:rsidR="0054334C" w:rsidRPr="002C4584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AF180F" w:rsidRPr="00F2414C" w14:paraId="7AC1A830" w14:textId="77777777" w:rsidTr="00AF180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90CCF89" w14:textId="77777777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„Victoriastadt Lofts“,</w:t>
            </w:r>
          </w:p>
          <w:p w14:paraId="3325ED2A" w14:textId="4B826F25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Schreiberhauerstraße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84211" w14:textId="65EEB701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Peripherie-Ost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DB6FE6" w14:textId="11EF9608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160AFB6" w14:textId="2F5B5D44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 Real Estate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54194D5" w14:textId="5F15C18F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Schroder Properties 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Illmarinen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FF7A6AB" w14:textId="60AF6C34" w:rsidR="00AF180F" w:rsidRPr="002C4584" w:rsidRDefault="00AF180F" w:rsidP="00AF180F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</w:tr>
      <w:tr w:rsidR="00AF180F" w:rsidRPr="00F2414C" w14:paraId="316E0A03" w14:textId="77777777" w:rsidTr="0084705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6CA428" w14:textId="2B426D14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„Boulevard Berlin Wertheim / Karstadt“,</w:t>
            </w:r>
          </w:p>
          <w:p w14:paraId="53AEC8CC" w14:textId="1C4CBD4F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Schloßstraße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7-10, 11-15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5A0B1B" w14:textId="6AA4D3B9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68F235" w14:textId="1573FCC2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Einzel-handel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20CE92" w14:textId="42646B8D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180F">
              <w:rPr>
                <w:rFonts w:ascii="Arial" w:hAnsi="Arial" w:cs="Arial"/>
                <w:sz w:val="18"/>
                <w:szCs w:val="18"/>
              </w:rPr>
              <w:t xml:space="preserve">York Capital Management/ </w:t>
            </w:r>
            <w:proofErr w:type="spellStart"/>
            <w:r w:rsidRPr="00AF180F">
              <w:rPr>
                <w:rFonts w:ascii="Arial" w:hAnsi="Arial" w:cs="Arial"/>
                <w:sz w:val="18"/>
                <w:szCs w:val="18"/>
              </w:rPr>
              <w:t>Dunman</w:t>
            </w:r>
            <w:proofErr w:type="spellEnd"/>
            <w:r w:rsidRPr="00AF180F">
              <w:rPr>
                <w:rFonts w:ascii="Arial" w:hAnsi="Arial" w:cs="Arial"/>
                <w:sz w:val="18"/>
                <w:szCs w:val="18"/>
              </w:rPr>
              <w:t xml:space="preserve"> Capital Partners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6A17F6B" w14:textId="1417D84D" w:rsidR="00AF180F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Klépierre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A2178B" w14:textId="498658BB" w:rsidR="00AF180F" w:rsidRDefault="00AF180F" w:rsidP="00AF180F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AF180F" w:rsidRPr="00F2414C" w14:paraId="06E75E5C" w14:textId="77777777" w:rsidTr="00AF180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D4E03E2" w14:textId="77777777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„Quartier 206“,</w:t>
            </w:r>
          </w:p>
          <w:p w14:paraId="64F7D588" w14:textId="77777777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>Friedrichstraße 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7B9EC" w14:textId="77777777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1a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43B59" w14:textId="77777777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Misch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2C458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nutzung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5D58A0A" w14:textId="0E536686" w:rsidR="00AF180F" w:rsidRPr="002C4584" w:rsidRDefault="000B7284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Kölnstraße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89 (Jagdfeld-Gruppe)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C1D911F" w14:textId="77777777" w:rsidR="00AF180F" w:rsidRPr="002C4584" w:rsidRDefault="00AF180F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4584">
              <w:rPr>
                <w:rFonts w:ascii="Arial" w:hAnsi="Arial" w:cs="Arial"/>
                <w:sz w:val="18"/>
                <w:szCs w:val="18"/>
              </w:rPr>
              <w:t xml:space="preserve">Bankenkonsortium um </w:t>
            </w:r>
            <w:proofErr w:type="spellStart"/>
            <w:r w:rsidRPr="002C4584">
              <w:rPr>
                <w:rFonts w:ascii="Arial" w:hAnsi="Arial" w:cs="Arial"/>
                <w:sz w:val="18"/>
                <w:szCs w:val="18"/>
              </w:rPr>
              <w:t>Credit</w:t>
            </w:r>
            <w:proofErr w:type="spellEnd"/>
            <w:r w:rsidRPr="002C4584">
              <w:rPr>
                <w:rFonts w:ascii="Arial" w:hAnsi="Arial" w:cs="Arial"/>
                <w:sz w:val="18"/>
                <w:szCs w:val="18"/>
              </w:rPr>
              <w:t xml:space="preserve"> Suisse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5D42" w14:textId="0B3A4DBD" w:rsidR="00AF180F" w:rsidRPr="002C4584" w:rsidRDefault="000B7284" w:rsidP="00AF180F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</w:tr>
      <w:tr w:rsidR="00AF180F" w:rsidRPr="00F2414C" w14:paraId="77A060C7" w14:textId="77777777" w:rsidTr="00807489">
        <w:trPr>
          <w:trHeight w:val="754"/>
        </w:trPr>
        <w:tc>
          <w:tcPr>
            <w:tcW w:w="2263" w:type="dxa"/>
            <w:shd w:val="clear" w:color="auto" w:fill="auto"/>
            <w:vAlign w:val="center"/>
          </w:tcPr>
          <w:p w14:paraId="427DA054" w14:textId="77777777" w:rsidR="00AF180F" w:rsidRDefault="00807489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„Landeskriminalamt Berlin“,</w:t>
            </w:r>
          </w:p>
          <w:p w14:paraId="4D66901B" w14:textId="6286E1DC" w:rsidR="00807489" w:rsidRDefault="00807489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Ringbahnstraße 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330ED" w14:textId="67D4F277" w:rsidR="00AF180F" w:rsidRDefault="002F074B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F68DB1F" w14:textId="5FE442C9" w:rsidR="00AF180F" w:rsidRDefault="002F074B" w:rsidP="00AF180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4AB2B2C" w14:textId="76DAFFDD" w:rsidR="00AF180F" w:rsidRPr="00351DE2" w:rsidRDefault="002F074B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REInvest</w:t>
            </w:r>
            <w:proofErr w:type="spellEnd"/>
          </w:p>
        </w:tc>
        <w:tc>
          <w:tcPr>
            <w:tcW w:w="2221" w:type="dxa"/>
            <w:shd w:val="clear" w:color="auto" w:fill="auto"/>
            <w:vAlign w:val="center"/>
          </w:tcPr>
          <w:p w14:paraId="45A41AF0" w14:textId="27F1F669" w:rsidR="00AF180F" w:rsidRPr="00351DE2" w:rsidRDefault="002F074B" w:rsidP="00AF180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Paribus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4EDE" w14:textId="1D92C7CD" w:rsidR="00AF180F" w:rsidRDefault="002F074B" w:rsidP="00AF180F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</w:tr>
    </w:tbl>
    <w:p w14:paraId="16439DC7" w14:textId="77777777" w:rsidR="0054334C" w:rsidRDefault="0054334C" w:rsidP="0054334C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neue Deals/Deals aus jeweiligem Berichtsquartal sind grau hinterlegt</w:t>
      </w:r>
    </w:p>
    <w:p w14:paraId="1D1DA908" w14:textId="77777777" w:rsidR="0054334C" w:rsidRDefault="0054334C" w:rsidP="004E7F0F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0080318C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="00351DE2" w:rsidRPr="00DC46A8">
          <w:rPr>
            <w:rStyle w:val="Hyperlink"/>
            <w:rFonts w:ascii="Arial" w:eastAsia="Arial" w:hAnsi="Arial" w:cs="Arial"/>
            <w:sz w:val="20"/>
            <w:szCs w:val="20"/>
          </w:rPr>
          <w:t>Investment-Marktbericht Berlin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716DD88D" w14:textId="77777777" w:rsidR="00CB00A5" w:rsidRPr="0090748B" w:rsidRDefault="00CB00A5" w:rsidP="00CB00A5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1E199D66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57B8156A" w14:textId="77777777" w:rsidR="00CB00A5" w:rsidRPr="004A6CA8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4C1A68A9" w14:textId="77777777" w:rsidR="00CB00A5" w:rsidRPr="00583E25" w:rsidRDefault="00CB00A5" w:rsidP="00CB00A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1C1AA4D" w14:textId="5BB0A166" w:rsidR="00046FEC" w:rsidRPr="0061246F" w:rsidRDefault="00CB00A5" w:rsidP="0061246F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proofErr w:type="spellStart"/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sectPr w:rsidR="00046FEC" w:rsidRPr="0061246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06C9" w14:textId="77777777" w:rsidR="0079178A" w:rsidRDefault="0079178A">
      <w:r>
        <w:separator/>
      </w:r>
    </w:p>
  </w:endnote>
  <w:endnote w:type="continuationSeparator" w:id="0">
    <w:p w14:paraId="1D9CBAE3" w14:textId="77777777" w:rsidR="0079178A" w:rsidRDefault="0079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 xml:space="preserve">20354 Hamburg | Tel. +49 (0)40/350 80 2-0 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www.grossmann-berger.de</w:t>
    </w:r>
    <w:proofErr w:type="spellEnd"/>
  </w:p>
  <w:p w14:paraId="5440A7EF" w14:textId="5689D14B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E33B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E33B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540" w14:textId="77777777" w:rsidR="0079178A" w:rsidRDefault="0079178A">
      <w:r>
        <w:separator/>
      </w:r>
    </w:p>
  </w:footnote>
  <w:footnote w:type="continuationSeparator" w:id="0">
    <w:p w14:paraId="45A6BE40" w14:textId="77777777" w:rsidR="0079178A" w:rsidRDefault="0079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6E9C7BA2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620 | </w:t>
                          </w:r>
                          <w:proofErr w:type="spellStart"/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6E9C7BA2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7B988460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7B988460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AEB"/>
    <w:rsid w:val="0000392D"/>
    <w:rsid w:val="000159FE"/>
    <w:rsid w:val="00022F16"/>
    <w:rsid w:val="00023D78"/>
    <w:rsid w:val="00027644"/>
    <w:rsid w:val="0003075C"/>
    <w:rsid w:val="00033D8C"/>
    <w:rsid w:val="00034842"/>
    <w:rsid w:val="000418C7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87A17"/>
    <w:rsid w:val="000A4113"/>
    <w:rsid w:val="000A517C"/>
    <w:rsid w:val="000A5ED1"/>
    <w:rsid w:val="000A6AE3"/>
    <w:rsid w:val="000A72C3"/>
    <w:rsid w:val="000B0335"/>
    <w:rsid w:val="000B1606"/>
    <w:rsid w:val="000B3315"/>
    <w:rsid w:val="000B3A6C"/>
    <w:rsid w:val="000B7284"/>
    <w:rsid w:val="000B7D28"/>
    <w:rsid w:val="000C3A7A"/>
    <w:rsid w:val="000C74B2"/>
    <w:rsid w:val="000C770D"/>
    <w:rsid w:val="000D48D4"/>
    <w:rsid w:val="000D7F9A"/>
    <w:rsid w:val="000E03F3"/>
    <w:rsid w:val="000E49CB"/>
    <w:rsid w:val="000E7BC7"/>
    <w:rsid w:val="000F5742"/>
    <w:rsid w:val="0010158E"/>
    <w:rsid w:val="001029C4"/>
    <w:rsid w:val="00111400"/>
    <w:rsid w:val="0011486D"/>
    <w:rsid w:val="00114D2A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43320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A5270"/>
    <w:rsid w:val="001B0D57"/>
    <w:rsid w:val="001B577C"/>
    <w:rsid w:val="001C0A59"/>
    <w:rsid w:val="001C5781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628F0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C4584"/>
    <w:rsid w:val="002D19FA"/>
    <w:rsid w:val="002D1C5C"/>
    <w:rsid w:val="002D1E20"/>
    <w:rsid w:val="002E2A92"/>
    <w:rsid w:val="002E6860"/>
    <w:rsid w:val="002F0411"/>
    <w:rsid w:val="002F074B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1DE2"/>
    <w:rsid w:val="0035408E"/>
    <w:rsid w:val="00357EC4"/>
    <w:rsid w:val="00360D71"/>
    <w:rsid w:val="003627E1"/>
    <w:rsid w:val="00365AF8"/>
    <w:rsid w:val="00370000"/>
    <w:rsid w:val="00373507"/>
    <w:rsid w:val="00380BC4"/>
    <w:rsid w:val="0038230E"/>
    <w:rsid w:val="00382529"/>
    <w:rsid w:val="0038350F"/>
    <w:rsid w:val="00396CE0"/>
    <w:rsid w:val="003A00C9"/>
    <w:rsid w:val="003A25A4"/>
    <w:rsid w:val="003B19F4"/>
    <w:rsid w:val="003B27A3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665D"/>
    <w:rsid w:val="003F7E7E"/>
    <w:rsid w:val="0040086D"/>
    <w:rsid w:val="004017D8"/>
    <w:rsid w:val="00405D59"/>
    <w:rsid w:val="00411E03"/>
    <w:rsid w:val="004123B1"/>
    <w:rsid w:val="00417F4D"/>
    <w:rsid w:val="00424033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84D17"/>
    <w:rsid w:val="00493B78"/>
    <w:rsid w:val="004966E3"/>
    <w:rsid w:val="004A2BEA"/>
    <w:rsid w:val="004A3C64"/>
    <w:rsid w:val="004A5AEA"/>
    <w:rsid w:val="004A7B8B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2BAE"/>
    <w:rsid w:val="0051485A"/>
    <w:rsid w:val="005148A7"/>
    <w:rsid w:val="00522B84"/>
    <w:rsid w:val="00531A7F"/>
    <w:rsid w:val="00534BAD"/>
    <w:rsid w:val="005360E8"/>
    <w:rsid w:val="005412D0"/>
    <w:rsid w:val="005428C5"/>
    <w:rsid w:val="0054334C"/>
    <w:rsid w:val="00543C55"/>
    <w:rsid w:val="0054412E"/>
    <w:rsid w:val="0055393B"/>
    <w:rsid w:val="005554C7"/>
    <w:rsid w:val="00556F58"/>
    <w:rsid w:val="0055704F"/>
    <w:rsid w:val="00567D57"/>
    <w:rsid w:val="005703C3"/>
    <w:rsid w:val="00571004"/>
    <w:rsid w:val="0057685F"/>
    <w:rsid w:val="00577B63"/>
    <w:rsid w:val="00582B99"/>
    <w:rsid w:val="00590903"/>
    <w:rsid w:val="005A617A"/>
    <w:rsid w:val="005B0FC9"/>
    <w:rsid w:val="005B24B2"/>
    <w:rsid w:val="005B2D0D"/>
    <w:rsid w:val="005B66D3"/>
    <w:rsid w:val="005B7D91"/>
    <w:rsid w:val="005C422A"/>
    <w:rsid w:val="005C4556"/>
    <w:rsid w:val="005C5302"/>
    <w:rsid w:val="005D307B"/>
    <w:rsid w:val="005E362E"/>
    <w:rsid w:val="005E43B3"/>
    <w:rsid w:val="005F2195"/>
    <w:rsid w:val="005F69D4"/>
    <w:rsid w:val="005F7593"/>
    <w:rsid w:val="006029D7"/>
    <w:rsid w:val="00606BFF"/>
    <w:rsid w:val="00606E35"/>
    <w:rsid w:val="0061109D"/>
    <w:rsid w:val="0061138B"/>
    <w:rsid w:val="0061246F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5675C"/>
    <w:rsid w:val="00672C84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D024C"/>
    <w:rsid w:val="006E33B5"/>
    <w:rsid w:val="006E3B3D"/>
    <w:rsid w:val="006E5C9C"/>
    <w:rsid w:val="006F00F2"/>
    <w:rsid w:val="006F1774"/>
    <w:rsid w:val="006F292B"/>
    <w:rsid w:val="006F6A03"/>
    <w:rsid w:val="00700DB0"/>
    <w:rsid w:val="00713D81"/>
    <w:rsid w:val="00717A20"/>
    <w:rsid w:val="00720DFF"/>
    <w:rsid w:val="007265F3"/>
    <w:rsid w:val="00730E23"/>
    <w:rsid w:val="00753311"/>
    <w:rsid w:val="00754513"/>
    <w:rsid w:val="00762CC5"/>
    <w:rsid w:val="00762F85"/>
    <w:rsid w:val="00767063"/>
    <w:rsid w:val="007906B4"/>
    <w:rsid w:val="0079178A"/>
    <w:rsid w:val="007970A0"/>
    <w:rsid w:val="00797E4F"/>
    <w:rsid w:val="007A314C"/>
    <w:rsid w:val="007A3CB9"/>
    <w:rsid w:val="007B215B"/>
    <w:rsid w:val="007B4617"/>
    <w:rsid w:val="007C0663"/>
    <w:rsid w:val="007C26B6"/>
    <w:rsid w:val="007C2D96"/>
    <w:rsid w:val="007E0FB6"/>
    <w:rsid w:val="007E759D"/>
    <w:rsid w:val="007F2DBE"/>
    <w:rsid w:val="007F33B6"/>
    <w:rsid w:val="007F642D"/>
    <w:rsid w:val="007F756A"/>
    <w:rsid w:val="00800E2C"/>
    <w:rsid w:val="0080214D"/>
    <w:rsid w:val="00807489"/>
    <w:rsid w:val="00812471"/>
    <w:rsid w:val="008261A5"/>
    <w:rsid w:val="008327E5"/>
    <w:rsid w:val="0083382E"/>
    <w:rsid w:val="00844AAC"/>
    <w:rsid w:val="00844D14"/>
    <w:rsid w:val="008457CE"/>
    <w:rsid w:val="0084705A"/>
    <w:rsid w:val="0085354A"/>
    <w:rsid w:val="00855325"/>
    <w:rsid w:val="00862E34"/>
    <w:rsid w:val="008634F3"/>
    <w:rsid w:val="0086528D"/>
    <w:rsid w:val="008652FA"/>
    <w:rsid w:val="00865915"/>
    <w:rsid w:val="008661AA"/>
    <w:rsid w:val="00871832"/>
    <w:rsid w:val="00874821"/>
    <w:rsid w:val="00875E9B"/>
    <w:rsid w:val="00876FCA"/>
    <w:rsid w:val="008830F9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14E6"/>
    <w:rsid w:val="008B297B"/>
    <w:rsid w:val="008B3833"/>
    <w:rsid w:val="008C0535"/>
    <w:rsid w:val="008C0BCD"/>
    <w:rsid w:val="008C0BD9"/>
    <w:rsid w:val="008C608D"/>
    <w:rsid w:val="008D1F37"/>
    <w:rsid w:val="008E14BE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4C4C"/>
    <w:rsid w:val="00920C9C"/>
    <w:rsid w:val="00922754"/>
    <w:rsid w:val="00925781"/>
    <w:rsid w:val="009258D0"/>
    <w:rsid w:val="00932BAE"/>
    <w:rsid w:val="00933C0C"/>
    <w:rsid w:val="00934D87"/>
    <w:rsid w:val="00935AB3"/>
    <w:rsid w:val="00940FBB"/>
    <w:rsid w:val="009635CF"/>
    <w:rsid w:val="009646C4"/>
    <w:rsid w:val="009668BB"/>
    <w:rsid w:val="009705C3"/>
    <w:rsid w:val="009734CE"/>
    <w:rsid w:val="00974CB0"/>
    <w:rsid w:val="00975085"/>
    <w:rsid w:val="009750A4"/>
    <w:rsid w:val="0098460C"/>
    <w:rsid w:val="00991976"/>
    <w:rsid w:val="0099413E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1A62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344DD"/>
    <w:rsid w:val="00A35FAE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F08D2"/>
    <w:rsid w:val="00AF180F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325C"/>
    <w:rsid w:val="00B35B6D"/>
    <w:rsid w:val="00B35DC6"/>
    <w:rsid w:val="00B35DD7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BF5FE7"/>
    <w:rsid w:val="00C1606C"/>
    <w:rsid w:val="00C16E16"/>
    <w:rsid w:val="00C23180"/>
    <w:rsid w:val="00C26F94"/>
    <w:rsid w:val="00C31A72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6A66"/>
    <w:rsid w:val="00CB00A5"/>
    <w:rsid w:val="00CB317E"/>
    <w:rsid w:val="00CC1337"/>
    <w:rsid w:val="00CC2514"/>
    <w:rsid w:val="00CC48DF"/>
    <w:rsid w:val="00CC6FB9"/>
    <w:rsid w:val="00CD4A91"/>
    <w:rsid w:val="00CD5CAB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6C58"/>
    <w:rsid w:val="00D0004A"/>
    <w:rsid w:val="00D04BA2"/>
    <w:rsid w:val="00D077B0"/>
    <w:rsid w:val="00D07EEA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3B80"/>
    <w:rsid w:val="00D976B3"/>
    <w:rsid w:val="00D97FA8"/>
    <w:rsid w:val="00DB289A"/>
    <w:rsid w:val="00DB4363"/>
    <w:rsid w:val="00DB66BD"/>
    <w:rsid w:val="00DC07C5"/>
    <w:rsid w:val="00DC46A8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04DEB"/>
    <w:rsid w:val="00F04F64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546EA"/>
    <w:rsid w:val="00F60A04"/>
    <w:rsid w:val="00F63C5D"/>
    <w:rsid w:val="00F67EAF"/>
    <w:rsid w:val="00F7191D"/>
    <w:rsid w:val="00F72E52"/>
    <w:rsid w:val="00F730FC"/>
    <w:rsid w:val="00F76C6A"/>
    <w:rsid w:val="00F83BF1"/>
    <w:rsid w:val="00F84E8C"/>
    <w:rsid w:val="00F90CB9"/>
    <w:rsid w:val="00F91D23"/>
    <w:rsid w:val="00F91DD8"/>
    <w:rsid w:val="00F97373"/>
    <w:rsid w:val="00F97A65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1A6B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CF9775E"/>
  <w15:docId w15:val="{9F8962BB-F1CF-42A7-A4C6-EDC0126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6569-6011-4600-9A18-3F952A5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23</cp:revision>
  <cp:lastPrinted>2022-01-06T09:46:00Z</cp:lastPrinted>
  <dcterms:created xsi:type="dcterms:W3CDTF">2021-07-12T11:29:00Z</dcterms:created>
  <dcterms:modified xsi:type="dcterms:W3CDTF">2022-01-07T12:42:00Z</dcterms:modified>
</cp:coreProperties>
</file>