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7B935" w14:textId="59C79E5A" w:rsidR="00786F07" w:rsidRDefault="001E1172" w:rsidP="00365AF8">
      <w:pPr>
        <w:spacing w:after="0" w:line="360" w:lineRule="auto"/>
        <w:rPr>
          <w:rFonts w:ascii="Arial" w:hAnsi="Arial" w:cs="Arial"/>
          <w:b/>
          <w:sz w:val="28"/>
          <w:szCs w:val="28"/>
        </w:rPr>
      </w:pPr>
      <w:r w:rsidRPr="006222FC">
        <w:rPr>
          <w:rFonts w:ascii="Arial" w:hAnsi="Arial" w:cs="Arial"/>
          <w:b/>
        </w:rPr>
        <w:t>Berlin: In</w:t>
      </w:r>
      <w:r w:rsidR="004C63A9" w:rsidRPr="006222FC">
        <w:rPr>
          <w:rFonts w:ascii="Arial" w:hAnsi="Arial" w:cs="Arial"/>
          <w:b/>
        </w:rPr>
        <w:t xml:space="preserve">vestmentmarkt </w:t>
      </w:r>
      <w:r w:rsidR="00A71F24">
        <w:rPr>
          <w:rFonts w:ascii="Arial" w:hAnsi="Arial" w:cs="Arial"/>
          <w:b/>
        </w:rPr>
        <w:t>1</w:t>
      </w:r>
      <w:r w:rsidR="001A108C">
        <w:rPr>
          <w:rFonts w:ascii="Arial" w:hAnsi="Arial" w:cs="Arial"/>
          <w:b/>
        </w:rPr>
        <w:t>. Quartal 2020</w:t>
      </w:r>
      <w:r w:rsidR="00786F07">
        <w:rPr>
          <w:rFonts w:ascii="Arial" w:hAnsi="Arial" w:cs="Arial"/>
          <w:b/>
          <w:sz w:val="28"/>
          <w:szCs w:val="28"/>
        </w:rPr>
        <w:br/>
      </w:r>
      <w:r w:rsidR="001B7612">
        <w:rPr>
          <w:rFonts w:ascii="Arial" w:hAnsi="Arial" w:cs="Arial"/>
          <w:b/>
          <w:sz w:val="28"/>
          <w:szCs w:val="28"/>
        </w:rPr>
        <w:t xml:space="preserve">Starker Jahresauftakt durch Sondereffekt </w:t>
      </w:r>
    </w:p>
    <w:p w14:paraId="4F68FF5C" w14:textId="6ADAFA0C" w:rsidR="001E1172" w:rsidRPr="009567E0" w:rsidRDefault="00786F07" w:rsidP="00365AF8">
      <w:pPr>
        <w:spacing w:after="0" w:line="360" w:lineRule="auto"/>
        <w:rPr>
          <w:rFonts w:ascii="Arial" w:hAnsi="Arial" w:cs="Arial"/>
          <w:b/>
          <w:i/>
          <w:sz w:val="28"/>
          <w:szCs w:val="28"/>
        </w:rPr>
      </w:pPr>
      <w:r>
        <w:rPr>
          <w:rFonts w:ascii="Arial" w:hAnsi="Arial" w:cs="Arial"/>
          <w:b/>
          <w:sz w:val="28"/>
          <w:szCs w:val="28"/>
        </w:rPr>
        <w:t xml:space="preserve">  </w:t>
      </w:r>
      <w:r w:rsidR="005B3674">
        <w:rPr>
          <w:rFonts w:ascii="Arial" w:hAnsi="Arial" w:cs="Arial"/>
          <w:b/>
          <w:sz w:val="28"/>
          <w:szCs w:val="28"/>
        </w:rPr>
        <w:t xml:space="preserve"> </w:t>
      </w:r>
      <w:r w:rsidR="005B3674">
        <w:rPr>
          <w:rFonts w:ascii="Arial" w:hAnsi="Arial" w:cs="Arial"/>
          <w:b/>
          <w:sz w:val="28"/>
          <w:szCs w:val="28"/>
        </w:rPr>
        <w:br/>
      </w:r>
      <w:r w:rsidR="001E1172" w:rsidRPr="00365AF8">
        <w:rPr>
          <w:rFonts w:ascii="Arial" w:hAnsi="Arial" w:cs="Arial"/>
          <w:b/>
          <w:sz w:val="20"/>
          <w:szCs w:val="20"/>
        </w:rPr>
        <w:t xml:space="preserve">Berlin, </w:t>
      </w:r>
      <w:bookmarkStart w:id="0" w:name="_GoBack"/>
      <w:bookmarkEnd w:id="0"/>
      <w:r w:rsidR="00B4487B">
        <w:rPr>
          <w:rFonts w:ascii="Arial" w:hAnsi="Arial" w:cs="Arial"/>
          <w:b/>
          <w:sz w:val="20"/>
          <w:szCs w:val="20"/>
        </w:rPr>
        <w:t>6</w:t>
      </w:r>
      <w:r w:rsidR="001E1172" w:rsidRPr="00365AF8">
        <w:rPr>
          <w:rFonts w:ascii="Arial" w:hAnsi="Arial" w:cs="Arial"/>
          <w:b/>
          <w:sz w:val="20"/>
          <w:szCs w:val="20"/>
        </w:rPr>
        <w:t xml:space="preserve">. </w:t>
      </w:r>
      <w:r w:rsidR="004E6D73">
        <w:rPr>
          <w:rFonts w:ascii="Arial" w:hAnsi="Arial" w:cs="Arial"/>
          <w:b/>
          <w:sz w:val="20"/>
          <w:szCs w:val="20"/>
        </w:rPr>
        <w:t>April 2020</w:t>
      </w:r>
      <w:r w:rsidR="001E1172" w:rsidRPr="00365AF8">
        <w:rPr>
          <w:rFonts w:ascii="Arial" w:hAnsi="Arial" w:cs="Arial"/>
          <w:b/>
          <w:sz w:val="20"/>
          <w:szCs w:val="20"/>
        </w:rPr>
        <w:t xml:space="preserve"> </w:t>
      </w:r>
      <w:r w:rsidR="001E1172" w:rsidRPr="00A71F24">
        <w:rPr>
          <w:rFonts w:ascii="Arial" w:hAnsi="Arial" w:cs="Arial"/>
          <w:sz w:val="20"/>
          <w:szCs w:val="20"/>
        </w:rPr>
        <w:t>–</w:t>
      </w:r>
      <w:r w:rsidR="00AA08C9">
        <w:rPr>
          <w:rFonts w:ascii="Arial" w:hAnsi="Arial" w:cs="Arial"/>
          <w:sz w:val="20"/>
          <w:szCs w:val="20"/>
        </w:rPr>
        <w:t xml:space="preserve"> </w:t>
      </w:r>
      <w:r w:rsidR="005D244B">
        <w:rPr>
          <w:rFonts w:ascii="Arial" w:hAnsi="Arial" w:cs="Arial"/>
          <w:sz w:val="20"/>
          <w:szCs w:val="20"/>
        </w:rPr>
        <w:t xml:space="preserve">Der Kauf von rund 80 % der Anteile von TLG durch </w:t>
      </w:r>
      <w:proofErr w:type="spellStart"/>
      <w:r w:rsidR="005D244B">
        <w:rPr>
          <w:rFonts w:ascii="Arial" w:hAnsi="Arial" w:cs="Arial"/>
          <w:sz w:val="20"/>
          <w:szCs w:val="20"/>
        </w:rPr>
        <w:t>Aroundtown</w:t>
      </w:r>
      <w:proofErr w:type="spellEnd"/>
      <w:r w:rsidR="005D244B">
        <w:rPr>
          <w:rFonts w:ascii="Arial" w:hAnsi="Arial" w:cs="Arial"/>
          <w:sz w:val="20"/>
          <w:szCs w:val="20"/>
        </w:rPr>
        <w:t xml:space="preserve"> beschert dem Investmentmarkt für gewerbliche Immobilien in Berlin ein historisches Ergebnis für ein </w:t>
      </w:r>
      <w:r w:rsidR="003B6FE1">
        <w:rPr>
          <w:rFonts w:ascii="Arial" w:hAnsi="Arial" w:cs="Arial"/>
          <w:sz w:val="20"/>
          <w:szCs w:val="20"/>
        </w:rPr>
        <w:t>1.</w:t>
      </w:r>
      <w:r w:rsidR="005D244B">
        <w:rPr>
          <w:rFonts w:ascii="Arial" w:hAnsi="Arial" w:cs="Arial"/>
          <w:sz w:val="20"/>
          <w:szCs w:val="20"/>
        </w:rPr>
        <w:t xml:space="preserve"> Quartal. So lag das Transaktionsvolumen der Bundeshauptstadt in den ersten drei Monaten 2020 bei 2,6 Mrd. €. </w:t>
      </w:r>
      <w:r w:rsidR="00CB5310">
        <w:rPr>
          <w:rFonts w:ascii="Arial" w:hAnsi="Arial" w:cs="Arial"/>
          <w:sz w:val="20"/>
          <w:szCs w:val="20"/>
        </w:rPr>
        <w:t>Dies bedeutet ein Plus von 21 % gegenüber dem Vorjahresquartal</w:t>
      </w:r>
      <w:r w:rsidR="00100318">
        <w:rPr>
          <w:rFonts w:ascii="Arial" w:hAnsi="Arial" w:cs="Arial"/>
          <w:sz w:val="20"/>
          <w:szCs w:val="20"/>
        </w:rPr>
        <w:t xml:space="preserve"> (2,2 Mrd. €) und übertrifft damit den bis dahin höchsten Rekordwert</w:t>
      </w:r>
      <w:r w:rsidR="003B6FE1">
        <w:rPr>
          <w:rFonts w:ascii="Arial" w:hAnsi="Arial" w:cs="Arial"/>
          <w:sz w:val="20"/>
          <w:szCs w:val="20"/>
        </w:rPr>
        <w:t xml:space="preserve"> in diesem Zeitraum</w:t>
      </w:r>
      <w:r w:rsidR="00CB5310">
        <w:rPr>
          <w:rFonts w:ascii="Arial" w:hAnsi="Arial" w:cs="Arial"/>
          <w:sz w:val="20"/>
          <w:szCs w:val="20"/>
        </w:rPr>
        <w:t>.</w:t>
      </w:r>
      <w:r w:rsidR="005D244B">
        <w:rPr>
          <w:rFonts w:ascii="Arial" w:hAnsi="Arial" w:cs="Arial"/>
          <w:sz w:val="20"/>
          <w:szCs w:val="20"/>
        </w:rPr>
        <w:t xml:space="preserve"> </w:t>
      </w:r>
      <w:r w:rsidR="00816900" w:rsidRPr="009567E0">
        <w:rPr>
          <w:rFonts w:ascii="Arial" w:hAnsi="Arial" w:cs="Arial"/>
          <w:i/>
          <w:sz w:val="20"/>
          <w:szCs w:val="20"/>
        </w:rPr>
        <w:t>„</w:t>
      </w:r>
      <w:r w:rsidR="00100318" w:rsidRPr="00033721">
        <w:rPr>
          <w:rFonts w:ascii="Arial" w:hAnsi="Arial" w:cs="Arial"/>
          <w:i/>
          <w:sz w:val="20"/>
          <w:szCs w:val="20"/>
        </w:rPr>
        <w:t>Die H</w:t>
      </w:r>
      <w:r w:rsidR="003B6FE1" w:rsidRPr="00033721">
        <w:rPr>
          <w:rFonts w:ascii="Arial" w:hAnsi="Arial" w:cs="Arial"/>
          <w:i/>
          <w:sz w:val="20"/>
          <w:szCs w:val="20"/>
        </w:rPr>
        <w:t>älfte des</w:t>
      </w:r>
      <w:r w:rsidR="00100318" w:rsidRPr="00033721">
        <w:rPr>
          <w:rFonts w:ascii="Arial" w:hAnsi="Arial" w:cs="Arial"/>
          <w:i/>
          <w:sz w:val="20"/>
          <w:szCs w:val="20"/>
        </w:rPr>
        <w:t xml:space="preserve"> getätigten </w:t>
      </w:r>
      <w:r w:rsidR="003B6FE1" w:rsidRPr="00033721">
        <w:rPr>
          <w:rFonts w:ascii="Arial" w:hAnsi="Arial" w:cs="Arial"/>
          <w:i/>
          <w:sz w:val="20"/>
          <w:szCs w:val="20"/>
        </w:rPr>
        <w:t>Transaktionsvolumens</w:t>
      </w:r>
      <w:r w:rsidR="00100318" w:rsidRPr="00033721">
        <w:rPr>
          <w:rFonts w:ascii="Arial" w:hAnsi="Arial" w:cs="Arial"/>
          <w:i/>
          <w:sz w:val="20"/>
          <w:szCs w:val="20"/>
        </w:rPr>
        <w:t xml:space="preserve"> </w:t>
      </w:r>
      <w:r w:rsidR="00033721">
        <w:rPr>
          <w:rFonts w:ascii="Arial" w:hAnsi="Arial" w:cs="Arial"/>
          <w:i/>
          <w:sz w:val="20"/>
          <w:szCs w:val="20"/>
        </w:rPr>
        <w:t xml:space="preserve">entfiel auf Transaktionen der Größenklasse ab </w:t>
      </w:r>
      <w:r w:rsidR="00100318">
        <w:rPr>
          <w:rFonts w:ascii="Arial" w:hAnsi="Arial" w:cs="Arial"/>
          <w:i/>
          <w:sz w:val="20"/>
          <w:szCs w:val="20"/>
        </w:rPr>
        <w:t>100</w:t>
      </w:r>
      <w:r w:rsidR="003B6FE1">
        <w:rPr>
          <w:rFonts w:ascii="Arial" w:hAnsi="Arial" w:cs="Arial"/>
          <w:i/>
          <w:sz w:val="20"/>
          <w:szCs w:val="20"/>
        </w:rPr>
        <w:t xml:space="preserve"> Millionen Euro</w:t>
      </w:r>
      <w:r w:rsidR="00100318">
        <w:rPr>
          <w:rFonts w:ascii="Arial" w:hAnsi="Arial" w:cs="Arial"/>
          <w:i/>
          <w:sz w:val="20"/>
          <w:szCs w:val="20"/>
        </w:rPr>
        <w:t xml:space="preserve">. </w:t>
      </w:r>
      <w:r w:rsidR="001B7612">
        <w:rPr>
          <w:rFonts w:ascii="Arial" w:hAnsi="Arial" w:cs="Arial"/>
          <w:i/>
          <w:sz w:val="20"/>
          <w:szCs w:val="20"/>
        </w:rPr>
        <w:t>Nach diesem starken Jahresauftakt bleibt angesichts der Corona-Krise nun abzuwarten, wie sich der Berliner Investmentmarkt in den kommenden Monaten entwickelt</w:t>
      </w:r>
      <w:r w:rsidR="005B3674">
        <w:rPr>
          <w:rFonts w:ascii="Arial" w:hAnsi="Arial" w:cs="Arial"/>
          <w:i/>
          <w:sz w:val="20"/>
          <w:szCs w:val="20"/>
        </w:rPr>
        <w:t>“</w:t>
      </w:r>
      <w:r w:rsidR="001E1172" w:rsidRPr="00365AF8">
        <w:rPr>
          <w:rFonts w:ascii="Arial" w:hAnsi="Arial" w:cs="Arial"/>
          <w:i/>
          <w:sz w:val="20"/>
          <w:szCs w:val="20"/>
        </w:rPr>
        <w:t>,</w:t>
      </w:r>
      <w:r w:rsidR="001E1172" w:rsidRPr="00365AF8">
        <w:rPr>
          <w:rFonts w:ascii="Arial" w:hAnsi="Arial" w:cs="Arial"/>
          <w:sz w:val="20"/>
          <w:szCs w:val="20"/>
        </w:rPr>
        <w:t xml:space="preserve"> </w:t>
      </w:r>
      <w:r w:rsidR="001B7612">
        <w:rPr>
          <w:rFonts w:ascii="Arial" w:hAnsi="Arial" w:cs="Arial"/>
          <w:sz w:val="20"/>
          <w:szCs w:val="20"/>
        </w:rPr>
        <w:t>so</w:t>
      </w:r>
      <w:r w:rsidR="001E1172" w:rsidRPr="00365AF8">
        <w:rPr>
          <w:rFonts w:ascii="Arial" w:hAnsi="Arial" w:cs="Arial"/>
          <w:sz w:val="20"/>
          <w:szCs w:val="20"/>
        </w:rPr>
        <w:t xml:space="preserve"> </w:t>
      </w:r>
      <w:r w:rsidR="001E1172" w:rsidRPr="00365AF8">
        <w:rPr>
          <w:rFonts w:ascii="Arial" w:hAnsi="Arial" w:cs="Arial"/>
          <w:b/>
          <w:sz w:val="20"/>
          <w:szCs w:val="20"/>
        </w:rPr>
        <w:t>Holger Michaelis</w:t>
      </w:r>
      <w:r w:rsidR="001E1172" w:rsidRPr="00365AF8">
        <w:rPr>
          <w:rFonts w:ascii="Arial" w:hAnsi="Arial" w:cs="Arial"/>
          <w:sz w:val="20"/>
          <w:szCs w:val="20"/>
        </w:rPr>
        <w:t>, Geschäftsführer von Grossmann &amp; Berger</w:t>
      </w:r>
      <w:r w:rsidR="00AA08C9">
        <w:rPr>
          <w:rFonts w:ascii="Arial" w:hAnsi="Arial" w:cs="Arial"/>
          <w:sz w:val="20"/>
          <w:szCs w:val="20"/>
        </w:rPr>
        <w:t xml:space="preserve">, Mitglied von German </w:t>
      </w:r>
      <w:r w:rsidR="00834913">
        <w:rPr>
          <w:rFonts w:ascii="Arial" w:hAnsi="Arial" w:cs="Arial"/>
          <w:sz w:val="20"/>
          <w:szCs w:val="20"/>
        </w:rPr>
        <w:t>Property Partners (GPP).</w:t>
      </w:r>
      <w:r w:rsidR="009567E0">
        <w:rPr>
          <w:rFonts w:ascii="Arial" w:hAnsi="Arial" w:cs="Arial"/>
          <w:sz w:val="20"/>
          <w:szCs w:val="20"/>
        </w:rPr>
        <w:t xml:space="preserve"> </w:t>
      </w:r>
    </w:p>
    <w:p w14:paraId="0B743E54" w14:textId="4D43609D" w:rsidR="00CA3FA0" w:rsidRDefault="00CA3FA0" w:rsidP="00365AF8">
      <w:pPr>
        <w:spacing w:after="0" w:line="360" w:lineRule="auto"/>
        <w:textAlignment w:val="baseline"/>
        <w:rPr>
          <w:rFonts w:ascii="Arial" w:hAnsi="Arial" w:cs="Arial"/>
          <w:sz w:val="20"/>
          <w:szCs w:val="20"/>
        </w:rPr>
      </w:pPr>
    </w:p>
    <w:p w14:paraId="79CA357A" w14:textId="4EB90475" w:rsidR="000A5ED1" w:rsidRPr="00365AF8" w:rsidRDefault="00365AF8" w:rsidP="00365AF8">
      <w:pPr>
        <w:spacing w:after="0" w:line="360" w:lineRule="auto"/>
        <w:textAlignment w:val="baseline"/>
        <w:rPr>
          <w:rFonts w:ascii="Arial" w:hAnsi="Arial" w:cs="Arial"/>
          <w:b/>
          <w:sz w:val="20"/>
          <w:szCs w:val="20"/>
        </w:rPr>
      </w:pPr>
      <w:r w:rsidRPr="00365AF8">
        <w:rPr>
          <w:rFonts w:ascii="Arial" w:hAnsi="Arial" w:cs="Arial"/>
          <w:b/>
          <w:sz w:val="20"/>
          <w:szCs w:val="20"/>
        </w:rPr>
        <w:t xml:space="preserve">Markt im Detail: </w:t>
      </w:r>
    </w:p>
    <w:p w14:paraId="219C88D5" w14:textId="711E0263" w:rsidR="00B0679A" w:rsidRDefault="00B0679A" w:rsidP="009752FE">
      <w:pPr>
        <w:pStyle w:val="Listenabsatz"/>
        <w:numPr>
          <w:ilvl w:val="0"/>
          <w:numId w:val="16"/>
        </w:numPr>
        <w:spacing w:line="360" w:lineRule="auto"/>
        <w:rPr>
          <w:rFonts w:ascii="Arial" w:hAnsi="Arial" w:cs="Arial"/>
          <w:sz w:val="20"/>
          <w:szCs w:val="20"/>
        </w:rPr>
      </w:pPr>
      <w:r>
        <w:rPr>
          <w:rFonts w:ascii="Arial" w:hAnsi="Arial" w:cs="Arial"/>
          <w:sz w:val="20"/>
          <w:szCs w:val="20"/>
        </w:rPr>
        <w:t xml:space="preserve">Durch die Übernahme von TLG durch </w:t>
      </w:r>
      <w:proofErr w:type="spellStart"/>
      <w:r>
        <w:rPr>
          <w:rFonts w:ascii="Arial" w:hAnsi="Arial" w:cs="Arial"/>
          <w:sz w:val="20"/>
          <w:szCs w:val="20"/>
        </w:rPr>
        <w:t>Aroundtown</w:t>
      </w:r>
      <w:proofErr w:type="spellEnd"/>
      <w:r>
        <w:rPr>
          <w:rFonts w:ascii="Arial" w:hAnsi="Arial" w:cs="Arial"/>
          <w:sz w:val="20"/>
          <w:szCs w:val="20"/>
        </w:rPr>
        <w:t xml:space="preserve"> ist der Anteil der Portfolio-Transaktionen auf 62 %</w:t>
      </w:r>
      <w:r w:rsidR="003B6FE1">
        <w:rPr>
          <w:rFonts w:ascii="Arial" w:hAnsi="Arial" w:cs="Arial"/>
          <w:sz w:val="20"/>
          <w:szCs w:val="20"/>
        </w:rPr>
        <w:t xml:space="preserve"> gestiegen (Q1 2019: 25 </w:t>
      </w:r>
      <w:r>
        <w:rPr>
          <w:rFonts w:ascii="Arial" w:hAnsi="Arial" w:cs="Arial"/>
          <w:sz w:val="20"/>
          <w:szCs w:val="20"/>
        </w:rPr>
        <w:t>%).</w:t>
      </w:r>
    </w:p>
    <w:p w14:paraId="5C186253" w14:textId="3ABAE21D" w:rsidR="00B0679A" w:rsidRDefault="003B6FE1" w:rsidP="009752FE">
      <w:pPr>
        <w:pStyle w:val="Listenabsatz"/>
        <w:numPr>
          <w:ilvl w:val="0"/>
          <w:numId w:val="16"/>
        </w:numPr>
        <w:spacing w:line="360" w:lineRule="auto"/>
        <w:rPr>
          <w:rFonts w:ascii="Arial" w:hAnsi="Arial" w:cs="Arial"/>
          <w:sz w:val="20"/>
          <w:szCs w:val="20"/>
        </w:rPr>
      </w:pPr>
      <w:r>
        <w:rPr>
          <w:rFonts w:ascii="Arial" w:hAnsi="Arial" w:cs="Arial"/>
          <w:sz w:val="20"/>
          <w:szCs w:val="20"/>
        </w:rPr>
        <w:t>Mit 80 % hat sich d</w:t>
      </w:r>
      <w:r w:rsidR="00B0679A">
        <w:rPr>
          <w:rFonts w:ascii="Arial" w:hAnsi="Arial" w:cs="Arial"/>
          <w:sz w:val="20"/>
          <w:szCs w:val="20"/>
        </w:rPr>
        <w:t xml:space="preserve">er Volumenanteil der internationalen Käufer </w:t>
      </w:r>
      <w:r>
        <w:rPr>
          <w:rFonts w:ascii="Arial" w:hAnsi="Arial" w:cs="Arial"/>
          <w:sz w:val="20"/>
          <w:szCs w:val="20"/>
        </w:rPr>
        <w:t xml:space="preserve">im Vergleich zum Vorjahreszeitraum </w:t>
      </w:r>
      <w:r w:rsidR="0041456E">
        <w:rPr>
          <w:rFonts w:ascii="Arial" w:hAnsi="Arial" w:cs="Arial"/>
          <w:sz w:val="20"/>
          <w:szCs w:val="20"/>
        </w:rPr>
        <w:t xml:space="preserve">(37 %) </w:t>
      </w:r>
      <w:r>
        <w:rPr>
          <w:rFonts w:ascii="Arial" w:hAnsi="Arial" w:cs="Arial"/>
          <w:sz w:val="20"/>
          <w:szCs w:val="20"/>
        </w:rPr>
        <w:t>mehr als verdoppelt.</w:t>
      </w:r>
      <w:r w:rsidR="00B0679A">
        <w:rPr>
          <w:rFonts w:ascii="Arial" w:hAnsi="Arial" w:cs="Arial"/>
          <w:sz w:val="20"/>
          <w:szCs w:val="20"/>
        </w:rPr>
        <w:t xml:space="preserve"> </w:t>
      </w:r>
    </w:p>
    <w:p w14:paraId="7D7720EF" w14:textId="672549B9" w:rsidR="000427B8" w:rsidRPr="00520CDE" w:rsidRDefault="0065652E" w:rsidP="009752FE">
      <w:pPr>
        <w:pStyle w:val="Listenabsatz"/>
        <w:numPr>
          <w:ilvl w:val="0"/>
          <w:numId w:val="16"/>
        </w:numPr>
        <w:spacing w:line="360" w:lineRule="auto"/>
        <w:rPr>
          <w:rFonts w:ascii="Arial" w:hAnsi="Arial" w:cs="Arial"/>
          <w:sz w:val="20"/>
          <w:szCs w:val="20"/>
        </w:rPr>
      </w:pPr>
      <w:r>
        <w:rPr>
          <w:rFonts w:ascii="Arial" w:hAnsi="Arial" w:cs="Arial"/>
          <w:sz w:val="20"/>
          <w:szCs w:val="20"/>
        </w:rPr>
        <w:t>Die Börsennotierte</w:t>
      </w:r>
      <w:r w:rsidR="00AA20ED">
        <w:rPr>
          <w:rFonts w:ascii="Arial" w:hAnsi="Arial" w:cs="Arial"/>
          <w:sz w:val="20"/>
          <w:szCs w:val="20"/>
        </w:rPr>
        <w:t xml:space="preserve"> Immobilieninvestment-AG/REIT stellte mit einem Anteil von 66 % bzw. 65 % </w:t>
      </w:r>
      <w:r w:rsidR="0041456E">
        <w:rPr>
          <w:rFonts w:ascii="Arial" w:hAnsi="Arial" w:cs="Arial"/>
          <w:sz w:val="20"/>
          <w:szCs w:val="20"/>
        </w:rPr>
        <w:t xml:space="preserve">sowohl </w:t>
      </w:r>
      <w:r w:rsidR="00AA20ED">
        <w:rPr>
          <w:rFonts w:ascii="Arial" w:hAnsi="Arial" w:cs="Arial"/>
          <w:sz w:val="20"/>
          <w:szCs w:val="20"/>
        </w:rPr>
        <w:t>die stärkste Käufer- als auch Verkäufergruppe.</w:t>
      </w:r>
    </w:p>
    <w:p w14:paraId="28DCB77D" w14:textId="6CB475A9" w:rsidR="007F468E" w:rsidRPr="007F468E" w:rsidRDefault="007F468E" w:rsidP="007F468E">
      <w:pPr>
        <w:pStyle w:val="Listenabsatz"/>
        <w:numPr>
          <w:ilvl w:val="0"/>
          <w:numId w:val="16"/>
        </w:numPr>
        <w:spacing w:line="360" w:lineRule="auto"/>
        <w:rPr>
          <w:rFonts w:ascii="Arial" w:hAnsi="Arial" w:cs="Arial"/>
          <w:sz w:val="20"/>
          <w:szCs w:val="20"/>
        </w:rPr>
      </w:pPr>
      <w:r>
        <w:rPr>
          <w:rFonts w:ascii="Arial" w:hAnsi="Arial" w:cs="Arial"/>
          <w:sz w:val="20"/>
          <w:szCs w:val="20"/>
        </w:rPr>
        <w:t xml:space="preserve">Stärkste </w:t>
      </w:r>
      <w:proofErr w:type="spellStart"/>
      <w:r>
        <w:rPr>
          <w:rFonts w:ascii="Arial" w:hAnsi="Arial" w:cs="Arial"/>
          <w:sz w:val="20"/>
          <w:szCs w:val="20"/>
        </w:rPr>
        <w:t>Assetklasse</w:t>
      </w:r>
      <w:proofErr w:type="spellEnd"/>
      <w:r>
        <w:rPr>
          <w:rFonts w:ascii="Arial" w:hAnsi="Arial" w:cs="Arial"/>
          <w:sz w:val="20"/>
          <w:szCs w:val="20"/>
        </w:rPr>
        <w:t xml:space="preserve"> waren </w:t>
      </w:r>
      <w:r w:rsidR="00A24152">
        <w:rPr>
          <w:rFonts w:ascii="Arial" w:hAnsi="Arial" w:cs="Arial"/>
          <w:sz w:val="20"/>
          <w:szCs w:val="20"/>
        </w:rPr>
        <w:t>erneut</w:t>
      </w:r>
      <w:r>
        <w:rPr>
          <w:rFonts w:ascii="Arial" w:hAnsi="Arial" w:cs="Arial"/>
          <w:sz w:val="20"/>
          <w:szCs w:val="20"/>
        </w:rPr>
        <w:t xml:space="preserve"> Büro-Immobilien mit einem Anteil von 68 %</w:t>
      </w:r>
      <w:r w:rsidR="00AA20ED">
        <w:rPr>
          <w:rFonts w:ascii="Arial" w:hAnsi="Arial" w:cs="Arial"/>
          <w:sz w:val="20"/>
          <w:szCs w:val="20"/>
        </w:rPr>
        <w:t xml:space="preserve"> (Q1 2018: 75</w:t>
      </w:r>
      <w:r w:rsidR="009567E0">
        <w:rPr>
          <w:rFonts w:ascii="Arial" w:hAnsi="Arial" w:cs="Arial"/>
          <w:sz w:val="20"/>
          <w:szCs w:val="20"/>
        </w:rPr>
        <w:t xml:space="preserve"> %)</w:t>
      </w:r>
      <w:r>
        <w:rPr>
          <w:rFonts w:ascii="Arial" w:hAnsi="Arial" w:cs="Arial"/>
          <w:sz w:val="20"/>
          <w:szCs w:val="20"/>
        </w:rPr>
        <w:t>.</w:t>
      </w:r>
    </w:p>
    <w:p w14:paraId="5D88CD20" w14:textId="197FB69F" w:rsidR="000427B8" w:rsidRDefault="00746A51" w:rsidP="00746A51">
      <w:pPr>
        <w:pStyle w:val="Listenabsatz"/>
        <w:numPr>
          <w:ilvl w:val="0"/>
          <w:numId w:val="16"/>
        </w:numPr>
        <w:spacing w:after="0" w:line="360" w:lineRule="auto"/>
        <w:textAlignment w:val="baseline"/>
        <w:rPr>
          <w:rFonts w:ascii="Arial" w:hAnsi="Arial" w:cs="Arial"/>
          <w:sz w:val="20"/>
          <w:szCs w:val="20"/>
        </w:rPr>
      </w:pPr>
      <w:r w:rsidRPr="00746A51">
        <w:rPr>
          <w:rFonts w:ascii="Arial" w:hAnsi="Arial" w:cs="Arial"/>
          <w:sz w:val="20"/>
          <w:szCs w:val="20"/>
        </w:rPr>
        <w:t>Die Spitzenrendite</w:t>
      </w:r>
      <w:r w:rsidR="00196F91">
        <w:rPr>
          <w:rFonts w:ascii="Arial" w:hAnsi="Arial" w:cs="Arial"/>
          <w:sz w:val="20"/>
          <w:szCs w:val="20"/>
        </w:rPr>
        <w:t>n</w:t>
      </w:r>
      <w:r w:rsidRPr="00746A51">
        <w:rPr>
          <w:rFonts w:ascii="Arial" w:hAnsi="Arial" w:cs="Arial"/>
          <w:sz w:val="20"/>
          <w:szCs w:val="20"/>
        </w:rPr>
        <w:t xml:space="preserve"> für Büro</w:t>
      </w:r>
      <w:r>
        <w:rPr>
          <w:rFonts w:ascii="Arial" w:hAnsi="Arial" w:cs="Arial"/>
          <w:sz w:val="20"/>
          <w:szCs w:val="20"/>
        </w:rPr>
        <w:t>s</w:t>
      </w:r>
      <w:r w:rsidR="00196F91">
        <w:rPr>
          <w:rFonts w:ascii="Arial" w:hAnsi="Arial" w:cs="Arial"/>
          <w:sz w:val="20"/>
          <w:szCs w:val="20"/>
        </w:rPr>
        <w:t xml:space="preserve"> (2,7</w:t>
      </w:r>
      <w:r w:rsidR="003B6FE1">
        <w:rPr>
          <w:rFonts w:ascii="Arial" w:hAnsi="Arial" w:cs="Arial"/>
          <w:sz w:val="20"/>
          <w:szCs w:val="20"/>
        </w:rPr>
        <w:t xml:space="preserve"> %</w:t>
      </w:r>
      <w:r w:rsidR="00196F91">
        <w:rPr>
          <w:rFonts w:ascii="Arial" w:hAnsi="Arial" w:cs="Arial"/>
          <w:sz w:val="20"/>
          <w:szCs w:val="20"/>
        </w:rPr>
        <w:t>), Geschäftshäuser (2,8</w:t>
      </w:r>
      <w:r w:rsidR="003B6FE1">
        <w:rPr>
          <w:rFonts w:ascii="Arial" w:hAnsi="Arial" w:cs="Arial"/>
          <w:sz w:val="20"/>
          <w:szCs w:val="20"/>
        </w:rPr>
        <w:t xml:space="preserve"> %</w:t>
      </w:r>
      <w:r w:rsidR="00196F91">
        <w:rPr>
          <w:rFonts w:ascii="Arial" w:hAnsi="Arial" w:cs="Arial"/>
          <w:sz w:val="20"/>
          <w:szCs w:val="20"/>
        </w:rPr>
        <w:t>) und Logistik (3,8</w:t>
      </w:r>
      <w:r w:rsidR="003B6FE1">
        <w:rPr>
          <w:rFonts w:ascii="Arial" w:hAnsi="Arial" w:cs="Arial"/>
          <w:sz w:val="20"/>
          <w:szCs w:val="20"/>
        </w:rPr>
        <w:t xml:space="preserve"> %</w:t>
      </w:r>
      <w:r w:rsidR="00196F91">
        <w:rPr>
          <w:rFonts w:ascii="Arial" w:hAnsi="Arial" w:cs="Arial"/>
          <w:sz w:val="20"/>
          <w:szCs w:val="20"/>
        </w:rPr>
        <w:t xml:space="preserve">) </w:t>
      </w:r>
      <w:r w:rsidR="00AA20ED">
        <w:rPr>
          <w:rFonts w:ascii="Arial" w:hAnsi="Arial" w:cs="Arial"/>
          <w:sz w:val="20"/>
          <w:szCs w:val="20"/>
        </w:rPr>
        <w:t>lag</w:t>
      </w:r>
      <w:r w:rsidR="00196F91">
        <w:rPr>
          <w:rFonts w:ascii="Arial" w:hAnsi="Arial" w:cs="Arial"/>
          <w:sz w:val="20"/>
          <w:szCs w:val="20"/>
        </w:rPr>
        <w:t>en unverändert auf dem Niveau z</w:t>
      </w:r>
      <w:r w:rsidR="00AA20ED">
        <w:rPr>
          <w:rFonts w:ascii="Arial" w:hAnsi="Arial" w:cs="Arial"/>
          <w:sz w:val="20"/>
          <w:szCs w:val="20"/>
        </w:rPr>
        <w:t>um Jahresende 2019.</w:t>
      </w:r>
      <w:r w:rsidR="00196F91">
        <w:rPr>
          <w:rFonts w:ascii="Arial" w:hAnsi="Arial" w:cs="Arial"/>
          <w:sz w:val="20"/>
          <w:szCs w:val="20"/>
        </w:rPr>
        <w:t xml:space="preserve"> </w:t>
      </w:r>
      <w:r>
        <w:rPr>
          <w:rFonts w:ascii="Arial" w:hAnsi="Arial" w:cs="Arial"/>
          <w:sz w:val="20"/>
          <w:szCs w:val="20"/>
        </w:rPr>
        <w:t xml:space="preserve"> </w:t>
      </w:r>
      <w:r w:rsidR="00587525">
        <w:rPr>
          <w:rFonts w:ascii="Arial" w:hAnsi="Arial" w:cs="Arial"/>
          <w:sz w:val="20"/>
          <w:szCs w:val="20"/>
        </w:rPr>
        <w:t xml:space="preserve">   </w:t>
      </w:r>
    </w:p>
    <w:tbl>
      <w:tblPr>
        <w:tblStyle w:val="TableGrid2"/>
        <w:tblpPr w:leftFromText="141" w:rightFromText="141" w:vertAnchor="text" w:horzAnchor="margin" w:tblpY="184"/>
        <w:tblW w:w="0" w:type="auto"/>
        <w:tblLook w:val="04A0" w:firstRow="1" w:lastRow="0" w:firstColumn="1" w:lastColumn="0" w:noHBand="0" w:noVBand="1"/>
      </w:tblPr>
      <w:tblGrid>
        <w:gridCol w:w="3823"/>
        <w:gridCol w:w="1134"/>
      </w:tblGrid>
      <w:tr w:rsidR="0041456E" w:rsidRPr="006F49D0" w14:paraId="21CF869F" w14:textId="77777777" w:rsidTr="0041456E">
        <w:trPr>
          <w:trHeight w:val="416"/>
        </w:trPr>
        <w:tc>
          <w:tcPr>
            <w:tcW w:w="0" w:type="auto"/>
            <w:shd w:val="clear" w:color="auto" w:fill="1F242B" w:themeFill="accent2"/>
          </w:tcPr>
          <w:p w14:paraId="1689D799" w14:textId="77777777" w:rsidR="0041456E" w:rsidRPr="00D550B6" w:rsidRDefault="0041456E" w:rsidP="0041456E">
            <w:pPr>
              <w:widowControl w:val="0"/>
              <w:spacing w:before="60" w:after="60"/>
              <w:rPr>
                <w:rFonts w:ascii="Arial" w:eastAsia="Cambria" w:hAnsi="Arial" w:cs="Arial"/>
                <w:b/>
                <w:sz w:val="18"/>
                <w:szCs w:val="20"/>
                <w:lang w:val="en-US"/>
              </w:rPr>
            </w:pPr>
            <w:r>
              <w:rPr>
                <w:rFonts w:ascii="Arial" w:hAnsi="Arial" w:cs="Arial"/>
                <w:b/>
                <w:sz w:val="18"/>
                <w:szCs w:val="18"/>
              </w:rPr>
              <w:t>Investmentmarkt | Berlin | 2020</w:t>
            </w:r>
          </w:p>
        </w:tc>
        <w:tc>
          <w:tcPr>
            <w:tcW w:w="1134" w:type="dxa"/>
            <w:shd w:val="clear" w:color="auto" w:fill="1F242B" w:themeFill="accent2"/>
          </w:tcPr>
          <w:p w14:paraId="4120C918" w14:textId="77777777" w:rsidR="0041456E" w:rsidRPr="00D550B6" w:rsidRDefault="0041456E" w:rsidP="0041456E">
            <w:pPr>
              <w:widowControl w:val="0"/>
              <w:spacing w:before="60" w:after="60"/>
              <w:jc w:val="center"/>
              <w:rPr>
                <w:rFonts w:ascii="Arial" w:hAnsi="Arial" w:cs="Arial"/>
                <w:b/>
                <w:sz w:val="18"/>
                <w:szCs w:val="18"/>
              </w:rPr>
            </w:pPr>
            <w:r w:rsidRPr="00D550B6">
              <w:rPr>
                <w:rFonts w:ascii="Arial" w:hAnsi="Arial" w:cs="Arial"/>
                <w:b/>
                <w:sz w:val="18"/>
                <w:szCs w:val="18"/>
              </w:rPr>
              <w:t>Q1</w:t>
            </w:r>
          </w:p>
        </w:tc>
      </w:tr>
      <w:tr w:rsidR="0041456E" w:rsidRPr="006F49D0" w14:paraId="6A6A4226" w14:textId="77777777" w:rsidTr="0041456E">
        <w:trPr>
          <w:trHeight w:val="283"/>
        </w:trPr>
        <w:tc>
          <w:tcPr>
            <w:tcW w:w="3823" w:type="dxa"/>
          </w:tcPr>
          <w:p w14:paraId="316C40A1" w14:textId="77777777" w:rsidR="0041456E" w:rsidRPr="004712BA" w:rsidRDefault="0041456E" w:rsidP="0041456E">
            <w:pPr>
              <w:widowControl w:val="0"/>
              <w:spacing w:before="40" w:after="40"/>
              <w:rPr>
                <w:rFonts w:ascii="Arial" w:hAnsi="Arial" w:cs="Arial"/>
                <w:b/>
                <w:sz w:val="18"/>
                <w:szCs w:val="16"/>
              </w:rPr>
            </w:pPr>
            <w:r>
              <w:rPr>
                <w:rFonts w:ascii="Arial" w:hAnsi="Arial" w:cs="Arial"/>
                <w:b/>
                <w:sz w:val="18"/>
                <w:szCs w:val="16"/>
              </w:rPr>
              <w:t xml:space="preserve">Transaktionsvolumen </w:t>
            </w:r>
            <w:r w:rsidRPr="00CF57DD">
              <w:rPr>
                <w:rFonts w:ascii="Arial" w:hAnsi="Arial" w:cs="Arial"/>
                <w:sz w:val="18"/>
                <w:szCs w:val="16"/>
              </w:rPr>
              <w:t>[</w:t>
            </w:r>
            <w:r w:rsidRPr="004712BA">
              <w:rPr>
                <w:rFonts w:ascii="Arial" w:hAnsi="Arial" w:cs="Arial"/>
                <w:sz w:val="18"/>
                <w:szCs w:val="16"/>
              </w:rPr>
              <w:t>Mio. €</w:t>
            </w:r>
            <w:r>
              <w:rPr>
                <w:rFonts w:ascii="Arial" w:hAnsi="Arial" w:cs="Arial"/>
                <w:sz w:val="18"/>
                <w:szCs w:val="16"/>
              </w:rPr>
              <w:t>]</w:t>
            </w:r>
          </w:p>
        </w:tc>
        <w:tc>
          <w:tcPr>
            <w:tcW w:w="1134" w:type="dxa"/>
            <w:vAlign w:val="center"/>
          </w:tcPr>
          <w:p w14:paraId="20F8232D" w14:textId="77777777" w:rsidR="0041456E" w:rsidRPr="00D550B6" w:rsidRDefault="0041456E" w:rsidP="0041456E">
            <w:pPr>
              <w:widowControl w:val="0"/>
              <w:spacing w:before="40" w:after="40"/>
              <w:jc w:val="right"/>
              <w:rPr>
                <w:rFonts w:ascii="Arial" w:hAnsi="Arial" w:cs="Arial"/>
                <w:sz w:val="18"/>
                <w:szCs w:val="18"/>
              </w:rPr>
            </w:pPr>
            <w:r>
              <w:rPr>
                <w:rFonts w:ascii="Arial" w:hAnsi="Arial" w:cs="Arial"/>
                <w:sz w:val="18"/>
                <w:szCs w:val="18"/>
              </w:rPr>
              <w:t>2.600</w:t>
            </w:r>
          </w:p>
        </w:tc>
      </w:tr>
      <w:tr w:rsidR="0041456E" w:rsidRPr="006F49D0" w14:paraId="3ECFC442" w14:textId="77777777" w:rsidTr="0041456E">
        <w:trPr>
          <w:trHeight w:val="283"/>
        </w:trPr>
        <w:tc>
          <w:tcPr>
            <w:tcW w:w="3823" w:type="dxa"/>
          </w:tcPr>
          <w:p w14:paraId="09788C9E" w14:textId="77777777" w:rsidR="0041456E" w:rsidRPr="00A7575D" w:rsidRDefault="0041456E" w:rsidP="0041456E">
            <w:pPr>
              <w:widowControl w:val="0"/>
              <w:spacing w:before="40" w:after="40"/>
              <w:rPr>
                <w:rFonts w:ascii="Arial" w:hAnsi="Arial" w:cs="Arial"/>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34" w:type="dxa"/>
            <w:vAlign w:val="center"/>
          </w:tcPr>
          <w:p w14:paraId="70B73095" w14:textId="77777777" w:rsidR="0041456E" w:rsidRPr="00D550B6" w:rsidRDefault="0041456E" w:rsidP="0041456E">
            <w:pPr>
              <w:widowControl w:val="0"/>
              <w:spacing w:before="40" w:after="40"/>
              <w:jc w:val="right"/>
              <w:rPr>
                <w:rFonts w:ascii="Arial" w:hAnsi="Arial" w:cs="Arial"/>
                <w:sz w:val="18"/>
                <w:szCs w:val="18"/>
              </w:rPr>
            </w:pPr>
            <w:r>
              <w:rPr>
                <w:rFonts w:ascii="Arial" w:hAnsi="Arial" w:cs="Arial"/>
                <w:sz w:val="18"/>
                <w:szCs w:val="18"/>
              </w:rPr>
              <w:t>+21</w:t>
            </w:r>
          </w:p>
        </w:tc>
      </w:tr>
      <w:tr w:rsidR="0041456E" w:rsidRPr="006F49D0" w14:paraId="08EDFCD8" w14:textId="77777777" w:rsidTr="0041456E">
        <w:trPr>
          <w:trHeight w:val="283"/>
        </w:trPr>
        <w:tc>
          <w:tcPr>
            <w:tcW w:w="3823" w:type="dxa"/>
          </w:tcPr>
          <w:p w14:paraId="43A8E2D4" w14:textId="77777777" w:rsidR="0041456E" w:rsidRPr="00A7575D" w:rsidRDefault="0041456E" w:rsidP="0041456E">
            <w:pPr>
              <w:widowControl w:val="0"/>
              <w:spacing w:before="40" w:after="40"/>
              <w:rPr>
                <w:rFonts w:ascii="Arial" w:hAnsi="Arial" w:cs="Arial"/>
                <w:sz w:val="18"/>
                <w:szCs w:val="16"/>
              </w:rPr>
            </w:pPr>
            <w:r w:rsidRPr="00CF57DD">
              <w:rPr>
                <w:rFonts w:ascii="Arial" w:hAnsi="Arial" w:cs="Arial"/>
                <w:b/>
                <w:sz w:val="18"/>
                <w:szCs w:val="16"/>
              </w:rPr>
              <w:t>Anteil CBD</w:t>
            </w:r>
            <w:r>
              <w:rPr>
                <w:rFonts w:ascii="Arial" w:hAnsi="Arial" w:cs="Arial"/>
                <w:sz w:val="18"/>
                <w:szCs w:val="16"/>
              </w:rPr>
              <w:t xml:space="preserve"> [%]</w:t>
            </w:r>
          </w:p>
        </w:tc>
        <w:tc>
          <w:tcPr>
            <w:tcW w:w="1134" w:type="dxa"/>
            <w:vAlign w:val="center"/>
          </w:tcPr>
          <w:p w14:paraId="4112CA77" w14:textId="77777777" w:rsidR="0041456E" w:rsidRPr="00D550B6" w:rsidRDefault="0041456E" w:rsidP="0041456E">
            <w:pPr>
              <w:widowControl w:val="0"/>
              <w:spacing w:before="40" w:after="40"/>
              <w:jc w:val="right"/>
              <w:rPr>
                <w:rFonts w:ascii="Arial" w:hAnsi="Arial" w:cs="Arial"/>
                <w:sz w:val="18"/>
                <w:szCs w:val="18"/>
              </w:rPr>
            </w:pPr>
            <w:r>
              <w:rPr>
                <w:rFonts w:ascii="Arial" w:hAnsi="Arial" w:cs="Arial"/>
                <w:sz w:val="18"/>
                <w:szCs w:val="18"/>
              </w:rPr>
              <w:t>3</w:t>
            </w:r>
          </w:p>
        </w:tc>
      </w:tr>
      <w:tr w:rsidR="0041456E" w:rsidRPr="006F49D0" w14:paraId="6F830A34" w14:textId="77777777" w:rsidTr="0041456E">
        <w:trPr>
          <w:trHeight w:val="283"/>
        </w:trPr>
        <w:tc>
          <w:tcPr>
            <w:tcW w:w="3823" w:type="dxa"/>
          </w:tcPr>
          <w:p w14:paraId="2D099421" w14:textId="77777777" w:rsidR="0041456E" w:rsidRPr="00CF57DD" w:rsidRDefault="0041456E" w:rsidP="0041456E">
            <w:pPr>
              <w:widowControl w:val="0"/>
              <w:spacing w:before="40" w:after="40"/>
              <w:rPr>
                <w:rFonts w:ascii="Arial" w:hAnsi="Arial" w:cs="Arial"/>
                <w:b/>
                <w:sz w:val="18"/>
                <w:szCs w:val="16"/>
              </w:rPr>
            </w:pPr>
            <w:r>
              <w:rPr>
                <w:rFonts w:ascii="Arial" w:hAnsi="Arial" w:cs="Arial"/>
                <w:b/>
                <w:sz w:val="18"/>
                <w:szCs w:val="16"/>
              </w:rPr>
              <w:t xml:space="preserve">Anteil internationaler Investoren </w:t>
            </w:r>
            <w:r w:rsidRPr="00CF57DD">
              <w:rPr>
                <w:rFonts w:ascii="Arial" w:hAnsi="Arial" w:cs="Arial"/>
                <w:sz w:val="18"/>
                <w:szCs w:val="16"/>
              </w:rPr>
              <w:t>[%]</w:t>
            </w:r>
          </w:p>
        </w:tc>
        <w:tc>
          <w:tcPr>
            <w:tcW w:w="1134" w:type="dxa"/>
            <w:vAlign w:val="center"/>
          </w:tcPr>
          <w:p w14:paraId="63848F87" w14:textId="77777777" w:rsidR="0041456E" w:rsidRPr="00D550B6" w:rsidRDefault="0041456E" w:rsidP="0041456E">
            <w:pPr>
              <w:widowControl w:val="0"/>
              <w:spacing w:before="40" w:after="40"/>
              <w:jc w:val="right"/>
              <w:rPr>
                <w:rFonts w:ascii="Arial" w:hAnsi="Arial" w:cs="Arial"/>
                <w:sz w:val="18"/>
                <w:szCs w:val="18"/>
              </w:rPr>
            </w:pPr>
            <w:r>
              <w:rPr>
                <w:rFonts w:ascii="Arial" w:hAnsi="Arial" w:cs="Arial"/>
                <w:sz w:val="18"/>
                <w:szCs w:val="18"/>
              </w:rPr>
              <w:t>80</w:t>
            </w:r>
          </w:p>
        </w:tc>
      </w:tr>
      <w:tr w:rsidR="0041456E" w:rsidRPr="006F49D0" w14:paraId="5F6B892B" w14:textId="77777777" w:rsidTr="0041456E">
        <w:trPr>
          <w:trHeight w:val="283"/>
        </w:trPr>
        <w:tc>
          <w:tcPr>
            <w:tcW w:w="3823" w:type="dxa"/>
          </w:tcPr>
          <w:p w14:paraId="112B56C4" w14:textId="77777777" w:rsidR="0041456E" w:rsidRPr="004712BA" w:rsidRDefault="0041456E" w:rsidP="0041456E">
            <w:pPr>
              <w:widowControl w:val="0"/>
              <w:spacing w:before="40" w:after="40"/>
              <w:rPr>
                <w:rFonts w:ascii="Arial" w:hAnsi="Arial" w:cs="Arial"/>
                <w:b/>
                <w:sz w:val="18"/>
                <w:szCs w:val="16"/>
              </w:rPr>
            </w:pPr>
            <w:r w:rsidRPr="00A7575D">
              <w:rPr>
                <w:rFonts w:ascii="Arial" w:hAnsi="Arial" w:cs="Arial"/>
                <w:b/>
                <w:sz w:val="18"/>
                <w:szCs w:val="16"/>
              </w:rPr>
              <w:t xml:space="preserve">Netto-Spitzenrendite Büro </w:t>
            </w:r>
            <w:r w:rsidRPr="00CF57DD">
              <w:rPr>
                <w:rFonts w:ascii="Arial" w:hAnsi="Arial" w:cs="Arial"/>
                <w:sz w:val="18"/>
                <w:szCs w:val="16"/>
              </w:rPr>
              <w:t>[%]</w:t>
            </w:r>
          </w:p>
        </w:tc>
        <w:tc>
          <w:tcPr>
            <w:tcW w:w="1134" w:type="dxa"/>
            <w:vAlign w:val="center"/>
          </w:tcPr>
          <w:p w14:paraId="46AC6A01" w14:textId="77777777" w:rsidR="0041456E" w:rsidRPr="00D550B6" w:rsidRDefault="0041456E" w:rsidP="0041456E">
            <w:pPr>
              <w:widowControl w:val="0"/>
              <w:spacing w:before="40" w:after="40"/>
              <w:jc w:val="right"/>
              <w:rPr>
                <w:rFonts w:ascii="Arial" w:hAnsi="Arial" w:cs="Arial"/>
                <w:sz w:val="18"/>
                <w:szCs w:val="18"/>
              </w:rPr>
            </w:pPr>
            <w:r>
              <w:rPr>
                <w:rFonts w:ascii="Arial" w:hAnsi="Arial" w:cs="Arial"/>
                <w:sz w:val="18"/>
                <w:szCs w:val="18"/>
              </w:rPr>
              <w:t>2,7</w:t>
            </w:r>
          </w:p>
        </w:tc>
      </w:tr>
      <w:tr w:rsidR="0041456E" w14:paraId="2494897A" w14:textId="77777777" w:rsidTr="0041456E">
        <w:trPr>
          <w:trHeight w:val="283"/>
        </w:trPr>
        <w:tc>
          <w:tcPr>
            <w:tcW w:w="3823" w:type="dxa"/>
          </w:tcPr>
          <w:p w14:paraId="3B7A2A89" w14:textId="77777777" w:rsidR="0041456E" w:rsidRPr="00A7575D" w:rsidRDefault="0041456E" w:rsidP="0041456E">
            <w:pPr>
              <w:widowControl w:val="0"/>
              <w:spacing w:before="40" w:after="40"/>
              <w:rPr>
                <w:rFonts w:ascii="Arial" w:hAnsi="Arial" w:cs="Arial"/>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Pr>
                <w:rFonts w:ascii="Arial" w:hAnsi="Arial" w:cs="Arial"/>
                <w:sz w:val="18"/>
                <w:szCs w:val="16"/>
              </w:rPr>
              <w:t>[</w:t>
            </w:r>
            <w:r w:rsidRPr="00A7575D">
              <w:rPr>
                <w:rFonts w:ascii="Arial" w:hAnsi="Arial" w:cs="Arial"/>
                <w:sz w:val="18"/>
                <w:szCs w:val="16"/>
              </w:rPr>
              <w:t>%-Pkt.</w:t>
            </w:r>
            <w:r>
              <w:rPr>
                <w:rFonts w:ascii="Arial" w:hAnsi="Arial" w:cs="Arial"/>
                <w:sz w:val="18"/>
                <w:szCs w:val="16"/>
              </w:rPr>
              <w:t>]</w:t>
            </w:r>
          </w:p>
        </w:tc>
        <w:tc>
          <w:tcPr>
            <w:tcW w:w="1134" w:type="dxa"/>
            <w:vAlign w:val="center"/>
          </w:tcPr>
          <w:p w14:paraId="58BEA388" w14:textId="77777777" w:rsidR="0041456E" w:rsidRPr="00D550B6" w:rsidRDefault="0041456E" w:rsidP="0041456E">
            <w:pPr>
              <w:widowControl w:val="0"/>
              <w:spacing w:before="40" w:after="40"/>
              <w:jc w:val="right"/>
              <w:rPr>
                <w:rFonts w:ascii="Arial" w:hAnsi="Arial" w:cs="Arial"/>
                <w:sz w:val="18"/>
                <w:szCs w:val="18"/>
              </w:rPr>
            </w:pPr>
            <w:r>
              <w:rPr>
                <w:rFonts w:ascii="Arial" w:hAnsi="Arial" w:cs="Arial"/>
                <w:sz w:val="18"/>
                <w:szCs w:val="18"/>
              </w:rPr>
              <w:t>-0,2</w:t>
            </w:r>
          </w:p>
        </w:tc>
      </w:tr>
      <w:tr w:rsidR="0041456E" w:rsidRPr="006F49D0" w14:paraId="22AACDC4" w14:textId="77777777" w:rsidTr="0041456E">
        <w:trPr>
          <w:trHeight w:val="283"/>
        </w:trPr>
        <w:tc>
          <w:tcPr>
            <w:tcW w:w="3823" w:type="dxa"/>
          </w:tcPr>
          <w:p w14:paraId="716AC477" w14:textId="77777777" w:rsidR="0041456E" w:rsidRPr="004712BA" w:rsidRDefault="0041456E" w:rsidP="0041456E">
            <w:pPr>
              <w:widowControl w:val="0"/>
              <w:spacing w:before="40" w:after="40"/>
              <w:rPr>
                <w:rFonts w:ascii="Arial" w:hAnsi="Arial" w:cs="Arial"/>
                <w:b/>
                <w:sz w:val="18"/>
                <w:szCs w:val="16"/>
              </w:rPr>
            </w:pPr>
            <w:r w:rsidRPr="00A7575D">
              <w:rPr>
                <w:rFonts w:ascii="Arial" w:hAnsi="Arial" w:cs="Arial"/>
                <w:b/>
                <w:sz w:val="18"/>
                <w:szCs w:val="16"/>
              </w:rPr>
              <w:t xml:space="preserve">Netto-Spitzenrendite Geschäftshäuser </w:t>
            </w:r>
            <w:r w:rsidRPr="00CF57DD">
              <w:rPr>
                <w:rFonts w:ascii="Arial" w:hAnsi="Arial" w:cs="Arial"/>
                <w:sz w:val="18"/>
                <w:szCs w:val="16"/>
              </w:rPr>
              <w:t>[%]</w:t>
            </w:r>
          </w:p>
        </w:tc>
        <w:tc>
          <w:tcPr>
            <w:tcW w:w="1134" w:type="dxa"/>
            <w:vAlign w:val="center"/>
          </w:tcPr>
          <w:p w14:paraId="27FFFD72" w14:textId="77777777" w:rsidR="0041456E" w:rsidRPr="00D550B6" w:rsidRDefault="0041456E" w:rsidP="0041456E">
            <w:pPr>
              <w:widowControl w:val="0"/>
              <w:spacing w:before="40" w:after="40"/>
              <w:jc w:val="right"/>
              <w:rPr>
                <w:rFonts w:ascii="Arial" w:hAnsi="Arial" w:cs="Arial"/>
                <w:sz w:val="18"/>
                <w:szCs w:val="18"/>
              </w:rPr>
            </w:pPr>
            <w:r>
              <w:rPr>
                <w:rFonts w:ascii="Arial" w:hAnsi="Arial" w:cs="Arial"/>
                <w:sz w:val="18"/>
                <w:szCs w:val="18"/>
              </w:rPr>
              <w:t>2,8</w:t>
            </w:r>
          </w:p>
        </w:tc>
      </w:tr>
      <w:tr w:rsidR="0041456E" w14:paraId="784D607B" w14:textId="77777777" w:rsidTr="0041456E">
        <w:trPr>
          <w:trHeight w:val="283"/>
        </w:trPr>
        <w:tc>
          <w:tcPr>
            <w:tcW w:w="3823" w:type="dxa"/>
          </w:tcPr>
          <w:p w14:paraId="0DA49965" w14:textId="77777777" w:rsidR="0041456E" w:rsidRPr="00A7575D" w:rsidRDefault="0041456E" w:rsidP="0041456E">
            <w:pPr>
              <w:widowControl w:val="0"/>
              <w:spacing w:before="40" w:after="40"/>
              <w:rPr>
                <w:rFonts w:ascii="Arial" w:hAnsi="Arial" w:cs="Arial"/>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Pr>
                <w:rFonts w:ascii="Arial" w:hAnsi="Arial" w:cs="Arial"/>
                <w:sz w:val="18"/>
                <w:szCs w:val="16"/>
              </w:rPr>
              <w:t>[</w:t>
            </w:r>
            <w:r w:rsidRPr="00A7575D">
              <w:rPr>
                <w:rFonts w:ascii="Arial" w:hAnsi="Arial" w:cs="Arial"/>
                <w:sz w:val="18"/>
                <w:szCs w:val="16"/>
              </w:rPr>
              <w:t>%-Pkt.</w:t>
            </w:r>
            <w:r>
              <w:rPr>
                <w:rFonts w:ascii="Arial" w:hAnsi="Arial" w:cs="Arial"/>
                <w:sz w:val="18"/>
                <w:szCs w:val="16"/>
              </w:rPr>
              <w:t>]</w:t>
            </w:r>
          </w:p>
        </w:tc>
        <w:tc>
          <w:tcPr>
            <w:tcW w:w="1134" w:type="dxa"/>
            <w:vAlign w:val="center"/>
          </w:tcPr>
          <w:p w14:paraId="7E9D6C36" w14:textId="77777777" w:rsidR="0041456E" w:rsidRPr="00D550B6" w:rsidRDefault="0041456E" w:rsidP="0041456E">
            <w:pPr>
              <w:widowControl w:val="0"/>
              <w:spacing w:before="40" w:after="40"/>
              <w:jc w:val="right"/>
              <w:rPr>
                <w:rFonts w:ascii="Arial" w:hAnsi="Arial" w:cs="Arial"/>
                <w:sz w:val="18"/>
                <w:szCs w:val="18"/>
              </w:rPr>
            </w:pPr>
            <w:r>
              <w:rPr>
                <w:rFonts w:ascii="Arial" w:hAnsi="Arial" w:cs="Arial"/>
                <w:sz w:val="18"/>
                <w:szCs w:val="18"/>
              </w:rPr>
              <w:t>-0,1</w:t>
            </w:r>
          </w:p>
        </w:tc>
      </w:tr>
      <w:tr w:rsidR="0041456E" w:rsidRPr="006F49D0" w14:paraId="34A5C0D7" w14:textId="77777777" w:rsidTr="0041456E">
        <w:trPr>
          <w:trHeight w:val="283"/>
        </w:trPr>
        <w:tc>
          <w:tcPr>
            <w:tcW w:w="3823" w:type="dxa"/>
          </w:tcPr>
          <w:p w14:paraId="4B7B3B1B" w14:textId="77777777" w:rsidR="0041456E" w:rsidRPr="004712BA" w:rsidRDefault="0041456E" w:rsidP="0041456E">
            <w:pPr>
              <w:widowControl w:val="0"/>
              <w:spacing w:before="40" w:after="40"/>
              <w:rPr>
                <w:rFonts w:ascii="Arial" w:hAnsi="Arial" w:cs="Arial"/>
                <w:b/>
                <w:sz w:val="18"/>
                <w:szCs w:val="16"/>
              </w:rPr>
            </w:pPr>
            <w:r w:rsidRPr="00A7575D">
              <w:rPr>
                <w:rFonts w:ascii="Arial" w:hAnsi="Arial" w:cs="Arial"/>
                <w:b/>
                <w:sz w:val="18"/>
                <w:szCs w:val="16"/>
              </w:rPr>
              <w:t xml:space="preserve">Netto-Spitzenrendite Logistik </w:t>
            </w:r>
            <w:r w:rsidRPr="00CF57DD">
              <w:rPr>
                <w:rFonts w:ascii="Arial" w:hAnsi="Arial" w:cs="Arial"/>
                <w:sz w:val="18"/>
                <w:szCs w:val="16"/>
              </w:rPr>
              <w:t>[%]</w:t>
            </w:r>
          </w:p>
        </w:tc>
        <w:tc>
          <w:tcPr>
            <w:tcW w:w="1134" w:type="dxa"/>
            <w:vAlign w:val="center"/>
          </w:tcPr>
          <w:p w14:paraId="51974E5A" w14:textId="77777777" w:rsidR="0041456E" w:rsidRPr="001C4C33" w:rsidRDefault="0041456E" w:rsidP="0041456E">
            <w:pPr>
              <w:widowControl w:val="0"/>
              <w:spacing w:before="40" w:after="40"/>
              <w:jc w:val="right"/>
              <w:rPr>
                <w:rFonts w:ascii="Arial" w:hAnsi="Arial" w:cs="Arial"/>
                <w:sz w:val="18"/>
                <w:szCs w:val="18"/>
              </w:rPr>
            </w:pPr>
            <w:r>
              <w:rPr>
                <w:rFonts w:ascii="Arial" w:hAnsi="Arial" w:cs="Arial"/>
                <w:sz w:val="18"/>
                <w:szCs w:val="18"/>
              </w:rPr>
              <w:t>3,8</w:t>
            </w:r>
          </w:p>
        </w:tc>
      </w:tr>
      <w:tr w:rsidR="0041456E" w14:paraId="6AE88939" w14:textId="77777777" w:rsidTr="0041456E">
        <w:trPr>
          <w:trHeight w:val="283"/>
        </w:trPr>
        <w:tc>
          <w:tcPr>
            <w:tcW w:w="3823" w:type="dxa"/>
          </w:tcPr>
          <w:p w14:paraId="55E3D265" w14:textId="77777777" w:rsidR="0041456E" w:rsidRPr="00A7575D" w:rsidRDefault="0041456E" w:rsidP="0041456E">
            <w:pPr>
              <w:widowControl w:val="0"/>
              <w:spacing w:before="40" w:after="40"/>
              <w:rPr>
                <w:rFonts w:ascii="Arial" w:hAnsi="Arial" w:cs="Arial"/>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Pr>
                <w:rFonts w:ascii="Arial" w:hAnsi="Arial" w:cs="Arial"/>
                <w:sz w:val="18"/>
                <w:szCs w:val="16"/>
              </w:rPr>
              <w:t>[</w:t>
            </w:r>
            <w:r w:rsidRPr="00A7575D">
              <w:rPr>
                <w:rFonts w:ascii="Arial" w:hAnsi="Arial" w:cs="Arial"/>
                <w:sz w:val="18"/>
                <w:szCs w:val="16"/>
              </w:rPr>
              <w:t>%-Pkt.</w:t>
            </w:r>
            <w:r>
              <w:rPr>
                <w:rFonts w:ascii="Arial" w:hAnsi="Arial" w:cs="Arial"/>
                <w:sz w:val="18"/>
                <w:szCs w:val="16"/>
              </w:rPr>
              <w:t>]</w:t>
            </w:r>
          </w:p>
        </w:tc>
        <w:tc>
          <w:tcPr>
            <w:tcW w:w="1134" w:type="dxa"/>
            <w:vAlign w:val="center"/>
          </w:tcPr>
          <w:p w14:paraId="200B41D0" w14:textId="77777777" w:rsidR="0041456E" w:rsidRPr="001C4C33" w:rsidRDefault="0041456E" w:rsidP="0041456E">
            <w:pPr>
              <w:widowControl w:val="0"/>
              <w:spacing w:before="40" w:after="40"/>
              <w:jc w:val="right"/>
              <w:rPr>
                <w:rFonts w:ascii="Arial" w:hAnsi="Arial" w:cs="Arial"/>
                <w:sz w:val="18"/>
                <w:szCs w:val="18"/>
              </w:rPr>
            </w:pPr>
            <w:r>
              <w:rPr>
                <w:rFonts w:ascii="Arial" w:hAnsi="Arial" w:cs="Arial"/>
                <w:sz w:val="18"/>
                <w:szCs w:val="18"/>
              </w:rPr>
              <w:t>-0,4</w:t>
            </w:r>
          </w:p>
        </w:tc>
      </w:tr>
      <w:tr w:rsidR="0041456E" w:rsidRPr="006F49D0" w14:paraId="065A5B4D" w14:textId="77777777" w:rsidTr="0041456E">
        <w:trPr>
          <w:trHeight w:val="283"/>
        </w:trPr>
        <w:tc>
          <w:tcPr>
            <w:tcW w:w="3823" w:type="dxa"/>
            <w:tcBorders>
              <w:bottom w:val="single" w:sz="4" w:space="0" w:color="auto"/>
            </w:tcBorders>
          </w:tcPr>
          <w:p w14:paraId="75E5468A" w14:textId="77777777" w:rsidR="0041456E" w:rsidRPr="004712BA" w:rsidRDefault="0041456E" w:rsidP="0041456E">
            <w:pPr>
              <w:widowControl w:val="0"/>
              <w:spacing w:before="40" w:after="40"/>
              <w:rPr>
                <w:rFonts w:ascii="Arial" w:hAnsi="Arial" w:cs="Arial"/>
                <w:b/>
                <w:sz w:val="18"/>
                <w:szCs w:val="16"/>
              </w:rPr>
            </w:pPr>
            <w:r w:rsidRPr="004712BA">
              <w:rPr>
                <w:rFonts w:ascii="Arial" w:hAnsi="Arial" w:cs="Arial"/>
                <w:b/>
                <w:sz w:val="18"/>
                <w:szCs w:val="16"/>
              </w:rPr>
              <w:t>Stärkste</w:t>
            </w:r>
            <w:r>
              <w:rPr>
                <w:rFonts w:ascii="Arial" w:hAnsi="Arial" w:cs="Arial"/>
                <w:b/>
                <w:sz w:val="18"/>
                <w:szCs w:val="16"/>
              </w:rPr>
              <w:t xml:space="preserve"> </w:t>
            </w:r>
            <w:proofErr w:type="spellStart"/>
            <w:r w:rsidRPr="004712BA">
              <w:rPr>
                <w:rFonts w:ascii="Arial" w:hAnsi="Arial" w:cs="Arial"/>
                <w:b/>
                <w:sz w:val="18"/>
                <w:szCs w:val="16"/>
              </w:rPr>
              <w:t>Assetklasse</w:t>
            </w:r>
            <w:proofErr w:type="spellEnd"/>
          </w:p>
        </w:tc>
        <w:tc>
          <w:tcPr>
            <w:tcW w:w="1134" w:type="dxa"/>
            <w:tcBorders>
              <w:bottom w:val="single" w:sz="4" w:space="0" w:color="auto"/>
            </w:tcBorders>
            <w:vAlign w:val="center"/>
          </w:tcPr>
          <w:p w14:paraId="77D01FA1" w14:textId="77777777" w:rsidR="0041456E" w:rsidRPr="00D550B6" w:rsidRDefault="0041456E" w:rsidP="0041456E">
            <w:pPr>
              <w:widowControl w:val="0"/>
              <w:spacing w:before="40" w:after="40"/>
              <w:jc w:val="right"/>
              <w:rPr>
                <w:rFonts w:ascii="Arial" w:hAnsi="Arial" w:cs="Arial"/>
                <w:sz w:val="18"/>
                <w:szCs w:val="18"/>
              </w:rPr>
            </w:pPr>
            <w:r>
              <w:rPr>
                <w:rFonts w:ascii="Arial" w:hAnsi="Arial" w:cs="Arial"/>
                <w:sz w:val="18"/>
                <w:szCs w:val="18"/>
              </w:rPr>
              <w:t>Büro</w:t>
            </w:r>
          </w:p>
        </w:tc>
      </w:tr>
      <w:tr w:rsidR="0041456E" w:rsidRPr="006F49D0" w14:paraId="0799C93E" w14:textId="77777777" w:rsidTr="0041456E">
        <w:trPr>
          <w:trHeight w:val="283"/>
        </w:trPr>
        <w:tc>
          <w:tcPr>
            <w:tcW w:w="3823" w:type="dxa"/>
            <w:tcBorders>
              <w:bottom w:val="single" w:sz="4" w:space="0" w:color="auto"/>
            </w:tcBorders>
          </w:tcPr>
          <w:p w14:paraId="536D5D88" w14:textId="77777777" w:rsidR="0041456E" w:rsidRPr="004712BA" w:rsidRDefault="0041456E" w:rsidP="0041456E">
            <w:pPr>
              <w:widowControl w:val="0"/>
              <w:spacing w:before="40" w:after="40"/>
              <w:rPr>
                <w:rFonts w:ascii="Arial" w:hAnsi="Arial" w:cs="Arial"/>
                <w:b/>
                <w:sz w:val="18"/>
                <w:szCs w:val="16"/>
              </w:rPr>
            </w:pPr>
            <w:r w:rsidRPr="004712BA">
              <w:rPr>
                <w:rFonts w:ascii="Arial" w:hAnsi="Arial" w:cs="Arial"/>
                <w:b/>
                <w:sz w:val="18"/>
                <w:szCs w:val="16"/>
              </w:rPr>
              <w:t>Stärkste</w:t>
            </w:r>
            <w:r>
              <w:rPr>
                <w:rFonts w:ascii="Arial" w:hAnsi="Arial" w:cs="Arial"/>
                <w:b/>
                <w:sz w:val="18"/>
                <w:szCs w:val="16"/>
              </w:rPr>
              <w:t xml:space="preserve"> </w:t>
            </w:r>
            <w:proofErr w:type="spellStart"/>
            <w:r w:rsidRPr="004712BA">
              <w:rPr>
                <w:rFonts w:ascii="Arial" w:hAnsi="Arial" w:cs="Arial"/>
                <w:b/>
                <w:sz w:val="18"/>
                <w:szCs w:val="16"/>
              </w:rPr>
              <w:t>Assetklasse</w:t>
            </w:r>
            <w:proofErr w:type="spellEnd"/>
            <w:r w:rsidRPr="004712BA">
              <w:rPr>
                <w:rFonts w:ascii="Arial" w:hAnsi="Arial" w:cs="Arial"/>
                <w:b/>
                <w:sz w:val="18"/>
                <w:szCs w:val="16"/>
              </w:rPr>
              <w:t xml:space="preserve"> </w:t>
            </w:r>
            <w:r w:rsidRPr="00CF57DD">
              <w:rPr>
                <w:rFonts w:ascii="Arial" w:hAnsi="Arial" w:cs="Arial"/>
                <w:sz w:val="18"/>
                <w:szCs w:val="16"/>
              </w:rPr>
              <w:t>[%]</w:t>
            </w:r>
          </w:p>
        </w:tc>
        <w:tc>
          <w:tcPr>
            <w:tcW w:w="1134" w:type="dxa"/>
            <w:tcBorders>
              <w:bottom w:val="single" w:sz="4" w:space="0" w:color="auto"/>
            </w:tcBorders>
            <w:vAlign w:val="center"/>
          </w:tcPr>
          <w:p w14:paraId="25AA0BF7" w14:textId="77777777" w:rsidR="0041456E" w:rsidRPr="00D550B6" w:rsidRDefault="0041456E" w:rsidP="0041456E">
            <w:pPr>
              <w:widowControl w:val="0"/>
              <w:spacing w:before="40" w:after="40"/>
              <w:jc w:val="right"/>
              <w:rPr>
                <w:rFonts w:ascii="Arial" w:hAnsi="Arial" w:cs="Arial"/>
                <w:sz w:val="18"/>
                <w:szCs w:val="18"/>
              </w:rPr>
            </w:pPr>
            <w:r>
              <w:rPr>
                <w:rFonts w:ascii="Arial" w:hAnsi="Arial" w:cs="Arial"/>
                <w:sz w:val="18"/>
                <w:szCs w:val="18"/>
              </w:rPr>
              <w:t>68</w:t>
            </w:r>
          </w:p>
        </w:tc>
      </w:tr>
    </w:tbl>
    <w:p w14:paraId="3A6BB63F" w14:textId="1665B950" w:rsidR="000A5ED1" w:rsidRPr="0041456E" w:rsidRDefault="00D13AAA" w:rsidP="0041456E">
      <w:pPr>
        <w:spacing w:after="0" w:line="360" w:lineRule="auto"/>
        <w:textAlignment w:val="baseline"/>
        <w:rPr>
          <w:rFonts w:ascii="Arial" w:hAnsi="Arial" w:cs="Arial"/>
          <w:sz w:val="20"/>
          <w:szCs w:val="20"/>
        </w:rPr>
      </w:pPr>
      <w:r>
        <w:rPr>
          <w:noProof/>
        </w:rPr>
        <w:pict w14:anchorId="09E33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95pt;margin-top:427.5pt;width:246.35pt;height:181.5pt;z-index:251659264;mso-position-horizontal-relative:margin;mso-position-vertical-relative:margin" stroked="t" strokecolor="black [3213]">
            <v:imagedata r:id="rId8" o:title="Investmentmarkt Berlin_1Q2020_de"/>
            <w10:wrap type="square" anchorx="margin" anchory="margin"/>
          </v:shape>
        </w:pict>
      </w:r>
    </w:p>
    <w:p w14:paraId="7D4644CD" w14:textId="20A4215F" w:rsidR="007770CD" w:rsidRDefault="007770CD" w:rsidP="000A5ED1">
      <w:pPr>
        <w:spacing w:after="0"/>
        <w:rPr>
          <w:rFonts w:ascii="Arial" w:hAnsi="Arial" w:cs="Arial"/>
          <w:b/>
          <w:sz w:val="20"/>
          <w:szCs w:val="20"/>
        </w:rPr>
      </w:pPr>
    </w:p>
    <w:p w14:paraId="09B897F0" w14:textId="7424FB69" w:rsidR="00AA20ED" w:rsidRDefault="00AA20ED" w:rsidP="000A5ED1">
      <w:pPr>
        <w:spacing w:after="0"/>
        <w:rPr>
          <w:rFonts w:ascii="Arial" w:hAnsi="Arial" w:cs="Arial"/>
          <w:b/>
          <w:sz w:val="20"/>
          <w:szCs w:val="20"/>
        </w:rPr>
      </w:pPr>
    </w:p>
    <w:p w14:paraId="62C52479" w14:textId="77777777" w:rsidR="00AA20ED" w:rsidRDefault="00AA20ED" w:rsidP="000A5ED1">
      <w:pPr>
        <w:spacing w:after="0"/>
        <w:rPr>
          <w:rFonts w:ascii="Arial" w:hAnsi="Arial" w:cs="Arial"/>
          <w:b/>
          <w:sz w:val="20"/>
          <w:szCs w:val="20"/>
        </w:rPr>
      </w:pPr>
    </w:p>
    <w:p w14:paraId="3E677D4E" w14:textId="2E501DAA" w:rsidR="001871BC" w:rsidRDefault="00713D81" w:rsidP="000A5ED1">
      <w:pPr>
        <w:spacing w:after="0"/>
        <w:rPr>
          <w:rFonts w:ascii="Arial" w:eastAsia="Arial" w:hAnsi="Arial" w:cs="Arial"/>
          <w:color w:val="000000" w:themeColor="text1"/>
          <w:sz w:val="20"/>
          <w:szCs w:val="20"/>
        </w:rPr>
      </w:pPr>
      <w:r>
        <w:rPr>
          <w:rFonts w:ascii="Arial" w:hAnsi="Arial" w:cs="Arial"/>
          <w:b/>
          <w:sz w:val="20"/>
          <w:szCs w:val="20"/>
        </w:rPr>
        <w:t>Ausgewählte</w:t>
      </w:r>
      <w:r w:rsidR="004C4111">
        <w:rPr>
          <w:rFonts w:ascii="Arial" w:hAnsi="Arial" w:cs="Arial"/>
          <w:b/>
          <w:sz w:val="20"/>
          <w:szCs w:val="20"/>
        </w:rPr>
        <w:t xml:space="preserve"> Top-</w:t>
      </w:r>
      <w:r>
        <w:rPr>
          <w:rFonts w:ascii="Arial" w:hAnsi="Arial" w:cs="Arial"/>
          <w:b/>
          <w:sz w:val="20"/>
          <w:szCs w:val="20"/>
        </w:rPr>
        <w:t>Transaktionen</w:t>
      </w:r>
      <w:r w:rsidR="004C63A9">
        <w:rPr>
          <w:rFonts w:ascii="Arial" w:hAnsi="Arial" w:cs="Arial"/>
          <w:b/>
          <w:sz w:val="20"/>
          <w:szCs w:val="20"/>
        </w:rPr>
        <w:t xml:space="preserve"> | Investmentmarkt Berlin | </w:t>
      </w:r>
      <w:r w:rsidR="00A71F24">
        <w:rPr>
          <w:rFonts w:ascii="Arial" w:hAnsi="Arial" w:cs="Arial"/>
          <w:b/>
          <w:sz w:val="20"/>
          <w:szCs w:val="20"/>
        </w:rPr>
        <w:t>1</w:t>
      </w:r>
      <w:r w:rsidR="000D000B">
        <w:rPr>
          <w:rFonts w:ascii="Arial" w:hAnsi="Arial" w:cs="Arial"/>
          <w:b/>
          <w:sz w:val="20"/>
          <w:szCs w:val="20"/>
        </w:rPr>
        <w:t>. Quartal 2020</w:t>
      </w: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263"/>
        <w:gridCol w:w="1276"/>
        <w:gridCol w:w="992"/>
        <w:gridCol w:w="2127"/>
        <w:gridCol w:w="1842"/>
        <w:gridCol w:w="1276"/>
      </w:tblGrid>
      <w:tr w:rsidR="00713D81" w:rsidRPr="006F49D0" w14:paraId="3881C746" w14:textId="77777777" w:rsidTr="00B470B1">
        <w:trPr>
          <w:trHeight w:val="567"/>
        </w:trPr>
        <w:tc>
          <w:tcPr>
            <w:tcW w:w="2263" w:type="dxa"/>
            <w:shd w:val="clear" w:color="auto" w:fill="1F242B" w:themeFill="accent2"/>
            <w:vAlign w:val="center"/>
          </w:tcPr>
          <w:p w14:paraId="2D3315CD" w14:textId="77777777" w:rsidR="00713D81" w:rsidRDefault="00713D81" w:rsidP="00713D81">
            <w:pPr>
              <w:spacing w:after="0"/>
              <w:rPr>
                <w:rFonts w:ascii="Arial" w:hAnsi="Arial" w:cs="Arial"/>
                <w:b/>
                <w:sz w:val="18"/>
                <w:szCs w:val="16"/>
              </w:rPr>
            </w:pPr>
            <w:r w:rsidRPr="009F10F1">
              <w:rPr>
                <w:rFonts w:ascii="Arial" w:hAnsi="Arial" w:cs="Arial"/>
                <w:b/>
                <w:sz w:val="18"/>
                <w:szCs w:val="16"/>
              </w:rPr>
              <w:t>Projekt/Objekt</w:t>
            </w:r>
          </w:p>
          <w:p w14:paraId="1BD8284D" w14:textId="77777777" w:rsidR="00713D81" w:rsidRPr="00C626E7" w:rsidRDefault="00713D81" w:rsidP="00713D81">
            <w:pPr>
              <w:spacing w:after="0"/>
              <w:rPr>
                <w:rFonts w:ascii="Arial" w:hAnsi="Arial" w:cs="Arial"/>
                <w:b/>
                <w:sz w:val="18"/>
                <w:szCs w:val="16"/>
              </w:rPr>
            </w:pPr>
            <w:r>
              <w:rPr>
                <w:rFonts w:ascii="Arial" w:hAnsi="Arial" w:cs="Arial"/>
                <w:b/>
                <w:sz w:val="18"/>
                <w:szCs w:val="16"/>
              </w:rPr>
              <w:t xml:space="preserve">Straße Nr. </w:t>
            </w:r>
          </w:p>
        </w:tc>
        <w:tc>
          <w:tcPr>
            <w:tcW w:w="1276" w:type="dxa"/>
            <w:shd w:val="clear" w:color="auto" w:fill="1F242B" w:themeFill="accent2"/>
          </w:tcPr>
          <w:p w14:paraId="4E8EC8BF" w14:textId="77777777" w:rsidR="00713D81" w:rsidRPr="009F10F1" w:rsidRDefault="00713D81" w:rsidP="00713D81">
            <w:pPr>
              <w:widowControl w:val="0"/>
              <w:spacing w:before="60" w:afterLines="60" w:after="144"/>
              <w:rPr>
                <w:rFonts w:ascii="Arial" w:hAnsi="Arial" w:cs="Arial"/>
                <w:b/>
                <w:sz w:val="18"/>
                <w:szCs w:val="16"/>
              </w:rPr>
            </w:pPr>
            <w:r>
              <w:rPr>
                <w:rFonts w:ascii="Arial" w:hAnsi="Arial" w:cs="Arial"/>
                <w:b/>
                <w:sz w:val="18"/>
                <w:szCs w:val="16"/>
              </w:rPr>
              <w:t>Teilmarkt</w:t>
            </w:r>
          </w:p>
        </w:tc>
        <w:tc>
          <w:tcPr>
            <w:tcW w:w="992" w:type="dxa"/>
            <w:shd w:val="clear" w:color="auto" w:fill="1F242B" w:themeFill="accent2"/>
          </w:tcPr>
          <w:p w14:paraId="56B818C2" w14:textId="77777777" w:rsidR="00713D81" w:rsidRPr="009F10F1" w:rsidRDefault="00713D81" w:rsidP="00713D81">
            <w:pPr>
              <w:widowControl w:val="0"/>
              <w:spacing w:before="60" w:afterLines="60" w:after="144"/>
              <w:rPr>
                <w:rFonts w:ascii="Arial" w:hAnsi="Arial" w:cs="Arial"/>
                <w:b/>
                <w:sz w:val="18"/>
                <w:szCs w:val="16"/>
              </w:rPr>
            </w:pPr>
            <w:r>
              <w:rPr>
                <w:rFonts w:ascii="Arial" w:hAnsi="Arial" w:cs="Arial"/>
                <w:b/>
                <w:sz w:val="18"/>
                <w:szCs w:val="16"/>
              </w:rPr>
              <w:t>Asset-klasse</w:t>
            </w:r>
          </w:p>
        </w:tc>
        <w:tc>
          <w:tcPr>
            <w:tcW w:w="2127" w:type="dxa"/>
            <w:shd w:val="clear" w:color="auto" w:fill="1F242B" w:themeFill="accent2"/>
            <w:vAlign w:val="center"/>
          </w:tcPr>
          <w:p w14:paraId="6F9AAE5A" w14:textId="77777777" w:rsidR="00713D81" w:rsidRPr="009F10F1" w:rsidRDefault="00713D81" w:rsidP="00713D81">
            <w:pPr>
              <w:widowControl w:val="0"/>
              <w:spacing w:before="60" w:afterLines="60" w:after="144"/>
              <w:rPr>
                <w:rFonts w:ascii="Arial" w:hAnsi="Arial" w:cs="Arial"/>
                <w:b/>
                <w:sz w:val="18"/>
                <w:szCs w:val="16"/>
              </w:rPr>
            </w:pPr>
            <w:r w:rsidRPr="009F10F1">
              <w:rPr>
                <w:rFonts w:ascii="Arial" w:hAnsi="Arial" w:cs="Arial"/>
                <w:b/>
                <w:sz w:val="18"/>
                <w:szCs w:val="16"/>
              </w:rPr>
              <w:t>Käufer</w:t>
            </w:r>
          </w:p>
        </w:tc>
        <w:tc>
          <w:tcPr>
            <w:tcW w:w="1842" w:type="dxa"/>
            <w:shd w:val="clear" w:color="auto" w:fill="1F242B" w:themeFill="accent2"/>
            <w:vAlign w:val="center"/>
          </w:tcPr>
          <w:p w14:paraId="1C1FB7C5" w14:textId="77777777" w:rsidR="00713D81" w:rsidRPr="009F10F1" w:rsidRDefault="00713D81" w:rsidP="00713D81">
            <w:pPr>
              <w:widowControl w:val="0"/>
              <w:spacing w:before="60" w:afterLines="60" w:after="144"/>
              <w:rPr>
                <w:rFonts w:ascii="Arial" w:hAnsi="Arial" w:cs="Arial"/>
                <w:b/>
                <w:sz w:val="18"/>
                <w:szCs w:val="16"/>
              </w:rPr>
            </w:pPr>
            <w:r w:rsidRPr="009F10F1">
              <w:rPr>
                <w:rFonts w:ascii="Arial" w:hAnsi="Arial" w:cs="Arial"/>
                <w:b/>
                <w:sz w:val="18"/>
                <w:szCs w:val="16"/>
              </w:rPr>
              <w:t>Verkäufer</w:t>
            </w:r>
          </w:p>
        </w:tc>
        <w:tc>
          <w:tcPr>
            <w:tcW w:w="1276" w:type="dxa"/>
            <w:shd w:val="clear" w:color="auto" w:fill="1F242B" w:themeFill="accent2"/>
            <w:vAlign w:val="center"/>
          </w:tcPr>
          <w:p w14:paraId="07D9CAD3" w14:textId="77777777" w:rsidR="00713D81" w:rsidRPr="009F10F1" w:rsidRDefault="00713D81" w:rsidP="00713D81">
            <w:pPr>
              <w:widowControl w:val="0"/>
              <w:spacing w:before="60" w:after="0"/>
              <w:jc w:val="right"/>
              <w:rPr>
                <w:rFonts w:ascii="Arial" w:hAnsi="Arial" w:cs="Arial"/>
                <w:b/>
                <w:sz w:val="18"/>
                <w:szCs w:val="16"/>
              </w:rPr>
            </w:pPr>
            <w:r>
              <w:rPr>
                <w:rFonts w:ascii="Arial" w:hAnsi="Arial" w:cs="Arial"/>
                <w:b/>
                <w:sz w:val="18"/>
                <w:szCs w:val="16"/>
              </w:rPr>
              <w:t>Kaufpreis*</w:t>
            </w:r>
          </w:p>
          <w:p w14:paraId="4946B45A" w14:textId="77777777" w:rsidR="00713D81" w:rsidRPr="009F10F1" w:rsidRDefault="00713D81" w:rsidP="00713D81">
            <w:pPr>
              <w:widowControl w:val="0"/>
              <w:spacing w:before="60" w:after="0"/>
              <w:jc w:val="right"/>
              <w:rPr>
                <w:rFonts w:ascii="Arial" w:hAnsi="Arial" w:cs="Arial"/>
                <w:b/>
                <w:sz w:val="18"/>
                <w:szCs w:val="16"/>
              </w:rPr>
            </w:pPr>
            <w:r>
              <w:rPr>
                <w:rFonts w:ascii="Arial" w:hAnsi="Arial" w:cs="Arial"/>
                <w:sz w:val="18"/>
                <w:szCs w:val="16"/>
              </w:rPr>
              <w:t>[ca. Mio. €]</w:t>
            </w:r>
          </w:p>
        </w:tc>
      </w:tr>
      <w:tr w:rsidR="00C05974" w:rsidRPr="006F49D0" w14:paraId="0B564638" w14:textId="77777777" w:rsidTr="00B470B1">
        <w:trPr>
          <w:trHeight w:val="567"/>
        </w:trPr>
        <w:tc>
          <w:tcPr>
            <w:tcW w:w="2263" w:type="dxa"/>
            <w:shd w:val="clear" w:color="auto" w:fill="FFFFFF" w:themeFill="background1"/>
            <w:vAlign w:val="center"/>
          </w:tcPr>
          <w:p w14:paraId="0E6078DB" w14:textId="4ED52B85" w:rsidR="00BF539F" w:rsidRPr="009F10F1" w:rsidRDefault="00B470B1" w:rsidP="00102BA7">
            <w:pPr>
              <w:widowControl w:val="0"/>
              <w:spacing w:after="0"/>
              <w:rPr>
                <w:rFonts w:ascii="Arial" w:hAnsi="Arial" w:cs="Arial"/>
                <w:sz w:val="18"/>
                <w:szCs w:val="16"/>
              </w:rPr>
            </w:pPr>
            <w:r>
              <w:rPr>
                <w:rFonts w:ascii="Arial" w:hAnsi="Arial" w:cs="Arial"/>
                <w:sz w:val="18"/>
                <w:szCs w:val="16"/>
              </w:rPr>
              <w:t>„Enter“</w:t>
            </w:r>
          </w:p>
        </w:tc>
        <w:tc>
          <w:tcPr>
            <w:tcW w:w="1276" w:type="dxa"/>
            <w:shd w:val="clear" w:color="auto" w:fill="FFFFFF" w:themeFill="background1"/>
            <w:vAlign w:val="center"/>
          </w:tcPr>
          <w:p w14:paraId="26092AC0" w14:textId="6580F581" w:rsidR="00102BA7" w:rsidRPr="009F10F1" w:rsidRDefault="00810D6D" w:rsidP="00102BA7">
            <w:pPr>
              <w:widowControl w:val="0"/>
              <w:spacing w:after="0"/>
              <w:rPr>
                <w:rFonts w:ascii="Arial" w:hAnsi="Arial" w:cs="Arial"/>
                <w:sz w:val="18"/>
                <w:szCs w:val="16"/>
              </w:rPr>
            </w:pPr>
            <w:r>
              <w:rPr>
                <w:rFonts w:ascii="Arial" w:hAnsi="Arial" w:cs="Arial"/>
                <w:sz w:val="18"/>
                <w:szCs w:val="16"/>
              </w:rPr>
              <w:t>Peripherie-Nord</w:t>
            </w:r>
          </w:p>
        </w:tc>
        <w:tc>
          <w:tcPr>
            <w:tcW w:w="992" w:type="dxa"/>
            <w:shd w:val="clear" w:color="auto" w:fill="FFFFFF" w:themeFill="background1"/>
            <w:vAlign w:val="center"/>
          </w:tcPr>
          <w:p w14:paraId="48B9BC46" w14:textId="0C794483" w:rsidR="00102BA7" w:rsidRPr="009F10F1" w:rsidRDefault="00B470B1" w:rsidP="00102BA7">
            <w:pPr>
              <w:widowControl w:val="0"/>
              <w:spacing w:after="0"/>
              <w:rPr>
                <w:rFonts w:ascii="Arial" w:hAnsi="Arial" w:cs="Arial"/>
                <w:sz w:val="18"/>
                <w:szCs w:val="16"/>
              </w:rPr>
            </w:pPr>
            <w:r>
              <w:rPr>
                <w:rFonts w:ascii="Arial" w:hAnsi="Arial" w:cs="Arial"/>
                <w:sz w:val="18"/>
                <w:szCs w:val="16"/>
              </w:rPr>
              <w:t>Büro</w:t>
            </w:r>
          </w:p>
        </w:tc>
        <w:tc>
          <w:tcPr>
            <w:tcW w:w="2127" w:type="dxa"/>
            <w:shd w:val="clear" w:color="auto" w:fill="FFFFFF" w:themeFill="background1"/>
            <w:vAlign w:val="center"/>
          </w:tcPr>
          <w:p w14:paraId="1878AFEF" w14:textId="6D480AB1" w:rsidR="00102BA7" w:rsidRPr="009F10F1" w:rsidRDefault="00B470B1" w:rsidP="00102BA7">
            <w:pPr>
              <w:widowControl w:val="0"/>
              <w:spacing w:after="0"/>
              <w:rPr>
                <w:rFonts w:ascii="Arial" w:hAnsi="Arial" w:cs="Arial"/>
                <w:sz w:val="18"/>
                <w:szCs w:val="16"/>
              </w:rPr>
            </w:pPr>
            <w:r>
              <w:rPr>
                <w:rFonts w:ascii="Arial" w:hAnsi="Arial" w:cs="Arial"/>
                <w:sz w:val="18"/>
                <w:szCs w:val="16"/>
              </w:rPr>
              <w:t>DEKA Immobilien</w:t>
            </w:r>
          </w:p>
        </w:tc>
        <w:tc>
          <w:tcPr>
            <w:tcW w:w="1842" w:type="dxa"/>
            <w:shd w:val="clear" w:color="auto" w:fill="FFFFFF" w:themeFill="background1"/>
            <w:vAlign w:val="center"/>
          </w:tcPr>
          <w:p w14:paraId="690229E1" w14:textId="4403241E" w:rsidR="00102BA7" w:rsidRPr="009F10F1" w:rsidRDefault="00B470B1" w:rsidP="00102BA7">
            <w:pPr>
              <w:widowControl w:val="0"/>
              <w:spacing w:after="0"/>
              <w:rPr>
                <w:rFonts w:ascii="Arial" w:hAnsi="Arial" w:cs="Arial"/>
                <w:sz w:val="18"/>
                <w:szCs w:val="16"/>
              </w:rPr>
            </w:pPr>
            <w:proofErr w:type="spellStart"/>
            <w:r>
              <w:rPr>
                <w:rFonts w:ascii="Arial" w:hAnsi="Arial" w:cs="Arial"/>
                <w:sz w:val="18"/>
                <w:szCs w:val="16"/>
              </w:rPr>
              <w:t>Townscape</w:t>
            </w:r>
            <w:proofErr w:type="spellEnd"/>
            <w:r>
              <w:rPr>
                <w:rFonts w:ascii="Arial" w:hAnsi="Arial" w:cs="Arial"/>
                <w:sz w:val="18"/>
                <w:szCs w:val="16"/>
              </w:rPr>
              <w:t xml:space="preserve"> </w:t>
            </w:r>
            <w:proofErr w:type="spellStart"/>
            <w:r>
              <w:rPr>
                <w:rFonts w:ascii="Arial" w:hAnsi="Arial" w:cs="Arial"/>
                <w:sz w:val="18"/>
                <w:szCs w:val="16"/>
              </w:rPr>
              <w:t>One</w:t>
            </w:r>
            <w:proofErr w:type="spellEnd"/>
          </w:p>
        </w:tc>
        <w:tc>
          <w:tcPr>
            <w:tcW w:w="1276" w:type="dxa"/>
            <w:shd w:val="clear" w:color="auto" w:fill="FFFFFF" w:themeFill="background1"/>
            <w:vAlign w:val="center"/>
          </w:tcPr>
          <w:p w14:paraId="130D9693" w14:textId="51482195" w:rsidR="00102BA7" w:rsidRPr="009F10F1" w:rsidRDefault="00B470B1" w:rsidP="00102BA7">
            <w:pPr>
              <w:widowControl w:val="0"/>
              <w:spacing w:after="0"/>
              <w:jc w:val="right"/>
              <w:rPr>
                <w:rFonts w:ascii="Arial" w:hAnsi="Arial" w:cs="Arial"/>
                <w:sz w:val="18"/>
                <w:szCs w:val="16"/>
              </w:rPr>
            </w:pPr>
            <w:r>
              <w:rPr>
                <w:rFonts w:ascii="Arial" w:hAnsi="Arial" w:cs="Arial"/>
                <w:sz w:val="18"/>
                <w:szCs w:val="16"/>
              </w:rPr>
              <w:t>120</w:t>
            </w:r>
          </w:p>
        </w:tc>
      </w:tr>
      <w:tr w:rsidR="00D90EF0" w:rsidRPr="00797E2F" w14:paraId="6C639CEA" w14:textId="77777777" w:rsidTr="00B470B1">
        <w:trPr>
          <w:trHeight w:val="64"/>
        </w:trPr>
        <w:tc>
          <w:tcPr>
            <w:tcW w:w="2263" w:type="dxa"/>
            <w:tcBorders>
              <w:bottom w:val="single" w:sz="4" w:space="0" w:color="auto"/>
            </w:tcBorders>
            <w:shd w:val="clear" w:color="auto" w:fill="808080" w:themeFill="background1" w:themeFillShade="80"/>
            <w:vAlign w:val="center"/>
          </w:tcPr>
          <w:p w14:paraId="514683FC" w14:textId="77777777" w:rsidR="00D90EF0" w:rsidRDefault="00D90EF0" w:rsidP="00591461">
            <w:pPr>
              <w:widowControl w:val="0"/>
              <w:spacing w:after="0"/>
              <w:rPr>
                <w:rFonts w:ascii="Arial" w:hAnsi="Arial" w:cs="Arial"/>
                <w:sz w:val="18"/>
                <w:szCs w:val="16"/>
              </w:rPr>
            </w:pPr>
          </w:p>
        </w:tc>
        <w:tc>
          <w:tcPr>
            <w:tcW w:w="1276" w:type="dxa"/>
            <w:tcBorders>
              <w:bottom w:val="single" w:sz="4" w:space="0" w:color="auto"/>
            </w:tcBorders>
            <w:shd w:val="clear" w:color="auto" w:fill="808080" w:themeFill="background1" w:themeFillShade="80"/>
            <w:vAlign w:val="center"/>
          </w:tcPr>
          <w:p w14:paraId="19423763" w14:textId="77777777" w:rsidR="00D90EF0" w:rsidRDefault="00D90EF0" w:rsidP="00C05974">
            <w:pPr>
              <w:widowControl w:val="0"/>
              <w:spacing w:after="0"/>
              <w:rPr>
                <w:rFonts w:ascii="Arial" w:hAnsi="Arial" w:cs="Arial"/>
                <w:sz w:val="18"/>
                <w:szCs w:val="16"/>
              </w:rPr>
            </w:pPr>
          </w:p>
        </w:tc>
        <w:tc>
          <w:tcPr>
            <w:tcW w:w="992" w:type="dxa"/>
            <w:tcBorders>
              <w:bottom w:val="single" w:sz="4" w:space="0" w:color="auto"/>
            </w:tcBorders>
            <w:shd w:val="clear" w:color="auto" w:fill="808080" w:themeFill="background1" w:themeFillShade="80"/>
            <w:vAlign w:val="center"/>
          </w:tcPr>
          <w:p w14:paraId="1C538677" w14:textId="77777777" w:rsidR="00D90EF0" w:rsidRDefault="00D90EF0" w:rsidP="00C05974">
            <w:pPr>
              <w:widowControl w:val="0"/>
              <w:spacing w:after="0"/>
              <w:rPr>
                <w:rFonts w:ascii="Arial" w:hAnsi="Arial" w:cs="Arial"/>
                <w:sz w:val="18"/>
                <w:szCs w:val="16"/>
                <w:lang w:val="en-US"/>
              </w:rPr>
            </w:pPr>
          </w:p>
        </w:tc>
        <w:tc>
          <w:tcPr>
            <w:tcW w:w="2127" w:type="dxa"/>
            <w:tcBorders>
              <w:bottom w:val="single" w:sz="4" w:space="0" w:color="auto"/>
            </w:tcBorders>
            <w:shd w:val="clear" w:color="auto" w:fill="808080" w:themeFill="background1" w:themeFillShade="80"/>
            <w:vAlign w:val="center"/>
          </w:tcPr>
          <w:p w14:paraId="4B5A513B" w14:textId="77777777" w:rsidR="00D90EF0" w:rsidRDefault="00D90EF0" w:rsidP="00C05974">
            <w:pPr>
              <w:widowControl w:val="0"/>
              <w:spacing w:after="0"/>
              <w:rPr>
                <w:rFonts w:ascii="Arial" w:hAnsi="Arial" w:cs="Arial"/>
                <w:sz w:val="18"/>
                <w:szCs w:val="16"/>
                <w:lang w:val="en-US"/>
              </w:rPr>
            </w:pPr>
          </w:p>
        </w:tc>
        <w:tc>
          <w:tcPr>
            <w:tcW w:w="1842" w:type="dxa"/>
            <w:tcBorders>
              <w:bottom w:val="single" w:sz="4" w:space="0" w:color="auto"/>
            </w:tcBorders>
            <w:shd w:val="clear" w:color="auto" w:fill="808080" w:themeFill="background1" w:themeFillShade="80"/>
            <w:vAlign w:val="center"/>
          </w:tcPr>
          <w:p w14:paraId="62EB21A5" w14:textId="77777777" w:rsidR="00D90EF0" w:rsidRDefault="00D90EF0" w:rsidP="00C05974">
            <w:pPr>
              <w:widowControl w:val="0"/>
              <w:spacing w:after="0"/>
              <w:rPr>
                <w:rFonts w:ascii="Arial" w:hAnsi="Arial" w:cs="Arial"/>
                <w:sz w:val="18"/>
                <w:szCs w:val="16"/>
                <w:lang w:val="en-US"/>
              </w:rPr>
            </w:pPr>
          </w:p>
        </w:tc>
        <w:tc>
          <w:tcPr>
            <w:tcW w:w="1276" w:type="dxa"/>
            <w:tcBorders>
              <w:bottom w:val="single" w:sz="4" w:space="0" w:color="auto"/>
            </w:tcBorders>
            <w:shd w:val="clear" w:color="auto" w:fill="808080" w:themeFill="background1" w:themeFillShade="80"/>
            <w:vAlign w:val="center"/>
          </w:tcPr>
          <w:p w14:paraId="71768F47" w14:textId="77777777" w:rsidR="00D90EF0" w:rsidRDefault="00D90EF0" w:rsidP="00C05974">
            <w:pPr>
              <w:widowControl w:val="0"/>
              <w:spacing w:after="0"/>
              <w:jc w:val="right"/>
              <w:rPr>
                <w:rFonts w:ascii="Arial" w:hAnsi="Arial" w:cs="Arial"/>
                <w:sz w:val="18"/>
                <w:szCs w:val="16"/>
                <w:lang w:val="en-US"/>
              </w:rPr>
            </w:pPr>
          </w:p>
        </w:tc>
      </w:tr>
      <w:tr w:rsidR="00BF539F" w:rsidRPr="00797E2F" w14:paraId="6A58E77D" w14:textId="77777777" w:rsidTr="00B470B1">
        <w:trPr>
          <w:trHeight w:val="567"/>
        </w:trPr>
        <w:tc>
          <w:tcPr>
            <w:tcW w:w="2263" w:type="dxa"/>
            <w:tcBorders>
              <w:bottom w:val="single" w:sz="4" w:space="0" w:color="auto"/>
            </w:tcBorders>
            <w:shd w:val="clear" w:color="auto" w:fill="auto"/>
            <w:vAlign w:val="center"/>
          </w:tcPr>
          <w:p w14:paraId="6D620E2F" w14:textId="77777777" w:rsidR="00BF539F" w:rsidRDefault="00BF539F" w:rsidP="00BF539F">
            <w:pPr>
              <w:widowControl w:val="0"/>
              <w:spacing w:after="0"/>
              <w:rPr>
                <w:rFonts w:ascii="Arial" w:hAnsi="Arial" w:cs="Arial"/>
                <w:sz w:val="18"/>
                <w:szCs w:val="16"/>
              </w:rPr>
            </w:pPr>
            <w:r>
              <w:rPr>
                <w:rFonts w:ascii="Arial" w:hAnsi="Arial" w:cs="Arial"/>
                <w:sz w:val="18"/>
                <w:szCs w:val="16"/>
              </w:rPr>
              <w:t>„Chaussee23“,</w:t>
            </w:r>
          </w:p>
          <w:p w14:paraId="0420D045" w14:textId="65C70BC5" w:rsidR="00BF539F" w:rsidRPr="00A116BB" w:rsidRDefault="00BF539F" w:rsidP="00BF539F">
            <w:pPr>
              <w:widowControl w:val="0"/>
              <w:spacing w:after="0"/>
              <w:rPr>
                <w:rFonts w:ascii="Arial" w:hAnsi="Arial" w:cs="Arial"/>
                <w:b/>
                <w:sz w:val="18"/>
                <w:szCs w:val="16"/>
              </w:rPr>
            </w:pPr>
            <w:r>
              <w:rPr>
                <w:rFonts w:ascii="Arial" w:hAnsi="Arial" w:cs="Arial"/>
                <w:sz w:val="18"/>
                <w:szCs w:val="16"/>
              </w:rPr>
              <w:t>Chausseestraße 23</w:t>
            </w:r>
          </w:p>
        </w:tc>
        <w:tc>
          <w:tcPr>
            <w:tcW w:w="1276" w:type="dxa"/>
            <w:tcBorders>
              <w:bottom w:val="single" w:sz="4" w:space="0" w:color="auto"/>
            </w:tcBorders>
            <w:shd w:val="clear" w:color="auto" w:fill="auto"/>
            <w:vAlign w:val="center"/>
          </w:tcPr>
          <w:p w14:paraId="79E295E5" w14:textId="201B7795" w:rsidR="00BF539F" w:rsidRPr="00A116BB" w:rsidRDefault="00BF539F" w:rsidP="00BF539F">
            <w:pPr>
              <w:widowControl w:val="0"/>
              <w:spacing w:after="0"/>
              <w:rPr>
                <w:rFonts w:ascii="Arial" w:hAnsi="Arial" w:cs="Arial"/>
                <w:b/>
                <w:sz w:val="18"/>
                <w:szCs w:val="16"/>
              </w:rPr>
            </w:pPr>
            <w:r>
              <w:rPr>
                <w:rFonts w:ascii="Arial" w:hAnsi="Arial" w:cs="Arial"/>
                <w:sz w:val="18"/>
                <w:szCs w:val="16"/>
              </w:rPr>
              <w:t>Mitte</w:t>
            </w:r>
          </w:p>
        </w:tc>
        <w:tc>
          <w:tcPr>
            <w:tcW w:w="992" w:type="dxa"/>
            <w:tcBorders>
              <w:bottom w:val="single" w:sz="4" w:space="0" w:color="auto"/>
            </w:tcBorders>
            <w:shd w:val="clear" w:color="auto" w:fill="auto"/>
            <w:vAlign w:val="center"/>
          </w:tcPr>
          <w:p w14:paraId="049D6031" w14:textId="58C76200" w:rsidR="00BF539F" w:rsidRPr="00A116BB" w:rsidRDefault="00BF539F" w:rsidP="00BF539F">
            <w:pPr>
              <w:widowControl w:val="0"/>
              <w:spacing w:after="0"/>
              <w:rPr>
                <w:rFonts w:ascii="Arial" w:hAnsi="Arial" w:cs="Arial"/>
                <w:b/>
                <w:sz w:val="18"/>
                <w:szCs w:val="16"/>
                <w:lang w:val="en-US"/>
              </w:rPr>
            </w:pPr>
            <w:r>
              <w:rPr>
                <w:rFonts w:ascii="Arial" w:hAnsi="Arial" w:cs="Arial"/>
                <w:sz w:val="18"/>
                <w:szCs w:val="16"/>
              </w:rPr>
              <w:t>Büro</w:t>
            </w:r>
          </w:p>
        </w:tc>
        <w:tc>
          <w:tcPr>
            <w:tcW w:w="2127" w:type="dxa"/>
            <w:tcBorders>
              <w:bottom w:val="single" w:sz="4" w:space="0" w:color="auto"/>
            </w:tcBorders>
            <w:shd w:val="clear" w:color="auto" w:fill="auto"/>
            <w:vAlign w:val="center"/>
          </w:tcPr>
          <w:p w14:paraId="247FDDCB" w14:textId="636FC64B" w:rsidR="00BF539F" w:rsidRPr="00A116BB" w:rsidRDefault="00BF539F" w:rsidP="00BF539F">
            <w:pPr>
              <w:widowControl w:val="0"/>
              <w:spacing w:after="0"/>
              <w:rPr>
                <w:rFonts w:ascii="Arial" w:hAnsi="Arial" w:cs="Arial"/>
                <w:b/>
                <w:sz w:val="18"/>
                <w:szCs w:val="16"/>
                <w:lang w:val="en-US"/>
              </w:rPr>
            </w:pPr>
            <w:proofErr w:type="spellStart"/>
            <w:r>
              <w:rPr>
                <w:rFonts w:ascii="Arial" w:hAnsi="Arial" w:cs="Arial"/>
                <w:sz w:val="18"/>
                <w:szCs w:val="16"/>
              </w:rPr>
              <w:t>Credit</w:t>
            </w:r>
            <w:proofErr w:type="spellEnd"/>
            <w:r>
              <w:rPr>
                <w:rFonts w:ascii="Arial" w:hAnsi="Arial" w:cs="Arial"/>
                <w:sz w:val="18"/>
                <w:szCs w:val="16"/>
              </w:rPr>
              <w:t xml:space="preserve"> Suisse</w:t>
            </w:r>
          </w:p>
        </w:tc>
        <w:tc>
          <w:tcPr>
            <w:tcW w:w="1842" w:type="dxa"/>
            <w:tcBorders>
              <w:bottom w:val="single" w:sz="4" w:space="0" w:color="auto"/>
            </w:tcBorders>
            <w:shd w:val="clear" w:color="auto" w:fill="auto"/>
            <w:vAlign w:val="center"/>
          </w:tcPr>
          <w:p w14:paraId="586C6BBE" w14:textId="5C5897C2" w:rsidR="00BF539F" w:rsidRPr="00A116BB" w:rsidRDefault="00BF539F" w:rsidP="00BF539F">
            <w:pPr>
              <w:widowControl w:val="0"/>
              <w:spacing w:after="0"/>
              <w:rPr>
                <w:rFonts w:ascii="Arial" w:hAnsi="Arial" w:cs="Arial"/>
                <w:b/>
                <w:sz w:val="18"/>
                <w:szCs w:val="16"/>
                <w:lang w:val="en-US"/>
              </w:rPr>
            </w:pPr>
            <w:r>
              <w:rPr>
                <w:rFonts w:ascii="Arial" w:hAnsi="Arial" w:cs="Arial"/>
                <w:sz w:val="18"/>
                <w:szCs w:val="16"/>
              </w:rPr>
              <w:t xml:space="preserve">Barings Real Estate </w:t>
            </w:r>
            <w:proofErr w:type="spellStart"/>
            <w:r>
              <w:rPr>
                <w:rFonts w:ascii="Arial" w:hAnsi="Arial" w:cs="Arial"/>
                <w:sz w:val="18"/>
                <w:szCs w:val="16"/>
              </w:rPr>
              <w:t>Advisers</w:t>
            </w:r>
            <w:proofErr w:type="spellEnd"/>
          </w:p>
        </w:tc>
        <w:tc>
          <w:tcPr>
            <w:tcW w:w="1276" w:type="dxa"/>
            <w:tcBorders>
              <w:bottom w:val="single" w:sz="4" w:space="0" w:color="auto"/>
            </w:tcBorders>
            <w:shd w:val="clear" w:color="auto" w:fill="auto"/>
            <w:vAlign w:val="center"/>
          </w:tcPr>
          <w:p w14:paraId="526E3E4D" w14:textId="079D66E2" w:rsidR="00BF539F" w:rsidRPr="00A116BB" w:rsidRDefault="00BF539F" w:rsidP="00BF539F">
            <w:pPr>
              <w:widowControl w:val="0"/>
              <w:spacing w:after="0"/>
              <w:jc w:val="right"/>
              <w:rPr>
                <w:rFonts w:ascii="Arial" w:hAnsi="Arial" w:cs="Arial"/>
                <w:b/>
                <w:sz w:val="18"/>
                <w:szCs w:val="16"/>
                <w:lang w:val="en-US"/>
              </w:rPr>
            </w:pPr>
            <w:proofErr w:type="spellStart"/>
            <w:r w:rsidRPr="00A116BB">
              <w:rPr>
                <w:rFonts w:ascii="Arial" w:hAnsi="Arial" w:cs="Arial"/>
                <w:b/>
                <w:sz w:val="18"/>
                <w:szCs w:val="16"/>
                <w:lang w:val="en-US"/>
              </w:rPr>
              <w:t>vertraulich</w:t>
            </w:r>
            <w:proofErr w:type="spellEnd"/>
          </w:p>
        </w:tc>
      </w:tr>
      <w:tr w:rsidR="00B470B1" w:rsidRPr="00797E2F" w14:paraId="7B037E65" w14:textId="77777777" w:rsidTr="00B470B1">
        <w:trPr>
          <w:trHeight w:val="567"/>
        </w:trPr>
        <w:tc>
          <w:tcPr>
            <w:tcW w:w="2263" w:type="dxa"/>
            <w:tcBorders>
              <w:bottom w:val="single" w:sz="4" w:space="0" w:color="auto"/>
            </w:tcBorders>
            <w:shd w:val="clear" w:color="auto" w:fill="auto"/>
            <w:vAlign w:val="center"/>
          </w:tcPr>
          <w:p w14:paraId="28985D2D" w14:textId="77777777" w:rsidR="00B470B1" w:rsidRDefault="00B470B1" w:rsidP="00B470B1">
            <w:pPr>
              <w:widowControl w:val="0"/>
              <w:spacing w:after="0"/>
              <w:rPr>
                <w:rFonts w:ascii="Arial" w:hAnsi="Arial" w:cs="Arial"/>
                <w:sz w:val="18"/>
                <w:szCs w:val="16"/>
              </w:rPr>
            </w:pPr>
            <w:r>
              <w:rPr>
                <w:rFonts w:ascii="Arial" w:hAnsi="Arial" w:cs="Arial"/>
                <w:sz w:val="18"/>
                <w:szCs w:val="16"/>
              </w:rPr>
              <w:t>Zalando Headquarter,</w:t>
            </w:r>
          </w:p>
          <w:p w14:paraId="1BDF5D85" w14:textId="45AB0182" w:rsidR="00B470B1" w:rsidRDefault="00B470B1" w:rsidP="00B470B1">
            <w:pPr>
              <w:widowControl w:val="0"/>
              <w:spacing w:after="0"/>
              <w:rPr>
                <w:rFonts w:ascii="Arial" w:hAnsi="Arial" w:cs="Arial"/>
                <w:sz w:val="18"/>
                <w:szCs w:val="16"/>
              </w:rPr>
            </w:pPr>
            <w:r>
              <w:rPr>
                <w:rFonts w:ascii="Arial" w:hAnsi="Arial" w:cs="Arial"/>
                <w:sz w:val="18"/>
                <w:szCs w:val="16"/>
              </w:rPr>
              <w:t>Edith-Kiss-Straße 1</w:t>
            </w:r>
          </w:p>
        </w:tc>
        <w:tc>
          <w:tcPr>
            <w:tcW w:w="1276" w:type="dxa"/>
            <w:tcBorders>
              <w:bottom w:val="single" w:sz="4" w:space="0" w:color="auto"/>
            </w:tcBorders>
            <w:shd w:val="clear" w:color="auto" w:fill="auto"/>
            <w:vAlign w:val="center"/>
          </w:tcPr>
          <w:p w14:paraId="6313865D" w14:textId="4AA75300" w:rsidR="00B470B1" w:rsidRDefault="00B470B1" w:rsidP="00B470B1">
            <w:pPr>
              <w:widowControl w:val="0"/>
              <w:spacing w:after="0"/>
              <w:rPr>
                <w:rFonts w:ascii="Arial" w:hAnsi="Arial" w:cs="Arial"/>
                <w:sz w:val="18"/>
                <w:szCs w:val="16"/>
              </w:rPr>
            </w:pPr>
            <w:r>
              <w:rPr>
                <w:rFonts w:ascii="Arial" w:hAnsi="Arial" w:cs="Arial"/>
                <w:sz w:val="18"/>
                <w:szCs w:val="16"/>
              </w:rPr>
              <w:t>Friedrichs-hain</w:t>
            </w:r>
          </w:p>
        </w:tc>
        <w:tc>
          <w:tcPr>
            <w:tcW w:w="992" w:type="dxa"/>
            <w:tcBorders>
              <w:bottom w:val="single" w:sz="4" w:space="0" w:color="auto"/>
            </w:tcBorders>
            <w:shd w:val="clear" w:color="auto" w:fill="auto"/>
            <w:vAlign w:val="center"/>
          </w:tcPr>
          <w:p w14:paraId="7F168FD3" w14:textId="0EA2C8EE" w:rsidR="00B470B1" w:rsidRDefault="00B470B1" w:rsidP="00B470B1">
            <w:pPr>
              <w:widowControl w:val="0"/>
              <w:spacing w:after="0"/>
              <w:rPr>
                <w:rFonts w:ascii="Arial" w:hAnsi="Arial" w:cs="Arial"/>
                <w:sz w:val="18"/>
                <w:szCs w:val="16"/>
              </w:rPr>
            </w:pPr>
            <w:r>
              <w:rPr>
                <w:rFonts w:ascii="Arial" w:hAnsi="Arial" w:cs="Arial"/>
                <w:sz w:val="18"/>
                <w:szCs w:val="16"/>
              </w:rPr>
              <w:t>Büro</w:t>
            </w:r>
          </w:p>
        </w:tc>
        <w:tc>
          <w:tcPr>
            <w:tcW w:w="2127" w:type="dxa"/>
            <w:tcBorders>
              <w:bottom w:val="single" w:sz="4" w:space="0" w:color="auto"/>
            </w:tcBorders>
            <w:shd w:val="clear" w:color="auto" w:fill="auto"/>
            <w:vAlign w:val="center"/>
          </w:tcPr>
          <w:p w14:paraId="1F987D07" w14:textId="1FCD5E2E" w:rsidR="00B470B1" w:rsidRDefault="00B470B1" w:rsidP="00B470B1">
            <w:pPr>
              <w:widowControl w:val="0"/>
              <w:spacing w:after="0"/>
              <w:rPr>
                <w:rFonts w:ascii="Arial" w:hAnsi="Arial" w:cs="Arial"/>
                <w:sz w:val="18"/>
                <w:szCs w:val="16"/>
              </w:rPr>
            </w:pPr>
            <w:r>
              <w:rPr>
                <w:rFonts w:ascii="Arial" w:hAnsi="Arial" w:cs="Arial"/>
                <w:sz w:val="18"/>
                <w:szCs w:val="16"/>
              </w:rPr>
              <w:t>HIH Real Estate GmbH</w:t>
            </w:r>
          </w:p>
        </w:tc>
        <w:tc>
          <w:tcPr>
            <w:tcW w:w="1842" w:type="dxa"/>
            <w:tcBorders>
              <w:bottom w:val="single" w:sz="4" w:space="0" w:color="auto"/>
            </w:tcBorders>
            <w:shd w:val="clear" w:color="auto" w:fill="auto"/>
            <w:vAlign w:val="center"/>
          </w:tcPr>
          <w:p w14:paraId="38013442" w14:textId="3D6D76A2" w:rsidR="00B470B1" w:rsidRDefault="00B470B1" w:rsidP="00B470B1">
            <w:pPr>
              <w:widowControl w:val="0"/>
              <w:spacing w:after="0"/>
              <w:rPr>
                <w:rFonts w:ascii="Arial" w:hAnsi="Arial" w:cs="Arial"/>
                <w:sz w:val="18"/>
                <w:szCs w:val="16"/>
              </w:rPr>
            </w:pPr>
            <w:r>
              <w:rPr>
                <w:rFonts w:ascii="Arial" w:hAnsi="Arial" w:cs="Arial"/>
                <w:sz w:val="18"/>
                <w:szCs w:val="16"/>
              </w:rPr>
              <w:t>HIH Projektentwicklung</w:t>
            </w:r>
          </w:p>
        </w:tc>
        <w:tc>
          <w:tcPr>
            <w:tcW w:w="1276" w:type="dxa"/>
            <w:tcBorders>
              <w:bottom w:val="single" w:sz="4" w:space="0" w:color="auto"/>
            </w:tcBorders>
            <w:shd w:val="clear" w:color="auto" w:fill="auto"/>
            <w:vAlign w:val="center"/>
          </w:tcPr>
          <w:p w14:paraId="213EA317" w14:textId="0ADE2833" w:rsidR="00B470B1" w:rsidRPr="00A116BB" w:rsidRDefault="00B470B1" w:rsidP="00B470B1">
            <w:pPr>
              <w:widowControl w:val="0"/>
              <w:spacing w:after="0"/>
              <w:jc w:val="right"/>
              <w:rPr>
                <w:rFonts w:ascii="Arial" w:hAnsi="Arial" w:cs="Arial"/>
                <w:b/>
                <w:sz w:val="18"/>
                <w:szCs w:val="16"/>
                <w:lang w:val="en-US"/>
              </w:rPr>
            </w:pPr>
            <w:proofErr w:type="spellStart"/>
            <w:r w:rsidRPr="00A116BB">
              <w:rPr>
                <w:rFonts w:ascii="Arial" w:hAnsi="Arial" w:cs="Arial"/>
                <w:b/>
                <w:sz w:val="18"/>
                <w:szCs w:val="16"/>
                <w:lang w:val="en-US"/>
              </w:rPr>
              <w:t>vertraulich</w:t>
            </w:r>
            <w:proofErr w:type="spellEnd"/>
          </w:p>
        </w:tc>
      </w:tr>
      <w:tr w:rsidR="00B470B1" w:rsidRPr="00797E2F" w14:paraId="0B3718B6" w14:textId="77777777" w:rsidTr="00B470B1">
        <w:trPr>
          <w:trHeight w:val="567"/>
        </w:trPr>
        <w:tc>
          <w:tcPr>
            <w:tcW w:w="2263" w:type="dxa"/>
            <w:tcBorders>
              <w:bottom w:val="single" w:sz="4" w:space="0" w:color="auto"/>
            </w:tcBorders>
            <w:shd w:val="clear" w:color="auto" w:fill="auto"/>
            <w:vAlign w:val="center"/>
          </w:tcPr>
          <w:p w14:paraId="338923EA" w14:textId="77777777" w:rsidR="00B470B1" w:rsidRDefault="00B470B1" w:rsidP="00B470B1">
            <w:pPr>
              <w:widowControl w:val="0"/>
              <w:spacing w:after="0"/>
              <w:rPr>
                <w:rFonts w:ascii="Arial" w:hAnsi="Arial" w:cs="Arial"/>
                <w:sz w:val="18"/>
                <w:szCs w:val="16"/>
              </w:rPr>
            </w:pPr>
            <w:r>
              <w:rPr>
                <w:rFonts w:ascii="Arial" w:hAnsi="Arial" w:cs="Arial"/>
                <w:sz w:val="18"/>
                <w:szCs w:val="16"/>
              </w:rPr>
              <w:t>FMZ Gesundbrunnen,</w:t>
            </w:r>
          </w:p>
          <w:p w14:paraId="11CE503A" w14:textId="33845DE0" w:rsidR="00B470B1" w:rsidRDefault="00B470B1" w:rsidP="00B470B1">
            <w:pPr>
              <w:widowControl w:val="0"/>
              <w:spacing w:after="0"/>
              <w:rPr>
                <w:rFonts w:ascii="Arial" w:hAnsi="Arial" w:cs="Arial"/>
                <w:sz w:val="18"/>
                <w:szCs w:val="16"/>
              </w:rPr>
            </w:pPr>
            <w:r>
              <w:rPr>
                <w:rFonts w:ascii="Arial" w:hAnsi="Arial" w:cs="Arial"/>
                <w:sz w:val="18"/>
                <w:szCs w:val="16"/>
              </w:rPr>
              <w:t>Brunnenstraße 105-109</w:t>
            </w:r>
          </w:p>
        </w:tc>
        <w:tc>
          <w:tcPr>
            <w:tcW w:w="1276" w:type="dxa"/>
            <w:tcBorders>
              <w:bottom w:val="single" w:sz="4" w:space="0" w:color="auto"/>
            </w:tcBorders>
            <w:shd w:val="clear" w:color="auto" w:fill="auto"/>
            <w:vAlign w:val="center"/>
          </w:tcPr>
          <w:p w14:paraId="32E88149" w14:textId="193F2E2B" w:rsidR="00B470B1" w:rsidRDefault="00B470B1" w:rsidP="00B470B1">
            <w:pPr>
              <w:widowControl w:val="0"/>
              <w:spacing w:after="0"/>
              <w:rPr>
                <w:rFonts w:ascii="Arial" w:hAnsi="Arial" w:cs="Arial"/>
                <w:sz w:val="18"/>
                <w:szCs w:val="16"/>
              </w:rPr>
            </w:pPr>
            <w:r>
              <w:rPr>
                <w:rFonts w:ascii="Arial" w:hAnsi="Arial" w:cs="Arial"/>
                <w:sz w:val="18"/>
                <w:szCs w:val="16"/>
              </w:rPr>
              <w:t>Peripherie-Nord</w:t>
            </w:r>
          </w:p>
        </w:tc>
        <w:tc>
          <w:tcPr>
            <w:tcW w:w="992" w:type="dxa"/>
            <w:tcBorders>
              <w:bottom w:val="single" w:sz="4" w:space="0" w:color="auto"/>
            </w:tcBorders>
            <w:shd w:val="clear" w:color="auto" w:fill="auto"/>
            <w:vAlign w:val="center"/>
          </w:tcPr>
          <w:p w14:paraId="1CB49A8C" w14:textId="49D157CB" w:rsidR="00B470B1" w:rsidRDefault="00B470B1" w:rsidP="00B470B1">
            <w:pPr>
              <w:widowControl w:val="0"/>
              <w:spacing w:after="0"/>
              <w:rPr>
                <w:rFonts w:ascii="Arial" w:hAnsi="Arial" w:cs="Arial"/>
                <w:sz w:val="18"/>
                <w:szCs w:val="16"/>
              </w:rPr>
            </w:pPr>
            <w:r>
              <w:rPr>
                <w:rFonts w:ascii="Arial" w:hAnsi="Arial" w:cs="Arial"/>
                <w:sz w:val="18"/>
                <w:szCs w:val="16"/>
              </w:rPr>
              <w:t>Einzel-handel</w:t>
            </w:r>
          </w:p>
        </w:tc>
        <w:tc>
          <w:tcPr>
            <w:tcW w:w="2127" w:type="dxa"/>
            <w:tcBorders>
              <w:bottom w:val="single" w:sz="4" w:space="0" w:color="auto"/>
            </w:tcBorders>
            <w:shd w:val="clear" w:color="auto" w:fill="auto"/>
            <w:vAlign w:val="center"/>
          </w:tcPr>
          <w:p w14:paraId="5799BC35" w14:textId="70846849" w:rsidR="00B470B1" w:rsidRDefault="00B470B1" w:rsidP="00B470B1">
            <w:pPr>
              <w:widowControl w:val="0"/>
              <w:spacing w:after="0"/>
              <w:rPr>
                <w:rFonts w:ascii="Arial" w:hAnsi="Arial" w:cs="Arial"/>
                <w:sz w:val="18"/>
                <w:szCs w:val="16"/>
              </w:rPr>
            </w:pPr>
            <w:r>
              <w:rPr>
                <w:rFonts w:ascii="Arial" w:hAnsi="Arial" w:cs="Arial"/>
                <w:sz w:val="18"/>
                <w:szCs w:val="16"/>
              </w:rPr>
              <w:t xml:space="preserve">von Hines betreuter Spezialfonds </w:t>
            </w:r>
          </w:p>
        </w:tc>
        <w:tc>
          <w:tcPr>
            <w:tcW w:w="1842" w:type="dxa"/>
            <w:tcBorders>
              <w:bottom w:val="single" w:sz="4" w:space="0" w:color="auto"/>
            </w:tcBorders>
            <w:shd w:val="clear" w:color="auto" w:fill="auto"/>
            <w:vAlign w:val="center"/>
          </w:tcPr>
          <w:p w14:paraId="3FD624CE" w14:textId="7EF67D08" w:rsidR="00B470B1" w:rsidRDefault="00B470B1" w:rsidP="00B470B1">
            <w:pPr>
              <w:widowControl w:val="0"/>
              <w:spacing w:after="0"/>
              <w:rPr>
                <w:rFonts w:ascii="Arial" w:hAnsi="Arial" w:cs="Arial"/>
                <w:sz w:val="18"/>
                <w:szCs w:val="16"/>
              </w:rPr>
            </w:pPr>
            <w:r>
              <w:rPr>
                <w:rFonts w:ascii="Arial" w:hAnsi="Arial" w:cs="Arial"/>
                <w:sz w:val="18"/>
                <w:szCs w:val="16"/>
              </w:rPr>
              <w:t>CBRE Pan European Core Fund (PEC)</w:t>
            </w:r>
          </w:p>
        </w:tc>
        <w:tc>
          <w:tcPr>
            <w:tcW w:w="1276" w:type="dxa"/>
            <w:tcBorders>
              <w:bottom w:val="single" w:sz="4" w:space="0" w:color="auto"/>
            </w:tcBorders>
            <w:shd w:val="clear" w:color="auto" w:fill="auto"/>
            <w:vAlign w:val="center"/>
          </w:tcPr>
          <w:p w14:paraId="154ECDBA" w14:textId="7844ACCD" w:rsidR="00B470B1" w:rsidRPr="00A116BB" w:rsidRDefault="00B470B1" w:rsidP="00B470B1">
            <w:pPr>
              <w:widowControl w:val="0"/>
              <w:spacing w:after="0"/>
              <w:jc w:val="right"/>
              <w:rPr>
                <w:rFonts w:ascii="Arial" w:hAnsi="Arial" w:cs="Arial"/>
                <w:b/>
                <w:sz w:val="18"/>
                <w:szCs w:val="16"/>
                <w:lang w:val="en-US"/>
              </w:rPr>
            </w:pPr>
            <w:proofErr w:type="spellStart"/>
            <w:r>
              <w:rPr>
                <w:rFonts w:ascii="Arial" w:hAnsi="Arial" w:cs="Arial"/>
                <w:b/>
                <w:sz w:val="18"/>
                <w:szCs w:val="16"/>
                <w:lang w:val="en-US"/>
              </w:rPr>
              <w:t>vertraulich</w:t>
            </w:r>
            <w:proofErr w:type="spellEnd"/>
          </w:p>
        </w:tc>
      </w:tr>
      <w:tr w:rsidR="00B470B1" w:rsidRPr="00797E2F" w14:paraId="724F6919" w14:textId="77777777" w:rsidTr="00B470B1">
        <w:trPr>
          <w:trHeight w:val="567"/>
        </w:trPr>
        <w:tc>
          <w:tcPr>
            <w:tcW w:w="2263" w:type="dxa"/>
            <w:tcBorders>
              <w:bottom w:val="single" w:sz="4" w:space="0" w:color="auto"/>
            </w:tcBorders>
            <w:shd w:val="clear" w:color="auto" w:fill="auto"/>
            <w:vAlign w:val="center"/>
          </w:tcPr>
          <w:p w14:paraId="4016B148" w14:textId="77777777" w:rsidR="00B470B1" w:rsidRDefault="00B470B1" w:rsidP="00B470B1">
            <w:pPr>
              <w:widowControl w:val="0"/>
              <w:spacing w:after="0"/>
              <w:rPr>
                <w:rFonts w:ascii="Arial" w:hAnsi="Arial" w:cs="Arial"/>
                <w:sz w:val="18"/>
                <w:szCs w:val="16"/>
              </w:rPr>
            </w:pPr>
            <w:r>
              <w:rPr>
                <w:rFonts w:ascii="Arial" w:hAnsi="Arial" w:cs="Arial"/>
                <w:sz w:val="18"/>
                <w:szCs w:val="16"/>
              </w:rPr>
              <w:t>„UHLAND 187“,</w:t>
            </w:r>
          </w:p>
          <w:p w14:paraId="2835B791" w14:textId="741FCA9E" w:rsidR="00B470B1" w:rsidRDefault="00B470B1" w:rsidP="00B470B1">
            <w:pPr>
              <w:widowControl w:val="0"/>
              <w:spacing w:after="0"/>
              <w:rPr>
                <w:rFonts w:ascii="Arial" w:hAnsi="Arial" w:cs="Arial"/>
                <w:sz w:val="18"/>
                <w:szCs w:val="16"/>
              </w:rPr>
            </w:pPr>
            <w:r>
              <w:rPr>
                <w:rFonts w:ascii="Arial" w:hAnsi="Arial" w:cs="Arial"/>
                <w:sz w:val="18"/>
                <w:szCs w:val="16"/>
              </w:rPr>
              <w:t>Uhlandstraße 187</w:t>
            </w:r>
          </w:p>
        </w:tc>
        <w:tc>
          <w:tcPr>
            <w:tcW w:w="1276" w:type="dxa"/>
            <w:tcBorders>
              <w:bottom w:val="single" w:sz="4" w:space="0" w:color="auto"/>
            </w:tcBorders>
            <w:shd w:val="clear" w:color="auto" w:fill="auto"/>
            <w:vAlign w:val="center"/>
          </w:tcPr>
          <w:p w14:paraId="2FCFF12C" w14:textId="726629E8" w:rsidR="00B470B1" w:rsidRDefault="00B470B1" w:rsidP="00B470B1">
            <w:pPr>
              <w:widowControl w:val="0"/>
              <w:spacing w:after="0"/>
              <w:rPr>
                <w:rFonts w:ascii="Arial" w:hAnsi="Arial" w:cs="Arial"/>
                <w:sz w:val="18"/>
                <w:szCs w:val="16"/>
              </w:rPr>
            </w:pPr>
            <w:r>
              <w:rPr>
                <w:rFonts w:ascii="Arial" w:hAnsi="Arial" w:cs="Arial"/>
                <w:sz w:val="18"/>
                <w:szCs w:val="16"/>
              </w:rPr>
              <w:t>Charlotten-burg</w:t>
            </w:r>
          </w:p>
        </w:tc>
        <w:tc>
          <w:tcPr>
            <w:tcW w:w="992" w:type="dxa"/>
            <w:tcBorders>
              <w:bottom w:val="single" w:sz="4" w:space="0" w:color="auto"/>
            </w:tcBorders>
            <w:shd w:val="clear" w:color="auto" w:fill="auto"/>
            <w:vAlign w:val="center"/>
          </w:tcPr>
          <w:p w14:paraId="5763E100" w14:textId="293FC1EB" w:rsidR="00B470B1" w:rsidRDefault="00B470B1" w:rsidP="00B470B1">
            <w:pPr>
              <w:widowControl w:val="0"/>
              <w:spacing w:after="0"/>
              <w:rPr>
                <w:rFonts w:ascii="Arial" w:hAnsi="Arial" w:cs="Arial"/>
                <w:sz w:val="18"/>
                <w:szCs w:val="16"/>
              </w:rPr>
            </w:pPr>
            <w:r>
              <w:rPr>
                <w:rFonts w:ascii="Arial" w:hAnsi="Arial" w:cs="Arial"/>
                <w:sz w:val="18"/>
                <w:szCs w:val="16"/>
              </w:rPr>
              <w:t>Büro</w:t>
            </w:r>
          </w:p>
        </w:tc>
        <w:tc>
          <w:tcPr>
            <w:tcW w:w="2127" w:type="dxa"/>
            <w:tcBorders>
              <w:bottom w:val="single" w:sz="4" w:space="0" w:color="auto"/>
            </w:tcBorders>
            <w:shd w:val="clear" w:color="auto" w:fill="auto"/>
            <w:vAlign w:val="center"/>
          </w:tcPr>
          <w:p w14:paraId="2DBBA9CC" w14:textId="6162C86C" w:rsidR="00B470B1" w:rsidRDefault="00B470B1" w:rsidP="00B470B1">
            <w:pPr>
              <w:widowControl w:val="0"/>
              <w:spacing w:after="0"/>
              <w:rPr>
                <w:rFonts w:ascii="Arial" w:hAnsi="Arial" w:cs="Arial"/>
                <w:sz w:val="18"/>
                <w:szCs w:val="16"/>
              </w:rPr>
            </w:pPr>
            <w:proofErr w:type="spellStart"/>
            <w:r>
              <w:rPr>
                <w:rFonts w:ascii="Arial" w:hAnsi="Arial" w:cs="Arial"/>
                <w:sz w:val="18"/>
                <w:szCs w:val="16"/>
              </w:rPr>
              <w:t>WealthCap</w:t>
            </w:r>
            <w:proofErr w:type="spellEnd"/>
          </w:p>
        </w:tc>
        <w:tc>
          <w:tcPr>
            <w:tcW w:w="1842" w:type="dxa"/>
            <w:tcBorders>
              <w:bottom w:val="single" w:sz="4" w:space="0" w:color="auto"/>
            </w:tcBorders>
            <w:shd w:val="clear" w:color="auto" w:fill="auto"/>
            <w:vAlign w:val="center"/>
          </w:tcPr>
          <w:p w14:paraId="136DC710" w14:textId="3FD42D9C" w:rsidR="00B470B1" w:rsidRDefault="00B470B1" w:rsidP="00B470B1">
            <w:pPr>
              <w:widowControl w:val="0"/>
              <w:spacing w:after="0"/>
              <w:rPr>
                <w:rFonts w:ascii="Arial" w:hAnsi="Arial" w:cs="Arial"/>
                <w:sz w:val="18"/>
                <w:szCs w:val="16"/>
              </w:rPr>
            </w:pPr>
            <w:r>
              <w:rPr>
                <w:rFonts w:ascii="Arial" w:hAnsi="Arial" w:cs="Arial"/>
                <w:sz w:val="18"/>
                <w:szCs w:val="16"/>
              </w:rPr>
              <w:t>AOC Immobilien AG</w:t>
            </w:r>
          </w:p>
        </w:tc>
        <w:tc>
          <w:tcPr>
            <w:tcW w:w="1276" w:type="dxa"/>
            <w:tcBorders>
              <w:bottom w:val="single" w:sz="4" w:space="0" w:color="auto"/>
            </w:tcBorders>
            <w:shd w:val="clear" w:color="auto" w:fill="auto"/>
            <w:vAlign w:val="center"/>
          </w:tcPr>
          <w:p w14:paraId="757A5D04" w14:textId="7134353B" w:rsidR="00B470B1" w:rsidRDefault="00B470B1" w:rsidP="00B470B1">
            <w:pPr>
              <w:widowControl w:val="0"/>
              <w:spacing w:after="0"/>
              <w:jc w:val="right"/>
              <w:rPr>
                <w:rFonts w:ascii="Arial" w:hAnsi="Arial" w:cs="Arial"/>
                <w:b/>
                <w:sz w:val="18"/>
                <w:szCs w:val="16"/>
                <w:lang w:val="en-US"/>
              </w:rPr>
            </w:pPr>
            <w:proofErr w:type="spellStart"/>
            <w:r>
              <w:rPr>
                <w:rFonts w:ascii="Arial" w:hAnsi="Arial" w:cs="Arial"/>
                <w:b/>
                <w:sz w:val="18"/>
                <w:szCs w:val="16"/>
                <w:lang w:val="en-US"/>
              </w:rPr>
              <w:t>vertraulich</w:t>
            </w:r>
            <w:proofErr w:type="spellEnd"/>
          </w:p>
        </w:tc>
      </w:tr>
      <w:tr w:rsidR="00B470B1" w:rsidRPr="00797E2F" w14:paraId="03C1DF19" w14:textId="77777777" w:rsidTr="00A116BB">
        <w:trPr>
          <w:trHeight w:val="455"/>
        </w:trPr>
        <w:tc>
          <w:tcPr>
            <w:tcW w:w="9776" w:type="dxa"/>
            <w:gridSpan w:val="6"/>
            <w:tcBorders>
              <w:top w:val="single" w:sz="4" w:space="0" w:color="auto"/>
              <w:left w:val="nil"/>
              <w:bottom w:val="nil"/>
              <w:right w:val="nil"/>
            </w:tcBorders>
            <w:shd w:val="clear" w:color="auto" w:fill="FFFFFF" w:themeFill="background1"/>
          </w:tcPr>
          <w:p w14:paraId="1976F5D6" w14:textId="1E500FFF" w:rsidR="00B470B1" w:rsidRPr="001871BC" w:rsidRDefault="00B470B1" w:rsidP="00B470B1">
            <w:pPr>
              <w:widowControl w:val="0"/>
              <w:spacing w:after="0"/>
              <w:rPr>
                <w:rFonts w:ascii="Arial" w:hAnsi="Arial" w:cs="Arial"/>
                <w:sz w:val="16"/>
                <w:szCs w:val="16"/>
              </w:rPr>
            </w:pPr>
            <w:r w:rsidRPr="00D474C5">
              <w:rPr>
                <w:rFonts w:ascii="Arial" w:hAnsi="Arial" w:cs="Arial"/>
                <w:sz w:val="16"/>
                <w:szCs w:val="16"/>
              </w:rPr>
              <w:t>*</w:t>
            </w:r>
            <w:r>
              <w:rPr>
                <w:rFonts w:ascii="Arial" w:hAnsi="Arial" w:cs="Arial"/>
                <w:sz w:val="16"/>
                <w:szCs w:val="16"/>
              </w:rPr>
              <w:t xml:space="preserve"> </w:t>
            </w:r>
            <w:r w:rsidRPr="00B4679D">
              <w:rPr>
                <w:rFonts w:ascii="Arial" w:hAnsi="Arial" w:cs="Arial"/>
                <w:sz w:val="16"/>
                <w:szCs w:val="16"/>
              </w:rPr>
              <w:t>Die aufgeführten Kaufpreise ba</w:t>
            </w:r>
            <w:r>
              <w:rPr>
                <w:rFonts w:ascii="Arial" w:hAnsi="Arial" w:cs="Arial"/>
                <w:sz w:val="16"/>
                <w:szCs w:val="16"/>
              </w:rPr>
              <w:t xml:space="preserve">sieren auf öffentlich verfügbaren Angaben; </w:t>
            </w:r>
            <w:r w:rsidRPr="00B4679D">
              <w:rPr>
                <w:rFonts w:ascii="Arial" w:hAnsi="Arial" w:cs="Arial"/>
                <w:sz w:val="16"/>
                <w:szCs w:val="16"/>
              </w:rPr>
              <w:t xml:space="preserve">wo solche fehlen, sind </w:t>
            </w:r>
            <w:r>
              <w:rPr>
                <w:rFonts w:ascii="Arial" w:hAnsi="Arial" w:cs="Arial"/>
                <w:sz w:val="16"/>
                <w:szCs w:val="16"/>
              </w:rPr>
              <w:t xml:space="preserve">die </w:t>
            </w:r>
            <w:r w:rsidRPr="00B4679D">
              <w:rPr>
                <w:rFonts w:ascii="Arial" w:hAnsi="Arial" w:cs="Arial"/>
                <w:sz w:val="16"/>
                <w:szCs w:val="16"/>
              </w:rPr>
              <w:t>Kaufpreise geschätzt</w:t>
            </w:r>
            <w:r>
              <w:rPr>
                <w:rFonts w:ascii="Arial" w:hAnsi="Arial" w:cs="Arial"/>
                <w:sz w:val="16"/>
                <w:szCs w:val="16"/>
              </w:rPr>
              <w:t>; neue Deals/Deals aus jeweiligem Berichtsquartal sind fett dargestellt</w:t>
            </w:r>
          </w:p>
        </w:tc>
      </w:tr>
    </w:tbl>
    <w:p w14:paraId="06A84312" w14:textId="77777777" w:rsidR="00713D81" w:rsidRDefault="00713D81" w:rsidP="000A5ED1">
      <w:pPr>
        <w:spacing w:after="0"/>
        <w:rPr>
          <w:rFonts w:ascii="Arial" w:eastAsia="Arial" w:hAnsi="Arial" w:cs="Arial"/>
          <w:color w:val="000000" w:themeColor="text1"/>
          <w:sz w:val="20"/>
          <w:szCs w:val="20"/>
        </w:rPr>
      </w:pPr>
    </w:p>
    <w:p w14:paraId="0D624B47" w14:textId="35864042" w:rsidR="003D35C8" w:rsidRPr="000A5ED1" w:rsidRDefault="003D35C8" w:rsidP="003D35C8">
      <w:pPr>
        <w:spacing w:after="0" w:line="360" w:lineRule="auto"/>
        <w:rPr>
          <w:rFonts w:ascii="Arial" w:eastAsia="Arial" w:hAnsi="Arial" w:cs="Arial"/>
          <w:b/>
          <w:color w:val="000000" w:themeColor="text1"/>
          <w:sz w:val="20"/>
          <w:szCs w:val="20"/>
        </w:rPr>
      </w:pPr>
      <w:r>
        <w:rPr>
          <w:rFonts w:ascii="Arial" w:eastAsia="Arial" w:hAnsi="Arial" w:cs="Arial"/>
          <w:color w:val="000000" w:themeColor="text1"/>
          <w:sz w:val="20"/>
          <w:szCs w:val="20"/>
        </w:rPr>
        <w:t xml:space="preserve">Der ausführliche </w:t>
      </w:r>
      <w:r w:rsidRPr="008327E5">
        <w:rPr>
          <w:rFonts w:ascii="Arial" w:eastAsia="Arial" w:hAnsi="Arial" w:cs="Arial"/>
          <w:sz w:val="20"/>
          <w:szCs w:val="20"/>
        </w:rPr>
        <w:t>Marktbericht</w:t>
      </w:r>
      <w:r>
        <w:rPr>
          <w:rFonts w:ascii="Arial" w:eastAsia="Arial" w:hAnsi="Arial" w:cs="Arial"/>
          <w:color w:val="000000" w:themeColor="text1"/>
          <w:sz w:val="20"/>
          <w:szCs w:val="20"/>
        </w:rPr>
        <w:t xml:space="preserve"> steht in Kürze auf unserer </w:t>
      </w:r>
      <w:hyperlink r:id="rId9" w:history="1">
        <w:r w:rsidRPr="00FC40F0">
          <w:rPr>
            <w:rStyle w:val="Hyperlink"/>
            <w:rFonts w:ascii="Arial" w:eastAsia="Arial" w:hAnsi="Arial" w:cs="Arial"/>
            <w:sz w:val="20"/>
            <w:szCs w:val="20"/>
          </w:rPr>
          <w:t>Website</w:t>
        </w:r>
      </w:hyperlink>
      <w:r>
        <w:rPr>
          <w:rFonts w:ascii="Arial" w:eastAsia="Arial" w:hAnsi="Arial" w:cs="Arial"/>
          <w:color w:val="000000" w:themeColor="text1"/>
          <w:sz w:val="20"/>
          <w:szCs w:val="20"/>
        </w:rPr>
        <w:t xml:space="preserve"> zum Download bereit.</w:t>
      </w:r>
    </w:p>
    <w:p w14:paraId="3BB26B10" w14:textId="440FB01A" w:rsidR="006E5C9C" w:rsidRDefault="006E5C9C" w:rsidP="003A00C9">
      <w:pPr>
        <w:spacing w:after="0"/>
        <w:rPr>
          <w:rFonts w:ascii="Arial" w:hAnsi="Arial" w:cs="Arial"/>
          <w:b/>
          <w:sz w:val="16"/>
          <w:szCs w:val="16"/>
        </w:rPr>
      </w:pPr>
    </w:p>
    <w:p w14:paraId="2A899389" w14:textId="77777777" w:rsidR="006E5C9C" w:rsidRDefault="006E5C9C" w:rsidP="003A00C9">
      <w:pPr>
        <w:spacing w:after="0"/>
        <w:rPr>
          <w:rFonts w:ascii="Arial" w:hAnsi="Arial" w:cs="Arial"/>
          <w:b/>
          <w:sz w:val="16"/>
          <w:szCs w:val="16"/>
        </w:rPr>
      </w:pPr>
    </w:p>
    <w:p w14:paraId="3FEA6432" w14:textId="3E5DAB83" w:rsidR="0090748B" w:rsidRPr="0090748B" w:rsidRDefault="0090748B" w:rsidP="00CA3FA0">
      <w:pPr>
        <w:spacing w:after="0" w:line="360" w:lineRule="auto"/>
        <w:rPr>
          <w:rFonts w:ascii="Arial" w:hAnsi="Arial" w:cs="Arial"/>
          <w:b/>
          <w:sz w:val="16"/>
          <w:szCs w:val="16"/>
        </w:rPr>
      </w:pPr>
      <w:r w:rsidRPr="0090748B">
        <w:rPr>
          <w:rFonts w:ascii="Arial" w:hAnsi="Arial" w:cs="Arial"/>
          <w:b/>
          <w:sz w:val="16"/>
          <w:szCs w:val="16"/>
        </w:rPr>
        <w:t>Über Grossmann &amp; Berger</w:t>
      </w:r>
    </w:p>
    <w:p w14:paraId="6F51AAEA" w14:textId="3D337828" w:rsidR="004E6D73" w:rsidRPr="004E6D73" w:rsidRDefault="004E6D73" w:rsidP="004E6D73">
      <w:pPr>
        <w:spacing w:after="0" w:line="360" w:lineRule="auto"/>
        <w:rPr>
          <w:rFonts w:ascii="Arial" w:hAnsi="Arial" w:cs="Arial"/>
          <w:snapToGrid w:val="0"/>
          <w:sz w:val="16"/>
          <w:szCs w:val="16"/>
        </w:rPr>
      </w:pPr>
      <w:r w:rsidRPr="004E6D73">
        <w:rPr>
          <w:rFonts w:ascii="Arial" w:hAnsi="Arial" w:cs="Arial"/>
          <w:snapToGrid w:val="0"/>
          <w:sz w:val="16"/>
          <w:szCs w:val="16"/>
        </w:rPr>
        <w:t xml:space="preserve">Die </w:t>
      </w:r>
      <w:hyperlink r:id="rId10" w:history="1">
        <w:r w:rsidRPr="00A7546D">
          <w:rPr>
            <w:rStyle w:val="Hyperlink"/>
            <w:rFonts w:ascii="Arial" w:hAnsi="Arial" w:cs="Arial"/>
            <w:snapToGrid w:val="0"/>
            <w:sz w:val="16"/>
            <w:szCs w:val="16"/>
          </w:rPr>
          <w:t>Grossmann &amp; Berger GmbH</w:t>
        </w:r>
      </w:hyperlink>
      <w:r w:rsidRPr="004E6D73">
        <w:rPr>
          <w:rFonts w:ascii="Arial" w:hAnsi="Arial" w:cs="Arial"/>
          <w:snapToGrid w:val="0"/>
          <w:sz w:val="16"/>
          <w:szCs w:val="16"/>
        </w:rPr>
        <w:t xml:space="preserve"> ist einer der führenden Immobiliendienstleister für den Verkauf und die Vermietung von Gewerbe- und Wohn-Immobilien in Norddeutschland. Mit Hauptsitz in Hamburg, einer Niederlassung in Berlin und insgesamt dreizehn Immobilienshops ist das Unternehmen mit über 190 Mitarbeitern flächendeckend im norddeutschen Markt präsent. Dank seiner über 85-jährigen Erfahrung verfügt Grossmann &amp; Berger über umfassende Immobilienkompetenz.</w:t>
      </w:r>
      <w:r w:rsidR="00875E6D">
        <w:rPr>
          <w:rFonts w:ascii="Arial" w:hAnsi="Arial" w:cs="Arial"/>
          <w:snapToGrid w:val="0"/>
          <w:sz w:val="16"/>
          <w:szCs w:val="16"/>
        </w:rPr>
        <w:t xml:space="preserve"> </w:t>
      </w:r>
      <w:r w:rsidRPr="004E6D73">
        <w:rPr>
          <w:rFonts w:ascii="Arial" w:hAnsi="Arial" w:cs="Arial"/>
          <w:snapToGrid w:val="0"/>
          <w:sz w:val="16"/>
          <w:szCs w:val="16"/>
        </w:rPr>
        <w:t xml:space="preserve">Grossmann &amp; Berger ist ein Beteiligungsunternehmen der HASPA-Gruppe, zu der mit der Hamburger Sparkasse (Haspa) auch Deutschlands größte Sparkasse gehört. Zudem ist das Unternehmen Gründungsmitglied des deutschlandweiten Gewerbeimmobiliennetzwerks </w:t>
      </w:r>
      <w:hyperlink r:id="rId11" w:history="1">
        <w:r w:rsidRPr="00A7546D">
          <w:rPr>
            <w:rStyle w:val="Hyperlink"/>
            <w:rFonts w:ascii="Arial" w:hAnsi="Arial" w:cs="Arial"/>
            <w:snapToGrid w:val="0"/>
            <w:sz w:val="16"/>
            <w:szCs w:val="16"/>
          </w:rPr>
          <w:t>German Property Partners</w:t>
        </w:r>
      </w:hyperlink>
      <w:r w:rsidRPr="004E6D73">
        <w:rPr>
          <w:rFonts w:ascii="Arial" w:hAnsi="Arial" w:cs="Arial"/>
          <w:snapToGrid w:val="0"/>
          <w:sz w:val="16"/>
          <w:szCs w:val="16"/>
        </w:rPr>
        <w:t xml:space="preserve"> (GPP) und der Arbeitsgemeinschaft </w:t>
      </w:r>
      <w:proofErr w:type="spellStart"/>
      <w:r w:rsidRPr="004E6D73">
        <w:rPr>
          <w:rFonts w:ascii="Arial" w:hAnsi="Arial" w:cs="Arial"/>
          <w:snapToGrid w:val="0"/>
          <w:sz w:val="16"/>
          <w:szCs w:val="16"/>
        </w:rPr>
        <w:t>ImmobilienVermittler</w:t>
      </w:r>
      <w:proofErr w:type="spellEnd"/>
      <w:r w:rsidRPr="004E6D73">
        <w:rPr>
          <w:rFonts w:ascii="Arial" w:hAnsi="Arial" w:cs="Arial"/>
          <w:snapToGrid w:val="0"/>
          <w:sz w:val="16"/>
          <w:szCs w:val="16"/>
        </w:rPr>
        <w:t xml:space="preserve"> Banken Bausparkassen e.V. (IVBB).</w:t>
      </w:r>
    </w:p>
    <w:p w14:paraId="4B9A2857" w14:textId="77777777" w:rsidR="0090748B" w:rsidRDefault="0090748B" w:rsidP="000C770D">
      <w:pPr>
        <w:spacing w:after="0" w:line="360" w:lineRule="auto"/>
        <w:rPr>
          <w:rFonts w:ascii="Arial" w:hAnsi="Arial" w:cs="Arial"/>
          <w:sz w:val="20"/>
          <w:szCs w:val="20"/>
        </w:rPr>
      </w:pPr>
    </w:p>
    <w:p w14:paraId="740A65D2" w14:textId="77777777" w:rsidR="003C6AB4" w:rsidRPr="003C6AB4" w:rsidRDefault="003C6AB4" w:rsidP="000C770D">
      <w:pPr>
        <w:spacing w:after="0" w:line="360" w:lineRule="auto"/>
        <w:rPr>
          <w:rFonts w:ascii="Arial" w:hAnsi="Arial" w:cs="Arial"/>
          <w:sz w:val="16"/>
          <w:szCs w:val="16"/>
        </w:rPr>
      </w:pPr>
      <w:r w:rsidRPr="003C6AB4">
        <w:rPr>
          <w:rFonts w:ascii="Arial" w:hAnsi="Arial" w:cs="Arial"/>
          <w:sz w:val="16"/>
          <w:szCs w:val="16"/>
        </w:rPr>
        <w:t xml:space="preserve">Die </w:t>
      </w:r>
      <w:hyperlink r:id="rId12" w:history="1">
        <w:r w:rsidRPr="003C6AB4">
          <w:rPr>
            <w:rStyle w:val="Hyperlink"/>
            <w:rFonts w:ascii="Arial" w:hAnsi="Arial" w:cs="Arial"/>
            <w:sz w:val="16"/>
            <w:szCs w:val="16"/>
          </w:rPr>
          <w:t>Datenschutzrichtlinie</w:t>
        </w:r>
      </w:hyperlink>
      <w:r w:rsidRPr="003C6AB4">
        <w:rPr>
          <w:rFonts w:ascii="Arial" w:hAnsi="Arial" w:cs="Arial"/>
          <w:sz w:val="16"/>
          <w:szCs w:val="16"/>
        </w:rPr>
        <w:t xml:space="preserve"> von Grossmann &amp; Berger finden Sie auf unserer Website. Hier finden Sie auch unsere </w:t>
      </w:r>
      <w:hyperlink r:id="rId13" w:history="1">
        <w:r w:rsidRPr="003C6AB4">
          <w:rPr>
            <w:rStyle w:val="Hyperlink"/>
            <w:rFonts w:ascii="Arial" w:hAnsi="Arial" w:cs="Arial"/>
            <w:sz w:val="16"/>
            <w:szCs w:val="16"/>
          </w:rPr>
          <w:t>Pressemappe</w:t>
        </w:r>
      </w:hyperlink>
      <w:r w:rsidRPr="003C6AB4">
        <w:rPr>
          <w:rFonts w:ascii="Arial" w:hAnsi="Arial" w:cs="Arial"/>
          <w:sz w:val="16"/>
          <w:szCs w:val="16"/>
        </w:rPr>
        <w:t xml:space="preserve"> sowie die dazugehörigen </w:t>
      </w:r>
      <w:hyperlink r:id="rId14" w:history="1">
        <w:r w:rsidRPr="003C6AB4">
          <w:rPr>
            <w:rStyle w:val="Hyperlink"/>
            <w:rFonts w:ascii="Arial" w:hAnsi="Arial" w:cs="Arial"/>
            <w:sz w:val="16"/>
            <w:szCs w:val="16"/>
          </w:rPr>
          <w:t>Nutzungsbedingungen</w:t>
        </w:r>
      </w:hyperlink>
      <w:r w:rsidRPr="003C6AB4">
        <w:rPr>
          <w:rFonts w:ascii="Arial" w:hAnsi="Arial" w:cs="Arial"/>
          <w:sz w:val="16"/>
          <w:szCs w:val="16"/>
        </w:rPr>
        <w:t xml:space="preserve">. Wenn Sie zukünftig keine Informationen unserer Pressestelle mehr erhalten möchten, senden Sie bitte eine E-Mail an </w:t>
      </w:r>
      <w:hyperlink r:id="rId15" w:history="1">
        <w:r w:rsidRPr="003C6AB4">
          <w:rPr>
            <w:rStyle w:val="Hyperlink"/>
            <w:rFonts w:ascii="Arial" w:hAnsi="Arial" w:cs="Arial"/>
            <w:sz w:val="16"/>
            <w:szCs w:val="16"/>
          </w:rPr>
          <w:t>presse@grossmann-berger.de</w:t>
        </w:r>
      </w:hyperlink>
      <w:r w:rsidRPr="003C6AB4">
        <w:rPr>
          <w:rFonts w:ascii="Arial" w:hAnsi="Arial" w:cs="Arial"/>
          <w:sz w:val="16"/>
          <w:szCs w:val="16"/>
        </w:rPr>
        <w:t xml:space="preserve"> mit dem Betreff "</w:t>
      </w:r>
      <w:r w:rsidR="0022086D">
        <w:rPr>
          <w:rFonts w:ascii="Arial" w:hAnsi="Arial" w:cs="Arial"/>
          <w:sz w:val="16"/>
          <w:szCs w:val="16"/>
        </w:rPr>
        <w:t>Abmeldung aus Presseverteiler".</w:t>
      </w:r>
    </w:p>
    <w:p w14:paraId="627835FB" w14:textId="4915D656" w:rsidR="00503D8C" w:rsidRPr="00503D8C" w:rsidRDefault="00503D8C" w:rsidP="00503D8C">
      <w:pPr>
        <w:tabs>
          <w:tab w:val="left" w:pos="2184"/>
          <w:tab w:val="right" w:pos="7056"/>
        </w:tabs>
        <w:textAlignment w:val="baseline"/>
        <w:rPr>
          <w:rFonts w:ascii="Arial" w:hAnsi="Arial" w:cs="Arial"/>
          <w:b/>
          <w:color w:val="000000" w:themeColor="text1"/>
          <w:spacing w:val="20"/>
          <w:sz w:val="20"/>
          <w:szCs w:val="20"/>
        </w:rPr>
      </w:pPr>
    </w:p>
    <w:sectPr w:rsidR="00503D8C" w:rsidRPr="00503D8C"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44BE8" w14:textId="77777777" w:rsidR="00BA1CCA" w:rsidRDefault="00BA1CCA">
      <w:r>
        <w:separator/>
      </w:r>
    </w:p>
  </w:endnote>
  <w:endnote w:type="continuationSeparator" w:id="0">
    <w:p w14:paraId="7ADE9143" w14:textId="77777777" w:rsidR="00BA1CCA" w:rsidRDefault="00BA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Fet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Pr="00D83CB7">
      <w:rPr>
        <w:rFonts w:ascii="Arial" w:hAnsi="Arial" w:cs="Arial"/>
        <w:color w:val="918F90"/>
        <w:sz w:val="18"/>
        <w:szCs w:val="18"/>
      </w:rPr>
      <w:t xml:space="preserve">| </w:t>
    </w:r>
    <w:proofErr w:type="spellStart"/>
    <w:r w:rsidRPr="00D83CB7">
      <w:rPr>
        <w:rFonts w:ascii="Arial" w:hAnsi="Arial" w:cs="Arial"/>
        <w:color w:val="918F90"/>
        <w:sz w:val="18"/>
        <w:szCs w:val="18"/>
      </w:rPr>
      <w:t>Bleichenbrücke</w:t>
    </w:r>
    <w:proofErr w:type="spellEnd"/>
    <w:r w:rsidRPr="00D83CB7">
      <w:rPr>
        <w:rFonts w:ascii="Arial" w:hAnsi="Arial" w:cs="Arial"/>
        <w:color w:val="918F90"/>
        <w:sz w:val="18"/>
        <w:szCs w:val="18"/>
      </w:rPr>
      <w:t xml:space="preserve"> 9 | D-20354 Hamburg | Tel. +49 (0)40/350 80 2-0 | www.grossmann-berger.de</w:t>
    </w:r>
  </w:p>
  <w:p w14:paraId="5440A7EF" w14:textId="540B74AD"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D13AAA">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D13AAA">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610BC" w14:textId="77777777" w:rsidR="00BA1CCA" w:rsidRDefault="00BA1CCA">
      <w:r>
        <w:separator/>
      </w:r>
    </w:p>
  </w:footnote>
  <w:footnote w:type="continuationSeparator" w:id="0">
    <w:p w14:paraId="6677457A" w14:textId="77777777" w:rsidR="00BA1CCA" w:rsidRDefault="00BA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7482C223" w:rsidR="006138CB" w:rsidRPr="009E3ADA" w:rsidRDefault="00096455" w:rsidP="006138CB">
    <w:pPr>
      <w:jc w:val="right"/>
      <w:rPr>
        <w:rFonts w:ascii="Arial" w:hAnsi="Arial" w:cs="Arial"/>
        <w:color w:val="918F90"/>
        <w:sz w:val="28"/>
        <w:szCs w:val="28"/>
      </w:rPr>
    </w:pPr>
    <w:r>
      <w:rPr>
        <w:rFonts w:ascii="Times New Roman" w:hAnsi="Times New Roman"/>
        <w:noProof/>
        <w:lang w:eastAsia="de-DE"/>
      </w:rPr>
      <mc:AlternateContent>
        <mc:Choice Requires="wps">
          <w:drawing>
            <wp:anchor distT="0" distB="0" distL="114300" distR="114300" simplePos="0" relativeHeight="251667456" behindDoc="0" locked="0" layoutInCell="1" allowOverlap="1" wp14:anchorId="575EA596" wp14:editId="373EF147">
              <wp:simplePos x="0" y="0"/>
              <wp:positionH relativeFrom="margin">
                <wp:posOffset>-79623</wp:posOffset>
              </wp:positionH>
              <wp:positionV relativeFrom="paragraph">
                <wp:posOffset>0</wp:posOffset>
              </wp:positionV>
              <wp:extent cx="4779010" cy="281940"/>
              <wp:effectExtent l="0" t="0" r="0"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12A58F9A" w14:textId="440A24F1" w:rsidR="00096455" w:rsidRDefault="00096455" w:rsidP="00096455">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4E6D73">
                            <w:rPr>
                              <w:rFonts w:ascii="Arial" w:hAnsi="Arial" w:cs="Arial"/>
                              <w:sz w:val="16"/>
                              <w:szCs w:val="16"/>
                            </w:rPr>
                            <w:t>Berit Friedrich | Telefon: +49 (0)40/350 80 2-620 | b.friedrich@grossmann-berger.de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EA596" id="_x0000_t202" coordsize="21600,21600" o:spt="202" path="m,l,21600r21600,l21600,xe">
              <v:stroke joinstyle="miter"/>
              <v:path gradientshapeok="t" o:connecttype="rect"/>
            </v:shapetype>
            <v:shape id="Textfeld 2" o:spid="_x0000_s1026" type="#_x0000_t202" style="position:absolute;left:0;text-align:left;margin-left:-6.25pt;margin-top:0;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" filled="f" stroked="f">
              <v:textbox>
                <w:txbxContent>
                  <w:p w14:paraId="12A58F9A" w14:textId="440A24F1" w:rsidR="00096455" w:rsidRDefault="00096455" w:rsidP="00096455">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4E6D73">
                      <w:rPr>
                        <w:rFonts w:ascii="Arial" w:hAnsi="Arial" w:cs="Arial"/>
                        <w:sz w:val="16"/>
                        <w:szCs w:val="16"/>
                      </w:rPr>
                      <w:t>Berit Friedrich | Telefon: +49 (0)40/350 80 2-620 | b.friedrich@grossmann-berger.de</w:t>
                    </w:r>
                  </w:p>
                </w:txbxContent>
              </v:textbox>
              <w10:wrap anchorx="margin"/>
            </v:shape>
          </w:pict>
        </mc:Fallback>
      </mc:AlternateContent>
    </w:r>
    <w:r w:rsidR="00D04BA2">
      <w:rPr>
        <w:rFonts w:ascii="Arial" w:hAnsi="Arial" w:cs="Arial"/>
        <w:color w:val="918F90"/>
        <w:sz w:val="28"/>
        <w:szCs w:val="28"/>
      </w:rPr>
      <w:t>Pressemitteilung</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0DBA638D" w:rsidR="00D83CB7" w:rsidRDefault="00A92A2F" w:rsidP="000C770D">
    <w:pPr>
      <w:jc w:val="right"/>
      <w:rPr>
        <w:rFonts w:ascii="Arial" w:hAnsi="Arial" w:cs="Arial"/>
        <w:color w:val="918F90"/>
        <w:sz w:val="28"/>
        <w:szCs w:val="28"/>
      </w:rPr>
    </w:pPr>
    <w:r>
      <w:rPr>
        <w:rFonts w:ascii="Times New Roman" w:hAnsi="Times New Roman"/>
        <w:noProof/>
        <w:lang w:eastAsia="de-DE"/>
      </w:rPr>
      <mc:AlternateContent>
        <mc:Choice Requires="wps">
          <w:drawing>
            <wp:anchor distT="0" distB="0" distL="114300" distR="114300" simplePos="0" relativeHeight="251665408" behindDoc="0" locked="0" layoutInCell="1" allowOverlap="1" wp14:anchorId="7756ED11" wp14:editId="1734AD19">
              <wp:simplePos x="0" y="0"/>
              <wp:positionH relativeFrom="margin">
                <wp:posOffset>-100966</wp:posOffset>
              </wp:positionH>
              <wp:positionV relativeFrom="paragraph">
                <wp:posOffset>11430</wp:posOffset>
              </wp:positionV>
              <wp:extent cx="4905375"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81940"/>
                      </a:xfrm>
                      <a:prstGeom prst="rect">
                        <a:avLst/>
                      </a:prstGeom>
                      <a:noFill/>
                      <a:ln w="9525">
                        <a:noFill/>
                        <a:miter lim="800000"/>
                        <a:headEnd/>
                        <a:tailEnd/>
                      </a:ln>
                    </wps:spPr>
                    <wps:txbx>
                      <w:txbxContent>
                        <w:p w14:paraId="5CD1A4B4" w14:textId="4D6E9515" w:rsidR="00A92A2F" w:rsidRDefault="00A92A2F" w:rsidP="00A92A2F">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4E6D73">
                            <w:rPr>
                              <w:rFonts w:ascii="Arial" w:hAnsi="Arial" w:cs="Arial"/>
                              <w:sz w:val="16"/>
                              <w:szCs w:val="16"/>
                            </w:rPr>
                            <w:t>Berit Friedrich</w:t>
                          </w:r>
                          <w:r>
                            <w:rPr>
                              <w:rFonts w:ascii="Arial" w:hAnsi="Arial" w:cs="Arial"/>
                              <w:sz w:val="16"/>
                              <w:szCs w:val="16"/>
                            </w:rPr>
                            <w:t xml:space="preserve"> | Telefon: +49 (0)40/350 80 2-</w:t>
                          </w:r>
                          <w:r w:rsidR="004E6D73">
                            <w:rPr>
                              <w:rFonts w:ascii="Arial" w:hAnsi="Arial" w:cs="Arial"/>
                              <w:sz w:val="16"/>
                              <w:szCs w:val="16"/>
                            </w:rPr>
                            <w:t>620</w:t>
                          </w:r>
                          <w:r w:rsidR="00096455">
                            <w:rPr>
                              <w:rFonts w:ascii="Arial" w:hAnsi="Arial" w:cs="Arial"/>
                              <w:sz w:val="16"/>
                              <w:szCs w:val="16"/>
                            </w:rPr>
                            <w:t xml:space="preserve"> | b</w:t>
                          </w:r>
                          <w:r>
                            <w:rPr>
                              <w:rFonts w:ascii="Arial" w:hAnsi="Arial" w:cs="Arial"/>
                              <w:sz w:val="16"/>
                              <w:szCs w:val="16"/>
                            </w:rPr>
                            <w:t>.f</w:t>
                          </w:r>
                          <w:r w:rsidR="004E6D73">
                            <w:rPr>
                              <w:rFonts w:ascii="Arial" w:hAnsi="Arial" w:cs="Arial"/>
                              <w:sz w:val="16"/>
                              <w:szCs w:val="16"/>
                            </w:rPr>
                            <w:t>riedrich</w:t>
                          </w:r>
                          <w:r>
                            <w:rPr>
                              <w:rFonts w:ascii="Arial" w:hAnsi="Arial" w:cs="Arial"/>
                              <w:sz w:val="16"/>
                              <w:szCs w:val="16"/>
                            </w:rPr>
                            <w:t>@grossmann-berger.de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6ED11" id="_x0000_t202" coordsize="21600,21600" o:spt="202" path="m,l,21600r21600,l21600,xe">
              <v:stroke joinstyle="miter"/>
              <v:path gradientshapeok="t" o:connecttype="rect"/>
            </v:shapetype>
            <v:shape id="Textfeld 3" o:spid="_x0000_s1027" type="#_x0000_t202" style="position:absolute;left:0;text-align:left;margin-left:-7.95pt;margin-top:.9pt;width:386.2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" filled="f" stroked="f">
              <v:textbox>
                <w:txbxContent>
                  <w:p w14:paraId="5CD1A4B4" w14:textId="4D6E9515" w:rsidR="00A92A2F" w:rsidRDefault="00A92A2F" w:rsidP="00A92A2F">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4E6D73">
                      <w:rPr>
                        <w:rFonts w:ascii="Arial" w:hAnsi="Arial" w:cs="Arial"/>
                        <w:sz w:val="16"/>
                        <w:szCs w:val="16"/>
                      </w:rPr>
                      <w:t>Berit Friedrich</w:t>
                    </w:r>
                    <w:r>
                      <w:rPr>
                        <w:rFonts w:ascii="Arial" w:hAnsi="Arial" w:cs="Arial"/>
                        <w:sz w:val="16"/>
                        <w:szCs w:val="16"/>
                      </w:rPr>
                      <w:t xml:space="preserve"> | Telefon: +49 (0)40/350 80 2-</w:t>
                    </w:r>
                    <w:r w:rsidR="004E6D73">
                      <w:rPr>
                        <w:rFonts w:ascii="Arial" w:hAnsi="Arial" w:cs="Arial"/>
                        <w:sz w:val="16"/>
                        <w:szCs w:val="16"/>
                      </w:rPr>
                      <w:t>620</w:t>
                    </w:r>
                    <w:r w:rsidR="00096455">
                      <w:rPr>
                        <w:rFonts w:ascii="Arial" w:hAnsi="Arial" w:cs="Arial"/>
                        <w:sz w:val="16"/>
                        <w:szCs w:val="16"/>
                      </w:rPr>
                      <w:t xml:space="preserve"> | b</w:t>
                    </w:r>
                    <w:r>
                      <w:rPr>
                        <w:rFonts w:ascii="Arial" w:hAnsi="Arial" w:cs="Arial"/>
                        <w:sz w:val="16"/>
                        <w:szCs w:val="16"/>
                      </w:rPr>
                      <w:t>.f</w:t>
                    </w:r>
                    <w:r w:rsidR="004E6D73">
                      <w:rPr>
                        <w:rFonts w:ascii="Arial" w:hAnsi="Arial" w:cs="Arial"/>
                        <w:sz w:val="16"/>
                        <w:szCs w:val="16"/>
                      </w:rPr>
                      <w:t>riedrich</w:t>
                    </w:r>
                    <w:r>
                      <w:rPr>
                        <w:rFonts w:ascii="Arial" w:hAnsi="Arial" w:cs="Arial"/>
                        <w:sz w:val="16"/>
                        <w:szCs w:val="16"/>
                      </w:rPr>
                      <w:t>@grossmann-berger.de</w:t>
                    </w:r>
                  </w:p>
                </w:txbxContent>
              </v:textbox>
              <w10:wrap anchorx="margin"/>
            </v:shape>
          </w:pict>
        </mc:Fallback>
      </mc:AlternateContent>
    </w:r>
    <w:r w:rsidR="00D04BA2">
      <w:rPr>
        <w:rFonts w:ascii="Arial" w:hAnsi="Arial" w:cs="Arial"/>
        <w:color w:val="918F90"/>
        <w:sz w:val="28"/>
        <w:szCs w:val="28"/>
      </w:rPr>
      <w:t>Pressemitteilung</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428" w:hanging="360"/>
      </w:pPr>
      <w:rPr>
        <w:rFonts w:ascii="Symbol" w:hAnsi="Symbol" w:hint="default"/>
      </w:rPr>
    </w:lvl>
    <w:lvl w:ilvl="1" w:tplc="04070003" w:tentative="1">
      <w:start w:val="1"/>
      <w:numFmt w:val="bullet"/>
      <w:lvlText w:val="o"/>
      <w:lvlJc w:val="left"/>
      <w:pPr>
        <w:ind w:left="1148" w:hanging="360"/>
      </w:pPr>
      <w:rPr>
        <w:rFonts w:ascii="Courier New" w:hAnsi="Courier New" w:cs="Courier New" w:hint="default"/>
      </w:rPr>
    </w:lvl>
    <w:lvl w:ilvl="2" w:tplc="04070005" w:tentative="1">
      <w:start w:val="1"/>
      <w:numFmt w:val="bullet"/>
      <w:lvlText w:val=""/>
      <w:lvlJc w:val="left"/>
      <w:pPr>
        <w:ind w:left="1868" w:hanging="360"/>
      </w:pPr>
      <w:rPr>
        <w:rFonts w:ascii="Wingdings" w:hAnsi="Wingdings" w:hint="default"/>
      </w:rPr>
    </w:lvl>
    <w:lvl w:ilvl="3" w:tplc="04070001" w:tentative="1">
      <w:start w:val="1"/>
      <w:numFmt w:val="bullet"/>
      <w:lvlText w:val=""/>
      <w:lvlJc w:val="left"/>
      <w:pPr>
        <w:ind w:left="2588" w:hanging="360"/>
      </w:pPr>
      <w:rPr>
        <w:rFonts w:ascii="Symbol" w:hAnsi="Symbol" w:hint="default"/>
      </w:rPr>
    </w:lvl>
    <w:lvl w:ilvl="4" w:tplc="04070003" w:tentative="1">
      <w:start w:val="1"/>
      <w:numFmt w:val="bullet"/>
      <w:lvlText w:val="o"/>
      <w:lvlJc w:val="left"/>
      <w:pPr>
        <w:ind w:left="3308" w:hanging="360"/>
      </w:pPr>
      <w:rPr>
        <w:rFonts w:ascii="Courier New" w:hAnsi="Courier New" w:cs="Courier New" w:hint="default"/>
      </w:rPr>
    </w:lvl>
    <w:lvl w:ilvl="5" w:tplc="04070005" w:tentative="1">
      <w:start w:val="1"/>
      <w:numFmt w:val="bullet"/>
      <w:lvlText w:val=""/>
      <w:lvlJc w:val="left"/>
      <w:pPr>
        <w:ind w:left="4028" w:hanging="360"/>
      </w:pPr>
      <w:rPr>
        <w:rFonts w:ascii="Wingdings" w:hAnsi="Wingdings" w:hint="default"/>
      </w:rPr>
    </w:lvl>
    <w:lvl w:ilvl="6" w:tplc="04070001" w:tentative="1">
      <w:start w:val="1"/>
      <w:numFmt w:val="bullet"/>
      <w:lvlText w:val=""/>
      <w:lvlJc w:val="left"/>
      <w:pPr>
        <w:ind w:left="4748" w:hanging="360"/>
      </w:pPr>
      <w:rPr>
        <w:rFonts w:ascii="Symbol" w:hAnsi="Symbol" w:hint="default"/>
      </w:rPr>
    </w:lvl>
    <w:lvl w:ilvl="7" w:tplc="04070003" w:tentative="1">
      <w:start w:val="1"/>
      <w:numFmt w:val="bullet"/>
      <w:lvlText w:val="o"/>
      <w:lvlJc w:val="left"/>
      <w:pPr>
        <w:ind w:left="5468" w:hanging="360"/>
      </w:pPr>
      <w:rPr>
        <w:rFonts w:ascii="Courier New" w:hAnsi="Courier New" w:cs="Courier New" w:hint="default"/>
      </w:rPr>
    </w:lvl>
    <w:lvl w:ilvl="8" w:tplc="04070005" w:tentative="1">
      <w:start w:val="1"/>
      <w:numFmt w:val="bullet"/>
      <w:lvlText w:val=""/>
      <w:lvlJc w:val="left"/>
      <w:pPr>
        <w:ind w:left="6188" w:hanging="360"/>
      </w:pPr>
      <w:rPr>
        <w:rFonts w:ascii="Wingdings" w:hAnsi="Wingdings" w:hint="default"/>
      </w:rPr>
    </w:lvl>
  </w:abstractNum>
  <w:abstractNum w:abstractNumId="12"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3938"/>
    <w:rsid w:val="000159FE"/>
    <w:rsid w:val="00015DB5"/>
    <w:rsid w:val="000174D5"/>
    <w:rsid w:val="00022F16"/>
    <w:rsid w:val="00023D78"/>
    <w:rsid w:val="0003075C"/>
    <w:rsid w:val="00033721"/>
    <w:rsid w:val="000427B8"/>
    <w:rsid w:val="00052064"/>
    <w:rsid w:val="00060743"/>
    <w:rsid w:val="00066796"/>
    <w:rsid w:val="000766D7"/>
    <w:rsid w:val="0007670A"/>
    <w:rsid w:val="00082409"/>
    <w:rsid w:val="00096455"/>
    <w:rsid w:val="000A5ED1"/>
    <w:rsid w:val="000B1606"/>
    <w:rsid w:val="000B3315"/>
    <w:rsid w:val="000C7428"/>
    <w:rsid w:val="000C770D"/>
    <w:rsid w:val="000D000B"/>
    <w:rsid w:val="000E03F3"/>
    <w:rsid w:val="000E7BC7"/>
    <w:rsid w:val="00100318"/>
    <w:rsid w:val="001029C4"/>
    <w:rsid w:val="00102BA7"/>
    <w:rsid w:val="0011486D"/>
    <w:rsid w:val="00121E33"/>
    <w:rsid w:val="00122EC5"/>
    <w:rsid w:val="00126550"/>
    <w:rsid w:val="001324D6"/>
    <w:rsid w:val="00135BD2"/>
    <w:rsid w:val="00135E09"/>
    <w:rsid w:val="001532D3"/>
    <w:rsid w:val="00154825"/>
    <w:rsid w:val="0017364E"/>
    <w:rsid w:val="0017516B"/>
    <w:rsid w:val="00176F1D"/>
    <w:rsid w:val="0018068D"/>
    <w:rsid w:val="00184637"/>
    <w:rsid w:val="001871BC"/>
    <w:rsid w:val="00196F91"/>
    <w:rsid w:val="001A108C"/>
    <w:rsid w:val="001A2ABE"/>
    <w:rsid w:val="001A360C"/>
    <w:rsid w:val="001B219C"/>
    <w:rsid w:val="001B72F5"/>
    <w:rsid w:val="001B7612"/>
    <w:rsid w:val="001C4C33"/>
    <w:rsid w:val="001D14DA"/>
    <w:rsid w:val="001D43BB"/>
    <w:rsid w:val="001E1172"/>
    <w:rsid w:val="001E6995"/>
    <w:rsid w:val="001F1513"/>
    <w:rsid w:val="001F3124"/>
    <w:rsid w:val="00205769"/>
    <w:rsid w:val="00212FEC"/>
    <w:rsid w:val="002131BB"/>
    <w:rsid w:val="0022086D"/>
    <w:rsid w:val="00223C70"/>
    <w:rsid w:val="00227E31"/>
    <w:rsid w:val="00230F81"/>
    <w:rsid w:val="002316C0"/>
    <w:rsid w:val="002341EE"/>
    <w:rsid w:val="00237341"/>
    <w:rsid w:val="00254C6F"/>
    <w:rsid w:val="00255679"/>
    <w:rsid w:val="002601F6"/>
    <w:rsid w:val="0027266B"/>
    <w:rsid w:val="00281E80"/>
    <w:rsid w:val="002834B0"/>
    <w:rsid w:val="00283671"/>
    <w:rsid w:val="00284A5D"/>
    <w:rsid w:val="00284E27"/>
    <w:rsid w:val="0028637F"/>
    <w:rsid w:val="00287698"/>
    <w:rsid w:val="00294B7D"/>
    <w:rsid w:val="002A1973"/>
    <w:rsid w:val="002B14F6"/>
    <w:rsid w:val="002C055A"/>
    <w:rsid w:val="002C2392"/>
    <w:rsid w:val="002D1C5C"/>
    <w:rsid w:val="002D1E20"/>
    <w:rsid w:val="002E6860"/>
    <w:rsid w:val="002E7F4A"/>
    <w:rsid w:val="002F0411"/>
    <w:rsid w:val="002F767E"/>
    <w:rsid w:val="00301F3A"/>
    <w:rsid w:val="003136B4"/>
    <w:rsid w:val="003246F0"/>
    <w:rsid w:val="00325E2A"/>
    <w:rsid w:val="003272F3"/>
    <w:rsid w:val="00345716"/>
    <w:rsid w:val="0034786C"/>
    <w:rsid w:val="003517C9"/>
    <w:rsid w:val="00357EC4"/>
    <w:rsid w:val="00361519"/>
    <w:rsid w:val="003627E1"/>
    <w:rsid w:val="00365AF8"/>
    <w:rsid w:val="00370000"/>
    <w:rsid w:val="00373507"/>
    <w:rsid w:val="0038230E"/>
    <w:rsid w:val="00382529"/>
    <w:rsid w:val="003A00C9"/>
    <w:rsid w:val="003A25A4"/>
    <w:rsid w:val="003B0179"/>
    <w:rsid w:val="003B49E4"/>
    <w:rsid w:val="003B4CCF"/>
    <w:rsid w:val="003B6CD4"/>
    <w:rsid w:val="003B6FE1"/>
    <w:rsid w:val="003C6AB4"/>
    <w:rsid w:val="003D35C8"/>
    <w:rsid w:val="003E099F"/>
    <w:rsid w:val="003E4DF9"/>
    <w:rsid w:val="003F665D"/>
    <w:rsid w:val="0040086D"/>
    <w:rsid w:val="004017D8"/>
    <w:rsid w:val="00411E03"/>
    <w:rsid w:val="004123B1"/>
    <w:rsid w:val="0041456E"/>
    <w:rsid w:val="00420B6A"/>
    <w:rsid w:val="004303A1"/>
    <w:rsid w:val="0043632F"/>
    <w:rsid w:val="00440DC9"/>
    <w:rsid w:val="004440A6"/>
    <w:rsid w:val="004450C4"/>
    <w:rsid w:val="004506D2"/>
    <w:rsid w:val="0045101E"/>
    <w:rsid w:val="00456F40"/>
    <w:rsid w:val="004609BD"/>
    <w:rsid w:val="004661EE"/>
    <w:rsid w:val="00466741"/>
    <w:rsid w:val="00470064"/>
    <w:rsid w:val="004A2BEA"/>
    <w:rsid w:val="004A3C64"/>
    <w:rsid w:val="004A5AEA"/>
    <w:rsid w:val="004B2FDA"/>
    <w:rsid w:val="004B480A"/>
    <w:rsid w:val="004C0CA2"/>
    <w:rsid w:val="004C4111"/>
    <w:rsid w:val="004C63A9"/>
    <w:rsid w:val="004D50C0"/>
    <w:rsid w:val="004D772A"/>
    <w:rsid w:val="004E339B"/>
    <w:rsid w:val="004E4273"/>
    <w:rsid w:val="004E4562"/>
    <w:rsid w:val="004E5647"/>
    <w:rsid w:val="004E6D73"/>
    <w:rsid w:val="004F077F"/>
    <w:rsid w:val="005023DD"/>
    <w:rsid w:val="00503D8C"/>
    <w:rsid w:val="00520CDE"/>
    <w:rsid w:val="00522B84"/>
    <w:rsid w:val="00531A7F"/>
    <w:rsid w:val="00534BAD"/>
    <w:rsid w:val="005360E8"/>
    <w:rsid w:val="005428C5"/>
    <w:rsid w:val="00543C55"/>
    <w:rsid w:val="00546437"/>
    <w:rsid w:val="0055393B"/>
    <w:rsid w:val="005554C7"/>
    <w:rsid w:val="00556F58"/>
    <w:rsid w:val="00567D57"/>
    <w:rsid w:val="00582B99"/>
    <w:rsid w:val="00587525"/>
    <w:rsid w:val="00590903"/>
    <w:rsid w:val="00591461"/>
    <w:rsid w:val="00595AB2"/>
    <w:rsid w:val="005A617A"/>
    <w:rsid w:val="005B0FC9"/>
    <w:rsid w:val="005B3674"/>
    <w:rsid w:val="005B66D3"/>
    <w:rsid w:val="005C4556"/>
    <w:rsid w:val="005C5302"/>
    <w:rsid w:val="005D244B"/>
    <w:rsid w:val="005D307B"/>
    <w:rsid w:val="005D581F"/>
    <w:rsid w:val="005E362E"/>
    <w:rsid w:val="005E733E"/>
    <w:rsid w:val="005F7593"/>
    <w:rsid w:val="006029D7"/>
    <w:rsid w:val="00606A8B"/>
    <w:rsid w:val="0061109D"/>
    <w:rsid w:val="00612AA0"/>
    <w:rsid w:val="006131CF"/>
    <w:rsid w:val="006138CB"/>
    <w:rsid w:val="006222FC"/>
    <w:rsid w:val="006224C4"/>
    <w:rsid w:val="006225EA"/>
    <w:rsid w:val="006261DF"/>
    <w:rsid w:val="00641270"/>
    <w:rsid w:val="00642074"/>
    <w:rsid w:val="006424F8"/>
    <w:rsid w:val="0065652E"/>
    <w:rsid w:val="0066304D"/>
    <w:rsid w:val="00681CAB"/>
    <w:rsid w:val="006842EF"/>
    <w:rsid w:val="00692FD0"/>
    <w:rsid w:val="00695E58"/>
    <w:rsid w:val="0069757D"/>
    <w:rsid w:val="006A1329"/>
    <w:rsid w:val="006A66F9"/>
    <w:rsid w:val="006D024C"/>
    <w:rsid w:val="006E5C9C"/>
    <w:rsid w:val="006F1265"/>
    <w:rsid w:val="006F1774"/>
    <w:rsid w:val="007110EE"/>
    <w:rsid w:val="00713D81"/>
    <w:rsid w:val="00717A20"/>
    <w:rsid w:val="00720DFF"/>
    <w:rsid w:val="00730E23"/>
    <w:rsid w:val="00746A51"/>
    <w:rsid w:val="00762CC5"/>
    <w:rsid w:val="00770F73"/>
    <w:rsid w:val="007770CD"/>
    <w:rsid w:val="00786F07"/>
    <w:rsid w:val="007906B4"/>
    <w:rsid w:val="007970A0"/>
    <w:rsid w:val="007A3353"/>
    <w:rsid w:val="007B215B"/>
    <w:rsid w:val="007B4617"/>
    <w:rsid w:val="007B78E0"/>
    <w:rsid w:val="007E759D"/>
    <w:rsid w:val="007F2DBE"/>
    <w:rsid w:val="007F33B6"/>
    <w:rsid w:val="007F468E"/>
    <w:rsid w:val="007F642D"/>
    <w:rsid w:val="007F756A"/>
    <w:rsid w:val="00800409"/>
    <w:rsid w:val="00810D6D"/>
    <w:rsid w:val="00812471"/>
    <w:rsid w:val="008154E9"/>
    <w:rsid w:val="00816900"/>
    <w:rsid w:val="00816F8E"/>
    <w:rsid w:val="008261A5"/>
    <w:rsid w:val="0083382E"/>
    <w:rsid w:val="00834913"/>
    <w:rsid w:val="00855325"/>
    <w:rsid w:val="00856EB5"/>
    <w:rsid w:val="0086016E"/>
    <w:rsid w:val="00862E34"/>
    <w:rsid w:val="00865915"/>
    <w:rsid w:val="00871832"/>
    <w:rsid w:val="00875E6D"/>
    <w:rsid w:val="00875E9B"/>
    <w:rsid w:val="00886CCE"/>
    <w:rsid w:val="008942C6"/>
    <w:rsid w:val="00895710"/>
    <w:rsid w:val="00896B33"/>
    <w:rsid w:val="008A62FB"/>
    <w:rsid w:val="008A77B7"/>
    <w:rsid w:val="008B0F67"/>
    <w:rsid w:val="008B54DD"/>
    <w:rsid w:val="008C5A51"/>
    <w:rsid w:val="008C608D"/>
    <w:rsid w:val="008D4869"/>
    <w:rsid w:val="008E461D"/>
    <w:rsid w:val="008E7AA2"/>
    <w:rsid w:val="008E7E2C"/>
    <w:rsid w:val="008F08E5"/>
    <w:rsid w:val="008F0EA4"/>
    <w:rsid w:val="008F38F6"/>
    <w:rsid w:val="008F4684"/>
    <w:rsid w:val="008F5213"/>
    <w:rsid w:val="009000CF"/>
    <w:rsid w:val="0090748B"/>
    <w:rsid w:val="009136FB"/>
    <w:rsid w:val="00920C9C"/>
    <w:rsid w:val="00922754"/>
    <w:rsid w:val="00925781"/>
    <w:rsid w:val="009258D0"/>
    <w:rsid w:val="009330E4"/>
    <w:rsid w:val="00935AB3"/>
    <w:rsid w:val="009567E0"/>
    <w:rsid w:val="009646C4"/>
    <w:rsid w:val="009734CE"/>
    <w:rsid w:val="009752FE"/>
    <w:rsid w:val="0098460C"/>
    <w:rsid w:val="0099413E"/>
    <w:rsid w:val="00996E1A"/>
    <w:rsid w:val="00997778"/>
    <w:rsid w:val="009A18DE"/>
    <w:rsid w:val="009A4A25"/>
    <w:rsid w:val="009B4392"/>
    <w:rsid w:val="009B7D09"/>
    <w:rsid w:val="009D24DA"/>
    <w:rsid w:val="009D5D75"/>
    <w:rsid w:val="009E0C0B"/>
    <w:rsid w:val="009F32A2"/>
    <w:rsid w:val="009F54CE"/>
    <w:rsid w:val="00A06264"/>
    <w:rsid w:val="00A116BB"/>
    <w:rsid w:val="00A1639A"/>
    <w:rsid w:val="00A215C9"/>
    <w:rsid w:val="00A24152"/>
    <w:rsid w:val="00A243C7"/>
    <w:rsid w:val="00A51563"/>
    <w:rsid w:val="00A5364B"/>
    <w:rsid w:val="00A56D22"/>
    <w:rsid w:val="00A615E0"/>
    <w:rsid w:val="00A65E2B"/>
    <w:rsid w:val="00A71F24"/>
    <w:rsid w:val="00A74AA0"/>
    <w:rsid w:val="00A7546D"/>
    <w:rsid w:val="00A77100"/>
    <w:rsid w:val="00A826E0"/>
    <w:rsid w:val="00A92A2F"/>
    <w:rsid w:val="00AA08C9"/>
    <w:rsid w:val="00AA20ED"/>
    <w:rsid w:val="00AA4D97"/>
    <w:rsid w:val="00AD17B7"/>
    <w:rsid w:val="00AD63A8"/>
    <w:rsid w:val="00AF08D2"/>
    <w:rsid w:val="00AF25CA"/>
    <w:rsid w:val="00AF35F8"/>
    <w:rsid w:val="00B00CAB"/>
    <w:rsid w:val="00B04687"/>
    <w:rsid w:val="00B0679A"/>
    <w:rsid w:val="00B069C5"/>
    <w:rsid w:val="00B06D1B"/>
    <w:rsid w:val="00B077D5"/>
    <w:rsid w:val="00B16A78"/>
    <w:rsid w:val="00B200E4"/>
    <w:rsid w:val="00B26FFD"/>
    <w:rsid w:val="00B35B6D"/>
    <w:rsid w:val="00B35DC6"/>
    <w:rsid w:val="00B36C47"/>
    <w:rsid w:val="00B4487B"/>
    <w:rsid w:val="00B470B1"/>
    <w:rsid w:val="00B51699"/>
    <w:rsid w:val="00B53FAF"/>
    <w:rsid w:val="00B63153"/>
    <w:rsid w:val="00B6527D"/>
    <w:rsid w:val="00B73B3A"/>
    <w:rsid w:val="00B74507"/>
    <w:rsid w:val="00B75718"/>
    <w:rsid w:val="00B75E7E"/>
    <w:rsid w:val="00B93817"/>
    <w:rsid w:val="00B9391B"/>
    <w:rsid w:val="00B9682D"/>
    <w:rsid w:val="00BA0B96"/>
    <w:rsid w:val="00BA1CCA"/>
    <w:rsid w:val="00BB15DA"/>
    <w:rsid w:val="00BB340D"/>
    <w:rsid w:val="00BB6A98"/>
    <w:rsid w:val="00BC0349"/>
    <w:rsid w:val="00BC2A3A"/>
    <w:rsid w:val="00BC64EC"/>
    <w:rsid w:val="00BD04EE"/>
    <w:rsid w:val="00BD073D"/>
    <w:rsid w:val="00BE4198"/>
    <w:rsid w:val="00BF3AFD"/>
    <w:rsid w:val="00BF539F"/>
    <w:rsid w:val="00C05974"/>
    <w:rsid w:val="00C13DB2"/>
    <w:rsid w:val="00C1606C"/>
    <w:rsid w:val="00C21FA5"/>
    <w:rsid w:val="00C23180"/>
    <w:rsid w:val="00C23A88"/>
    <w:rsid w:val="00C26F94"/>
    <w:rsid w:val="00C41492"/>
    <w:rsid w:val="00C502EC"/>
    <w:rsid w:val="00C50874"/>
    <w:rsid w:val="00C702B5"/>
    <w:rsid w:val="00C70389"/>
    <w:rsid w:val="00C71BAA"/>
    <w:rsid w:val="00C8045D"/>
    <w:rsid w:val="00C904B6"/>
    <w:rsid w:val="00C90A75"/>
    <w:rsid w:val="00C96DF4"/>
    <w:rsid w:val="00CA3FA0"/>
    <w:rsid w:val="00CA6A66"/>
    <w:rsid w:val="00CB5310"/>
    <w:rsid w:val="00CC1337"/>
    <w:rsid w:val="00CC2514"/>
    <w:rsid w:val="00CC48DF"/>
    <w:rsid w:val="00CD4A91"/>
    <w:rsid w:val="00CD70E7"/>
    <w:rsid w:val="00CD7363"/>
    <w:rsid w:val="00CE0964"/>
    <w:rsid w:val="00CE0C1F"/>
    <w:rsid w:val="00CE455F"/>
    <w:rsid w:val="00CE74B4"/>
    <w:rsid w:val="00CF0BF9"/>
    <w:rsid w:val="00CF5957"/>
    <w:rsid w:val="00D04BA2"/>
    <w:rsid w:val="00D073F3"/>
    <w:rsid w:val="00D077B0"/>
    <w:rsid w:val="00D13AAA"/>
    <w:rsid w:val="00D21811"/>
    <w:rsid w:val="00D22D42"/>
    <w:rsid w:val="00D36D8D"/>
    <w:rsid w:val="00D45711"/>
    <w:rsid w:val="00D500FC"/>
    <w:rsid w:val="00D51597"/>
    <w:rsid w:val="00D5326E"/>
    <w:rsid w:val="00D550B6"/>
    <w:rsid w:val="00D55867"/>
    <w:rsid w:val="00D634A3"/>
    <w:rsid w:val="00D72339"/>
    <w:rsid w:val="00D73752"/>
    <w:rsid w:val="00D73E47"/>
    <w:rsid w:val="00D74ABB"/>
    <w:rsid w:val="00D83CB7"/>
    <w:rsid w:val="00D841C3"/>
    <w:rsid w:val="00D90EF0"/>
    <w:rsid w:val="00D97FA8"/>
    <w:rsid w:val="00DB4363"/>
    <w:rsid w:val="00DC7B25"/>
    <w:rsid w:val="00DD6B73"/>
    <w:rsid w:val="00DE23F8"/>
    <w:rsid w:val="00DE7CC2"/>
    <w:rsid w:val="00E05CF6"/>
    <w:rsid w:val="00E112C9"/>
    <w:rsid w:val="00E1314C"/>
    <w:rsid w:val="00E1537F"/>
    <w:rsid w:val="00E158F7"/>
    <w:rsid w:val="00E2087E"/>
    <w:rsid w:val="00E2636D"/>
    <w:rsid w:val="00E34976"/>
    <w:rsid w:val="00E36818"/>
    <w:rsid w:val="00E47B97"/>
    <w:rsid w:val="00E5203C"/>
    <w:rsid w:val="00E634CC"/>
    <w:rsid w:val="00E82F0E"/>
    <w:rsid w:val="00E95F89"/>
    <w:rsid w:val="00E96FAC"/>
    <w:rsid w:val="00EA129F"/>
    <w:rsid w:val="00EB0AF6"/>
    <w:rsid w:val="00EB7A31"/>
    <w:rsid w:val="00ED0582"/>
    <w:rsid w:val="00ED1262"/>
    <w:rsid w:val="00ED7374"/>
    <w:rsid w:val="00EE31F6"/>
    <w:rsid w:val="00EE36DC"/>
    <w:rsid w:val="00F044EE"/>
    <w:rsid w:val="00F2313A"/>
    <w:rsid w:val="00F255D3"/>
    <w:rsid w:val="00F3320B"/>
    <w:rsid w:val="00F40E92"/>
    <w:rsid w:val="00F41947"/>
    <w:rsid w:val="00F435AA"/>
    <w:rsid w:val="00F76C6A"/>
    <w:rsid w:val="00F83BF1"/>
    <w:rsid w:val="00F90CB9"/>
    <w:rsid w:val="00F9555F"/>
    <w:rsid w:val="00F97373"/>
    <w:rsid w:val="00FA0254"/>
    <w:rsid w:val="00FA6854"/>
    <w:rsid w:val="00FB064F"/>
    <w:rsid w:val="00FB0F6B"/>
    <w:rsid w:val="00FB144F"/>
    <w:rsid w:val="00FB159A"/>
    <w:rsid w:val="00FB4D77"/>
    <w:rsid w:val="00FC497D"/>
    <w:rsid w:val="00FC6F03"/>
    <w:rsid w:val="00FD076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CF9775E"/>
  <w15:docId w15:val="{8DD64CC4-5BD3-43DF-8872-F24F2B3B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de/marktbericht/gewerbe/berlin-investment/" TargetMode="External"/><Relationship Id="rId14" Type="http://schemas.openxmlformats.org/officeDocument/2006/relationships/hyperlink" Target="file:///\\file01\Marketing\Presse\Vorlagen\BFR\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8DFC-05F5-46EF-828A-05234688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bi</dc:creator>
  <cp:lastModifiedBy>Berit Friedrich</cp:lastModifiedBy>
  <cp:revision>16</cp:revision>
  <cp:lastPrinted>2020-04-02T11:22:00Z</cp:lastPrinted>
  <dcterms:created xsi:type="dcterms:W3CDTF">2020-03-31T11:13:00Z</dcterms:created>
  <dcterms:modified xsi:type="dcterms:W3CDTF">2020-04-02T11:46:00Z</dcterms:modified>
</cp:coreProperties>
</file>