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7B935" w14:textId="1649F52B" w:rsidR="00786F07" w:rsidRDefault="001E1172" w:rsidP="00365A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222FC">
        <w:rPr>
          <w:rFonts w:ascii="Arial" w:hAnsi="Arial" w:cs="Arial"/>
          <w:b/>
        </w:rPr>
        <w:t>Berlin: In</w:t>
      </w:r>
      <w:r w:rsidR="004C63A9" w:rsidRPr="006222FC">
        <w:rPr>
          <w:rFonts w:ascii="Arial" w:hAnsi="Arial" w:cs="Arial"/>
          <w:b/>
        </w:rPr>
        <w:t xml:space="preserve">vestmentmarkt </w:t>
      </w:r>
      <w:r w:rsidR="00A71F24">
        <w:rPr>
          <w:rFonts w:ascii="Arial" w:hAnsi="Arial" w:cs="Arial"/>
          <w:b/>
        </w:rPr>
        <w:t>1</w:t>
      </w:r>
      <w:r w:rsidR="004C63A9" w:rsidRPr="006222FC">
        <w:rPr>
          <w:rFonts w:ascii="Arial" w:hAnsi="Arial" w:cs="Arial"/>
          <w:b/>
        </w:rPr>
        <w:t>.-</w:t>
      </w:r>
      <w:r w:rsidR="00175A86">
        <w:rPr>
          <w:rFonts w:ascii="Arial" w:hAnsi="Arial" w:cs="Arial"/>
          <w:b/>
        </w:rPr>
        <w:t>4</w:t>
      </w:r>
      <w:r w:rsidR="004C63A9" w:rsidRPr="006222FC">
        <w:rPr>
          <w:rFonts w:ascii="Arial" w:hAnsi="Arial" w:cs="Arial"/>
          <w:b/>
        </w:rPr>
        <w:t>. Quartal 2019</w:t>
      </w:r>
      <w:r w:rsidR="00786F07">
        <w:rPr>
          <w:rFonts w:ascii="Arial" w:hAnsi="Arial" w:cs="Arial"/>
          <w:b/>
          <w:sz w:val="28"/>
          <w:szCs w:val="28"/>
        </w:rPr>
        <w:br/>
      </w:r>
      <w:r w:rsidR="00023F01">
        <w:rPr>
          <w:rFonts w:ascii="Arial" w:hAnsi="Arial" w:cs="Arial"/>
          <w:b/>
          <w:sz w:val="28"/>
          <w:szCs w:val="28"/>
        </w:rPr>
        <w:t>Hauptstadt erstmals mit zweistelligem Milliarden-Transaktionsvolumen</w:t>
      </w:r>
    </w:p>
    <w:p w14:paraId="4F68FF5C" w14:textId="0248E687" w:rsidR="001E1172" w:rsidRPr="009567E0" w:rsidRDefault="00786F07" w:rsidP="00175A86">
      <w:p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023F01">
        <w:rPr>
          <w:rFonts w:ascii="Arial" w:hAnsi="Arial" w:cs="Arial"/>
          <w:sz w:val="20"/>
          <w:szCs w:val="20"/>
        </w:rPr>
        <w:t xml:space="preserve">  </w:t>
      </w:r>
      <w:r w:rsidR="005B3674" w:rsidRPr="00023F01">
        <w:rPr>
          <w:rFonts w:ascii="Arial" w:hAnsi="Arial" w:cs="Arial"/>
          <w:sz w:val="20"/>
          <w:szCs w:val="20"/>
        </w:rPr>
        <w:t xml:space="preserve"> </w:t>
      </w:r>
      <w:r w:rsidR="005B3674" w:rsidRPr="00023F01">
        <w:rPr>
          <w:rFonts w:ascii="Arial" w:hAnsi="Arial" w:cs="Arial"/>
          <w:b/>
          <w:sz w:val="20"/>
          <w:szCs w:val="20"/>
        </w:rPr>
        <w:br/>
      </w:r>
      <w:r w:rsidR="001E1172" w:rsidRPr="00365AF8">
        <w:rPr>
          <w:rFonts w:ascii="Arial" w:hAnsi="Arial" w:cs="Arial"/>
          <w:b/>
          <w:sz w:val="20"/>
          <w:szCs w:val="20"/>
        </w:rPr>
        <w:t xml:space="preserve">Berlin, </w:t>
      </w:r>
      <w:r w:rsidR="002D0B45">
        <w:rPr>
          <w:rFonts w:ascii="Arial" w:hAnsi="Arial" w:cs="Arial"/>
          <w:b/>
          <w:sz w:val="20"/>
          <w:szCs w:val="20"/>
        </w:rPr>
        <w:t>9</w:t>
      </w:r>
      <w:r w:rsidR="001E1172" w:rsidRPr="00365AF8">
        <w:rPr>
          <w:rFonts w:ascii="Arial" w:hAnsi="Arial" w:cs="Arial"/>
          <w:b/>
          <w:sz w:val="20"/>
          <w:szCs w:val="20"/>
        </w:rPr>
        <w:t xml:space="preserve">. </w:t>
      </w:r>
      <w:r w:rsidR="00175A86">
        <w:rPr>
          <w:rFonts w:ascii="Arial" w:hAnsi="Arial" w:cs="Arial"/>
          <w:b/>
          <w:sz w:val="20"/>
          <w:szCs w:val="20"/>
        </w:rPr>
        <w:t>Januar 2020</w:t>
      </w:r>
      <w:r w:rsidR="001E1172" w:rsidRPr="00365AF8">
        <w:rPr>
          <w:rFonts w:ascii="Arial" w:hAnsi="Arial" w:cs="Arial"/>
          <w:b/>
          <w:sz w:val="20"/>
          <w:szCs w:val="20"/>
        </w:rPr>
        <w:t xml:space="preserve"> </w:t>
      </w:r>
      <w:r w:rsidR="001E1172" w:rsidRPr="00A71F24">
        <w:rPr>
          <w:rFonts w:ascii="Arial" w:hAnsi="Arial" w:cs="Arial"/>
          <w:sz w:val="20"/>
          <w:szCs w:val="20"/>
        </w:rPr>
        <w:t>–</w:t>
      </w:r>
      <w:r w:rsidR="00AA08C9">
        <w:rPr>
          <w:rFonts w:ascii="Arial" w:hAnsi="Arial" w:cs="Arial"/>
          <w:sz w:val="20"/>
          <w:szCs w:val="20"/>
        </w:rPr>
        <w:t xml:space="preserve"> </w:t>
      </w:r>
      <w:r w:rsidR="00E33AE6">
        <w:rPr>
          <w:rFonts w:ascii="Arial" w:hAnsi="Arial" w:cs="Arial"/>
          <w:sz w:val="20"/>
          <w:szCs w:val="20"/>
        </w:rPr>
        <w:t xml:space="preserve">Die Bundeshauptstadt war 2019 für Investoren von gewerblichen Immobilien-Investments in Deutschland das Maß aller Dinge. </w:t>
      </w:r>
      <w:r w:rsidR="008517F6">
        <w:rPr>
          <w:rFonts w:ascii="Arial" w:hAnsi="Arial" w:cs="Arial"/>
          <w:sz w:val="20"/>
          <w:szCs w:val="20"/>
        </w:rPr>
        <w:t>In der Folge fiel das Volumen der verkauften Anlage</w:t>
      </w:r>
      <w:r w:rsidR="00920D57">
        <w:rPr>
          <w:rFonts w:ascii="Arial" w:hAnsi="Arial" w:cs="Arial"/>
          <w:sz w:val="20"/>
          <w:szCs w:val="20"/>
        </w:rPr>
        <w:t>-O</w:t>
      </w:r>
      <w:r w:rsidR="008517F6">
        <w:rPr>
          <w:rFonts w:ascii="Arial" w:hAnsi="Arial" w:cs="Arial"/>
          <w:sz w:val="20"/>
          <w:szCs w:val="20"/>
        </w:rPr>
        <w:t xml:space="preserve">bjekte mit rund 11,1 Mrd. € </w:t>
      </w:r>
      <w:r w:rsidR="00AB3908">
        <w:rPr>
          <w:rFonts w:ascii="Arial" w:hAnsi="Arial" w:cs="Arial"/>
          <w:sz w:val="20"/>
          <w:szCs w:val="20"/>
        </w:rPr>
        <w:t xml:space="preserve">wie </w:t>
      </w:r>
      <w:r w:rsidR="00920D57">
        <w:rPr>
          <w:rFonts w:ascii="Arial" w:hAnsi="Arial" w:cs="Arial"/>
          <w:sz w:val="20"/>
          <w:szCs w:val="20"/>
        </w:rPr>
        <w:t xml:space="preserve">von Grossmann &amp; Berger </w:t>
      </w:r>
      <w:r w:rsidR="00AB3908">
        <w:rPr>
          <w:rFonts w:ascii="Arial" w:hAnsi="Arial" w:cs="Arial"/>
          <w:sz w:val="20"/>
          <w:szCs w:val="20"/>
        </w:rPr>
        <w:t xml:space="preserve">erwartet </w:t>
      </w:r>
      <w:r w:rsidR="008517F6">
        <w:rPr>
          <w:rFonts w:ascii="Arial" w:hAnsi="Arial" w:cs="Arial"/>
          <w:sz w:val="20"/>
          <w:szCs w:val="20"/>
        </w:rPr>
        <w:t xml:space="preserve">zum ersten Mal zweistellig aus. </w:t>
      </w:r>
      <w:r w:rsidR="008517F6" w:rsidRPr="00AB3908">
        <w:rPr>
          <w:rFonts w:ascii="Arial" w:hAnsi="Arial" w:cs="Arial"/>
          <w:i/>
          <w:sz w:val="20"/>
          <w:szCs w:val="20"/>
        </w:rPr>
        <w:t>„</w:t>
      </w:r>
      <w:r w:rsidR="00EA3F5B">
        <w:rPr>
          <w:rFonts w:ascii="Arial" w:hAnsi="Arial" w:cs="Arial"/>
          <w:i/>
          <w:sz w:val="20"/>
          <w:szCs w:val="20"/>
        </w:rPr>
        <w:t xml:space="preserve">Grund für das exorbitante Ergebnis ist der signifikant gestiegene Capital Value von Büro-Objekten. Innerhalb von nur </w:t>
      </w:r>
      <w:r w:rsidR="00EA3F5B" w:rsidRPr="007B6F7A">
        <w:rPr>
          <w:rFonts w:ascii="Arial" w:hAnsi="Arial" w:cs="Arial"/>
          <w:i/>
          <w:sz w:val="20"/>
          <w:szCs w:val="20"/>
        </w:rPr>
        <w:t xml:space="preserve">fünf </w:t>
      </w:r>
      <w:r w:rsidR="00EA3F5B">
        <w:rPr>
          <w:rFonts w:ascii="Arial" w:hAnsi="Arial" w:cs="Arial"/>
          <w:i/>
          <w:sz w:val="20"/>
          <w:szCs w:val="20"/>
        </w:rPr>
        <w:t xml:space="preserve">Jahren haben sich die durchschnittlichen Quadratmeterpreise im Berliner Stadtgebiet auf etwas über 6.000 Euro mehr als verdoppelt“, </w:t>
      </w:r>
      <w:r w:rsidR="00EA3F5B">
        <w:rPr>
          <w:rFonts w:ascii="Arial" w:hAnsi="Arial" w:cs="Arial"/>
          <w:sz w:val="20"/>
          <w:szCs w:val="20"/>
        </w:rPr>
        <w:t xml:space="preserve">erläutert </w:t>
      </w:r>
      <w:r w:rsidR="00EA3F5B" w:rsidRPr="00365AF8">
        <w:rPr>
          <w:rFonts w:ascii="Arial" w:hAnsi="Arial" w:cs="Arial"/>
          <w:b/>
          <w:sz w:val="20"/>
          <w:szCs w:val="20"/>
        </w:rPr>
        <w:t>Holger Michaelis</w:t>
      </w:r>
      <w:r w:rsidR="00EA3F5B" w:rsidRPr="00365AF8">
        <w:rPr>
          <w:rFonts w:ascii="Arial" w:hAnsi="Arial" w:cs="Arial"/>
          <w:sz w:val="20"/>
          <w:szCs w:val="20"/>
        </w:rPr>
        <w:t>, Geschäftsführer von Grossmann &amp; Berger</w:t>
      </w:r>
      <w:r w:rsidR="00EA3F5B">
        <w:rPr>
          <w:rFonts w:ascii="Arial" w:hAnsi="Arial" w:cs="Arial"/>
          <w:sz w:val="20"/>
          <w:szCs w:val="20"/>
        </w:rPr>
        <w:t>, Mitglied von German Property Partners (GPP). „</w:t>
      </w:r>
      <w:r w:rsidR="008517F6" w:rsidRPr="00AB3908">
        <w:rPr>
          <w:rFonts w:ascii="Arial" w:hAnsi="Arial" w:cs="Arial"/>
          <w:i/>
          <w:sz w:val="20"/>
          <w:szCs w:val="20"/>
        </w:rPr>
        <w:t>In den bisherigen Rekordjahren 2015 und 2017</w:t>
      </w:r>
      <w:r w:rsidR="002D0B45">
        <w:rPr>
          <w:rFonts w:ascii="Arial" w:hAnsi="Arial" w:cs="Arial"/>
          <w:i/>
          <w:sz w:val="20"/>
          <w:szCs w:val="20"/>
        </w:rPr>
        <w:t xml:space="preserve"> waren die Ergebnisse auf Portfolio</w:t>
      </w:r>
      <w:r w:rsidR="008517F6" w:rsidRPr="00AB3908">
        <w:rPr>
          <w:rFonts w:ascii="Arial" w:hAnsi="Arial" w:cs="Arial"/>
          <w:i/>
          <w:sz w:val="20"/>
          <w:szCs w:val="20"/>
        </w:rPr>
        <w:t xml:space="preserve">verkäufe mit Volumina von jeweils über einer Milliarde Euro zurückzuführen. 2019 hingegen wurden </w:t>
      </w:r>
      <w:r w:rsidR="00940BA7">
        <w:rPr>
          <w:rFonts w:ascii="Arial" w:hAnsi="Arial" w:cs="Arial"/>
          <w:i/>
          <w:sz w:val="20"/>
          <w:szCs w:val="20"/>
        </w:rPr>
        <w:t xml:space="preserve">allein </w:t>
      </w:r>
      <w:r w:rsidR="008517F6" w:rsidRPr="00AB3908">
        <w:rPr>
          <w:rFonts w:ascii="Arial" w:hAnsi="Arial" w:cs="Arial"/>
          <w:i/>
          <w:sz w:val="20"/>
          <w:szCs w:val="20"/>
        </w:rPr>
        <w:t>3</w:t>
      </w:r>
      <w:r w:rsidR="002D0B45">
        <w:rPr>
          <w:rFonts w:ascii="Arial" w:hAnsi="Arial" w:cs="Arial"/>
          <w:i/>
          <w:sz w:val="20"/>
          <w:szCs w:val="20"/>
        </w:rPr>
        <w:t>0</w:t>
      </w:r>
      <w:r w:rsidR="008517F6" w:rsidRPr="00AB3908">
        <w:rPr>
          <w:rFonts w:ascii="Arial" w:hAnsi="Arial" w:cs="Arial"/>
          <w:i/>
          <w:sz w:val="20"/>
          <w:szCs w:val="20"/>
        </w:rPr>
        <w:t xml:space="preserve"> Objekte zu Preisen über 100 Millionen Euro veräußert</w:t>
      </w:r>
      <w:r w:rsidR="00EA3F5B">
        <w:rPr>
          <w:rFonts w:ascii="Arial" w:hAnsi="Arial" w:cs="Arial"/>
          <w:i/>
          <w:sz w:val="20"/>
          <w:szCs w:val="20"/>
        </w:rPr>
        <w:t>.</w:t>
      </w:r>
      <w:r w:rsidR="00AB3908" w:rsidRPr="00AB3908">
        <w:rPr>
          <w:rFonts w:ascii="Arial" w:hAnsi="Arial" w:cs="Arial"/>
          <w:i/>
          <w:sz w:val="20"/>
          <w:szCs w:val="20"/>
        </w:rPr>
        <w:t>“</w:t>
      </w:r>
    </w:p>
    <w:p w14:paraId="0B743E54" w14:textId="4D43609D" w:rsidR="00CA3FA0" w:rsidRDefault="00CA3FA0" w:rsidP="00175A86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79CA357A" w14:textId="4EB90475" w:rsidR="000A5ED1" w:rsidRPr="00365AF8" w:rsidRDefault="00365AF8" w:rsidP="00175A86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365AF8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53BA0D50" w14:textId="642ABCCE" w:rsidR="00920D57" w:rsidRDefault="00940BA7" w:rsidP="00175A86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</w:t>
      </w:r>
      <w:r w:rsidR="00920D57">
        <w:rPr>
          <w:rFonts w:ascii="Arial" w:hAnsi="Arial" w:cs="Arial"/>
          <w:sz w:val="20"/>
          <w:szCs w:val="20"/>
        </w:rPr>
        <w:t xml:space="preserve"> 2018 </w:t>
      </w:r>
      <w:r>
        <w:rPr>
          <w:rFonts w:ascii="Arial" w:hAnsi="Arial" w:cs="Arial"/>
          <w:sz w:val="20"/>
          <w:szCs w:val="20"/>
        </w:rPr>
        <w:t xml:space="preserve">auf 2019 </w:t>
      </w:r>
      <w:r w:rsidR="00920D57">
        <w:rPr>
          <w:rFonts w:ascii="Arial" w:hAnsi="Arial" w:cs="Arial"/>
          <w:sz w:val="20"/>
          <w:szCs w:val="20"/>
        </w:rPr>
        <w:t xml:space="preserve">legte das Transaktionsvolumen um 65 % zu. Nach 3,3 Mrd. € </w:t>
      </w:r>
      <w:r w:rsidR="00296725">
        <w:rPr>
          <w:rFonts w:ascii="Arial" w:hAnsi="Arial" w:cs="Arial"/>
          <w:sz w:val="20"/>
          <w:szCs w:val="20"/>
        </w:rPr>
        <w:t xml:space="preserve">im 3. Quartal </w:t>
      </w:r>
      <w:r w:rsidR="00920D57">
        <w:rPr>
          <w:rFonts w:ascii="Arial" w:hAnsi="Arial" w:cs="Arial"/>
          <w:sz w:val="20"/>
          <w:szCs w:val="20"/>
        </w:rPr>
        <w:t xml:space="preserve">wurden im 4. Quartal </w:t>
      </w:r>
      <w:r>
        <w:rPr>
          <w:rFonts w:ascii="Arial" w:hAnsi="Arial" w:cs="Arial"/>
          <w:sz w:val="20"/>
          <w:szCs w:val="20"/>
        </w:rPr>
        <w:t>nochmals</w:t>
      </w:r>
      <w:r w:rsidR="00EA3F5B">
        <w:rPr>
          <w:rFonts w:ascii="Arial" w:hAnsi="Arial" w:cs="Arial"/>
          <w:sz w:val="20"/>
          <w:szCs w:val="20"/>
        </w:rPr>
        <w:t xml:space="preserve"> gewerbliche </w:t>
      </w:r>
      <w:r>
        <w:rPr>
          <w:rFonts w:ascii="Arial" w:hAnsi="Arial" w:cs="Arial"/>
          <w:sz w:val="20"/>
          <w:szCs w:val="20"/>
        </w:rPr>
        <w:t>Immobilien-</w:t>
      </w:r>
      <w:r w:rsidR="009F06D6">
        <w:rPr>
          <w:rFonts w:ascii="Arial" w:hAnsi="Arial" w:cs="Arial"/>
          <w:sz w:val="20"/>
          <w:szCs w:val="20"/>
        </w:rPr>
        <w:t>Transaktionen</w:t>
      </w:r>
      <w:r w:rsidR="00EA3F5B">
        <w:rPr>
          <w:rFonts w:ascii="Arial" w:hAnsi="Arial" w:cs="Arial"/>
          <w:sz w:val="20"/>
          <w:szCs w:val="20"/>
        </w:rPr>
        <w:t xml:space="preserve"> für rund 3,</w:t>
      </w:r>
      <w:r>
        <w:rPr>
          <w:rFonts w:ascii="Arial" w:hAnsi="Arial" w:cs="Arial"/>
          <w:sz w:val="20"/>
          <w:szCs w:val="20"/>
        </w:rPr>
        <w:t xml:space="preserve">0 Mrd. € zum Abschluss gebracht. Damit waren alle </w:t>
      </w:r>
      <w:r w:rsidR="00E2289E">
        <w:rPr>
          <w:rFonts w:ascii="Arial" w:hAnsi="Arial" w:cs="Arial"/>
          <w:sz w:val="20"/>
          <w:szCs w:val="20"/>
        </w:rPr>
        <w:t xml:space="preserve">Berliner </w:t>
      </w:r>
      <w:r>
        <w:rPr>
          <w:rFonts w:ascii="Arial" w:hAnsi="Arial" w:cs="Arial"/>
          <w:sz w:val="20"/>
          <w:szCs w:val="20"/>
        </w:rPr>
        <w:t xml:space="preserve">Quartalsergebnisse aus dem Jahr 2019 entweder </w:t>
      </w:r>
      <w:r w:rsidR="00791562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höchste</w:t>
      </w:r>
      <w:r w:rsidR="0079156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oder zweithöchste</w:t>
      </w:r>
      <w:r w:rsidR="0079156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seit Beginn der Aufzeichnungen.</w:t>
      </w:r>
    </w:p>
    <w:p w14:paraId="3D680D15" w14:textId="0DC543F6" w:rsidR="00E2289E" w:rsidRDefault="003D4E47" w:rsidP="0085347B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Allein im 4. Quartal kamen zehn </w:t>
      </w:r>
      <w:r w:rsidR="007B6F7A">
        <w:rPr>
          <w:rFonts w:ascii="Arial" w:hAnsi="Arial" w:cs="Arial"/>
          <w:sz w:val="20"/>
          <w:szCs w:val="20"/>
        </w:rPr>
        <w:t>Verkäufe</w:t>
      </w:r>
      <w:r>
        <w:rPr>
          <w:rFonts w:ascii="Arial" w:hAnsi="Arial" w:cs="Arial"/>
          <w:sz w:val="20"/>
          <w:szCs w:val="20"/>
        </w:rPr>
        <w:t xml:space="preserve"> mit Volumina über 100 Mio. € zu den bisherigen 22 </w:t>
      </w:r>
      <w:r w:rsidR="00910169" w:rsidRPr="007B6F7A">
        <w:rPr>
          <w:rFonts w:ascii="Arial" w:hAnsi="Arial" w:cs="Arial"/>
          <w:sz w:val="20"/>
          <w:szCs w:val="20"/>
        </w:rPr>
        <w:t>Transaktionen dieser Größenklasse</w:t>
      </w:r>
      <w:r w:rsidR="009101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dazu. </w:t>
      </w:r>
      <w:r w:rsidR="007B6F7A">
        <w:rPr>
          <w:rFonts w:ascii="Arial" w:hAnsi="Arial" w:cs="Arial"/>
          <w:sz w:val="20"/>
          <w:szCs w:val="20"/>
        </w:rPr>
        <w:t>Ihr</w:t>
      </w:r>
      <w:r w:rsidR="00296725">
        <w:rPr>
          <w:rFonts w:ascii="Arial" w:hAnsi="Arial" w:cs="Arial"/>
          <w:sz w:val="20"/>
          <w:szCs w:val="20"/>
        </w:rPr>
        <w:t xml:space="preserve"> Anteil legte im Jahresvergleich von 59 auf 63 % (rund</w:t>
      </w:r>
      <w:r w:rsidR="00296725" w:rsidRPr="003D4E47">
        <w:rPr>
          <w:rFonts w:ascii="Arial" w:hAnsi="Arial" w:cs="Arial"/>
          <w:sz w:val="20"/>
          <w:szCs w:val="20"/>
        </w:rPr>
        <w:t xml:space="preserve"> 7</w:t>
      </w:r>
      <w:r w:rsidR="00296725">
        <w:rPr>
          <w:rFonts w:ascii="Arial" w:hAnsi="Arial" w:cs="Arial"/>
          <w:sz w:val="20"/>
          <w:szCs w:val="20"/>
        </w:rPr>
        <w:t>,0</w:t>
      </w:r>
      <w:r w:rsidR="00296725" w:rsidRPr="003D4E47">
        <w:rPr>
          <w:rFonts w:ascii="Arial" w:hAnsi="Arial" w:cs="Arial"/>
          <w:sz w:val="20"/>
          <w:szCs w:val="20"/>
        </w:rPr>
        <w:t xml:space="preserve"> </w:t>
      </w:r>
      <w:r w:rsidR="00296725">
        <w:rPr>
          <w:rFonts w:ascii="Arial" w:hAnsi="Arial" w:cs="Arial"/>
          <w:sz w:val="20"/>
          <w:szCs w:val="20"/>
        </w:rPr>
        <w:t>Mrd. €) zu.</w:t>
      </w:r>
      <w:r w:rsidR="002D0B45">
        <w:rPr>
          <w:rFonts w:ascii="Arial" w:hAnsi="Arial" w:cs="Arial"/>
          <w:sz w:val="20"/>
          <w:szCs w:val="20"/>
        </w:rPr>
        <w:t xml:space="preserve"> Den größten neuen An</w:t>
      </w:r>
      <w:r w:rsidR="00D704E8">
        <w:rPr>
          <w:rFonts w:ascii="Arial" w:hAnsi="Arial" w:cs="Arial"/>
          <w:sz w:val="20"/>
          <w:szCs w:val="20"/>
        </w:rPr>
        <w:t>kauf im 4. Quartal tätigte PGIM</w:t>
      </w:r>
      <w:r w:rsidR="002D0B45">
        <w:rPr>
          <w:rFonts w:ascii="Arial" w:hAnsi="Arial" w:cs="Arial"/>
          <w:sz w:val="20"/>
          <w:szCs w:val="20"/>
        </w:rPr>
        <w:t xml:space="preserve"> Investments</w:t>
      </w:r>
      <w:r w:rsidR="00D704E8">
        <w:rPr>
          <w:rFonts w:ascii="Arial" w:hAnsi="Arial" w:cs="Arial"/>
          <w:sz w:val="20"/>
          <w:szCs w:val="20"/>
        </w:rPr>
        <w:t xml:space="preserve">, die das Zalando-Hochhaus „Stream“ in Friedrichshain für einen mittleren dreistelligen Millionenbetrag </w:t>
      </w:r>
      <w:r w:rsidR="002D0B45">
        <w:rPr>
          <w:rFonts w:ascii="Arial" w:hAnsi="Arial" w:cs="Arial"/>
          <w:sz w:val="20"/>
          <w:szCs w:val="20"/>
        </w:rPr>
        <w:t>von</w:t>
      </w:r>
      <w:r w:rsidR="00D704E8">
        <w:rPr>
          <w:rFonts w:ascii="Arial" w:hAnsi="Arial" w:cs="Arial"/>
          <w:sz w:val="20"/>
          <w:szCs w:val="20"/>
        </w:rPr>
        <w:t xml:space="preserve"> Signa Holding </w:t>
      </w:r>
      <w:r w:rsidR="002D0B45">
        <w:rPr>
          <w:rFonts w:ascii="Arial" w:hAnsi="Arial" w:cs="Arial"/>
          <w:sz w:val="20"/>
          <w:szCs w:val="20"/>
        </w:rPr>
        <w:t>übernahm</w:t>
      </w:r>
      <w:r w:rsidR="009567E0">
        <w:rPr>
          <w:rFonts w:ascii="Arial" w:hAnsi="Arial" w:cs="Arial"/>
          <w:sz w:val="20"/>
          <w:szCs w:val="20"/>
        </w:rPr>
        <w:t>.</w:t>
      </w:r>
    </w:p>
    <w:p w14:paraId="7C7948E4" w14:textId="66789BAB" w:rsidR="0085347B" w:rsidRPr="0085347B" w:rsidRDefault="003214E6" w:rsidP="0085347B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Untypisch für Berlin entfiel </w:t>
      </w:r>
      <w:r w:rsidR="0085347B">
        <w:rPr>
          <w:rFonts w:ascii="Arial" w:hAnsi="Arial" w:cs="Arial"/>
          <w:sz w:val="20"/>
          <w:szCs w:val="20"/>
        </w:rPr>
        <w:t xml:space="preserve">2019 </w:t>
      </w:r>
      <w:r w:rsidR="00C00CA4">
        <w:rPr>
          <w:rFonts w:ascii="Arial" w:hAnsi="Arial" w:cs="Arial"/>
          <w:sz w:val="20"/>
          <w:szCs w:val="20"/>
        </w:rPr>
        <w:t>lediglich</w:t>
      </w:r>
      <w:r w:rsidR="0085347B">
        <w:rPr>
          <w:rFonts w:ascii="Arial" w:hAnsi="Arial" w:cs="Arial"/>
          <w:sz w:val="20"/>
          <w:szCs w:val="20"/>
        </w:rPr>
        <w:t xml:space="preserve"> </w:t>
      </w:r>
      <w:r w:rsidR="00296725">
        <w:rPr>
          <w:rFonts w:ascii="Arial" w:hAnsi="Arial" w:cs="Arial"/>
          <w:sz w:val="20"/>
          <w:szCs w:val="20"/>
        </w:rPr>
        <w:t>etwas mehr als</w:t>
      </w:r>
      <w:r w:rsidR="0085347B">
        <w:rPr>
          <w:rFonts w:ascii="Arial" w:hAnsi="Arial" w:cs="Arial"/>
          <w:sz w:val="20"/>
          <w:szCs w:val="20"/>
        </w:rPr>
        <w:t xml:space="preserve"> ein Fünftel des </w:t>
      </w:r>
      <w:r>
        <w:rPr>
          <w:rFonts w:ascii="Arial" w:hAnsi="Arial" w:cs="Arial"/>
          <w:sz w:val="20"/>
          <w:szCs w:val="20"/>
        </w:rPr>
        <w:t>Verkaufs</w:t>
      </w:r>
      <w:r w:rsidR="0085347B">
        <w:rPr>
          <w:rFonts w:ascii="Arial" w:hAnsi="Arial" w:cs="Arial"/>
          <w:sz w:val="20"/>
          <w:szCs w:val="20"/>
        </w:rPr>
        <w:t xml:space="preserve">volumens </w:t>
      </w:r>
      <w:r w:rsidR="00296725">
        <w:rPr>
          <w:rFonts w:ascii="Arial" w:hAnsi="Arial" w:cs="Arial"/>
          <w:sz w:val="20"/>
          <w:szCs w:val="20"/>
        </w:rPr>
        <w:t xml:space="preserve">(22 %) </w:t>
      </w:r>
      <w:r w:rsidR="0085347B">
        <w:rPr>
          <w:rFonts w:ascii="Arial" w:hAnsi="Arial" w:cs="Arial"/>
          <w:sz w:val="20"/>
          <w:szCs w:val="20"/>
        </w:rPr>
        <w:t>auf Portfolio-</w:t>
      </w:r>
      <w:r>
        <w:rPr>
          <w:rFonts w:ascii="Arial" w:hAnsi="Arial" w:cs="Arial"/>
          <w:sz w:val="20"/>
          <w:szCs w:val="20"/>
        </w:rPr>
        <w:t>Transaktionen</w:t>
      </w:r>
      <w:r w:rsidR="002D0B45">
        <w:rPr>
          <w:rFonts w:ascii="Arial" w:hAnsi="Arial" w:cs="Arial"/>
          <w:sz w:val="20"/>
          <w:szCs w:val="20"/>
        </w:rPr>
        <w:t xml:space="preserve"> (2018: 18 %)</w:t>
      </w:r>
      <w:r w:rsidR="0085347B">
        <w:rPr>
          <w:rFonts w:ascii="Arial" w:hAnsi="Arial" w:cs="Arial"/>
          <w:sz w:val="20"/>
          <w:szCs w:val="20"/>
        </w:rPr>
        <w:t>.</w:t>
      </w:r>
    </w:p>
    <w:p w14:paraId="5D1FF930" w14:textId="45707068" w:rsidR="003214E6" w:rsidRPr="007F468E" w:rsidRDefault="003214E6" w:rsidP="003214E6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10169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 w:rsidR="007B6F7A">
        <w:rPr>
          <w:rFonts w:ascii="Arial" w:hAnsi="Arial" w:cs="Arial"/>
          <w:sz w:val="20"/>
          <w:szCs w:val="20"/>
        </w:rPr>
        <w:t xml:space="preserve">u. a. </w:t>
      </w:r>
      <w:r>
        <w:rPr>
          <w:rFonts w:ascii="Arial" w:hAnsi="Arial" w:cs="Arial"/>
          <w:sz w:val="20"/>
          <w:szCs w:val="20"/>
        </w:rPr>
        <w:t xml:space="preserve">allein 23 </w:t>
      </w:r>
      <w:r w:rsidR="008D5CD0">
        <w:rPr>
          <w:rFonts w:ascii="Arial" w:hAnsi="Arial" w:cs="Arial"/>
          <w:sz w:val="20"/>
          <w:szCs w:val="20"/>
        </w:rPr>
        <w:t>Verkäufe</w:t>
      </w:r>
      <w:r w:rsidR="00CC1584">
        <w:rPr>
          <w:rFonts w:ascii="Arial" w:hAnsi="Arial" w:cs="Arial"/>
          <w:sz w:val="20"/>
          <w:szCs w:val="20"/>
        </w:rPr>
        <w:t xml:space="preserve"> von Büro-Objekten </w:t>
      </w:r>
      <w:r w:rsidR="008D5CD0">
        <w:rPr>
          <w:rFonts w:ascii="Arial" w:hAnsi="Arial" w:cs="Arial"/>
          <w:sz w:val="20"/>
          <w:szCs w:val="20"/>
        </w:rPr>
        <w:t>für</w:t>
      </w:r>
      <w:r w:rsidR="00CC1584">
        <w:rPr>
          <w:rFonts w:ascii="Arial" w:hAnsi="Arial" w:cs="Arial"/>
          <w:sz w:val="20"/>
          <w:szCs w:val="20"/>
        </w:rPr>
        <w:t xml:space="preserve"> über 100 Mio. € </w:t>
      </w:r>
      <w:r w:rsidR="0012608C">
        <w:rPr>
          <w:rFonts w:ascii="Arial" w:hAnsi="Arial" w:cs="Arial"/>
          <w:sz w:val="20"/>
          <w:szCs w:val="20"/>
        </w:rPr>
        <w:t>stattfanden</w:t>
      </w:r>
      <w:r w:rsidR="00CC1584">
        <w:rPr>
          <w:rFonts w:ascii="Arial" w:hAnsi="Arial" w:cs="Arial"/>
          <w:sz w:val="20"/>
          <w:szCs w:val="20"/>
        </w:rPr>
        <w:t xml:space="preserve">, </w:t>
      </w:r>
      <w:r w:rsidR="00F61FC0">
        <w:rPr>
          <w:rFonts w:ascii="Arial" w:hAnsi="Arial" w:cs="Arial"/>
          <w:sz w:val="20"/>
          <w:szCs w:val="20"/>
        </w:rPr>
        <w:t>bildeten Büro-Immobilien mit einem Anteil von 70 % die gefragteste Assetklasse (2018: 58</w:t>
      </w:r>
      <w:r>
        <w:rPr>
          <w:rFonts w:ascii="Arial" w:hAnsi="Arial" w:cs="Arial"/>
          <w:sz w:val="20"/>
          <w:szCs w:val="20"/>
        </w:rPr>
        <w:t xml:space="preserve"> %).</w:t>
      </w:r>
      <w:r w:rsidR="00F61FC0">
        <w:rPr>
          <w:rFonts w:ascii="Arial" w:hAnsi="Arial" w:cs="Arial"/>
          <w:sz w:val="20"/>
          <w:szCs w:val="20"/>
        </w:rPr>
        <w:t xml:space="preserve"> Mischnutzungen </w:t>
      </w:r>
      <w:r w:rsidR="00DD6CFF">
        <w:rPr>
          <w:rFonts w:ascii="Arial" w:hAnsi="Arial" w:cs="Arial"/>
          <w:sz w:val="20"/>
          <w:szCs w:val="20"/>
        </w:rPr>
        <w:t xml:space="preserve">kamen </w:t>
      </w:r>
      <w:r w:rsidR="007B6F7A">
        <w:rPr>
          <w:rFonts w:ascii="Arial" w:hAnsi="Arial" w:cs="Arial"/>
          <w:sz w:val="20"/>
          <w:szCs w:val="20"/>
        </w:rPr>
        <w:t xml:space="preserve">mit </w:t>
      </w:r>
      <w:r w:rsidR="00DD6CFF">
        <w:rPr>
          <w:rFonts w:ascii="Arial" w:hAnsi="Arial" w:cs="Arial"/>
          <w:sz w:val="20"/>
          <w:szCs w:val="20"/>
        </w:rPr>
        <w:t xml:space="preserve">15 % (2018: 7 %) </w:t>
      </w:r>
      <w:r w:rsidR="007B6F7A">
        <w:rPr>
          <w:rFonts w:ascii="Arial" w:hAnsi="Arial" w:cs="Arial"/>
          <w:sz w:val="20"/>
          <w:szCs w:val="20"/>
        </w:rPr>
        <w:t xml:space="preserve">auf den nächsthöheren Anteil </w:t>
      </w:r>
      <w:r w:rsidR="00DD6CFF">
        <w:rPr>
          <w:rFonts w:ascii="Arial" w:hAnsi="Arial" w:cs="Arial"/>
          <w:sz w:val="20"/>
          <w:szCs w:val="20"/>
        </w:rPr>
        <w:t>bei</w:t>
      </w:r>
      <w:r w:rsidR="008D5CD0">
        <w:rPr>
          <w:rFonts w:ascii="Arial" w:hAnsi="Arial" w:cs="Arial"/>
          <w:sz w:val="20"/>
          <w:szCs w:val="20"/>
        </w:rPr>
        <w:t xml:space="preserve"> vier Objekten für über 100 Mio. €.</w:t>
      </w:r>
      <w:r w:rsidR="00F61FC0">
        <w:rPr>
          <w:rFonts w:ascii="Arial" w:hAnsi="Arial" w:cs="Arial"/>
          <w:sz w:val="20"/>
          <w:szCs w:val="20"/>
        </w:rPr>
        <w:t xml:space="preserve"> </w:t>
      </w:r>
      <w:r w:rsidR="00296725">
        <w:rPr>
          <w:rFonts w:ascii="Arial" w:hAnsi="Arial" w:cs="Arial"/>
          <w:sz w:val="20"/>
          <w:szCs w:val="20"/>
        </w:rPr>
        <w:t>Bei einem Anteil von rund 25 % konzentrierten sich Investoren auf Objekte im Teilmarkt Friedrichshain.</w:t>
      </w:r>
    </w:p>
    <w:p w14:paraId="6546AA18" w14:textId="0B1F4F81" w:rsidR="00746A51" w:rsidRDefault="009E04E6" w:rsidP="00175A86">
      <w:pPr>
        <w:pStyle w:val="Listenabsatz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Käufen traten </w:t>
      </w:r>
      <w:r w:rsidR="0012608C">
        <w:rPr>
          <w:rFonts w:ascii="Arial" w:hAnsi="Arial" w:cs="Arial"/>
          <w:sz w:val="20"/>
          <w:szCs w:val="20"/>
        </w:rPr>
        <w:t xml:space="preserve">Offene Immobilienpublikumsfonds und Versorgungswerke/Pensionsfonds (jeweils 14 %) </w:t>
      </w:r>
      <w:r>
        <w:rPr>
          <w:rFonts w:ascii="Arial" w:hAnsi="Arial" w:cs="Arial"/>
          <w:sz w:val="20"/>
          <w:szCs w:val="20"/>
        </w:rPr>
        <w:t xml:space="preserve">am </w:t>
      </w:r>
      <w:r w:rsidR="003214E6">
        <w:rPr>
          <w:rFonts w:ascii="Arial" w:hAnsi="Arial" w:cs="Arial"/>
          <w:sz w:val="20"/>
          <w:szCs w:val="20"/>
        </w:rPr>
        <w:t>stärksten</w:t>
      </w:r>
      <w:r>
        <w:rPr>
          <w:rFonts w:ascii="Arial" w:hAnsi="Arial" w:cs="Arial"/>
          <w:sz w:val="20"/>
          <w:szCs w:val="20"/>
        </w:rPr>
        <w:t xml:space="preserve"> in Erscheinung. </w:t>
      </w:r>
      <w:r w:rsidR="008A60D3">
        <w:rPr>
          <w:rFonts w:ascii="Arial" w:hAnsi="Arial" w:cs="Arial"/>
          <w:sz w:val="20"/>
          <w:szCs w:val="20"/>
        </w:rPr>
        <w:t xml:space="preserve">Internationale Investoren </w:t>
      </w:r>
      <w:r w:rsidR="003214E6">
        <w:rPr>
          <w:rFonts w:ascii="Arial" w:hAnsi="Arial" w:cs="Arial"/>
          <w:sz w:val="20"/>
          <w:szCs w:val="20"/>
        </w:rPr>
        <w:t xml:space="preserve">kamen auf einen Anteil von </w:t>
      </w:r>
      <w:r w:rsidR="008A60D3">
        <w:rPr>
          <w:rFonts w:ascii="Arial" w:hAnsi="Arial" w:cs="Arial"/>
          <w:sz w:val="20"/>
          <w:szCs w:val="20"/>
        </w:rPr>
        <w:t xml:space="preserve">51 % (2018: 42 %). </w:t>
      </w:r>
      <w:r>
        <w:rPr>
          <w:rFonts w:ascii="Arial" w:hAnsi="Arial" w:cs="Arial"/>
          <w:sz w:val="20"/>
          <w:szCs w:val="20"/>
        </w:rPr>
        <w:t xml:space="preserve">Auf Verkäuferseite waren insbesondere Projektentwickler (31 %) und Private Anleger (16 %) aktiv. </w:t>
      </w:r>
    </w:p>
    <w:p w14:paraId="761A92B4" w14:textId="794B6D9D" w:rsidR="00544509" w:rsidRDefault="0012608C" w:rsidP="00087507">
      <w:pPr>
        <w:pStyle w:val="Listenabsatz"/>
        <w:numPr>
          <w:ilvl w:val="0"/>
          <w:numId w:val="16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Aufgrund der </w:t>
      </w:r>
      <w:r w:rsidR="002D0B45">
        <w:rPr>
          <w:rFonts w:ascii="Arial" w:hAnsi="Arial" w:cs="Arial"/>
          <w:sz w:val="20"/>
          <w:szCs w:val="20"/>
        </w:rPr>
        <w:t>aktuellen Zinslandschaft</w:t>
      </w:r>
      <w:r>
        <w:rPr>
          <w:rFonts w:ascii="Arial" w:hAnsi="Arial" w:cs="Arial"/>
          <w:sz w:val="20"/>
          <w:szCs w:val="20"/>
        </w:rPr>
        <w:t xml:space="preserve"> bleiben auch niedrige Renditen bei Immobilienkäufen attraktiv. </w:t>
      </w:r>
      <w:r w:rsidR="002D0B45" w:rsidRPr="00144720">
        <w:rPr>
          <w:rFonts w:ascii="Arial" w:hAnsi="Arial" w:cs="Arial"/>
          <w:i/>
          <w:sz w:val="20"/>
          <w:szCs w:val="20"/>
        </w:rPr>
        <w:t>„</w:t>
      </w:r>
      <w:r w:rsidR="00DC2E47" w:rsidRPr="00144720">
        <w:rPr>
          <w:rFonts w:ascii="Arial" w:hAnsi="Arial" w:cs="Arial"/>
          <w:i/>
          <w:sz w:val="20"/>
          <w:szCs w:val="20"/>
        </w:rPr>
        <w:t xml:space="preserve">Dementsprechend ging die Spitzenrendite </w:t>
      </w:r>
      <w:r w:rsidR="00746A51" w:rsidRPr="00144720">
        <w:rPr>
          <w:rFonts w:ascii="Arial" w:hAnsi="Arial" w:cs="Arial"/>
          <w:i/>
          <w:sz w:val="20"/>
          <w:szCs w:val="20"/>
        </w:rPr>
        <w:t>für Büro</w:t>
      </w:r>
      <w:r w:rsidR="00DC2E47" w:rsidRPr="00144720">
        <w:rPr>
          <w:rFonts w:ascii="Arial" w:hAnsi="Arial" w:cs="Arial"/>
          <w:i/>
          <w:sz w:val="20"/>
          <w:szCs w:val="20"/>
        </w:rPr>
        <w:t>-Objekte von 3,0 auf 2,7</w:t>
      </w:r>
      <w:r w:rsidR="00746A51" w:rsidRPr="00144720">
        <w:rPr>
          <w:rFonts w:ascii="Arial" w:hAnsi="Arial" w:cs="Arial"/>
          <w:i/>
          <w:sz w:val="20"/>
          <w:szCs w:val="20"/>
        </w:rPr>
        <w:t xml:space="preserve"> </w:t>
      </w:r>
      <w:r w:rsidR="00144720" w:rsidRPr="00144720">
        <w:rPr>
          <w:rFonts w:ascii="Arial" w:hAnsi="Arial" w:cs="Arial"/>
          <w:i/>
          <w:sz w:val="20"/>
          <w:szCs w:val="20"/>
        </w:rPr>
        <w:t>Prozent</w:t>
      </w:r>
      <w:r w:rsidR="00746A51" w:rsidRPr="00144720">
        <w:rPr>
          <w:rFonts w:ascii="Arial" w:hAnsi="Arial" w:cs="Arial"/>
          <w:i/>
          <w:sz w:val="20"/>
          <w:szCs w:val="20"/>
        </w:rPr>
        <w:t xml:space="preserve"> </w:t>
      </w:r>
      <w:r w:rsidR="00DC2E47" w:rsidRPr="00144720">
        <w:rPr>
          <w:rFonts w:ascii="Arial" w:hAnsi="Arial" w:cs="Arial"/>
          <w:i/>
          <w:sz w:val="20"/>
          <w:szCs w:val="20"/>
        </w:rPr>
        <w:t>zurück</w:t>
      </w:r>
      <w:r w:rsidR="00144720" w:rsidRPr="00144720">
        <w:rPr>
          <w:rFonts w:ascii="Arial" w:hAnsi="Arial" w:cs="Arial"/>
          <w:i/>
          <w:sz w:val="20"/>
          <w:szCs w:val="20"/>
        </w:rPr>
        <w:t>“,</w:t>
      </w:r>
      <w:r w:rsidR="00144720">
        <w:rPr>
          <w:rFonts w:ascii="Arial" w:hAnsi="Arial" w:cs="Arial"/>
          <w:sz w:val="20"/>
          <w:szCs w:val="20"/>
        </w:rPr>
        <w:t xml:space="preserve"> konstatiert </w:t>
      </w:r>
      <w:r w:rsidR="00144720" w:rsidRPr="00144720">
        <w:rPr>
          <w:rFonts w:ascii="Arial" w:hAnsi="Arial" w:cs="Arial"/>
          <w:b/>
          <w:sz w:val="20"/>
          <w:szCs w:val="20"/>
        </w:rPr>
        <w:t>Ulrich Denk</w:t>
      </w:r>
      <w:r w:rsidR="00144720">
        <w:rPr>
          <w:rFonts w:ascii="Arial" w:hAnsi="Arial" w:cs="Arial"/>
          <w:sz w:val="20"/>
          <w:szCs w:val="20"/>
        </w:rPr>
        <w:t>, Investmentberater und Researcher bei Grossmann &amp; Berger in Berlin</w:t>
      </w:r>
      <w:r w:rsidR="00DC2E47">
        <w:rPr>
          <w:rFonts w:ascii="Arial" w:hAnsi="Arial" w:cs="Arial"/>
          <w:sz w:val="20"/>
          <w:szCs w:val="20"/>
        </w:rPr>
        <w:t>.</w:t>
      </w:r>
      <w:r w:rsidR="00746A51" w:rsidRPr="00544509">
        <w:rPr>
          <w:rFonts w:ascii="Arial" w:hAnsi="Arial" w:cs="Arial"/>
          <w:sz w:val="20"/>
          <w:szCs w:val="20"/>
        </w:rPr>
        <w:t xml:space="preserve"> </w:t>
      </w:r>
      <w:r w:rsidR="00587525" w:rsidRPr="00544509">
        <w:rPr>
          <w:rFonts w:ascii="Arial" w:hAnsi="Arial" w:cs="Arial"/>
          <w:sz w:val="20"/>
          <w:szCs w:val="20"/>
        </w:rPr>
        <w:t xml:space="preserve">   </w:t>
      </w:r>
    </w:p>
    <w:p w14:paraId="71980E8E" w14:textId="71A2A80A" w:rsidR="00544509" w:rsidRDefault="00544509" w:rsidP="009E04E6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08156DB0" w14:textId="77777777" w:rsidR="002D0B45" w:rsidRPr="009E04E6" w:rsidRDefault="002D0B45" w:rsidP="009E04E6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823"/>
        <w:gridCol w:w="708"/>
      </w:tblGrid>
      <w:tr w:rsidR="000A5ED1" w:rsidRPr="006F49D0" w14:paraId="2928D7C9" w14:textId="77777777" w:rsidTr="00DC2E47">
        <w:trPr>
          <w:trHeight w:val="416"/>
        </w:trPr>
        <w:tc>
          <w:tcPr>
            <w:tcW w:w="0" w:type="auto"/>
            <w:shd w:val="clear" w:color="auto" w:fill="1F242B" w:themeFill="accent2"/>
          </w:tcPr>
          <w:p w14:paraId="513B5E89" w14:textId="43F4B1E1" w:rsidR="000A5ED1" w:rsidRPr="00D550B6" w:rsidRDefault="00D550B6" w:rsidP="006F1265">
            <w:pPr>
              <w:widowControl w:val="0"/>
              <w:spacing w:before="60" w:after="60"/>
              <w:rPr>
                <w:rFonts w:ascii="Arial" w:eastAsia="Cambria" w:hAnsi="Arial" w:cs="Arial"/>
                <w:b/>
                <w:sz w:val="18"/>
                <w:szCs w:val="20"/>
                <w:lang w:val="en-US"/>
              </w:rPr>
            </w:pPr>
            <w:r w:rsidRPr="006F1265">
              <w:rPr>
                <w:rFonts w:ascii="Arial" w:hAnsi="Arial" w:cs="Arial"/>
                <w:b/>
                <w:sz w:val="18"/>
                <w:szCs w:val="18"/>
              </w:rPr>
              <w:lastRenderedPageBreak/>
              <w:t>Investmentmarkt | Berlin | 2019</w:t>
            </w:r>
          </w:p>
        </w:tc>
        <w:tc>
          <w:tcPr>
            <w:tcW w:w="708" w:type="dxa"/>
            <w:shd w:val="clear" w:color="auto" w:fill="1F242B" w:themeFill="accent2"/>
          </w:tcPr>
          <w:p w14:paraId="6DA68AD4" w14:textId="48860303" w:rsidR="000A5ED1" w:rsidRPr="00D550B6" w:rsidRDefault="000A5ED1" w:rsidP="00D550B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0B6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834913" w:rsidRPr="00D550B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550B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75A8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A5ED1" w:rsidRPr="006F49D0" w14:paraId="12A35FD1" w14:textId="77777777" w:rsidTr="00DC2E47">
        <w:trPr>
          <w:trHeight w:val="283"/>
        </w:trPr>
        <w:tc>
          <w:tcPr>
            <w:tcW w:w="3823" w:type="dxa"/>
          </w:tcPr>
          <w:p w14:paraId="1EEAFBBC" w14:textId="16EA5BD1" w:rsidR="000A5ED1" w:rsidRPr="004712BA" w:rsidRDefault="000A5ED1" w:rsidP="00D550B6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="00CE4834">
              <w:rPr>
                <w:rFonts w:ascii="Arial" w:hAnsi="Arial" w:cs="Arial"/>
                <w:sz w:val="18"/>
                <w:szCs w:val="16"/>
              </w:rPr>
              <w:t>Mrd</w:t>
            </w:r>
            <w:r w:rsidRPr="004712BA">
              <w:rPr>
                <w:rFonts w:ascii="Arial" w:hAnsi="Arial" w:cs="Arial"/>
                <w:sz w:val="18"/>
                <w:szCs w:val="16"/>
              </w:rPr>
              <w:t>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708" w:type="dxa"/>
            <w:vAlign w:val="center"/>
          </w:tcPr>
          <w:p w14:paraId="37C81A3D" w14:textId="55CA54D0" w:rsidR="000A5ED1" w:rsidRPr="00D550B6" w:rsidRDefault="00CE4834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11,12</w:t>
            </w:r>
          </w:p>
        </w:tc>
      </w:tr>
      <w:tr w:rsidR="000A5ED1" w:rsidRPr="006F49D0" w14:paraId="6A7ABFCD" w14:textId="77777777" w:rsidTr="00DC2E47">
        <w:trPr>
          <w:trHeight w:val="283"/>
        </w:trPr>
        <w:tc>
          <w:tcPr>
            <w:tcW w:w="3823" w:type="dxa"/>
          </w:tcPr>
          <w:p w14:paraId="209F9D9C" w14:textId="77777777" w:rsidR="000A5ED1" w:rsidRPr="00A7575D" w:rsidRDefault="000A5ED1" w:rsidP="00D550B6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708" w:type="dxa"/>
            <w:vAlign w:val="center"/>
          </w:tcPr>
          <w:p w14:paraId="266E247E" w14:textId="6E68DB6D" w:rsidR="000A5ED1" w:rsidRPr="00D550B6" w:rsidRDefault="00CE4834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+65</w:t>
            </w:r>
          </w:p>
        </w:tc>
      </w:tr>
      <w:tr w:rsidR="000A5ED1" w:rsidRPr="006F49D0" w14:paraId="1F46D6E3" w14:textId="77777777" w:rsidTr="00DC2E47">
        <w:trPr>
          <w:trHeight w:val="283"/>
        </w:trPr>
        <w:tc>
          <w:tcPr>
            <w:tcW w:w="3823" w:type="dxa"/>
          </w:tcPr>
          <w:p w14:paraId="021D0700" w14:textId="77777777" w:rsidR="000A5ED1" w:rsidRPr="00A7575D" w:rsidRDefault="000A5ED1" w:rsidP="00D550B6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708" w:type="dxa"/>
            <w:vAlign w:val="center"/>
          </w:tcPr>
          <w:p w14:paraId="2EA23137" w14:textId="11A7C2C4" w:rsidR="000A5ED1" w:rsidRPr="00CE4834" w:rsidRDefault="00EA3F5B" w:rsidP="001B219C">
            <w:pPr>
              <w:widowControl w:val="0"/>
              <w:spacing w:before="40" w:after="4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3F5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0A5ED1" w:rsidRPr="006F49D0" w14:paraId="1F687A93" w14:textId="77777777" w:rsidTr="00DC2E47">
        <w:trPr>
          <w:trHeight w:val="283"/>
        </w:trPr>
        <w:tc>
          <w:tcPr>
            <w:tcW w:w="3823" w:type="dxa"/>
          </w:tcPr>
          <w:p w14:paraId="7BAE8D04" w14:textId="77777777" w:rsidR="000A5ED1" w:rsidRPr="00CF57DD" w:rsidRDefault="000A5ED1" w:rsidP="00D550B6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708" w:type="dxa"/>
            <w:vAlign w:val="center"/>
          </w:tcPr>
          <w:p w14:paraId="7264C863" w14:textId="4670B798" w:rsidR="000A5ED1" w:rsidRPr="00D550B6" w:rsidRDefault="00CE4834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0A5ED1" w:rsidRPr="006F49D0" w14:paraId="16A9EFD5" w14:textId="77777777" w:rsidTr="00DC2E47">
        <w:trPr>
          <w:trHeight w:val="283"/>
        </w:trPr>
        <w:tc>
          <w:tcPr>
            <w:tcW w:w="3823" w:type="dxa"/>
          </w:tcPr>
          <w:p w14:paraId="776A8B5E" w14:textId="77777777" w:rsidR="000A5ED1" w:rsidRPr="004712BA" w:rsidRDefault="000A5ED1" w:rsidP="00D550B6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708" w:type="dxa"/>
            <w:vAlign w:val="center"/>
          </w:tcPr>
          <w:p w14:paraId="4D71828B" w14:textId="072E504C" w:rsidR="000A5ED1" w:rsidRPr="00D550B6" w:rsidRDefault="00E33AE6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0A5ED1" w14:paraId="55B3498E" w14:textId="77777777" w:rsidTr="00DC2E47">
        <w:trPr>
          <w:trHeight w:val="283"/>
        </w:trPr>
        <w:tc>
          <w:tcPr>
            <w:tcW w:w="3823" w:type="dxa"/>
          </w:tcPr>
          <w:p w14:paraId="10626FFC" w14:textId="5A33736E" w:rsidR="000A5ED1" w:rsidRPr="00A7575D" w:rsidRDefault="000A5ED1" w:rsidP="00D550B6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="00CA3FA0"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708" w:type="dxa"/>
            <w:vAlign w:val="center"/>
          </w:tcPr>
          <w:p w14:paraId="2B6ED377" w14:textId="1B8D55CB" w:rsidR="000A5ED1" w:rsidRPr="00EA3F5B" w:rsidRDefault="00EA3F5B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3F5B"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0A5ED1" w:rsidRPr="006F49D0" w14:paraId="3FF9A817" w14:textId="77777777" w:rsidTr="00DC2E47">
        <w:trPr>
          <w:trHeight w:val="283"/>
        </w:trPr>
        <w:tc>
          <w:tcPr>
            <w:tcW w:w="3823" w:type="dxa"/>
          </w:tcPr>
          <w:p w14:paraId="5A19B7CF" w14:textId="77777777" w:rsidR="000A5ED1" w:rsidRPr="004712BA" w:rsidRDefault="000A5ED1" w:rsidP="00D550B6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708" w:type="dxa"/>
            <w:vAlign w:val="center"/>
          </w:tcPr>
          <w:p w14:paraId="27AD5745" w14:textId="376E208B" w:rsidR="000A5ED1" w:rsidRPr="00EA3F5B" w:rsidRDefault="00EA3F5B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3F5B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0A5ED1" w14:paraId="0515B637" w14:textId="77777777" w:rsidTr="00DC2E47">
        <w:trPr>
          <w:trHeight w:val="283"/>
        </w:trPr>
        <w:tc>
          <w:tcPr>
            <w:tcW w:w="3823" w:type="dxa"/>
          </w:tcPr>
          <w:p w14:paraId="67B252C5" w14:textId="6DF0F149" w:rsidR="000A5ED1" w:rsidRPr="00A7575D" w:rsidRDefault="000A5ED1" w:rsidP="00D550B6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="00CA3FA0"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708" w:type="dxa"/>
            <w:vAlign w:val="center"/>
          </w:tcPr>
          <w:p w14:paraId="3F1E364B" w14:textId="30A372FE" w:rsidR="000A5ED1" w:rsidRPr="00EA3F5B" w:rsidRDefault="00EA3F5B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3F5B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</w:tr>
      <w:tr w:rsidR="000A5ED1" w:rsidRPr="006F49D0" w14:paraId="5FADA812" w14:textId="77777777" w:rsidTr="00DC2E47">
        <w:trPr>
          <w:trHeight w:val="283"/>
        </w:trPr>
        <w:tc>
          <w:tcPr>
            <w:tcW w:w="3823" w:type="dxa"/>
          </w:tcPr>
          <w:p w14:paraId="2CFBFCBA" w14:textId="77777777" w:rsidR="000A5ED1" w:rsidRPr="004712BA" w:rsidRDefault="000A5ED1" w:rsidP="00D550B6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708" w:type="dxa"/>
            <w:vAlign w:val="center"/>
          </w:tcPr>
          <w:p w14:paraId="5A1B2D82" w14:textId="2CF21B1B" w:rsidR="000A5ED1" w:rsidRPr="00EA3F5B" w:rsidRDefault="00EA3F5B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3F5B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0A5ED1" w14:paraId="20B8D9B7" w14:textId="77777777" w:rsidTr="00DC2E47">
        <w:trPr>
          <w:trHeight w:val="283"/>
        </w:trPr>
        <w:tc>
          <w:tcPr>
            <w:tcW w:w="3823" w:type="dxa"/>
          </w:tcPr>
          <w:p w14:paraId="24159E32" w14:textId="7FFA5478" w:rsidR="000A5ED1" w:rsidRPr="00A7575D" w:rsidRDefault="000A5ED1" w:rsidP="00D550B6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="00CA3FA0"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708" w:type="dxa"/>
            <w:vAlign w:val="center"/>
          </w:tcPr>
          <w:p w14:paraId="6C62ADF7" w14:textId="542FE848" w:rsidR="000A5ED1" w:rsidRPr="00EA3F5B" w:rsidRDefault="007A3353" w:rsidP="00D550B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3F5B">
              <w:rPr>
                <w:rFonts w:ascii="Arial" w:hAnsi="Arial" w:cs="Arial"/>
                <w:sz w:val="18"/>
                <w:szCs w:val="18"/>
              </w:rPr>
              <w:t>-0,</w:t>
            </w:r>
            <w:r w:rsidR="00EA3F5B" w:rsidRPr="00EA3F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A5ED1" w:rsidRPr="006F49D0" w14:paraId="258FCBB3" w14:textId="77777777" w:rsidTr="00DC2E47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6E84F40E" w14:textId="77777777" w:rsidR="000A5ED1" w:rsidRPr="004712BA" w:rsidRDefault="000A5ED1" w:rsidP="00D550B6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D93AE39" w14:textId="1B71CD43" w:rsidR="000A5ED1" w:rsidRPr="00D550B6" w:rsidRDefault="007A3353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0B6"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</w:tr>
      <w:tr w:rsidR="000A5ED1" w:rsidRPr="006F49D0" w14:paraId="15F08F3E" w14:textId="77777777" w:rsidTr="00DC2E47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88669C5" w14:textId="77777777" w:rsidR="000A5ED1" w:rsidRPr="004712BA" w:rsidRDefault="000A5ED1" w:rsidP="00D550B6">
            <w:pPr>
              <w:widowControl w:val="0"/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9478F0" w14:textId="17C60EF9" w:rsidR="000A5ED1" w:rsidRPr="00D550B6" w:rsidRDefault="00E33AE6" w:rsidP="00365AF8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</w:tbl>
    <w:p w14:paraId="4B1FD29B" w14:textId="275B8F2A" w:rsidR="00FD4DDC" w:rsidRDefault="00FD4DDC" w:rsidP="00FD4DDC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4068F55" wp14:editId="64A03B26">
            <wp:extent cx="2560781" cy="1854679"/>
            <wp:effectExtent l="19050" t="19050" r="11430" b="1270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vestmentmarkt Berlin_4Q2019_TAV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625" cy="1911059"/>
                    </a:xfrm>
                    <a:prstGeom prst="rect">
                      <a:avLst/>
                    </a:prstGeom>
                    <a:ln w="127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DD8659" w14:textId="77777777" w:rsidR="00FD4DDC" w:rsidRDefault="00FD4DDC" w:rsidP="000A5ED1">
      <w:pPr>
        <w:spacing w:after="0"/>
        <w:rPr>
          <w:rFonts w:ascii="Arial" w:hAnsi="Arial" w:cs="Arial"/>
          <w:b/>
          <w:sz w:val="20"/>
          <w:szCs w:val="20"/>
        </w:rPr>
      </w:pPr>
    </w:p>
    <w:p w14:paraId="551FBCA0" w14:textId="77777777" w:rsidR="002D0B45" w:rsidRDefault="002D0B45" w:rsidP="000A5ED1">
      <w:pPr>
        <w:spacing w:after="0"/>
        <w:rPr>
          <w:rFonts w:ascii="Arial" w:hAnsi="Arial" w:cs="Arial"/>
          <w:b/>
          <w:sz w:val="20"/>
          <w:szCs w:val="20"/>
        </w:rPr>
      </w:pPr>
    </w:p>
    <w:p w14:paraId="236E0A89" w14:textId="77777777" w:rsidR="002D0B45" w:rsidRDefault="002D0B45" w:rsidP="000A5ED1">
      <w:pPr>
        <w:spacing w:after="0"/>
        <w:rPr>
          <w:rFonts w:ascii="Arial" w:hAnsi="Arial" w:cs="Arial"/>
          <w:b/>
          <w:sz w:val="20"/>
          <w:szCs w:val="20"/>
        </w:rPr>
      </w:pPr>
    </w:p>
    <w:p w14:paraId="03A88486" w14:textId="77777777" w:rsidR="002D0B45" w:rsidRDefault="002D0B45" w:rsidP="000A5ED1">
      <w:pPr>
        <w:spacing w:after="0"/>
        <w:rPr>
          <w:rFonts w:ascii="Arial" w:hAnsi="Arial" w:cs="Arial"/>
          <w:b/>
          <w:sz w:val="20"/>
          <w:szCs w:val="20"/>
        </w:rPr>
      </w:pPr>
    </w:p>
    <w:p w14:paraId="41B978B2" w14:textId="77777777" w:rsidR="002D0B45" w:rsidRDefault="002D0B45" w:rsidP="000A5ED1">
      <w:pPr>
        <w:spacing w:after="0"/>
        <w:rPr>
          <w:rFonts w:ascii="Arial" w:hAnsi="Arial" w:cs="Arial"/>
          <w:b/>
          <w:sz w:val="20"/>
          <w:szCs w:val="20"/>
        </w:rPr>
      </w:pPr>
    </w:p>
    <w:p w14:paraId="3E677D4E" w14:textId="46EB08B2" w:rsidR="001871BC" w:rsidRDefault="00713D81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</w:t>
      </w:r>
      <w:r w:rsidR="004C4111">
        <w:rPr>
          <w:rFonts w:ascii="Arial" w:hAnsi="Arial" w:cs="Arial"/>
          <w:b/>
          <w:sz w:val="20"/>
          <w:szCs w:val="20"/>
        </w:rPr>
        <w:t xml:space="preserve"> Top-</w:t>
      </w:r>
      <w:r>
        <w:rPr>
          <w:rFonts w:ascii="Arial" w:hAnsi="Arial" w:cs="Arial"/>
          <w:b/>
          <w:sz w:val="20"/>
          <w:szCs w:val="20"/>
        </w:rPr>
        <w:t>Transaktionen</w:t>
      </w:r>
      <w:r w:rsidR="004C63A9">
        <w:rPr>
          <w:rFonts w:ascii="Arial" w:hAnsi="Arial" w:cs="Arial"/>
          <w:b/>
          <w:sz w:val="20"/>
          <w:szCs w:val="20"/>
        </w:rPr>
        <w:t xml:space="preserve"> | Investmentmarkt Berlin | </w:t>
      </w:r>
      <w:r w:rsidR="00A71F24">
        <w:rPr>
          <w:rFonts w:ascii="Arial" w:hAnsi="Arial" w:cs="Arial"/>
          <w:b/>
          <w:sz w:val="20"/>
          <w:szCs w:val="20"/>
        </w:rPr>
        <w:t>1</w:t>
      </w:r>
      <w:r w:rsidR="004C63A9">
        <w:rPr>
          <w:rFonts w:ascii="Arial" w:hAnsi="Arial" w:cs="Arial"/>
          <w:b/>
          <w:sz w:val="20"/>
          <w:szCs w:val="20"/>
        </w:rPr>
        <w:t>.-</w:t>
      </w:r>
      <w:r w:rsidR="00175A8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201</w:t>
      </w:r>
      <w:r w:rsidR="004C63A9">
        <w:rPr>
          <w:rFonts w:ascii="Arial" w:hAnsi="Arial" w:cs="Arial"/>
          <w:b/>
          <w:sz w:val="20"/>
          <w:szCs w:val="20"/>
        </w:rPr>
        <w:t>9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992"/>
        <w:gridCol w:w="2410"/>
        <w:gridCol w:w="1559"/>
        <w:gridCol w:w="1276"/>
      </w:tblGrid>
      <w:tr w:rsidR="00713D81" w:rsidRPr="006F49D0" w14:paraId="3881C746" w14:textId="77777777" w:rsidTr="00013938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2D3315CD" w14:textId="77777777" w:rsidR="00713D81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Projekt/Objekt</w:t>
            </w:r>
          </w:p>
          <w:p w14:paraId="1BD8284D" w14:textId="77777777" w:rsidR="00713D81" w:rsidRPr="00C626E7" w:rsidRDefault="00713D81" w:rsidP="00713D81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Straße Nr. </w:t>
            </w:r>
          </w:p>
        </w:tc>
        <w:tc>
          <w:tcPr>
            <w:tcW w:w="1276" w:type="dxa"/>
            <w:shd w:val="clear" w:color="auto" w:fill="1F242B" w:themeFill="accent2"/>
          </w:tcPr>
          <w:p w14:paraId="4E8EC8BF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992" w:type="dxa"/>
            <w:shd w:val="clear" w:color="auto" w:fill="1F242B" w:themeFill="accent2"/>
          </w:tcPr>
          <w:p w14:paraId="56B818C2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2410" w:type="dxa"/>
            <w:shd w:val="clear" w:color="auto" w:fill="1F242B" w:themeFill="accent2"/>
            <w:vAlign w:val="center"/>
          </w:tcPr>
          <w:p w14:paraId="6F9AAE5A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1559" w:type="dxa"/>
            <w:shd w:val="clear" w:color="auto" w:fill="1F242B" w:themeFill="accent2"/>
            <w:vAlign w:val="center"/>
          </w:tcPr>
          <w:p w14:paraId="1C1FB7C5" w14:textId="77777777" w:rsidR="00713D81" w:rsidRPr="009F10F1" w:rsidRDefault="00713D81" w:rsidP="00713D81">
            <w:pPr>
              <w:widowControl w:val="0"/>
              <w:spacing w:before="60" w:afterLines="60" w:after="144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276" w:type="dxa"/>
            <w:shd w:val="clear" w:color="auto" w:fill="1F242B" w:themeFill="accent2"/>
            <w:vAlign w:val="center"/>
          </w:tcPr>
          <w:p w14:paraId="07D9CAD3" w14:textId="77777777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4946B45A" w14:textId="77777777" w:rsidR="00713D81" w:rsidRPr="009F10F1" w:rsidRDefault="00713D81" w:rsidP="00713D81">
            <w:pPr>
              <w:widowControl w:val="0"/>
              <w:spacing w:before="60"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C05974" w:rsidRPr="006F49D0" w14:paraId="0B564638" w14:textId="77777777" w:rsidTr="00013938">
        <w:trPr>
          <w:trHeight w:val="56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E6078DB" w14:textId="64922D93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Oberbaum-City”, Rotherstraße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092AC0" w14:textId="6110E1A9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434430">
              <w:rPr>
                <w:rFonts w:ascii="Arial" w:hAnsi="Arial" w:cs="Arial"/>
                <w:sz w:val="18"/>
                <w:szCs w:val="16"/>
              </w:rPr>
              <w:t>Friedrichs</w:t>
            </w: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Pr="00434430">
              <w:rPr>
                <w:rFonts w:ascii="Arial" w:hAnsi="Arial" w:cs="Arial"/>
                <w:sz w:val="18"/>
                <w:szCs w:val="16"/>
              </w:rPr>
              <w:t>hain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B9BC46" w14:textId="2DFA11BB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Büro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78AFEF" w14:textId="6C6D0E5D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Blackstone Group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0229E1" w14:textId="0963188F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C77922">
              <w:rPr>
                <w:rFonts w:ascii="Arial" w:hAnsi="Arial" w:cs="Arial"/>
                <w:sz w:val="18"/>
                <w:szCs w:val="16"/>
                <w:lang w:val="en-US"/>
              </w:rPr>
              <w:t>UniCredit (HVB)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0D9693" w14:textId="773C98C6" w:rsidR="00102BA7" w:rsidRPr="009F10F1" w:rsidRDefault="00102BA7" w:rsidP="00102BA7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77922">
              <w:rPr>
                <w:rFonts w:ascii="Arial" w:hAnsi="Arial" w:cs="Arial"/>
                <w:sz w:val="18"/>
                <w:szCs w:val="16"/>
                <w:lang w:val="en-US"/>
              </w:rPr>
              <w:t>475</w:t>
            </w:r>
          </w:p>
        </w:tc>
      </w:tr>
      <w:tr w:rsidR="00C05974" w:rsidRPr="00797E2F" w14:paraId="1D351BC4" w14:textId="77777777" w:rsidTr="00013938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A1537" w14:textId="74369AD2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 w:rsidRPr="002575B2">
              <w:rPr>
                <w:rFonts w:ascii="Arial" w:hAnsi="Arial" w:cs="Arial"/>
                <w:sz w:val="18"/>
                <w:szCs w:val="16"/>
              </w:rPr>
              <w:t>Pressehaus am Alexanderplatz</w:t>
            </w:r>
            <w:r w:rsidR="0036151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575B2">
              <w:rPr>
                <w:rFonts w:ascii="Arial" w:hAnsi="Arial" w:cs="Arial"/>
                <w:sz w:val="18"/>
                <w:szCs w:val="16"/>
              </w:rPr>
              <w:t>/</w:t>
            </w:r>
            <w:r w:rsidR="0036151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575B2">
              <w:rPr>
                <w:rFonts w:ascii="Arial" w:hAnsi="Arial" w:cs="Arial"/>
                <w:sz w:val="18"/>
                <w:szCs w:val="16"/>
              </w:rPr>
              <w:t>New Podium</w:t>
            </w:r>
            <w:r>
              <w:rPr>
                <w:rFonts w:ascii="Arial" w:hAnsi="Arial" w:cs="Arial"/>
                <w:sz w:val="18"/>
                <w:szCs w:val="16"/>
              </w:rPr>
              <w:t>“</w:t>
            </w:r>
            <w:r w:rsidRPr="002575B2">
              <w:rPr>
                <w:rFonts w:ascii="Arial" w:hAnsi="Arial" w:cs="Arial"/>
                <w:sz w:val="18"/>
                <w:szCs w:val="16"/>
              </w:rPr>
              <w:t>, Karl-Liebknecht-Straße 27</w:t>
            </w:r>
            <w:r>
              <w:rPr>
                <w:rFonts w:ascii="Arial" w:hAnsi="Arial" w:cs="Arial"/>
                <w:sz w:val="18"/>
                <w:szCs w:val="16"/>
              </w:rPr>
              <w:t>-29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CB957" w14:textId="68CB394A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Mitte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F410E" w14:textId="59616D65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Büro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F98FD" w14:textId="478663B6" w:rsidR="00102BA7" w:rsidRPr="00856EB5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77922">
              <w:rPr>
                <w:rFonts w:ascii="Arial" w:hAnsi="Arial" w:cs="Arial"/>
                <w:sz w:val="18"/>
                <w:szCs w:val="16"/>
                <w:lang w:val="en-US"/>
              </w:rPr>
              <w:t xml:space="preserve">GEG German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Real </w:t>
            </w:r>
            <w:r w:rsidRPr="00C77922">
              <w:rPr>
                <w:rFonts w:ascii="Arial" w:hAnsi="Arial" w:cs="Arial"/>
                <w:sz w:val="18"/>
                <w:szCs w:val="16"/>
                <w:lang w:val="en-US"/>
              </w:rPr>
              <w:t>Estate Group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D1920" w14:textId="41F182CC" w:rsidR="00102BA7" w:rsidRPr="009F10F1" w:rsidRDefault="00102BA7" w:rsidP="00102BA7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77922">
              <w:rPr>
                <w:rFonts w:ascii="Arial" w:hAnsi="Arial" w:cs="Arial"/>
                <w:sz w:val="18"/>
                <w:szCs w:val="16"/>
                <w:lang w:val="en-US"/>
              </w:rPr>
              <w:t>Tishman Speyer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993BA" w14:textId="4012EC5D" w:rsidR="00102BA7" w:rsidRPr="009F10F1" w:rsidRDefault="006C397A" w:rsidP="0045101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340</w:t>
            </w:r>
          </w:p>
        </w:tc>
      </w:tr>
      <w:tr w:rsidR="00D90EF0" w:rsidRPr="00797E2F" w14:paraId="6C639CEA" w14:textId="77777777" w:rsidTr="00013938">
        <w:trPr>
          <w:trHeight w:val="64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4683FC" w14:textId="77777777" w:rsidR="00D90EF0" w:rsidRDefault="00D90EF0" w:rsidP="00591461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423763" w14:textId="77777777" w:rsidR="00D90EF0" w:rsidRDefault="00D90EF0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538677" w14:textId="77777777" w:rsidR="00D90EF0" w:rsidRDefault="00D90EF0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5A513B" w14:textId="77777777" w:rsidR="00D90EF0" w:rsidRDefault="00D90EF0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EB21A5" w14:textId="77777777" w:rsidR="00D90EF0" w:rsidRDefault="00D90EF0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768F47" w14:textId="77777777" w:rsidR="00D90EF0" w:rsidRDefault="00D90EF0" w:rsidP="00C05974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940BA7" w:rsidRPr="00797E2F" w14:paraId="7536C5D5" w14:textId="77777777" w:rsidTr="00023F01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5868FBC9" w14:textId="6D76ADB7" w:rsidR="00940BA7" w:rsidRPr="006C397A" w:rsidRDefault="00940BA7" w:rsidP="00591461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„Fürst“ (ehemaliges „Kudamm-Karree“), Kurfürstendamm 206-209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02888" w14:textId="4C1023E3" w:rsidR="00940BA7" w:rsidRPr="006C397A" w:rsidRDefault="00940BA7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Ku’damm plus Seitenstraßen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FD36F" w14:textId="4BA3B804" w:rsidR="00940BA7" w:rsidRPr="006C397A" w:rsidRDefault="00940BA7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Misch-nutzung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0EFD9F" w14:textId="13D5BC77" w:rsidR="00940BA7" w:rsidRPr="006C397A" w:rsidRDefault="00144720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Vivion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4B4B9" w14:textId="2125CBD7" w:rsidR="00940BA7" w:rsidRPr="006C397A" w:rsidRDefault="00940BA7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Cell</w:t>
            </w:r>
            <w:r w:rsidR="00144720">
              <w:rPr>
                <w:rFonts w:ascii="Arial" w:hAnsi="Arial" w:cs="Arial"/>
                <w:sz w:val="18"/>
                <w:szCs w:val="16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Bauwelt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5EFA2" w14:textId="4488E3D5" w:rsidR="00940BA7" w:rsidRPr="006C397A" w:rsidRDefault="00940BA7" w:rsidP="00C05974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vertraulich</w:t>
            </w:r>
          </w:p>
        </w:tc>
      </w:tr>
      <w:tr w:rsidR="00D90EF0" w:rsidRPr="00797E2F" w14:paraId="6A58E77D" w14:textId="77777777" w:rsidTr="00023F01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420D045" w14:textId="2CAD6B8F" w:rsidR="00D90EF0" w:rsidRPr="006C397A" w:rsidRDefault="00D90EF0" w:rsidP="00591461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C397A">
              <w:rPr>
                <w:rFonts w:ascii="Arial" w:hAnsi="Arial" w:cs="Arial"/>
                <w:sz w:val="18"/>
                <w:szCs w:val="16"/>
              </w:rPr>
              <w:t>„East-Side-Tower“</w:t>
            </w:r>
            <w:r w:rsidR="00A826E0" w:rsidRPr="006C397A">
              <w:rPr>
                <w:rFonts w:ascii="Arial" w:hAnsi="Arial" w:cs="Arial"/>
                <w:sz w:val="18"/>
                <w:szCs w:val="16"/>
              </w:rPr>
              <w:t>, Tamara-Danz-Straße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295E5" w14:textId="53870CA1" w:rsidR="00D90EF0" w:rsidRPr="006C397A" w:rsidRDefault="00D90EF0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C397A">
              <w:rPr>
                <w:rFonts w:ascii="Arial" w:hAnsi="Arial" w:cs="Arial"/>
                <w:sz w:val="18"/>
                <w:szCs w:val="16"/>
              </w:rPr>
              <w:t>Friedrichs-hain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D6031" w14:textId="1FBD3C0C" w:rsidR="00D90EF0" w:rsidRPr="006C397A" w:rsidRDefault="00D90EF0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C397A">
              <w:rPr>
                <w:rFonts w:ascii="Arial" w:hAnsi="Arial" w:cs="Arial"/>
                <w:sz w:val="18"/>
                <w:szCs w:val="16"/>
                <w:lang w:val="en-US"/>
              </w:rPr>
              <w:t>Büro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FDDCB" w14:textId="6A198B27" w:rsidR="00D90EF0" w:rsidRPr="006C397A" w:rsidRDefault="00013938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C397A">
              <w:rPr>
                <w:rFonts w:ascii="Arial" w:hAnsi="Arial" w:cs="Arial"/>
                <w:sz w:val="18"/>
                <w:szCs w:val="16"/>
                <w:lang w:val="en-US"/>
              </w:rPr>
              <w:t>Bayerische Versorgungskammer BVK</w:t>
            </w:r>
            <w:r w:rsidR="009752FE" w:rsidRPr="006C397A">
              <w:rPr>
                <w:rFonts w:ascii="Arial" w:hAnsi="Arial" w:cs="Arial"/>
                <w:sz w:val="18"/>
                <w:szCs w:val="16"/>
                <w:lang w:val="en-US"/>
              </w:rPr>
              <w:t xml:space="preserve"> und Allianz Real Estate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C6BBE" w14:textId="5C00C049" w:rsidR="00D90EF0" w:rsidRPr="006C397A" w:rsidRDefault="00D90EF0" w:rsidP="00C05974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C397A">
              <w:rPr>
                <w:rFonts w:ascii="Arial" w:hAnsi="Arial" w:cs="Arial"/>
                <w:sz w:val="18"/>
                <w:szCs w:val="16"/>
                <w:lang w:val="en-US"/>
              </w:rPr>
              <w:t>Edge Technologies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E3E4D" w14:textId="079D66E2" w:rsidR="00D90EF0" w:rsidRPr="006C397A" w:rsidRDefault="00A56D22" w:rsidP="00C05974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C397A">
              <w:rPr>
                <w:rFonts w:ascii="Arial" w:hAnsi="Arial" w:cs="Arial"/>
                <w:sz w:val="18"/>
                <w:szCs w:val="16"/>
                <w:lang w:val="en-US"/>
              </w:rPr>
              <w:t>vertraulich</w:t>
            </w:r>
          </w:p>
        </w:tc>
      </w:tr>
      <w:tr w:rsidR="00023F01" w:rsidRPr="00797E2F" w14:paraId="5C0D8C2F" w14:textId="77777777" w:rsidTr="00023F01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EDB2ED9" w14:textId="172D6353" w:rsidR="00023F01" w:rsidRPr="00023F01" w:rsidRDefault="00023F01" w:rsidP="00023F01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023F01">
              <w:rPr>
                <w:rFonts w:ascii="Arial" w:hAnsi="Arial" w:cs="Arial"/>
                <w:b/>
                <w:sz w:val="18"/>
                <w:szCs w:val="16"/>
              </w:rPr>
              <w:t>„Stream“, Zalando-Hochhaus</w:t>
            </w:r>
            <w:r w:rsidR="006C397A">
              <w:rPr>
                <w:rFonts w:ascii="Arial" w:hAnsi="Arial" w:cs="Arial"/>
                <w:b/>
                <w:sz w:val="18"/>
                <w:szCs w:val="16"/>
              </w:rPr>
              <w:t>, Tamara-Danz-Straße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0E6E5" w14:textId="74344AE9" w:rsidR="00023F01" w:rsidRPr="00023F01" w:rsidRDefault="00023F01" w:rsidP="00023F01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023F01">
              <w:rPr>
                <w:rFonts w:ascii="Arial" w:hAnsi="Arial" w:cs="Arial"/>
                <w:b/>
                <w:sz w:val="18"/>
                <w:szCs w:val="16"/>
              </w:rPr>
              <w:t>Friedrichs-hain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68B2C" w14:textId="152ABC11" w:rsidR="00023F01" w:rsidRPr="00023F01" w:rsidRDefault="00023F01" w:rsidP="00023F01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023F01">
              <w:rPr>
                <w:rFonts w:ascii="Arial" w:hAnsi="Arial" w:cs="Arial"/>
                <w:b/>
                <w:sz w:val="18"/>
                <w:szCs w:val="16"/>
                <w:lang w:val="en-US"/>
              </w:rPr>
              <w:t>Büro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D608B9" w14:textId="0947FCC6" w:rsidR="00023F01" w:rsidRPr="00023F01" w:rsidRDefault="00023F01" w:rsidP="00023F01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023F01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PGIM </w:t>
            </w:r>
            <w:r w:rsidR="002D0B45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Investments </w:t>
            </w:r>
            <w:r w:rsidRPr="00023F01">
              <w:rPr>
                <w:rFonts w:ascii="Arial" w:hAnsi="Arial" w:cs="Arial"/>
                <w:b/>
                <w:sz w:val="18"/>
                <w:szCs w:val="16"/>
                <w:lang w:val="en-US"/>
              </w:rPr>
              <w:t>(für Deutsches Versorgungswerk)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99739" w14:textId="692D6341" w:rsidR="00023F01" w:rsidRPr="00023F01" w:rsidRDefault="00023F01" w:rsidP="00023F01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023F01">
              <w:rPr>
                <w:rFonts w:ascii="Arial" w:hAnsi="Arial" w:cs="Arial"/>
                <w:b/>
                <w:sz w:val="18"/>
                <w:szCs w:val="16"/>
                <w:lang w:val="en-US"/>
              </w:rPr>
              <w:t>Signa Holding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B1C69" w14:textId="34A3B1FF" w:rsidR="00023F01" w:rsidRPr="00023F01" w:rsidRDefault="00023F01" w:rsidP="00023F01">
            <w:pPr>
              <w:widowControl w:val="0"/>
              <w:spacing w:after="0"/>
              <w:jc w:val="right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023F01">
              <w:rPr>
                <w:rFonts w:ascii="Arial" w:hAnsi="Arial" w:cs="Arial"/>
                <w:b/>
                <w:sz w:val="18"/>
                <w:szCs w:val="16"/>
                <w:lang w:val="en-US"/>
              </w:rPr>
              <w:t>vertraulich</w:t>
            </w:r>
          </w:p>
        </w:tc>
      </w:tr>
      <w:tr w:rsidR="00023F01" w:rsidRPr="00797E2F" w14:paraId="1B517BA0" w14:textId="77777777" w:rsidTr="00013938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2E850" w14:textId="39B6ED5B" w:rsidR="00023F01" w:rsidRPr="006C397A" w:rsidRDefault="00023F01" w:rsidP="00023F01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C397A">
              <w:rPr>
                <w:rFonts w:ascii="Arial" w:hAnsi="Arial" w:cs="Arial"/>
                <w:sz w:val="18"/>
                <w:szCs w:val="16"/>
              </w:rPr>
              <w:t>„B:HUB“, Kynas</w:t>
            </w:r>
            <w:r w:rsidR="006C397A" w:rsidRPr="006C397A">
              <w:rPr>
                <w:rFonts w:ascii="Arial" w:hAnsi="Arial" w:cs="Arial"/>
                <w:sz w:val="18"/>
                <w:szCs w:val="16"/>
              </w:rPr>
              <w:t>tstraße 13-15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70654" w14:textId="251B3BAE" w:rsidR="00023F01" w:rsidRPr="006C397A" w:rsidRDefault="006C397A" w:rsidP="00023F01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C397A">
              <w:rPr>
                <w:rFonts w:ascii="Arial" w:hAnsi="Arial" w:cs="Arial"/>
                <w:sz w:val="18"/>
                <w:szCs w:val="16"/>
              </w:rPr>
              <w:t>Friedrichs-hain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A8002" w14:textId="41DC01F1" w:rsidR="00023F01" w:rsidRPr="006C397A" w:rsidRDefault="006C397A" w:rsidP="00023F01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C397A">
              <w:rPr>
                <w:rFonts w:ascii="Arial" w:hAnsi="Arial" w:cs="Arial"/>
                <w:sz w:val="18"/>
                <w:szCs w:val="16"/>
                <w:lang w:val="en-US"/>
              </w:rPr>
              <w:t>Büro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DAF1C" w14:textId="628BF96D" w:rsidR="00023F01" w:rsidRPr="006C397A" w:rsidRDefault="006C397A" w:rsidP="00023F01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C397A">
              <w:rPr>
                <w:rFonts w:ascii="Arial" w:hAnsi="Arial" w:cs="Arial"/>
                <w:sz w:val="18"/>
                <w:szCs w:val="16"/>
                <w:lang w:val="en-US"/>
              </w:rPr>
              <w:t>JP Morgan Asset Management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8B9A" w14:textId="30ACF649" w:rsidR="00023F01" w:rsidRPr="006C397A" w:rsidRDefault="006C397A" w:rsidP="00023F01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C397A">
              <w:rPr>
                <w:rFonts w:ascii="Arial" w:hAnsi="Arial" w:cs="Arial"/>
                <w:sz w:val="18"/>
                <w:szCs w:val="16"/>
                <w:lang w:val="en-US"/>
              </w:rPr>
              <w:t>SGI Immobilien Entwicklung und Verwaltung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8943" w14:textId="5DC0B33C" w:rsidR="00023F01" w:rsidRPr="006C397A" w:rsidRDefault="006C397A" w:rsidP="00023F01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C397A">
              <w:rPr>
                <w:rFonts w:ascii="Arial" w:hAnsi="Arial" w:cs="Arial"/>
                <w:sz w:val="18"/>
                <w:szCs w:val="16"/>
                <w:lang w:val="en-US"/>
              </w:rPr>
              <w:t>vertraulich</w:t>
            </w:r>
          </w:p>
        </w:tc>
      </w:tr>
    </w:tbl>
    <w:p w14:paraId="7742F440" w14:textId="1FB8661B" w:rsidR="00175A86" w:rsidRDefault="00175A86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>
        <w:rPr>
          <w:rFonts w:ascii="Arial" w:hAnsi="Arial" w:cs="Arial"/>
          <w:sz w:val="16"/>
          <w:szCs w:val="16"/>
        </w:rPr>
        <w:t>; neue Deals/Deals aus jeweiligem Berichtsquartal sind fett dargestellt</w:t>
      </w:r>
    </w:p>
    <w:p w14:paraId="22235BE6" w14:textId="77777777" w:rsidR="00175A86" w:rsidRDefault="00175A86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D624B47" w14:textId="35864042" w:rsidR="003D35C8" w:rsidRPr="000A5ED1" w:rsidRDefault="003D35C8" w:rsidP="003D35C8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r w:rsidRPr="008327E5">
        <w:rPr>
          <w:rFonts w:ascii="Arial" w:eastAsia="Arial" w:hAnsi="Arial" w:cs="Arial"/>
          <w:sz w:val="20"/>
          <w:szCs w:val="20"/>
        </w:rPr>
        <w:t>Marktbericht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hyperlink r:id="rId9" w:history="1">
        <w:r w:rsidRPr="00FC40F0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2047CF0B" w14:textId="3944461C" w:rsidR="00175A86" w:rsidRDefault="00175A86" w:rsidP="003A00C9">
      <w:pPr>
        <w:spacing w:after="0"/>
        <w:rPr>
          <w:rFonts w:ascii="Arial" w:hAnsi="Arial" w:cs="Arial"/>
          <w:b/>
          <w:sz w:val="20"/>
          <w:szCs w:val="20"/>
        </w:rPr>
      </w:pPr>
    </w:p>
    <w:p w14:paraId="0B4262C9" w14:textId="77777777" w:rsidR="00175A86" w:rsidRPr="00175A86" w:rsidRDefault="00175A86" w:rsidP="003A00C9">
      <w:pPr>
        <w:spacing w:after="0"/>
        <w:rPr>
          <w:rFonts w:ascii="Arial" w:hAnsi="Arial" w:cs="Arial"/>
          <w:b/>
          <w:sz w:val="20"/>
          <w:szCs w:val="20"/>
        </w:rPr>
      </w:pPr>
    </w:p>
    <w:p w14:paraId="3FEA6432" w14:textId="3E5DAB83" w:rsidR="0090748B" w:rsidRPr="0090748B" w:rsidRDefault="0090748B" w:rsidP="00CA3FA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1E12A03E" w14:textId="6A52D2A9" w:rsidR="0090748B" w:rsidRPr="0090748B" w:rsidRDefault="0090748B" w:rsidP="00CA3FA0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90748B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zehn Standorten in Hamburg sowie je einem in Berlin, Ahrensburg,</w:t>
      </w:r>
      <w:r w:rsidR="00A92A2F">
        <w:rPr>
          <w:rFonts w:ascii="Arial" w:hAnsi="Arial" w:cs="Arial"/>
          <w:snapToGrid w:val="0"/>
          <w:sz w:val="16"/>
          <w:szCs w:val="16"/>
        </w:rPr>
        <w:t xml:space="preserve"> </w:t>
      </w:r>
      <w:r w:rsidRPr="0090748B">
        <w:rPr>
          <w:rFonts w:ascii="Arial" w:hAnsi="Arial" w:cs="Arial"/>
          <w:snapToGrid w:val="0"/>
          <w:sz w:val="16"/>
          <w:szCs w:val="16"/>
        </w:rPr>
        <w:t>Lüneburg</w:t>
      </w:r>
      <w:r w:rsidR="006222FC">
        <w:rPr>
          <w:rFonts w:ascii="Arial" w:hAnsi="Arial" w:cs="Arial"/>
          <w:snapToGrid w:val="0"/>
          <w:sz w:val="16"/>
          <w:szCs w:val="16"/>
        </w:rPr>
        <w:t>, Norderstedt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 und auf Sylt ist das Unternehmen flächendeckend im norddeutschen</w:t>
      </w:r>
      <w:r w:rsidR="005360E8">
        <w:rPr>
          <w:rFonts w:ascii="Arial" w:hAnsi="Arial" w:cs="Arial"/>
          <w:snapToGrid w:val="0"/>
          <w:sz w:val="16"/>
          <w:szCs w:val="16"/>
        </w:rPr>
        <w:t xml:space="preserve"> Markt präsent. Dank der über 85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-jährigen Erfahrung verfügt das Unternehmen über umfassende Immobilienkompetenz. Grossmann &amp; Berger ist ein Beteiligungsunternehmen der HASPA-Gruppe und Gründungsmitglied des deutschlandweiten Gewerbeimmobiliennetzwerks </w:t>
      </w:r>
      <w:hyperlink r:id="rId11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German Property Partners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(GPP).</w:t>
      </w:r>
      <w:r w:rsidR="00A7546D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4B9A2857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7835FB" w14:textId="650FF9C0" w:rsidR="00503D8C" w:rsidRPr="00503D8C" w:rsidRDefault="003C6AB4" w:rsidP="002D0B45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 w:rsidR="0022086D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4BE8" w14:textId="77777777" w:rsidR="00BA1CCA" w:rsidRDefault="00BA1CCA">
      <w:r>
        <w:separator/>
      </w:r>
    </w:p>
  </w:endnote>
  <w:endnote w:type="continuationSeparator" w:id="0">
    <w:p w14:paraId="7ADE9143" w14:textId="77777777" w:rsidR="00BA1CCA" w:rsidRDefault="00BA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>| Bleichenbrücke 9 | D-20354 Hamburg | Tel. +49 (0)40/350 80 2-0 | www.grossmann-berger.de</w:t>
    </w:r>
  </w:p>
  <w:p w14:paraId="5440A7EF" w14:textId="3E3F02FA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4472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4472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610BC" w14:textId="77777777" w:rsidR="00BA1CCA" w:rsidRDefault="00BA1CCA">
      <w:r>
        <w:separator/>
      </w:r>
    </w:p>
  </w:footnote>
  <w:footnote w:type="continuationSeparator" w:id="0">
    <w:p w14:paraId="6677457A" w14:textId="77777777" w:rsidR="00BA1CCA" w:rsidRDefault="00BA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7482C223" w:rsidR="006138CB" w:rsidRPr="009E3ADA" w:rsidRDefault="00096455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5EA596" wp14:editId="290223A0">
              <wp:simplePos x="0" y="0"/>
              <wp:positionH relativeFrom="margin">
                <wp:posOffset>-79623</wp:posOffset>
              </wp:positionH>
              <wp:positionV relativeFrom="paragraph">
                <wp:posOffset>0</wp:posOffset>
              </wp:positionV>
              <wp:extent cx="4779010" cy="281940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58F9A" w14:textId="77777777" w:rsidR="00096455" w:rsidRDefault="00096455" w:rsidP="000964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 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EA5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25pt;margin-top:0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dCwIAAPIDAAAOAAAAZHJzL2Uyb0RvYy54bWysU8Fu2zAMvQ/YPwi6L06MZGmMKEXXrsOA&#10;rhvQ7gMUSY6FSaImKbGzrx8lp2mw3Yb5IIgm+cj3SK2vB2vIQYWowTE6m0wpUU6A1G7H6Pfn+3dX&#10;lMTEneQGnGL0qCK93rx9s+59o2rowEgVCIK42PSe0S4l31RVFJ2yPE7AK4fOFoLlCc2wq2TgPaJb&#10;U9XT6fuqhyB9AKFixL93o5NuCn7bKpG+tm1UiRhGsbdUzlDObT6rzZo3u8B9p8WpDf4PXViuHRY9&#10;Q93xxMk+6L+grBYBIrRpIsBW0LZaqMIB2cymf7B56rhXhQuKE/1Zpvj/YMXj4VsgWjJaU+K4xRE9&#10;qyG1ykhSZ3V6HxsMevIYloYPMOCUC9PoH0D8iMTBbcfdTt2EAH2nuMTuZjmzukgdcWIG2fZfQGIZ&#10;vk9QgIY22CwdikEQHad0PE8GWyECf86XyxXqQ4lAX301W83L6CrevGT7ENMnBZbkC6MBJ1/Q+eEh&#10;ptwNb15CcjEH99qYMn3jSM/oalEvSsKFx+qEy2m0ZfRqmr9xXTLJj06W5MS1Ge9YwLgT60x0pJyG&#10;7YCBWYotyCPyDzAuIT4avHQQflHS4wIyGn/ueVCUmM8ONVzN5kiSpGLMF8sajXDp2V56uBMIxWii&#10;ZLzeprLlI9cb1LrVRYbXTk694mIVdU6PIG/upV2iXp/q5jcAAAD//wMAUEsDBBQABgAIAAAAIQAj&#10;GnMv3AAAAAcBAAAPAAAAZHJzL2Rvd25yZXYueG1sTI9LT8MwEITvSPwHa5G4tXaqlEfIpkIgriDK&#10;Q+LmxtskIl5HsduEf89yosfRjGa+KTez79WRxtgFRsiWBhRxHVzHDcL729PiBlRMlp3tAxPCD0XY&#10;VOdnpS1cmPiVjtvUKCnhWFiENqWh0DrWLXkbl2EgFm8fRm+TyLHRbrSTlPter4y50t52LAutHeih&#10;pfp7e/AIH8/7r8/cvDSPfj1MYTaa/a1GvLyY7+9AJZrTfxj+8AUdKmHahQO7qHqERbZaSxRBHol9&#10;nZsM1A4hz3PQValP+atfAAAA//8DAFBLAQItABQABgAIAAAAIQC2gziS/gAAAOEBAAATAAAAAAAA&#10;AAAAAAAAAAAAAABbQ29udGVudF9UeXBlc10ueG1sUEsBAi0AFAAGAAgAAAAhADj9If/WAAAAlAEA&#10;AAsAAAAAAAAAAAAAAAAALwEAAF9yZWxzLy5yZWxzUEsBAi0AFAAGAAgAAAAhADGsAd0LAgAA8gMA&#10;AA4AAAAAAAAAAAAAAAAALgIAAGRycy9lMm9Eb2MueG1sUEsBAi0AFAAGAAgAAAAhACMacy/cAAAA&#10;BwEAAA8AAAAAAAAAAAAAAAAAZQQAAGRycy9kb3ducmV2LnhtbFBLBQYAAAAABAAEAPMAAABuBQAA&#10;AAA=&#10;" filled="f" stroked="f">
              <v:textbox>
                <w:txbxContent>
                  <w:p w14:paraId="12A58F9A" w14:textId="77777777" w:rsidR="00096455" w:rsidRDefault="00096455" w:rsidP="000964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 2-993 | b.finke@grossmann-berger.de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0DBA638D" w:rsidR="00D83CB7" w:rsidRDefault="00A92A2F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6ED11" wp14:editId="6EE28FB1">
              <wp:simplePos x="0" y="0"/>
              <wp:positionH relativeFrom="margin">
                <wp:posOffset>-99893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1A4B4" w14:textId="34871E16" w:rsidR="00A92A2F" w:rsidRDefault="00A92A2F" w:rsidP="00A92A2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964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0964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09645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6ED1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8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BCl9eY3QAAAAgBAAAPAAAAZHJzL2Rvd25yZXYueG1sTI9BT8JAEIXvJv6HzZB4g12Ugi3dEqPx&#10;ihGFxNvSHdrG7mzTXWj99w4nPU6+l/e+yTeja8UF+9B40jCfKRBIpbcNVRo+P16njyBCNGRN6wk1&#10;/GCATXF7k5vM+oHe8bKLleASCpnRUMfYZVKGskZnwsx3SMxOvncm8tlX0vZm4HLXynulltKZhnih&#10;Nh0+11h+785Ow357+jos1Fv14pJu8KOS5FKp9d1kfFqDiDjGvzBc9VkdCnY6+jPZIFoN03my4iiD&#10;BATz1cMyBXHUsEhSkEUu/z9Q/AI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BCl9eY&#10;3QAAAAgBAAAPAAAAAAAAAAAAAAAAAGgEAABkcnMvZG93bnJldi54bWxQSwUGAAAAAAQABADzAAAA&#10;cgUAAAAA&#10;" filled="f" stroked="f">
              <v:textbox>
                <w:txbxContent>
                  <w:p w14:paraId="5CD1A4B4" w14:textId="34871E16" w:rsidR="00A92A2F" w:rsidRDefault="00A92A2F" w:rsidP="00A92A2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96455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096455">
                      <w:rPr>
                        <w:rFonts w:ascii="Arial" w:hAnsi="Arial" w:cs="Arial"/>
                        <w:sz w:val="16"/>
                        <w:szCs w:val="16"/>
                      </w:rPr>
                      <w:t>993 | 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096455">
                      <w:rPr>
                        <w:rFonts w:ascii="Arial" w:hAnsi="Arial" w:cs="Arial"/>
                        <w:sz w:val="16"/>
                        <w:szCs w:val="16"/>
                      </w:rPr>
                      <w:t>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3938"/>
    <w:rsid w:val="000159FE"/>
    <w:rsid w:val="00022F16"/>
    <w:rsid w:val="00023D78"/>
    <w:rsid w:val="00023F01"/>
    <w:rsid w:val="0003075C"/>
    <w:rsid w:val="000427B8"/>
    <w:rsid w:val="00052064"/>
    <w:rsid w:val="00060743"/>
    <w:rsid w:val="00066796"/>
    <w:rsid w:val="000766D7"/>
    <w:rsid w:val="0007670A"/>
    <w:rsid w:val="00082409"/>
    <w:rsid w:val="00096455"/>
    <w:rsid w:val="000A5ED1"/>
    <w:rsid w:val="000B1606"/>
    <w:rsid w:val="000B3315"/>
    <w:rsid w:val="000C7428"/>
    <w:rsid w:val="000C770D"/>
    <w:rsid w:val="000E03F3"/>
    <w:rsid w:val="000E7BC7"/>
    <w:rsid w:val="001029C4"/>
    <w:rsid w:val="00102BA7"/>
    <w:rsid w:val="0011486D"/>
    <w:rsid w:val="00121E33"/>
    <w:rsid w:val="00122EC5"/>
    <w:rsid w:val="0012608C"/>
    <w:rsid w:val="00126550"/>
    <w:rsid w:val="00130C7E"/>
    <w:rsid w:val="001324D6"/>
    <w:rsid w:val="00135BD2"/>
    <w:rsid w:val="00135E09"/>
    <w:rsid w:val="00144720"/>
    <w:rsid w:val="001532D3"/>
    <w:rsid w:val="00154825"/>
    <w:rsid w:val="0017364E"/>
    <w:rsid w:val="0017516B"/>
    <w:rsid w:val="00175A86"/>
    <w:rsid w:val="00176F1D"/>
    <w:rsid w:val="0018068D"/>
    <w:rsid w:val="00184637"/>
    <w:rsid w:val="001871BC"/>
    <w:rsid w:val="001A2ABE"/>
    <w:rsid w:val="001A360C"/>
    <w:rsid w:val="001B219C"/>
    <w:rsid w:val="001B72F5"/>
    <w:rsid w:val="001C4C33"/>
    <w:rsid w:val="001D14DA"/>
    <w:rsid w:val="001D43BB"/>
    <w:rsid w:val="001E0C8A"/>
    <w:rsid w:val="001E1172"/>
    <w:rsid w:val="001E6995"/>
    <w:rsid w:val="001F1513"/>
    <w:rsid w:val="001F3124"/>
    <w:rsid w:val="00205769"/>
    <w:rsid w:val="00212FEC"/>
    <w:rsid w:val="002131BB"/>
    <w:rsid w:val="0022086D"/>
    <w:rsid w:val="00223C70"/>
    <w:rsid w:val="00227E31"/>
    <w:rsid w:val="00230F81"/>
    <w:rsid w:val="002316C0"/>
    <w:rsid w:val="002341EE"/>
    <w:rsid w:val="00237341"/>
    <w:rsid w:val="00254C6F"/>
    <w:rsid w:val="00255679"/>
    <w:rsid w:val="002601F6"/>
    <w:rsid w:val="0027266B"/>
    <w:rsid w:val="00281E80"/>
    <w:rsid w:val="002834B0"/>
    <w:rsid w:val="00283671"/>
    <w:rsid w:val="00284A5D"/>
    <w:rsid w:val="00284E27"/>
    <w:rsid w:val="0028637F"/>
    <w:rsid w:val="00287698"/>
    <w:rsid w:val="00294B7D"/>
    <w:rsid w:val="00296725"/>
    <w:rsid w:val="002A1973"/>
    <w:rsid w:val="002B14F6"/>
    <w:rsid w:val="002C055A"/>
    <w:rsid w:val="002C2392"/>
    <w:rsid w:val="002C73E9"/>
    <w:rsid w:val="002D0B45"/>
    <w:rsid w:val="002D1C5C"/>
    <w:rsid w:val="002D1E20"/>
    <w:rsid w:val="002E6860"/>
    <w:rsid w:val="002E7F4A"/>
    <w:rsid w:val="002F0411"/>
    <w:rsid w:val="002F767E"/>
    <w:rsid w:val="00301F3A"/>
    <w:rsid w:val="003136B4"/>
    <w:rsid w:val="003214E6"/>
    <w:rsid w:val="003246F0"/>
    <w:rsid w:val="00325E2A"/>
    <w:rsid w:val="003272F3"/>
    <w:rsid w:val="00345716"/>
    <w:rsid w:val="0034786C"/>
    <w:rsid w:val="003517C9"/>
    <w:rsid w:val="00357EC4"/>
    <w:rsid w:val="00361519"/>
    <w:rsid w:val="003627E1"/>
    <w:rsid w:val="00365AF8"/>
    <w:rsid w:val="00370000"/>
    <w:rsid w:val="00373507"/>
    <w:rsid w:val="0038230E"/>
    <w:rsid w:val="00382529"/>
    <w:rsid w:val="003A00C9"/>
    <w:rsid w:val="003A25A4"/>
    <w:rsid w:val="003B0179"/>
    <w:rsid w:val="003B49E4"/>
    <w:rsid w:val="003B4CCF"/>
    <w:rsid w:val="003B6CD4"/>
    <w:rsid w:val="003C6AB4"/>
    <w:rsid w:val="003D35C8"/>
    <w:rsid w:val="003D4E47"/>
    <w:rsid w:val="003E099F"/>
    <w:rsid w:val="003E4DF9"/>
    <w:rsid w:val="003F665D"/>
    <w:rsid w:val="0040086D"/>
    <w:rsid w:val="004017D8"/>
    <w:rsid w:val="00411E03"/>
    <w:rsid w:val="004123B1"/>
    <w:rsid w:val="00420B6A"/>
    <w:rsid w:val="004303A1"/>
    <w:rsid w:val="00434F76"/>
    <w:rsid w:val="0043632F"/>
    <w:rsid w:val="00440DC9"/>
    <w:rsid w:val="004440A6"/>
    <w:rsid w:val="004450C4"/>
    <w:rsid w:val="004506D2"/>
    <w:rsid w:val="0045101E"/>
    <w:rsid w:val="00456F40"/>
    <w:rsid w:val="004609BD"/>
    <w:rsid w:val="004661EE"/>
    <w:rsid w:val="00466741"/>
    <w:rsid w:val="00470064"/>
    <w:rsid w:val="004A2BEA"/>
    <w:rsid w:val="004A3C64"/>
    <w:rsid w:val="004A5AEA"/>
    <w:rsid w:val="004B2FDA"/>
    <w:rsid w:val="004B480A"/>
    <w:rsid w:val="004C0CA2"/>
    <w:rsid w:val="004C4111"/>
    <w:rsid w:val="004C63A9"/>
    <w:rsid w:val="004D50C0"/>
    <w:rsid w:val="004D772A"/>
    <w:rsid w:val="004E339B"/>
    <w:rsid w:val="004E4273"/>
    <w:rsid w:val="004E4562"/>
    <w:rsid w:val="004E5647"/>
    <w:rsid w:val="004F077F"/>
    <w:rsid w:val="004F1A6E"/>
    <w:rsid w:val="005023DD"/>
    <w:rsid w:val="00503D8C"/>
    <w:rsid w:val="00520CDE"/>
    <w:rsid w:val="00522B84"/>
    <w:rsid w:val="00531A7F"/>
    <w:rsid w:val="00534BAD"/>
    <w:rsid w:val="005360E8"/>
    <w:rsid w:val="005428C5"/>
    <w:rsid w:val="00543C55"/>
    <w:rsid w:val="00544509"/>
    <w:rsid w:val="00546437"/>
    <w:rsid w:val="0055393B"/>
    <w:rsid w:val="005554C7"/>
    <w:rsid w:val="00556F58"/>
    <w:rsid w:val="00567D57"/>
    <w:rsid w:val="00582B99"/>
    <w:rsid w:val="00587525"/>
    <w:rsid w:val="00590903"/>
    <w:rsid w:val="00591461"/>
    <w:rsid w:val="00595AB2"/>
    <w:rsid w:val="005A617A"/>
    <w:rsid w:val="005B0FC9"/>
    <w:rsid w:val="005B3674"/>
    <w:rsid w:val="005B66D3"/>
    <w:rsid w:val="005C4556"/>
    <w:rsid w:val="005C5302"/>
    <w:rsid w:val="005D307B"/>
    <w:rsid w:val="005D581F"/>
    <w:rsid w:val="005E362E"/>
    <w:rsid w:val="005E5AAE"/>
    <w:rsid w:val="005E733E"/>
    <w:rsid w:val="005F7593"/>
    <w:rsid w:val="006029D7"/>
    <w:rsid w:val="00606A8B"/>
    <w:rsid w:val="0061109D"/>
    <w:rsid w:val="00612AA0"/>
    <w:rsid w:val="006131CF"/>
    <w:rsid w:val="006138CB"/>
    <w:rsid w:val="006222FC"/>
    <w:rsid w:val="006224C4"/>
    <w:rsid w:val="006225EA"/>
    <w:rsid w:val="006261DF"/>
    <w:rsid w:val="00641270"/>
    <w:rsid w:val="00642074"/>
    <w:rsid w:val="006424F8"/>
    <w:rsid w:val="0066304D"/>
    <w:rsid w:val="00681CAB"/>
    <w:rsid w:val="006842EF"/>
    <w:rsid w:val="00692FD0"/>
    <w:rsid w:val="00695E58"/>
    <w:rsid w:val="0069757D"/>
    <w:rsid w:val="006A1329"/>
    <w:rsid w:val="006A66F9"/>
    <w:rsid w:val="006C397A"/>
    <w:rsid w:val="006D024C"/>
    <w:rsid w:val="006E5C9C"/>
    <w:rsid w:val="006F1265"/>
    <w:rsid w:val="006F1774"/>
    <w:rsid w:val="007110EE"/>
    <w:rsid w:val="00713D81"/>
    <w:rsid w:val="00717A20"/>
    <w:rsid w:val="00720DFF"/>
    <w:rsid w:val="007226C5"/>
    <w:rsid w:val="00730E23"/>
    <w:rsid w:val="00746A51"/>
    <w:rsid w:val="00762CC5"/>
    <w:rsid w:val="00770F73"/>
    <w:rsid w:val="00786F07"/>
    <w:rsid w:val="007906B4"/>
    <w:rsid w:val="00791562"/>
    <w:rsid w:val="007970A0"/>
    <w:rsid w:val="007A3353"/>
    <w:rsid w:val="007B215B"/>
    <w:rsid w:val="007B4617"/>
    <w:rsid w:val="007B6F7A"/>
    <w:rsid w:val="007B78E0"/>
    <w:rsid w:val="007E759D"/>
    <w:rsid w:val="007F2DBE"/>
    <w:rsid w:val="007F33B6"/>
    <w:rsid w:val="007F468E"/>
    <w:rsid w:val="007F642D"/>
    <w:rsid w:val="007F756A"/>
    <w:rsid w:val="00800409"/>
    <w:rsid w:val="00812471"/>
    <w:rsid w:val="008154E9"/>
    <w:rsid w:val="00816900"/>
    <w:rsid w:val="00816F8E"/>
    <w:rsid w:val="008261A5"/>
    <w:rsid w:val="00833443"/>
    <w:rsid w:val="0083382E"/>
    <w:rsid w:val="00834913"/>
    <w:rsid w:val="008517F6"/>
    <w:rsid w:val="0085347B"/>
    <w:rsid w:val="00855325"/>
    <w:rsid w:val="00856EB5"/>
    <w:rsid w:val="0086016E"/>
    <w:rsid w:val="00862E34"/>
    <w:rsid w:val="00865915"/>
    <w:rsid w:val="00871832"/>
    <w:rsid w:val="00875E9B"/>
    <w:rsid w:val="00886CCE"/>
    <w:rsid w:val="008942C6"/>
    <w:rsid w:val="00895710"/>
    <w:rsid w:val="00896B33"/>
    <w:rsid w:val="008A60D3"/>
    <w:rsid w:val="008A62FB"/>
    <w:rsid w:val="008A77B7"/>
    <w:rsid w:val="008B0F67"/>
    <w:rsid w:val="008B54DD"/>
    <w:rsid w:val="008C5A51"/>
    <w:rsid w:val="008C608D"/>
    <w:rsid w:val="008D4869"/>
    <w:rsid w:val="008D5CD0"/>
    <w:rsid w:val="008E461D"/>
    <w:rsid w:val="008E7AA2"/>
    <w:rsid w:val="008F08E5"/>
    <w:rsid w:val="008F0EA4"/>
    <w:rsid w:val="008F38F6"/>
    <w:rsid w:val="008F4684"/>
    <w:rsid w:val="008F5213"/>
    <w:rsid w:val="009000CF"/>
    <w:rsid w:val="0090748B"/>
    <w:rsid w:val="00910169"/>
    <w:rsid w:val="009136FB"/>
    <w:rsid w:val="00920C9C"/>
    <w:rsid w:val="00920D57"/>
    <w:rsid w:val="00922754"/>
    <w:rsid w:val="00925781"/>
    <w:rsid w:val="009258D0"/>
    <w:rsid w:val="009330E4"/>
    <w:rsid w:val="00935AB3"/>
    <w:rsid w:val="00940BA7"/>
    <w:rsid w:val="009567E0"/>
    <w:rsid w:val="009646C4"/>
    <w:rsid w:val="009734CE"/>
    <w:rsid w:val="009752FE"/>
    <w:rsid w:val="0098460C"/>
    <w:rsid w:val="0099413E"/>
    <w:rsid w:val="00996E1A"/>
    <w:rsid w:val="009A18DE"/>
    <w:rsid w:val="009A4A25"/>
    <w:rsid w:val="009B4392"/>
    <w:rsid w:val="009B7D09"/>
    <w:rsid w:val="009D24DA"/>
    <w:rsid w:val="009D5D75"/>
    <w:rsid w:val="009E04E6"/>
    <w:rsid w:val="009E0C0B"/>
    <w:rsid w:val="009F06D6"/>
    <w:rsid w:val="009F32A2"/>
    <w:rsid w:val="009F54CE"/>
    <w:rsid w:val="00A06264"/>
    <w:rsid w:val="00A116BB"/>
    <w:rsid w:val="00A13744"/>
    <w:rsid w:val="00A1639A"/>
    <w:rsid w:val="00A215C9"/>
    <w:rsid w:val="00A24152"/>
    <w:rsid w:val="00A243C7"/>
    <w:rsid w:val="00A51563"/>
    <w:rsid w:val="00A5364B"/>
    <w:rsid w:val="00A56D22"/>
    <w:rsid w:val="00A615E0"/>
    <w:rsid w:val="00A65E2B"/>
    <w:rsid w:val="00A71F24"/>
    <w:rsid w:val="00A74AA0"/>
    <w:rsid w:val="00A7546D"/>
    <w:rsid w:val="00A77100"/>
    <w:rsid w:val="00A826E0"/>
    <w:rsid w:val="00A92A2F"/>
    <w:rsid w:val="00AA08C9"/>
    <w:rsid w:val="00AA4D97"/>
    <w:rsid w:val="00AB3908"/>
    <w:rsid w:val="00AD17B7"/>
    <w:rsid w:val="00AD63A8"/>
    <w:rsid w:val="00AF08D2"/>
    <w:rsid w:val="00AF25CA"/>
    <w:rsid w:val="00AF35F8"/>
    <w:rsid w:val="00B04687"/>
    <w:rsid w:val="00B069C5"/>
    <w:rsid w:val="00B06D1B"/>
    <w:rsid w:val="00B077D5"/>
    <w:rsid w:val="00B16A78"/>
    <w:rsid w:val="00B200E4"/>
    <w:rsid w:val="00B26FFD"/>
    <w:rsid w:val="00B35B6D"/>
    <w:rsid w:val="00B35DC6"/>
    <w:rsid w:val="00B36C47"/>
    <w:rsid w:val="00B51699"/>
    <w:rsid w:val="00B53FAF"/>
    <w:rsid w:val="00B63153"/>
    <w:rsid w:val="00B6527D"/>
    <w:rsid w:val="00B73B3A"/>
    <w:rsid w:val="00B74507"/>
    <w:rsid w:val="00B75718"/>
    <w:rsid w:val="00B75E7E"/>
    <w:rsid w:val="00B93817"/>
    <w:rsid w:val="00B9391B"/>
    <w:rsid w:val="00B9682D"/>
    <w:rsid w:val="00BA0B96"/>
    <w:rsid w:val="00BA1CCA"/>
    <w:rsid w:val="00BB15DA"/>
    <w:rsid w:val="00BB340D"/>
    <w:rsid w:val="00BB6A98"/>
    <w:rsid w:val="00BC2A3A"/>
    <w:rsid w:val="00BC64EC"/>
    <w:rsid w:val="00BD04EE"/>
    <w:rsid w:val="00BD073D"/>
    <w:rsid w:val="00BE4198"/>
    <w:rsid w:val="00BF3AFD"/>
    <w:rsid w:val="00BF3F9A"/>
    <w:rsid w:val="00C00CA4"/>
    <w:rsid w:val="00C05974"/>
    <w:rsid w:val="00C13DB2"/>
    <w:rsid w:val="00C1606C"/>
    <w:rsid w:val="00C21FA5"/>
    <w:rsid w:val="00C23180"/>
    <w:rsid w:val="00C23A88"/>
    <w:rsid w:val="00C26F94"/>
    <w:rsid w:val="00C41492"/>
    <w:rsid w:val="00C502EC"/>
    <w:rsid w:val="00C50874"/>
    <w:rsid w:val="00C702B5"/>
    <w:rsid w:val="00C70389"/>
    <w:rsid w:val="00C8045D"/>
    <w:rsid w:val="00C904B6"/>
    <w:rsid w:val="00C90A75"/>
    <w:rsid w:val="00C96DF4"/>
    <w:rsid w:val="00CA3FA0"/>
    <w:rsid w:val="00CA6A66"/>
    <w:rsid w:val="00CC1337"/>
    <w:rsid w:val="00CC1584"/>
    <w:rsid w:val="00CC2514"/>
    <w:rsid w:val="00CC48DF"/>
    <w:rsid w:val="00CD4A91"/>
    <w:rsid w:val="00CD70E7"/>
    <w:rsid w:val="00CD7363"/>
    <w:rsid w:val="00CE0964"/>
    <w:rsid w:val="00CE0C1F"/>
    <w:rsid w:val="00CE455F"/>
    <w:rsid w:val="00CE4834"/>
    <w:rsid w:val="00CE74B4"/>
    <w:rsid w:val="00CF0BF9"/>
    <w:rsid w:val="00CF5957"/>
    <w:rsid w:val="00D00CC6"/>
    <w:rsid w:val="00D04BA2"/>
    <w:rsid w:val="00D073F3"/>
    <w:rsid w:val="00D077B0"/>
    <w:rsid w:val="00D22D42"/>
    <w:rsid w:val="00D36D8D"/>
    <w:rsid w:val="00D45711"/>
    <w:rsid w:val="00D500FC"/>
    <w:rsid w:val="00D51597"/>
    <w:rsid w:val="00D5326E"/>
    <w:rsid w:val="00D550B6"/>
    <w:rsid w:val="00D55867"/>
    <w:rsid w:val="00D634A3"/>
    <w:rsid w:val="00D704E8"/>
    <w:rsid w:val="00D72339"/>
    <w:rsid w:val="00D73752"/>
    <w:rsid w:val="00D73E47"/>
    <w:rsid w:val="00D74ABB"/>
    <w:rsid w:val="00D83CB7"/>
    <w:rsid w:val="00D841C3"/>
    <w:rsid w:val="00D90EF0"/>
    <w:rsid w:val="00D97FA8"/>
    <w:rsid w:val="00DB4363"/>
    <w:rsid w:val="00DC2E47"/>
    <w:rsid w:val="00DC30D2"/>
    <w:rsid w:val="00DC7B25"/>
    <w:rsid w:val="00DD6B73"/>
    <w:rsid w:val="00DD6CFF"/>
    <w:rsid w:val="00DE23F8"/>
    <w:rsid w:val="00DE7CC2"/>
    <w:rsid w:val="00E05CF6"/>
    <w:rsid w:val="00E112C9"/>
    <w:rsid w:val="00E1314C"/>
    <w:rsid w:val="00E1537F"/>
    <w:rsid w:val="00E158F7"/>
    <w:rsid w:val="00E2087E"/>
    <w:rsid w:val="00E2289E"/>
    <w:rsid w:val="00E2636D"/>
    <w:rsid w:val="00E33AE6"/>
    <w:rsid w:val="00E34976"/>
    <w:rsid w:val="00E36818"/>
    <w:rsid w:val="00E47B97"/>
    <w:rsid w:val="00E5203C"/>
    <w:rsid w:val="00E634CC"/>
    <w:rsid w:val="00E73182"/>
    <w:rsid w:val="00E82F0E"/>
    <w:rsid w:val="00E95F89"/>
    <w:rsid w:val="00E96FAC"/>
    <w:rsid w:val="00EA129F"/>
    <w:rsid w:val="00EA3F5B"/>
    <w:rsid w:val="00EB0AF6"/>
    <w:rsid w:val="00EB7A31"/>
    <w:rsid w:val="00ED0582"/>
    <w:rsid w:val="00ED1262"/>
    <w:rsid w:val="00ED7374"/>
    <w:rsid w:val="00EE31F6"/>
    <w:rsid w:val="00EE36DC"/>
    <w:rsid w:val="00F044EE"/>
    <w:rsid w:val="00F2313A"/>
    <w:rsid w:val="00F255D3"/>
    <w:rsid w:val="00F3320B"/>
    <w:rsid w:val="00F40E92"/>
    <w:rsid w:val="00F41947"/>
    <w:rsid w:val="00F435AA"/>
    <w:rsid w:val="00F61FC0"/>
    <w:rsid w:val="00F76C6A"/>
    <w:rsid w:val="00F83BF1"/>
    <w:rsid w:val="00F90CB9"/>
    <w:rsid w:val="00F9555F"/>
    <w:rsid w:val="00F97373"/>
    <w:rsid w:val="00FA0254"/>
    <w:rsid w:val="00FA6854"/>
    <w:rsid w:val="00FB064F"/>
    <w:rsid w:val="00FB0F6B"/>
    <w:rsid w:val="00FB144F"/>
    <w:rsid w:val="00FB159A"/>
    <w:rsid w:val="00FB4D77"/>
    <w:rsid w:val="00FC497D"/>
    <w:rsid w:val="00FC6F03"/>
    <w:rsid w:val="00FD076B"/>
    <w:rsid w:val="00FD4DDC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CF9775E"/>
  <w15:docId w15:val="{8DD64CC4-5BD3-43DF-8872-F24F2B3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berlin-investment/" TargetMode="External"/><Relationship Id="rId14" Type="http://schemas.openxmlformats.org/officeDocument/2006/relationships/hyperlink" Target="file:///\\file01\Marketing\Presse\Vorlagen\BFR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C462-35A9-448F-9085-E021F34A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Britt Finke</cp:lastModifiedBy>
  <cp:revision>78</cp:revision>
  <cp:lastPrinted>2019-10-07T13:49:00Z</cp:lastPrinted>
  <dcterms:created xsi:type="dcterms:W3CDTF">2019-09-25T13:14:00Z</dcterms:created>
  <dcterms:modified xsi:type="dcterms:W3CDTF">2020-01-09T07:56:00Z</dcterms:modified>
</cp:coreProperties>
</file>