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43BB" w14:textId="089D173E" w:rsidR="00DF5006" w:rsidRDefault="00D157A0" w:rsidP="00365AF8">
      <w:p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</w:t>
      </w:r>
      <w:r w:rsidR="005D3366">
        <w:rPr>
          <w:rFonts w:ascii="Arial" w:hAnsi="Arial" w:cs="Arial"/>
          <w:b/>
        </w:rPr>
        <w:t>.-</w:t>
      </w:r>
      <w:r w:rsidR="00DC0EC5">
        <w:rPr>
          <w:rFonts w:ascii="Arial" w:hAnsi="Arial" w:cs="Arial"/>
          <w:b/>
        </w:rPr>
        <w:t>3</w:t>
      </w:r>
      <w:r w:rsidR="009050B3">
        <w:rPr>
          <w:rFonts w:ascii="Arial" w:hAnsi="Arial" w:cs="Arial"/>
          <w:b/>
        </w:rPr>
        <w:t>.</w:t>
      </w:r>
      <w:r w:rsidR="00B9324B" w:rsidRPr="00B9324B">
        <w:rPr>
          <w:rFonts w:ascii="Arial" w:hAnsi="Arial" w:cs="Arial"/>
          <w:b/>
        </w:rPr>
        <w:t xml:space="preserve"> Quartal 20</w:t>
      </w:r>
      <w:r w:rsidR="00BC7971">
        <w:rPr>
          <w:rFonts w:ascii="Arial" w:hAnsi="Arial" w:cs="Arial"/>
          <w:b/>
        </w:rPr>
        <w:t>20</w:t>
      </w:r>
      <w:r w:rsidR="0054412E">
        <w:rPr>
          <w:rFonts w:ascii="Arial" w:hAnsi="Arial" w:cs="Arial"/>
          <w:b/>
        </w:rPr>
        <w:br/>
      </w:r>
      <w:r w:rsidR="00B75834" w:rsidRPr="00B75834">
        <w:rPr>
          <w:rFonts w:ascii="Arial" w:hAnsi="Arial" w:cs="Arial"/>
          <w:b/>
          <w:sz w:val="28"/>
          <w:szCs w:val="28"/>
        </w:rPr>
        <w:t xml:space="preserve">Hamburger Investmentmarkt </w:t>
      </w:r>
      <w:r w:rsidR="00AA0609">
        <w:rPr>
          <w:rFonts w:ascii="Arial" w:hAnsi="Arial" w:cs="Arial"/>
          <w:b/>
          <w:sz w:val="28"/>
          <w:szCs w:val="28"/>
        </w:rPr>
        <w:t xml:space="preserve">beweist </w:t>
      </w:r>
      <w:r w:rsidR="00CC282E">
        <w:rPr>
          <w:rFonts w:ascii="Arial" w:hAnsi="Arial" w:cs="Arial"/>
          <w:b/>
          <w:sz w:val="28"/>
          <w:szCs w:val="28"/>
        </w:rPr>
        <w:t>Widerstandskraft</w:t>
      </w:r>
      <w:r w:rsidR="00570104">
        <w:rPr>
          <w:rFonts w:ascii="Arial" w:hAnsi="Arial" w:cs="Arial"/>
          <w:b/>
          <w:sz w:val="28"/>
          <w:szCs w:val="28"/>
        </w:rPr>
        <w:t xml:space="preserve"> 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D60D4C6" w14:textId="01C3AF10" w:rsidR="00ED0267" w:rsidRPr="00ED0267" w:rsidRDefault="00E90673" w:rsidP="00ED02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0267">
        <w:rPr>
          <w:rFonts w:ascii="Arial" w:hAnsi="Arial" w:cs="Arial"/>
          <w:b/>
          <w:sz w:val="20"/>
          <w:szCs w:val="20"/>
        </w:rPr>
        <w:t xml:space="preserve">Hamburg, </w:t>
      </w:r>
      <w:r w:rsidR="00277C66">
        <w:rPr>
          <w:rFonts w:ascii="Arial" w:hAnsi="Arial" w:cs="Arial"/>
          <w:b/>
          <w:sz w:val="20"/>
          <w:szCs w:val="20"/>
        </w:rPr>
        <w:t>30</w:t>
      </w:r>
      <w:r w:rsidR="00B31F77" w:rsidRPr="00ED0267">
        <w:rPr>
          <w:rFonts w:ascii="Arial" w:hAnsi="Arial" w:cs="Arial"/>
          <w:b/>
          <w:sz w:val="20"/>
          <w:szCs w:val="20"/>
        </w:rPr>
        <w:t>.</w:t>
      </w:r>
      <w:r w:rsidR="00D157A0" w:rsidRPr="00ED0267">
        <w:rPr>
          <w:rFonts w:ascii="Arial" w:hAnsi="Arial" w:cs="Arial"/>
          <w:b/>
          <w:sz w:val="20"/>
          <w:szCs w:val="20"/>
        </w:rPr>
        <w:t xml:space="preserve"> </w:t>
      </w:r>
      <w:r w:rsidR="00277C66">
        <w:rPr>
          <w:rFonts w:ascii="Arial" w:hAnsi="Arial" w:cs="Arial"/>
          <w:b/>
          <w:sz w:val="20"/>
          <w:szCs w:val="20"/>
        </w:rPr>
        <w:t>September</w:t>
      </w:r>
      <w:r w:rsidR="00132522" w:rsidRPr="00ED0267">
        <w:rPr>
          <w:rFonts w:ascii="Arial" w:hAnsi="Arial" w:cs="Arial"/>
          <w:b/>
          <w:sz w:val="20"/>
          <w:szCs w:val="20"/>
        </w:rPr>
        <w:t xml:space="preserve"> </w:t>
      </w:r>
      <w:r w:rsidR="00D157A0" w:rsidRPr="00ED0267">
        <w:rPr>
          <w:rFonts w:ascii="Arial" w:hAnsi="Arial" w:cs="Arial"/>
          <w:b/>
          <w:sz w:val="20"/>
          <w:szCs w:val="20"/>
        </w:rPr>
        <w:t>20</w:t>
      </w:r>
      <w:r w:rsidR="009F70FE" w:rsidRPr="00ED0267">
        <w:rPr>
          <w:rFonts w:ascii="Arial" w:hAnsi="Arial" w:cs="Arial"/>
          <w:b/>
          <w:sz w:val="20"/>
          <w:szCs w:val="20"/>
        </w:rPr>
        <w:t>20</w:t>
      </w:r>
      <w:r w:rsidR="00D157A0" w:rsidRPr="00ED0267">
        <w:rPr>
          <w:rFonts w:ascii="Arial" w:hAnsi="Arial" w:cs="Arial"/>
          <w:b/>
          <w:sz w:val="20"/>
          <w:szCs w:val="20"/>
        </w:rPr>
        <w:t xml:space="preserve"> </w:t>
      </w:r>
      <w:r w:rsidR="00D157A0" w:rsidRPr="00ED0267">
        <w:rPr>
          <w:rFonts w:ascii="Arial" w:hAnsi="Arial" w:cs="Arial"/>
          <w:sz w:val="20"/>
          <w:szCs w:val="20"/>
        </w:rPr>
        <w:t>–</w:t>
      </w:r>
      <w:r w:rsidR="008E1E1D" w:rsidRPr="00ED0267">
        <w:rPr>
          <w:rFonts w:ascii="Arial" w:hAnsi="Arial" w:cs="Arial"/>
          <w:sz w:val="20"/>
          <w:szCs w:val="20"/>
        </w:rPr>
        <w:t xml:space="preserve"> </w:t>
      </w:r>
      <w:r w:rsidR="00B75834" w:rsidRPr="00ED0267">
        <w:rPr>
          <w:rFonts w:ascii="Arial" w:hAnsi="Arial" w:cs="Arial"/>
          <w:sz w:val="20"/>
          <w:szCs w:val="20"/>
        </w:rPr>
        <w:t xml:space="preserve">Auch im 3. Quartal 2020 </w:t>
      </w:r>
      <w:r w:rsidR="00773DF1" w:rsidRPr="00ED0267">
        <w:rPr>
          <w:rFonts w:ascii="Arial" w:hAnsi="Arial" w:cs="Arial"/>
          <w:sz w:val="20"/>
          <w:szCs w:val="20"/>
        </w:rPr>
        <w:t>wirkte</w:t>
      </w:r>
      <w:r w:rsidR="00B75834" w:rsidRPr="00ED0267">
        <w:rPr>
          <w:rFonts w:ascii="Arial" w:hAnsi="Arial" w:cs="Arial"/>
          <w:sz w:val="20"/>
          <w:szCs w:val="20"/>
        </w:rPr>
        <w:t xml:space="preserve"> der Investmentmarkt für gewerbliche Immobilien Hamburg weitestgehend gefeit </w:t>
      </w:r>
      <w:r w:rsidR="00570104" w:rsidRPr="00ED0267">
        <w:rPr>
          <w:rFonts w:ascii="Arial" w:hAnsi="Arial" w:cs="Arial"/>
          <w:sz w:val="20"/>
          <w:szCs w:val="20"/>
        </w:rPr>
        <w:t>vor</w:t>
      </w:r>
      <w:r w:rsidR="00B75834" w:rsidRPr="00ED0267">
        <w:rPr>
          <w:rFonts w:ascii="Arial" w:hAnsi="Arial" w:cs="Arial"/>
          <w:sz w:val="20"/>
          <w:szCs w:val="20"/>
        </w:rPr>
        <w:t xml:space="preserve"> den Auswirkungen der Corona-Pandemie</w:t>
      </w:r>
      <w:r w:rsidR="00817CDC">
        <w:rPr>
          <w:rFonts w:ascii="Arial" w:hAnsi="Arial" w:cs="Arial"/>
          <w:sz w:val="20"/>
          <w:szCs w:val="20"/>
        </w:rPr>
        <w:t>.</w:t>
      </w:r>
      <w:r w:rsidR="00B75834" w:rsidRPr="00ED0267">
        <w:rPr>
          <w:rFonts w:ascii="Arial" w:hAnsi="Arial" w:cs="Arial"/>
          <w:sz w:val="20"/>
          <w:szCs w:val="20"/>
        </w:rPr>
        <w:t xml:space="preserve"> </w:t>
      </w:r>
      <w:r w:rsidR="00817CDC">
        <w:rPr>
          <w:rFonts w:ascii="Arial" w:hAnsi="Arial" w:cs="Arial"/>
          <w:sz w:val="20"/>
          <w:szCs w:val="20"/>
        </w:rPr>
        <w:t xml:space="preserve">Tatsächlich legte das Transaktionsvolumen </w:t>
      </w:r>
      <w:r w:rsidR="00653AA8">
        <w:rPr>
          <w:rFonts w:ascii="Arial" w:hAnsi="Arial" w:cs="Arial"/>
          <w:sz w:val="20"/>
          <w:szCs w:val="20"/>
        </w:rPr>
        <w:t>verglichen mit</w:t>
      </w:r>
      <w:r w:rsidR="00817CDC">
        <w:rPr>
          <w:rFonts w:ascii="Arial" w:hAnsi="Arial" w:cs="Arial"/>
          <w:sz w:val="20"/>
          <w:szCs w:val="20"/>
        </w:rPr>
        <w:t xml:space="preserve"> dem Vorjahreszeitraum sogar noch um 37 % zu auf </w:t>
      </w:r>
      <w:r w:rsidR="00ED0267" w:rsidRPr="00ED0267">
        <w:rPr>
          <w:rFonts w:ascii="Arial" w:hAnsi="Arial" w:cs="Arial"/>
          <w:sz w:val="20"/>
          <w:szCs w:val="20"/>
        </w:rPr>
        <w:t>3,6</w:t>
      </w:r>
      <w:r w:rsidR="00B75834" w:rsidRPr="00ED0267">
        <w:rPr>
          <w:rFonts w:ascii="Arial" w:hAnsi="Arial" w:cs="Arial"/>
          <w:sz w:val="20"/>
          <w:szCs w:val="20"/>
        </w:rPr>
        <w:t xml:space="preserve"> Mrd. € bei </w:t>
      </w:r>
      <w:r w:rsidR="00653AA8">
        <w:rPr>
          <w:rFonts w:ascii="Arial" w:hAnsi="Arial" w:cs="Arial"/>
          <w:sz w:val="20"/>
          <w:szCs w:val="20"/>
        </w:rPr>
        <w:t>rund</w:t>
      </w:r>
      <w:r w:rsidR="00B75834" w:rsidRPr="00ED0267">
        <w:rPr>
          <w:rFonts w:ascii="Arial" w:hAnsi="Arial" w:cs="Arial"/>
          <w:sz w:val="20"/>
          <w:szCs w:val="20"/>
        </w:rPr>
        <w:t xml:space="preserve"> </w:t>
      </w:r>
      <w:r w:rsidR="00ED0267" w:rsidRPr="00ED0267">
        <w:rPr>
          <w:rFonts w:ascii="Arial" w:hAnsi="Arial" w:cs="Arial"/>
          <w:sz w:val="20"/>
          <w:szCs w:val="20"/>
        </w:rPr>
        <w:t>70</w:t>
      </w:r>
      <w:r w:rsidR="00B75834" w:rsidRPr="00ED0267">
        <w:rPr>
          <w:rFonts w:ascii="Arial" w:hAnsi="Arial" w:cs="Arial"/>
          <w:sz w:val="20"/>
          <w:szCs w:val="20"/>
        </w:rPr>
        <w:t xml:space="preserve"> </w:t>
      </w:r>
      <w:r w:rsidR="00817CDC">
        <w:rPr>
          <w:rFonts w:ascii="Arial" w:hAnsi="Arial" w:cs="Arial"/>
          <w:sz w:val="20"/>
          <w:szCs w:val="20"/>
        </w:rPr>
        <w:t xml:space="preserve">Verkäufen </w:t>
      </w:r>
      <w:r w:rsidR="00A10FEE" w:rsidRPr="00ED0267">
        <w:rPr>
          <w:rFonts w:ascii="Arial" w:hAnsi="Arial" w:cs="Arial"/>
          <w:sz w:val="20"/>
          <w:szCs w:val="20"/>
        </w:rPr>
        <w:t>(</w:t>
      </w:r>
      <w:r w:rsidR="00817CDC">
        <w:rPr>
          <w:rFonts w:ascii="Arial" w:hAnsi="Arial" w:cs="Arial"/>
          <w:sz w:val="20"/>
          <w:szCs w:val="20"/>
        </w:rPr>
        <w:t xml:space="preserve">2019: </w:t>
      </w:r>
      <w:r w:rsidR="00A10FEE" w:rsidRPr="00ED0267">
        <w:rPr>
          <w:rFonts w:ascii="Arial" w:hAnsi="Arial" w:cs="Arial"/>
          <w:sz w:val="20"/>
          <w:szCs w:val="20"/>
        </w:rPr>
        <w:t>2</w:t>
      </w:r>
      <w:r w:rsidR="00E83245" w:rsidRPr="00ED0267">
        <w:rPr>
          <w:rFonts w:ascii="Arial" w:hAnsi="Arial" w:cs="Arial"/>
          <w:sz w:val="20"/>
          <w:szCs w:val="20"/>
        </w:rPr>
        <w:t>,</w:t>
      </w:r>
      <w:r w:rsidR="00A10FEE" w:rsidRPr="00ED0267">
        <w:rPr>
          <w:rFonts w:ascii="Arial" w:hAnsi="Arial" w:cs="Arial"/>
          <w:sz w:val="20"/>
          <w:szCs w:val="20"/>
        </w:rPr>
        <w:t>7</w:t>
      </w:r>
      <w:r w:rsidR="00E83245" w:rsidRPr="00ED0267">
        <w:rPr>
          <w:rFonts w:ascii="Arial" w:hAnsi="Arial" w:cs="Arial"/>
          <w:sz w:val="20"/>
          <w:szCs w:val="20"/>
        </w:rPr>
        <w:t xml:space="preserve"> Mrd. €, </w:t>
      </w:r>
      <w:r w:rsidR="00A10FEE" w:rsidRPr="00ED0267">
        <w:rPr>
          <w:rFonts w:ascii="Arial" w:hAnsi="Arial" w:cs="Arial"/>
          <w:sz w:val="20"/>
          <w:szCs w:val="20"/>
        </w:rPr>
        <w:t>79</w:t>
      </w:r>
      <w:r w:rsidR="00E83245" w:rsidRPr="00ED0267">
        <w:rPr>
          <w:rFonts w:ascii="Arial" w:hAnsi="Arial" w:cs="Arial"/>
          <w:sz w:val="20"/>
          <w:szCs w:val="20"/>
        </w:rPr>
        <w:t xml:space="preserve"> Transaktionen). </w:t>
      </w:r>
      <w:r w:rsidR="00AC7178">
        <w:rPr>
          <w:rFonts w:ascii="Arial" w:hAnsi="Arial" w:cs="Arial"/>
          <w:sz w:val="20"/>
          <w:szCs w:val="20"/>
        </w:rPr>
        <w:t xml:space="preserve">Damit </w:t>
      </w:r>
      <w:r w:rsidR="00653AA8">
        <w:rPr>
          <w:rFonts w:ascii="Arial" w:hAnsi="Arial" w:cs="Arial"/>
          <w:sz w:val="20"/>
          <w:szCs w:val="20"/>
        </w:rPr>
        <w:t xml:space="preserve">kam der Markt auf das nach 2007 und 2018 dritthöchste </w:t>
      </w:r>
      <w:r w:rsidR="00F84307">
        <w:rPr>
          <w:rFonts w:ascii="Arial" w:hAnsi="Arial" w:cs="Arial"/>
          <w:sz w:val="20"/>
          <w:szCs w:val="20"/>
        </w:rPr>
        <w:t>Verkaufsvolumen</w:t>
      </w:r>
      <w:r w:rsidR="00653AA8">
        <w:rPr>
          <w:rFonts w:ascii="Arial" w:hAnsi="Arial" w:cs="Arial"/>
          <w:sz w:val="20"/>
          <w:szCs w:val="20"/>
        </w:rPr>
        <w:t xml:space="preserve"> am Ende eines 3. Quartals.</w:t>
      </w:r>
      <w:r w:rsidR="001C34B0">
        <w:rPr>
          <w:rFonts w:ascii="Arial" w:hAnsi="Arial" w:cs="Arial"/>
          <w:sz w:val="20"/>
          <w:szCs w:val="20"/>
        </w:rPr>
        <w:t xml:space="preserve"> Nach der abwartenden Haltung im 2. Quartal erstarkte die Marktdynamik im 3. Quartal so deutlich, dass</w:t>
      </w:r>
      <w:r w:rsidR="00653AA8">
        <w:rPr>
          <w:rFonts w:ascii="Arial" w:hAnsi="Arial" w:cs="Arial"/>
          <w:sz w:val="20"/>
          <w:szCs w:val="20"/>
        </w:rPr>
        <w:t xml:space="preserve"> </w:t>
      </w:r>
      <w:r w:rsidR="001C34B0" w:rsidRPr="00AA0609">
        <w:rPr>
          <w:rFonts w:ascii="Arial" w:hAnsi="Arial" w:cs="Arial"/>
          <w:sz w:val="20"/>
          <w:szCs w:val="20"/>
        </w:rPr>
        <w:t>a</w:t>
      </w:r>
      <w:r w:rsidR="009C2EC0" w:rsidRPr="00AA0609">
        <w:rPr>
          <w:rFonts w:ascii="Arial" w:hAnsi="Arial" w:cs="Arial"/>
          <w:sz w:val="20"/>
          <w:szCs w:val="20"/>
        </w:rPr>
        <w:t xml:space="preserve">llein zwischen Juli und September Gewerbe-Immobilien im Wert von </w:t>
      </w:r>
      <w:r w:rsidR="00ED0267" w:rsidRPr="00AA0609">
        <w:rPr>
          <w:rFonts w:ascii="Arial" w:hAnsi="Arial" w:cs="Arial"/>
          <w:sz w:val="20"/>
          <w:szCs w:val="20"/>
        </w:rPr>
        <w:t>über</w:t>
      </w:r>
      <w:r w:rsidR="009C2EC0" w:rsidRPr="00AA0609">
        <w:rPr>
          <w:rFonts w:ascii="Arial" w:hAnsi="Arial" w:cs="Arial"/>
          <w:sz w:val="20"/>
          <w:szCs w:val="20"/>
        </w:rPr>
        <w:t xml:space="preserve"> 1,</w:t>
      </w:r>
      <w:r w:rsidR="00DF4FE3" w:rsidRPr="00AA0609">
        <w:rPr>
          <w:rFonts w:ascii="Arial" w:hAnsi="Arial" w:cs="Arial"/>
          <w:sz w:val="20"/>
          <w:szCs w:val="20"/>
        </w:rPr>
        <w:t>6</w:t>
      </w:r>
      <w:r w:rsidR="009C2EC0" w:rsidRPr="00AA0609">
        <w:rPr>
          <w:rFonts w:ascii="Arial" w:hAnsi="Arial" w:cs="Arial"/>
          <w:sz w:val="20"/>
          <w:szCs w:val="20"/>
        </w:rPr>
        <w:t xml:space="preserve"> Mrd. </w:t>
      </w:r>
      <w:r w:rsidR="00ED0267" w:rsidRPr="00AA0609">
        <w:rPr>
          <w:rFonts w:ascii="Arial" w:hAnsi="Arial" w:cs="Arial"/>
          <w:sz w:val="20"/>
          <w:szCs w:val="20"/>
        </w:rPr>
        <w:t>€ verkauft</w:t>
      </w:r>
      <w:r w:rsidR="001C34B0" w:rsidRPr="00AA0609">
        <w:rPr>
          <w:rFonts w:ascii="Arial" w:hAnsi="Arial" w:cs="Arial"/>
          <w:sz w:val="20"/>
          <w:szCs w:val="20"/>
        </w:rPr>
        <w:t xml:space="preserve"> wurden</w:t>
      </w:r>
      <w:r w:rsidR="009C2EC0" w:rsidRPr="00AA0609">
        <w:rPr>
          <w:rFonts w:ascii="Arial" w:hAnsi="Arial" w:cs="Arial"/>
          <w:sz w:val="20"/>
          <w:szCs w:val="20"/>
        </w:rPr>
        <w:t>.</w:t>
      </w:r>
      <w:r w:rsidR="009C2EC0" w:rsidRPr="00ED0267">
        <w:rPr>
          <w:rFonts w:ascii="Arial" w:hAnsi="Arial" w:cs="Arial"/>
          <w:sz w:val="20"/>
          <w:szCs w:val="20"/>
        </w:rPr>
        <w:t xml:space="preserve"> </w:t>
      </w:r>
      <w:r w:rsidR="000C655C" w:rsidRPr="00AA0609">
        <w:rPr>
          <w:rFonts w:ascii="Arial" w:hAnsi="Arial" w:cs="Arial"/>
          <w:i/>
          <w:sz w:val="20"/>
          <w:szCs w:val="20"/>
        </w:rPr>
        <w:t>„</w:t>
      </w:r>
      <w:r w:rsidR="00A10FEE" w:rsidRPr="00AA0609">
        <w:rPr>
          <w:rFonts w:ascii="Arial" w:hAnsi="Arial" w:cs="Arial"/>
          <w:i/>
          <w:sz w:val="20"/>
          <w:szCs w:val="20"/>
        </w:rPr>
        <w:t>Aufgrund der bestehenden wirtschaftlichen Unwägbarkeiten</w:t>
      </w:r>
      <w:r w:rsidR="009C2EC0" w:rsidRPr="00AA0609">
        <w:rPr>
          <w:rFonts w:ascii="Arial" w:hAnsi="Arial" w:cs="Arial"/>
          <w:i/>
          <w:sz w:val="20"/>
          <w:szCs w:val="20"/>
        </w:rPr>
        <w:t xml:space="preserve"> flüchteten sich Investoren </w:t>
      </w:r>
      <w:r w:rsidR="009B3F04" w:rsidRPr="00AA0609">
        <w:rPr>
          <w:rFonts w:ascii="Arial" w:hAnsi="Arial" w:cs="Arial"/>
          <w:i/>
          <w:sz w:val="20"/>
          <w:szCs w:val="20"/>
        </w:rPr>
        <w:t xml:space="preserve">vornehmlich </w:t>
      </w:r>
      <w:r w:rsidR="009C2EC0" w:rsidRPr="00AA0609">
        <w:rPr>
          <w:rFonts w:ascii="Arial" w:hAnsi="Arial" w:cs="Arial"/>
          <w:i/>
          <w:sz w:val="20"/>
          <w:szCs w:val="20"/>
        </w:rPr>
        <w:t xml:space="preserve">in Qualität. </w:t>
      </w:r>
      <w:r w:rsidR="009B3F04" w:rsidRPr="00AA0609">
        <w:rPr>
          <w:rFonts w:ascii="Arial" w:hAnsi="Arial" w:cs="Arial"/>
          <w:i/>
          <w:sz w:val="20"/>
          <w:szCs w:val="20"/>
        </w:rPr>
        <w:t>Besonders nachgefragt waren daher</w:t>
      </w:r>
      <w:r w:rsidR="00C4628F" w:rsidRPr="00AA0609">
        <w:rPr>
          <w:rFonts w:ascii="Arial" w:hAnsi="Arial" w:cs="Arial"/>
          <w:i/>
          <w:sz w:val="20"/>
          <w:szCs w:val="20"/>
        </w:rPr>
        <w:t xml:space="preserve"> </w:t>
      </w:r>
      <w:r w:rsidR="009C2EC0" w:rsidRPr="00AA0609">
        <w:rPr>
          <w:rFonts w:ascii="Arial" w:hAnsi="Arial" w:cs="Arial"/>
          <w:i/>
          <w:sz w:val="20"/>
          <w:szCs w:val="20"/>
        </w:rPr>
        <w:t>Core-Immobili</w:t>
      </w:r>
      <w:r w:rsidR="009B3F04" w:rsidRPr="00AA0609">
        <w:rPr>
          <w:rFonts w:ascii="Arial" w:hAnsi="Arial" w:cs="Arial"/>
          <w:i/>
          <w:sz w:val="20"/>
          <w:szCs w:val="20"/>
        </w:rPr>
        <w:t>en mit bonitätsstarken Mietern</w:t>
      </w:r>
      <w:r w:rsidR="000C655C" w:rsidRPr="00AA0609">
        <w:rPr>
          <w:rFonts w:ascii="Arial" w:hAnsi="Arial" w:cs="Arial"/>
          <w:i/>
          <w:sz w:val="20"/>
          <w:szCs w:val="20"/>
        </w:rPr>
        <w:t>“,</w:t>
      </w:r>
      <w:r w:rsidR="000C655C">
        <w:rPr>
          <w:rFonts w:ascii="Arial" w:hAnsi="Arial" w:cs="Arial"/>
          <w:sz w:val="20"/>
          <w:szCs w:val="20"/>
        </w:rPr>
        <w:t xml:space="preserve"> führt </w:t>
      </w:r>
      <w:r w:rsidR="000C655C" w:rsidRPr="00AA0609">
        <w:rPr>
          <w:rFonts w:ascii="Arial" w:hAnsi="Arial" w:cs="Arial"/>
          <w:b/>
          <w:sz w:val="20"/>
          <w:szCs w:val="20"/>
        </w:rPr>
        <w:t xml:space="preserve">Axel </w:t>
      </w:r>
      <w:proofErr w:type="spellStart"/>
      <w:r w:rsidR="000C655C" w:rsidRPr="00AA0609">
        <w:rPr>
          <w:rFonts w:ascii="Arial" w:hAnsi="Arial" w:cs="Arial"/>
          <w:b/>
          <w:sz w:val="20"/>
          <w:szCs w:val="20"/>
        </w:rPr>
        <w:t>Steinbrinker</w:t>
      </w:r>
      <w:proofErr w:type="spellEnd"/>
      <w:r w:rsidR="000C655C">
        <w:rPr>
          <w:rFonts w:ascii="Arial" w:hAnsi="Arial" w:cs="Arial"/>
          <w:sz w:val="20"/>
          <w:szCs w:val="20"/>
        </w:rPr>
        <w:t xml:space="preserve"> aus, Geschäftsführer beim GPP-Mitglied Grossmann &amp; Berger</w:t>
      </w:r>
      <w:r w:rsidR="009B3F04" w:rsidRPr="00ED0267">
        <w:rPr>
          <w:rFonts w:ascii="Arial" w:hAnsi="Arial" w:cs="Arial"/>
          <w:sz w:val="20"/>
          <w:szCs w:val="20"/>
        </w:rPr>
        <w:t xml:space="preserve">. </w:t>
      </w:r>
      <w:r w:rsidR="004E1D29" w:rsidRPr="00ED0267">
        <w:rPr>
          <w:rFonts w:ascii="Arial" w:hAnsi="Arial" w:cs="Arial"/>
          <w:i/>
          <w:sz w:val="20"/>
          <w:szCs w:val="20"/>
        </w:rPr>
        <w:t>„</w:t>
      </w:r>
      <w:r w:rsidR="00DC0EC5" w:rsidRPr="00ED0267">
        <w:rPr>
          <w:rFonts w:ascii="Arial" w:hAnsi="Arial" w:cs="Arial"/>
          <w:i/>
          <w:sz w:val="20"/>
          <w:szCs w:val="20"/>
        </w:rPr>
        <w:t xml:space="preserve">Deutschland kam bisher vergleichsweise glimpflich durch die </w:t>
      </w:r>
      <w:r w:rsidR="00DF5006" w:rsidRPr="00ED0267">
        <w:rPr>
          <w:rFonts w:ascii="Arial" w:hAnsi="Arial" w:cs="Arial"/>
          <w:i/>
          <w:sz w:val="20"/>
          <w:szCs w:val="20"/>
        </w:rPr>
        <w:t xml:space="preserve">Pandemie-bedingte </w:t>
      </w:r>
      <w:r w:rsidR="00DC0EC5" w:rsidRPr="00ED0267">
        <w:rPr>
          <w:rFonts w:ascii="Arial" w:hAnsi="Arial" w:cs="Arial"/>
          <w:i/>
          <w:sz w:val="20"/>
          <w:szCs w:val="20"/>
        </w:rPr>
        <w:t>Rezession. Nicht zuletzt deswegen bleiben Hamburger Gewerbe</w:t>
      </w:r>
      <w:r w:rsidR="001C34B0">
        <w:rPr>
          <w:rFonts w:ascii="Arial" w:hAnsi="Arial" w:cs="Arial"/>
          <w:i/>
          <w:sz w:val="20"/>
          <w:szCs w:val="20"/>
        </w:rPr>
        <w:t>-I</w:t>
      </w:r>
      <w:r w:rsidR="00DC0EC5" w:rsidRPr="00ED0267">
        <w:rPr>
          <w:rFonts w:ascii="Arial" w:hAnsi="Arial" w:cs="Arial"/>
          <w:i/>
          <w:sz w:val="20"/>
          <w:szCs w:val="20"/>
        </w:rPr>
        <w:t>mmobilien ein begehrtes Anlageziel für Investoren.</w:t>
      </w:r>
      <w:r w:rsidR="00ED0267" w:rsidRPr="00ED0267">
        <w:rPr>
          <w:rFonts w:ascii="Arial" w:hAnsi="Arial" w:cs="Arial"/>
          <w:i/>
          <w:sz w:val="20"/>
          <w:szCs w:val="20"/>
        </w:rPr>
        <w:t xml:space="preserve"> Auch wenn sich die Corona-Pandemie bis ins nächste Jahr zieh</w:t>
      </w:r>
      <w:r w:rsidR="008F1EE5">
        <w:rPr>
          <w:rFonts w:ascii="Arial" w:hAnsi="Arial" w:cs="Arial"/>
          <w:i/>
          <w:sz w:val="20"/>
          <w:szCs w:val="20"/>
        </w:rPr>
        <w:t>t</w:t>
      </w:r>
      <w:r w:rsidR="00ED0267" w:rsidRPr="00ED0267">
        <w:rPr>
          <w:rFonts w:ascii="Arial" w:hAnsi="Arial" w:cs="Arial"/>
          <w:i/>
          <w:sz w:val="20"/>
          <w:szCs w:val="20"/>
        </w:rPr>
        <w:t xml:space="preserve">, rechnen wir für </w:t>
      </w:r>
      <w:r w:rsidR="000C655C">
        <w:rPr>
          <w:rFonts w:ascii="Arial" w:hAnsi="Arial" w:cs="Arial"/>
          <w:i/>
          <w:sz w:val="20"/>
          <w:szCs w:val="20"/>
        </w:rPr>
        <w:t xml:space="preserve">die letzten drei Monate </w:t>
      </w:r>
      <w:r w:rsidR="00ED0267" w:rsidRPr="00ED0267">
        <w:rPr>
          <w:rFonts w:ascii="Arial" w:hAnsi="Arial" w:cs="Arial"/>
          <w:i/>
          <w:sz w:val="20"/>
          <w:szCs w:val="20"/>
        </w:rPr>
        <w:t>mit einem interessanten</w:t>
      </w:r>
      <w:r w:rsidR="00ED0267">
        <w:rPr>
          <w:rFonts w:ascii="Arial" w:hAnsi="Arial" w:cs="Arial"/>
          <w:i/>
          <w:sz w:val="20"/>
          <w:szCs w:val="20"/>
        </w:rPr>
        <w:t xml:space="preserve"> </w:t>
      </w:r>
      <w:r w:rsidR="00ED0267" w:rsidRPr="00ED0267">
        <w:rPr>
          <w:rFonts w:ascii="Arial" w:hAnsi="Arial" w:cs="Arial"/>
          <w:i/>
          <w:sz w:val="20"/>
          <w:szCs w:val="20"/>
        </w:rPr>
        <w:t>Jahresendspurt</w:t>
      </w:r>
      <w:r w:rsidR="000C655C">
        <w:rPr>
          <w:rFonts w:ascii="Arial" w:hAnsi="Arial" w:cs="Arial"/>
          <w:i/>
          <w:sz w:val="20"/>
          <w:szCs w:val="20"/>
        </w:rPr>
        <w:t>.</w:t>
      </w:r>
      <w:r w:rsidR="00ED0267" w:rsidRPr="00ED0267">
        <w:rPr>
          <w:rFonts w:ascii="Arial" w:hAnsi="Arial" w:cs="Arial"/>
          <w:i/>
          <w:sz w:val="20"/>
          <w:szCs w:val="20"/>
        </w:rPr>
        <w:t>“</w:t>
      </w:r>
      <w:r w:rsidR="00ED0267" w:rsidRPr="00ED0267">
        <w:rPr>
          <w:rFonts w:ascii="Arial" w:hAnsi="Arial" w:cs="Arial"/>
          <w:sz w:val="20"/>
          <w:szCs w:val="20"/>
        </w:rPr>
        <w:t xml:space="preserve"> </w:t>
      </w:r>
    </w:p>
    <w:p w14:paraId="2CE8AC6A" w14:textId="0A72C4E5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243044D2" w14:textId="3AB736E8" w:rsidR="00EF7DDD" w:rsidRPr="00ED0267" w:rsidRDefault="00365AF8" w:rsidP="00FA44C3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ED026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51215D64" w14:textId="7C47815A" w:rsidR="004477DC" w:rsidRPr="00ED0267" w:rsidRDefault="00FA44C3" w:rsidP="004477DC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ED0267">
        <w:rPr>
          <w:rFonts w:ascii="Arial" w:hAnsi="Arial" w:cs="Arial"/>
          <w:sz w:val="20"/>
          <w:szCs w:val="20"/>
        </w:rPr>
        <w:t>Mit zehn</w:t>
      </w:r>
      <w:bookmarkStart w:id="0" w:name="_GoBack"/>
      <w:bookmarkEnd w:id="0"/>
      <w:r w:rsidRPr="00ED0267">
        <w:rPr>
          <w:rFonts w:ascii="Arial" w:hAnsi="Arial" w:cs="Arial"/>
          <w:sz w:val="20"/>
          <w:szCs w:val="20"/>
        </w:rPr>
        <w:t xml:space="preserve"> Transaktionen über 100 Mio. </w:t>
      </w:r>
      <w:r w:rsidR="00CF7FAD" w:rsidRPr="00ED0267">
        <w:rPr>
          <w:rFonts w:ascii="Arial" w:hAnsi="Arial" w:cs="Arial"/>
          <w:sz w:val="20"/>
          <w:szCs w:val="20"/>
        </w:rPr>
        <w:t xml:space="preserve">€ </w:t>
      </w:r>
      <w:r w:rsidR="00D54A15">
        <w:rPr>
          <w:rFonts w:ascii="Arial" w:hAnsi="Arial" w:cs="Arial"/>
          <w:sz w:val="20"/>
          <w:szCs w:val="20"/>
        </w:rPr>
        <w:t xml:space="preserve">(2019: 6) </w:t>
      </w:r>
      <w:r w:rsidRPr="00ED0267">
        <w:rPr>
          <w:rFonts w:ascii="Arial" w:hAnsi="Arial" w:cs="Arial"/>
          <w:sz w:val="20"/>
          <w:szCs w:val="20"/>
        </w:rPr>
        <w:t xml:space="preserve">und einem Volumenanteil von 55 % zeigte sich die Nachfrage nach Top-Objekten in Hamburg </w:t>
      </w:r>
      <w:r w:rsidR="00ED0267" w:rsidRPr="00ED0267">
        <w:rPr>
          <w:rFonts w:ascii="Arial" w:hAnsi="Arial" w:cs="Arial"/>
          <w:sz w:val="20"/>
          <w:szCs w:val="20"/>
        </w:rPr>
        <w:t xml:space="preserve">besonders </w:t>
      </w:r>
      <w:r w:rsidRPr="00ED0267">
        <w:rPr>
          <w:rFonts w:ascii="Arial" w:hAnsi="Arial" w:cs="Arial"/>
          <w:sz w:val="20"/>
          <w:szCs w:val="20"/>
        </w:rPr>
        <w:t xml:space="preserve">hoch. </w:t>
      </w:r>
    </w:p>
    <w:p w14:paraId="6BE1D0F5" w14:textId="2CCA89AD" w:rsidR="00463081" w:rsidRPr="00ED0267" w:rsidRDefault="00FA44C3" w:rsidP="00CF7FAD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ED0267">
        <w:rPr>
          <w:rFonts w:ascii="Arial" w:hAnsi="Arial" w:cs="Arial"/>
          <w:sz w:val="20"/>
          <w:szCs w:val="20"/>
        </w:rPr>
        <w:t xml:space="preserve">Ungeachtet möglicher Verschiebungen in der </w:t>
      </w:r>
      <w:r w:rsidR="009D4C49">
        <w:rPr>
          <w:rFonts w:ascii="Arial" w:hAnsi="Arial" w:cs="Arial"/>
          <w:sz w:val="20"/>
          <w:szCs w:val="20"/>
        </w:rPr>
        <w:t>Arbeits</w:t>
      </w:r>
      <w:r w:rsidRPr="00ED0267">
        <w:rPr>
          <w:rFonts w:ascii="Arial" w:hAnsi="Arial" w:cs="Arial"/>
          <w:sz w:val="20"/>
          <w:szCs w:val="20"/>
        </w:rPr>
        <w:t xml:space="preserve">welt </w:t>
      </w:r>
      <w:r w:rsidR="00D54A15">
        <w:rPr>
          <w:rFonts w:ascii="Arial" w:hAnsi="Arial" w:cs="Arial"/>
          <w:sz w:val="20"/>
          <w:szCs w:val="20"/>
        </w:rPr>
        <w:t>blieben</w:t>
      </w:r>
      <w:r w:rsidR="00D54A15" w:rsidRPr="00ED0267">
        <w:rPr>
          <w:rFonts w:ascii="Arial" w:hAnsi="Arial" w:cs="Arial"/>
          <w:sz w:val="20"/>
          <w:szCs w:val="20"/>
        </w:rPr>
        <w:t xml:space="preserve"> </w:t>
      </w:r>
      <w:r w:rsidRPr="00ED0267">
        <w:rPr>
          <w:rFonts w:ascii="Arial" w:hAnsi="Arial" w:cs="Arial"/>
          <w:sz w:val="20"/>
          <w:szCs w:val="20"/>
        </w:rPr>
        <w:t xml:space="preserve">Büro-Immobilien mit einem Anteil von </w:t>
      </w:r>
      <w:r w:rsidR="00ED0267" w:rsidRPr="00ED0267">
        <w:rPr>
          <w:rFonts w:ascii="Arial" w:hAnsi="Arial" w:cs="Arial"/>
          <w:sz w:val="20"/>
          <w:szCs w:val="20"/>
        </w:rPr>
        <w:t>53</w:t>
      </w:r>
      <w:r w:rsidRPr="00ED0267">
        <w:rPr>
          <w:rFonts w:ascii="Arial" w:hAnsi="Arial" w:cs="Arial"/>
          <w:sz w:val="20"/>
          <w:szCs w:val="20"/>
        </w:rPr>
        <w:t xml:space="preserve"> % am Transaktionsvolumen am beliebtesten bei den Investoren. </w:t>
      </w:r>
      <w:r w:rsidR="00466A79" w:rsidRPr="00ED0267">
        <w:rPr>
          <w:rFonts w:ascii="Arial" w:hAnsi="Arial" w:cs="Arial"/>
          <w:sz w:val="20"/>
          <w:szCs w:val="20"/>
        </w:rPr>
        <w:t>Während Hotel-Assets gemieden</w:t>
      </w:r>
      <w:r w:rsidR="00463081" w:rsidRPr="00ED0267">
        <w:rPr>
          <w:rFonts w:ascii="Arial" w:hAnsi="Arial" w:cs="Arial"/>
          <w:sz w:val="20"/>
          <w:szCs w:val="20"/>
        </w:rPr>
        <w:t xml:space="preserve"> wurden (2 %), </w:t>
      </w:r>
      <w:r w:rsidR="009D4C49">
        <w:rPr>
          <w:rFonts w:ascii="Arial" w:hAnsi="Arial" w:cs="Arial"/>
          <w:sz w:val="20"/>
          <w:szCs w:val="20"/>
        </w:rPr>
        <w:t>kamen</w:t>
      </w:r>
      <w:r w:rsidR="009D4C49" w:rsidRPr="00ED0267">
        <w:rPr>
          <w:rFonts w:ascii="Arial" w:hAnsi="Arial" w:cs="Arial"/>
          <w:sz w:val="20"/>
          <w:szCs w:val="20"/>
        </w:rPr>
        <w:t xml:space="preserve"> </w:t>
      </w:r>
      <w:r w:rsidR="00CF7FAD" w:rsidRPr="00ED0267">
        <w:rPr>
          <w:rFonts w:ascii="Arial" w:hAnsi="Arial" w:cs="Arial"/>
          <w:sz w:val="20"/>
          <w:szCs w:val="20"/>
        </w:rPr>
        <w:t xml:space="preserve">Einzelhandels-Objekte trotz </w:t>
      </w:r>
      <w:proofErr w:type="spellStart"/>
      <w:r w:rsidR="00CF7FAD" w:rsidRPr="00ED0267">
        <w:rPr>
          <w:rFonts w:ascii="Arial" w:hAnsi="Arial" w:cs="Arial"/>
          <w:sz w:val="20"/>
          <w:szCs w:val="20"/>
        </w:rPr>
        <w:t>Lockdown</w:t>
      </w:r>
      <w:proofErr w:type="spellEnd"/>
      <w:r w:rsidR="00CF7FAD" w:rsidRPr="00ED0267">
        <w:rPr>
          <w:rFonts w:ascii="Arial" w:hAnsi="Arial" w:cs="Arial"/>
          <w:sz w:val="20"/>
          <w:szCs w:val="20"/>
        </w:rPr>
        <w:t xml:space="preserve">-Nachwehen mit </w:t>
      </w:r>
      <w:r w:rsidR="0019467B">
        <w:rPr>
          <w:rFonts w:ascii="Arial" w:hAnsi="Arial" w:cs="Arial"/>
          <w:sz w:val="20"/>
          <w:szCs w:val="20"/>
        </w:rPr>
        <w:t>2</w:t>
      </w:r>
      <w:r w:rsidR="00CF7FAD" w:rsidRPr="00ED0267">
        <w:rPr>
          <w:rFonts w:ascii="Arial" w:hAnsi="Arial" w:cs="Arial"/>
          <w:sz w:val="20"/>
          <w:szCs w:val="20"/>
        </w:rPr>
        <w:t xml:space="preserve">0 % </w:t>
      </w:r>
      <w:r w:rsidR="009D4C49">
        <w:rPr>
          <w:rFonts w:ascii="Arial" w:hAnsi="Arial" w:cs="Arial"/>
          <w:sz w:val="20"/>
          <w:szCs w:val="20"/>
        </w:rPr>
        <w:t xml:space="preserve">auf </w:t>
      </w:r>
      <w:r w:rsidR="00CF7FAD" w:rsidRPr="00ED0267">
        <w:rPr>
          <w:rFonts w:ascii="Arial" w:hAnsi="Arial" w:cs="Arial"/>
          <w:sz w:val="20"/>
          <w:szCs w:val="20"/>
        </w:rPr>
        <w:t xml:space="preserve">den zweitgrößten Anteil. </w:t>
      </w:r>
      <w:r w:rsidR="001A6817">
        <w:rPr>
          <w:rFonts w:ascii="Arial" w:hAnsi="Arial" w:cs="Arial"/>
          <w:sz w:val="20"/>
          <w:szCs w:val="20"/>
        </w:rPr>
        <w:t>Grund hierfür ist die Veräußerung zwei</w:t>
      </w:r>
      <w:r w:rsidR="00B35F93">
        <w:rPr>
          <w:rFonts w:ascii="Arial" w:hAnsi="Arial" w:cs="Arial"/>
          <w:sz w:val="20"/>
          <w:szCs w:val="20"/>
        </w:rPr>
        <w:t>er</w:t>
      </w:r>
      <w:r w:rsidR="001A6817">
        <w:rPr>
          <w:rFonts w:ascii="Arial" w:hAnsi="Arial" w:cs="Arial"/>
          <w:sz w:val="20"/>
          <w:szCs w:val="20"/>
        </w:rPr>
        <w:t xml:space="preserve"> „Karstadt“-Immobilien</w:t>
      </w:r>
      <w:r w:rsidR="00B35F93" w:rsidRPr="00B35F93">
        <w:rPr>
          <w:rFonts w:ascii="Arial" w:hAnsi="Arial" w:cs="Arial"/>
          <w:sz w:val="20"/>
          <w:szCs w:val="20"/>
        </w:rPr>
        <w:t xml:space="preserve"> </w:t>
      </w:r>
      <w:r w:rsidR="00B35F93" w:rsidRPr="00ED0267">
        <w:rPr>
          <w:rFonts w:ascii="Arial" w:hAnsi="Arial" w:cs="Arial"/>
          <w:sz w:val="20"/>
          <w:szCs w:val="20"/>
        </w:rPr>
        <w:t>von Quantum an Signa</w:t>
      </w:r>
      <w:r w:rsidR="001A6817">
        <w:rPr>
          <w:rFonts w:ascii="Arial" w:hAnsi="Arial" w:cs="Arial"/>
          <w:sz w:val="20"/>
          <w:szCs w:val="20"/>
        </w:rPr>
        <w:t>.</w:t>
      </w:r>
    </w:p>
    <w:p w14:paraId="060CC3E3" w14:textId="23665E79" w:rsidR="00A77745" w:rsidRPr="00ED0267" w:rsidRDefault="00DF4FE3" w:rsidP="00A77745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ED0267">
        <w:rPr>
          <w:rFonts w:ascii="Arial" w:hAnsi="Arial" w:cs="Arial"/>
          <w:sz w:val="20"/>
          <w:szCs w:val="20"/>
        </w:rPr>
        <w:t xml:space="preserve">Die </w:t>
      </w:r>
      <w:r w:rsidR="00EF7DDD" w:rsidRPr="00ED0267">
        <w:rPr>
          <w:rFonts w:ascii="Arial" w:hAnsi="Arial" w:cs="Arial"/>
          <w:sz w:val="20"/>
          <w:szCs w:val="20"/>
        </w:rPr>
        <w:t>zunehmende Fokussierun</w:t>
      </w:r>
      <w:r w:rsidR="004477DC" w:rsidRPr="00ED0267">
        <w:rPr>
          <w:rFonts w:ascii="Arial" w:hAnsi="Arial" w:cs="Arial"/>
          <w:sz w:val="20"/>
          <w:szCs w:val="20"/>
        </w:rPr>
        <w:t>g auf Top-Lagen macht</w:t>
      </w:r>
      <w:r w:rsidR="00CF7FAD" w:rsidRPr="00ED0267">
        <w:rPr>
          <w:rFonts w:ascii="Arial" w:hAnsi="Arial" w:cs="Arial"/>
          <w:sz w:val="20"/>
          <w:szCs w:val="20"/>
        </w:rPr>
        <w:t>e</w:t>
      </w:r>
      <w:r w:rsidR="004477DC" w:rsidRPr="00ED0267">
        <w:rPr>
          <w:rFonts w:ascii="Arial" w:hAnsi="Arial" w:cs="Arial"/>
          <w:sz w:val="20"/>
          <w:szCs w:val="20"/>
        </w:rPr>
        <w:t xml:space="preserve"> auch vor Hamburg </w:t>
      </w:r>
      <w:r w:rsidR="009D4C49">
        <w:rPr>
          <w:rFonts w:ascii="Arial" w:hAnsi="Arial" w:cs="Arial"/>
          <w:sz w:val="20"/>
          <w:szCs w:val="20"/>
        </w:rPr>
        <w:t>nicht</w:t>
      </w:r>
      <w:r w:rsidR="009D4C49" w:rsidRPr="00ED0267">
        <w:rPr>
          <w:rFonts w:ascii="Arial" w:hAnsi="Arial" w:cs="Arial"/>
          <w:sz w:val="20"/>
          <w:szCs w:val="20"/>
        </w:rPr>
        <w:t xml:space="preserve"> </w:t>
      </w:r>
      <w:r w:rsidR="004477DC" w:rsidRPr="00ED0267">
        <w:rPr>
          <w:rFonts w:ascii="Arial" w:hAnsi="Arial" w:cs="Arial"/>
          <w:sz w:val="20"/>
          <w:szCs w:val="20"/>
        </w:rPr>
        <w:t xml:space="preserve">Halt. </w:t>
      </w:r>
      <w:r w:rsidR="00EF7DDD" w:rsidRPr="00ED0267">
        <w:rPr>
          <w:rFonts w:ascii="Arial" w:hAnsi="Arial" w:cs="Arial"/>
          <w:sz w:val="20"/>
          <w:szCs w:val="20"/>
        </w:rPr>
        <w:t>Mit einem Anteil</w:t>
      </w:r>
      <w:r w:rsidR="00CF7FAD" w:rsidRPr="00ED0267">
        <w:rPr>
          <w:rFonts w:ascii="Arial" w:hAnsi="Arial" w:cs="Arial"/>
          <w:sz w:val="20"/>
          <w:szCs w:val="20"/>
        </w:rPr>
        <w:t xml:space="preserve"> von</w:t>
      </w:r>
      <w:r w:rsidR="00EF7DDD" w:rsidRPr="00ED0267">
        <w:rPr>
          <w:rFonts w:ascii="Arial" w:hAnsi="Arial" w:cs="Arial"/>
          <w:sz w:val="20"/>
          <w:szCs w:val="20"/>
        </w:rPr>
        <w:t xml:space="preserve"> 44 % floss fast jeder zweite Euro in </w:t>
      </w:r>
      <w:r w:rsidR="004477DC" w:rsidRPr="00ED0267">
        <w:rPr>
          <w:rFonts w:ascii="Arial" w:hAnsi="Arial" w:cs="Arial"/>
          <w:sz w:val="20"/>
          <w:szCs w:val="20"/>
        </w:rPr>
        <w:t>Objekte in der</w:t>
      </w:r>
      <w:r w:rsidR="00EF7DDD" w:rsidRPr="00ED0267">
        <w:rPr>
          <w:rFonts w:ascii="Arial" w:hAnsi="Arial" w:cs="Arial"/>
          <w:sz w:val="20"/>
          <w:szCs w:val="20"/>
        </w:rPr>
        <w:t xml:space="preserve"> Hamburger City. </w:t>
      </w:r>
      <w:r w:rsidR="009D4C49">
        <w:rPr>
          <w:rFonts w:ascii="Arial" w:hAnsi="Arial" w:cs="Arial"/>
          <w:sz w:val="20"/>
          <w:szCs w:val="20"/>
        </w:rPr>
        <w:t xml:space="preserve">Das zweithöchste Investitionsvolumen wies mit 12 % der </w:t>
      </w:r>
      <w:r w:rsidR="005529CE" w:rsidRPr="00ED0267">
        <w:rPr>
          <w:rFonts w:ascii="Arial" w:hAnsi="Arial" w:cs="Arial"/>
          <w:sz w:val="20"/>
          <w:szCs w:val="20"/>
        </w:rPr>
        <w:t xml:space="preserve">Teilmarkt Eppendorf </w:t>
      </w:r>
      <w:r w:rsidR="009D4C49">
        <w:rPr>
          <w:rFonts w:ascii="Arial" w:hAnsi="Arial" w:cs="Arial"/>
          <w:sz w:val="20"/>
          <w:szCs w:val="20"/>
        </w:rPr>
        <w:t>auf</w:t>
      </w:r>
      <w:r w:rsidR="005529CE" w:rsidRPr="00ED0267">
        <w:rPr>
          <w:rFonts w:ascii="Arial" w:hAnsi="Arial" w:cs="Arial"/>
          <w:sz w:val="20"/>
          <w:szCs w:val="20"/>
        </w:rPr>
        <w:t xml:space="preserve">. </w:t>
      </w:r>
    </w:p>
    <w:p w14:paraId="00B90C2C" w14:textId="7DCF0079" w:rsidR="00FE7F71" w:rsidRDefault="00A77745" w:rsidP="00FE7F71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ED0267">
        <w:rPr>
          <w:rFonts w:ascii="Arial" w:hAnsi="Arial" w:cs="Arial"/>
          <w:sz w:val="20"/>
          <w:szCs w:val="20"/>
        </w:rPr>
        <w:t>Der Anteil an Portfoliotransaktionen blieb mit 3</w:t>
      </w:r>
      <w:r w:rsidR="00ED0267" w:rsidRPr="00ED0267">
        <w:rPr>
          <w:rFonts w:ascii="Arial" w:hAnsi="Arial" w:cs="Arial"/>
          <w:sz w:val="20"/>
          <w:szCs w:val="20"/>
        </w:rPr>
        <w:t>6</w:t>
      </w:r>
      <w:r w:rsidRPr="00ED0267">
        <w:rPr>
          <w:rFonts w:ascii="Arial" w:hAnsi="Arial" w:cs="Arial"/>
          <w:sz w:val="20"/>
          <w:szCs w:val="20"/>
        </w:rPr>
        <w:t> % hoch. Zu den</w:t>
      </w:r>
      <w:r w:rsidR="000C4EAB">
        <w:rPr>
          <w:rFonts w:ascii="Arial" w:hAnsi="Arial" w:cs="Arial"/>
          <w:sz w:val="20"/>
          <w:szCs w:val="20"/>
        </w:rPr>
        <w:t xml:space="preserve"> bisherigen</w:t>
      </w:r>
      <w:r w:rsidRPr="00ED0267">
        <w:rPr>
          <w:rFonts w:ascii="Arial" w:hAnsi="Arial" w:cs="Arial"/>
          <w:sz w:val="20"/>
          <w:szCs w:val="20"/>
        </w:rPr>
        <w:t xml:space="preserve"> Unternehmens- und Anteilsübernahmen kamen im 3. Quartal </w:t>
      </w:r>
      <w:r w:rsidR="00FE7F71">
        <w:rPr>
          <w:rFonts w:ascii="Arial" w:hAnsi="Arial" w:cs="Arial"/>
          <w:sz w:val="20"/>
          <w:szCs w:val="20"/>
        </w:rPr>
        <w:t xml:space="preserve">u. a. </w:t>
      </w:r>
      <w:r w:rsidR="0003107F">
        <w:rPr>
          <w:rFonts w:ascii="Arial" w:hAnsi="Arial" w:cs="Arial"/>
          <w:sz w:val="20"/>
          <w:szCs w:val="20"/>
        </w:rPr>
        <w:t>die Verkäufe</w:t>
      </w:r>
      <w:r w:rsidRPr="00ED0267">
        <w:rPr>
          <w:rFonts w:ascii="Arial" w:hAnsi="Arial" w:cs="Arial"/>
          <w:sz w:val="20"/>
          <w:szCs w:val="20"/>
        </w:rPr>
        <w:t xml:space="preserve"> des AEW-Büroportfolio</w:t>
      </w:r>
      <w:r w:rsidR="00DC6837">
        <w:rPr>
          <w:rFonts w:ascii="Arial" w:hAnsi="Arial" w:cs="Arial"/>
          <w:sz w:val="20"/>
          <w:szCs w:val="20"/>
        </w:rPr>
        <w:t>s</w:t>
      </w:r>
      <w:r w:rsidRPr="00ED0267">
        <w:rPr>
          <w:rFonts w:ascii="Arial" w:hAnsi="Arial" w:cs="Arial"/>
          <w:sz w:val="20"/>
          <w:szCs w:val="20"/>
        </w:rPr>
        <w:t xml:space="preserve"> an Tristan sowie </w:t>
      </w:r>
      <w:r w:rsidR="00B35F93">
        <w:rPr>
          <w:rFonts w:ascii="Arial" w:hAnsi="Arial" w:cs="Arial"/>
          <w:sz w:val="20"/>
          <w:szCs w:val="20"/>
        </w:rPr>
        <w:t>die besagten zwei „</w:t>
      </w:r>
      <w:r w:rsidR="00466A79" w:rsidRPr="00ED0267">
        <w:rPr>
          <w:rFonts w:ascii="Arial" w:hAnsi="Arial" w:cs="Arial"/>
          <w:sz w:val="20"/>
          <w:szCs w:val="20"/>
        </w:rPr>
        <w:t>Karstadt</w:t>
      </w:r>
      <w:r w:rsidR="00B35F93">
        <w:rPr>
          <w:rFonts w:ascii="Arial" w:hAnsi="Arial" w:cs="Arial"/>
          <w:sz w:val="20"/>
          <w:szCs w:val="20"/>
        </w:rPr>
        <w:t>“</w:t>
      </w:r>
      <w:r w:rsidR="00466A79" w:rsidRPr="00ED0267">
        <w:rPr>
          <w:rFonts w:ascii="Arial" w:hAnsi="Arial" w:cs="Arial"/>
          <w:sz w:val="20"/>
          <w:szCs w:val="20"/>
        </w:rPr>
        <w:t>-Immobilien hinzu</w:t>
      </w:r>
      <w:r w:rsidRPr="00ED0267">
        <w:rPr>
          <w:rFonts w:ascii="Arial" w:hAnsi="Arial" w:cs="Arial"/>
          <w:sz w:val="20"/>
          <w:szCs w:val="20"/>
        </w:rPr>
        <w:t xml:space="preserve">. </w:t>
      </w:r>
    </w:p>
    <w:p w14:paraId="6C0C6C44" w14:textId="100E849E" w:rsidR="00FE7F71" w:rsidRPr="00FE7F71" w:rsidRDefault="00FE7F71" w:rsidP="00FE7F71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FE7F71">
        <w:rPr>
          <w:rFonts w:ascii="Arial" w:hAnsi="Arial" w:cs="Arial"/>
          <w:sz w:val="20"/>
          <w:szCs w:val="20"/>
        </w:rPr>
        <w:t>Trotz Reisebeschränkungen waren internationale Investoren am Hamburger Investmentmarkt sehr aktiv. Sie steigerten ihren Anteil am Transaktionsvolumen auf 41</w:t>
      </w:r>
      <w:r>
        <w:rPr>
          <w:rFonts w:ascii="Arial" w:hAnsi="Arial" w:cs="Arial"/>
          <w:sz w:val="20"/>
          <w:szCs w:val="20"/>
        </w:rPr>
        <w:t> </w:t>
      </w:r>
      <w:r w:rsidRPr="00FE7F7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(2019: 18 %). </w:t>
      </w:r>
    </w:p>
    <w:p w14:paraId="455BF001" w14:textId="69E22D9B" w:rsidR="00184A4E" w:rsidRPr="00ED0267" w:rsidRDefault="00184A4E" w:rsidP="00FB644B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ED0267">
        <w:rPr>
          <w:rFonts w:ascii="Arial" w:hAnsi="Arial" w:cs="Arial"/>
          <w:sz w:val="20"/>
          <w:szCs w:val="20"/>
        </w:rPr>
        <w:t xml:space="preserve">Die bestehenden Unsicherheiten lassen Investoren </w:t>
      </w:r>
      <w:r w:rsidR="0003107F">
        <w:rPr>
          <w:rFonts w:ascii="Arial" w:hAnsi="Arial" w:cs="Arial"/>
          <w:sz w:val="20"/>
          <w:szCs w:val="20"/>
        </w:rPr>
        <w:t>noch stärker</w:t>
      </w:r>
      <w:r w:rsidR="0003107F" w:rsidRPr="00ED0267">
        <w:rPr>
          <w:rFonts w:ascii="Arial" w:hAnsi="Arial" w:cs="Arial"/>
          <w:sz w:val="20"/>
          <w:szCs w:val="20"/>
        </w:rPr>
        <w:t xml:space="preserve"> </w:t>
      </w:r>
      <w:r w:rsidRPr="00ED0267">
        <w:rPr>
          <w:rFonts w:ascii="Arial" w:hAnsi="Arial" w:cs="Arial"/>
          <w:sz w:val="20"/>
          <w:szCs w:val="20"/>
        </w:rPr>
        <w:t xml:space="preserve">auf risikoarme Core-Objekte setzen, was </w:t>
      </w:r>
      <w:r w:rsidR="00CF7FAD" w:rsidRPr="00ED0267">
        <w:rPr>
          <w:rFonts w:ascii="Arial" w:hAnsi="Arial" w:cs="Arial"/>
          <w:sz w:val="20"/>
          <w:szCs w:val="20"/>
        </w:rPr>
        <w:t>zusätzlichen</w:t>
      </w:r>
      <w:r w:rsidR="005F0A7E" w:rsidRPr="00ED0267">
        <w:rPr>
          <w:rFonts w:ascii="Arial" w:hAnsi="Arial" w:cs="Arial"/>
          <w:sz w:val="20"/>
          <w:szCs w:val="20"/>
        </w:rPr>
        <w:t xml:space="preserve"> Druck auf </w:t>
      </w:r>
      <w:r w:rsidRPr="00ED0267">
        <w:rPr>
          <w:rFonts w:ascii="Arial" w:hAnsi="Arial" w:cs="Arial"/>
          <w:sz w:val="20"/>
          <w:szCs w:val="20"/>
        </w:rPr>
        <w:t>die Spitzenrenditen für Büro- und Logistik-</w:t>
      </w:r>
      <w:r w:rsidR="00C84310" w:rsidRPr="00ED0267">
        <w:rPr>
          <w:rFonts w:ascii="Arial" w:hAnsi="Arial" w:cs="Arial"/>
          <w:sz w:val="20"/>
          <w:szCs w:val="20"/>
        </w:rPr>
        <w:t>Immobilien</w:t>
      </w:r>
      <w:r w:rsidRPr="00ED0267">
        <w:rPr>
          <w:rFonts w:ascii="Arial" w:hAnsi="Arial" w:cs="Arial"/>
          <w:sz w:val="20"/>
          <w:szCs w:val="20"/>
        </w:rPr>
        <w:t xml:space="preserve"> </w:t>
      </w:r>
      <w:r w:rsidR="00ED0267" w:rsidRPr="00ED0267">
        <w:rPr>
          <w:rFonts w:ascii="Arial" w:hAnsi="Arial" w:cs="Arial"/>
          <w:sz w:val="20"/>
          <w:szCs w:val="20"/>
        </w:rPr>
        <w:t>aufbaut</w:t>
      </w:r>
      <w:r w:rsidRPr="00ED0267">
        <w:rPr>
          <w:rFonts w:ascii="Arial" w:hAnsi="Arial" w:cs="Arial"/>
          <w:sz w:val="20"/>
          <w:szCs w:val="20"/>
        </w:rPr>
        <w:t xml:space="preserve">. </w:t>
      </w:r>
      <w:r w:rsidR="00C84310" w:rsidRPr="00ED0267">
        <w:rPr>
          <w:rFonts w:ascii="Arial" w:hAnsi="Arial" w:cs="Arial"/>
          <w:sz w:val="20"/>
          <w:szCs w:val="20"/>
        </w:rPr>
        <w:t xml:space="preserve">Für die Assets </w:t>
      </w:r>
      <w:r w:rsidRPr="00ED0267">
        <w:rPr>
          <w:rFonts w:ascii="Arial" w:hAnsi="Arial" w:cs="Arial"/>
          <w:sz w:val="20"/>
          <w:szCs w:val="20"/>
        </w:rPr>
        <w:t xml:space="preserve">Hotel und Einzelhandel </w:t>
      </w:r>
      <w:r w:rsidR="00C84310" w:rsidRPr="00ED0267">
        <w:rPr>
          <w:rFonts w:ascii="Arial" w:hAnsi="Arial" w:cs="Arial"/>
          <w:sz w:val="20"/>
          <w:szCs w:val="20"/>
        </w:rPr>
        <w:t>ist grundsätzlich mit einem A</w:t>
      </w:r>
      <w:r w:rsidR="005F0A7E" w:rsidRPr="00ED0267">
        <w:rPr>
          <w:rFonts w:ascii="Arial" w:hAnsi="Arial" w:cs="Arial"/>
          <w:sz w:val="20"/>
          <w:szCs w:val="20"/>
        </w:rPr>
        <w:t xml:space="preserve">nstieg der Renditen zu rechnen. </w:t>
      </w:r>
    </w:p>
    <w:p w14:paraId="5E40163B" w14:textId="0C2A38F5" w:rsidR="008A2BA4" w:rsidRPr="001809AE" w:rsidRDefault="00261FB3" w:rsidP="001809AE">
      <w:pPr>
        <w:pStyle w:val="Listenabsatz"/>
        <w:numPr>
          <w:ilvl w:val="0"/>
          <w:numId w:val="16"/>
        </w:numPr>
        <w:spacing w:after="0" w:line="360" w:lineRule="auto"/>
        <w:ind w:left="425" w:hanging="357"/>
        <w:textAlignment w:val="baseline"/>
        <w:rPr>
          <w:rFonts w:ascii="Arial" w:hAnsi="Arial" w:cs="Arial"/>
          <w:sz w:val="20"/>
          <w:szCs w:val="20"/>
        </w:rPr>
      </w:pPr>
      <w:r w:rsidRPr="001809A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2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0A5ED1" w:rsidRPr="006F49D0" w14:paraId="2928D7C9" w14:textId="77777777" w:rsidTr="00365AF8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513B5E89" w14:textId="0E2F594A" w:rsidR="000A5ED1" w:rsidRPr="004712BA" w:rsidRDefault="000A5ED1" w:rsidP="00CD6BD0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Investmentmarkt</w:t>
            </w:r>
            <w:r w:rsidR="00800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0E2C"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412E">
              <w:rPr>
                <w:rFonts w:ascii="Arial" w:hAnsi="Arial" w:cs="Arial"/>
                <w:b/>
                <w:sz w:val="20"/>
                <w:szCs w:val="20"/>
              </w:rPr>
              <w:t>Hamburg</w:t>
            </w:r>
            <w:r w:rsidR="00800E2C">
              <w:t xml:space="preserve"> </w:t>
            </w:r>
            <w:r w:rsidR="00800E2C"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800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6BD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1F242B" w:themeFill="accent2"/>
          </w:tcPr>
          <w:p w14:paraId="6DA68AD4" w14:textId="0F58409B" w:rsidR="000A5ED1" w:rsidRPr="004712BA" w:rsidRDefault="000A5ED1" w:rsidP="00465B0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797E4F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567E49">
              <w:rPr>
                <w:rFonts w:ascii="Arial" w:hAnsi="Arial" w:cs="Arial"/>
                <w:b/>
                <w:sz w:val="18"/>
                <w:szCs w:val="16"/>
              </w:rPr>
              <w:t>-3</w:t>
            </w:r>
          </w:p>
        </w:tc>
      </w:tr>
      <w:tr w:rsidR="00797E4F" w:rsidRPr="006F49D0" w14:paraId="12A35FD1" w14:textId="77777777" w:rsidTr="00365AF8">
        <w:trPr>
          <w:trHeight w:val="283"/>
        </w:trPr>
        <w:tc>
          <w:tcPr>
            <w:tcW w:w="3823" w:type="dxa"/>
          </w:tcPr>
          <w:p w14:paraId="1EEAFBBC" w14:textId="7D79639C" w:rsidR="00797E4F" w:rsidRPr="004712BA" w:rsidRDefault="00797E4F" w:rsidP="00E17864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="00E17864">
              <w:rPr>
                <w:rFonts w:ascii="Arial" w:hAnsi="Arial" w:cs="Arial"/>
                <w:sz w:val="18"/>
                <w:szCs w:val="16"/>
              </w:rPr>
              <w:t>Mio</w:t>
            </w:r>
            <w:r w:rsidRPr="004712BA">
              <w:rPr>
                <w:rFonts w:ascii="Arial" w:hAnsi="Arial" w:cs="Arial"/>
                <w:sz w:val="18"/>
                <w:szCs w:val="16"/>
              </w:rPr>
              <w:t>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7C81A3D" w14:textId="486CD802" w:rsidR="00797E4F" w:rsidRPr="00ED0267" w:rsidRDefault="00FA44C3" w:rsidP="00ED026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3</w:t>
            </w:r>
            <w:r w:rsidR="00E17864" w:rsidRPr="00ED0267">
              <w:rPr>
                <w:rFonts w:ascii="Arial" w:hAnsi="Arial" w:cs="Arial"/>
                <w:sz w:val="18"/>
                <w:szCs w:val="16"/>
              </w:rPr>
              <w:t>.</w:t>
            </w:r>
            <w:r w:rsidRPr="00ED0267">
              <w:rPr>
                <w:rFonts w:ascii="Arial" w:hAnsi="Arial" w:cs="Arial"/>
                <w:sz w:val="18"/>
                <w:szCs w:val="16"/>
              </w:rPr>
              <w:t>6</w:t>
            </w:r>
            <w:r w:rsidR="00ED0267" w:rsidRPr="00ED0267">
              <w:rPr>
                <w:rFonts w:ascii="Arial" w:hAnsi="Arial" w:cs="Arial"/>
                <w:sz w:val="18"/>
                <w:szCs w:val="16"/>
              </w:rPr>
              <w:t>4</w:t>
            </w:r>
            <w:r w:rsidRPr="00ED0267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797E4F" w:rsidRPr="006F49D0" w14:paraId="6A7ABFCD" w14:textId="77777777" w:rsidTr="00365AF8">
        <w:trPr>
          <w:trHeight w:val="283"/>
        </w:trPr>
        <w:tc>
          <w:tcPr>
            <w:tcW w:w="3823" w:type="dxa"/>
          </w:tcPr>
          <w:p w14:paraId="209F9D9C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66E247E" w14:textId="212BE082" w:rsidR="00797E4F" w:rsidRPr="00ED0267" w:rsidRDefault="003B0F06" w:rsidP="00ED026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+</w:t>
            </w:r>
            <w:r w:rsidR="00FA44C3" w:rsidRPr="00ED0267">
              <w:rPr>
                <w:rFonts w:ascii="Arial" w:hAnsi="Arial" w:cs="Arial"/>
                <w:sz w:val="18"/>
                <w:szCs w:val="16"/>
              </w:rPr>
              <w:t>3</w:t>
            </w:r>
            <w:r w:rsidR="00ED0267" w:rsidRPr="00ED0267">
              <w:rPr>
                <w:rFonts w:ascii="Arial" w:hAnsi="Arial" w:cs="Arial"/>
                <w:sz w:val="18"/>
                <w:szCs w:val="16"/>
              </w:rPr>
              <w:t>7</w:t>
            </w:r>
          </w:p>
        </w:tc>
      </w:tr>
      <w:tr w:rsidR="00797E4F" w:rsidRPr="006F49D0" w14:paraId="1F46D6E3" w14:textId="77777777" w:rsidTr="00365AF8">
        <w:trPr>
          <w:trHeight w:val="283"/>
        </w:trPr>
        <w:tc>
          <w:tcPr>
            <w:tcW w:w="3823" w:type="dxa"/>
          </w:tcPr>
          <w:p w14:paraId="021D0700" w14:textId="77777777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2EA23137" w14:textId="491EFA44" w:rsidR="00797E4F" w:rsidRPr="00ED0267" w:rsidRDefault="00ED0267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44</w:t>
            </w:r>
          </w:p>
        </w:tc>
      </w:tr>
      <w:tr w:rsidR="00797E4F" w:rsidRPr="006F49D0" w14:paraId="1F687A93" w14:textId="77777777" w:rsidTr="00365AF8">
        <w:trPr>
          <w:trHeight w:val="283"/>
        </w:trPr>
        <w:tc>
          <w:tcPr>
            <w:tcW w:w="3823" w:type="dxa"/>
          </w:tcPr>
          <w:p w14:paraId="7BAE8D04" w14:textId="77777777" w:rsidR="00797E4F" w:rsidRPr="00CF57D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264C863" w14:textId="1FB31F07" w:rsidR="00797E4F" w:rsidRPr="00ED0267" w:rsidRDefault="00ED0267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41</w:t>
            </w:r>
          </w:p>
        </w:tc>
      </w:tr>
      <w:tr w:rsidR="00797E4F" w:rsidRPr="006F49D0" w14:paraId="16A9EFD5" w14:textId="77777777" w:rsidTr="00365AF8">
        <w:trPr>
          <w:trHeight w:val="283"/>
        </w:trPr>
        <w:tc>
          <w:tcPr>
            <w:tcW w:w="3823" w:type="dxa"/>
          </w:tcPr>
          <w:p w14:paraId="776A8B5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D71828B" w14:textId="717A48C3" w:rsidR="00797E4F" w:rsidRPr="00ED0267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2,80</w:t>
            </w:r>
          </w:p>
        </w:tc>
      </w:tr>
      <w:tr w:rsidR="00797E4F" w14:paraId="55B3498E" w14:textId="77777777" w:rsidTr="00365AF8">
        <w:trPr>
          <w:trHeight w:val="283"/>
        </w:trPr>
        <w:tc>
          <w:tcPr>
            <w:tcW w:w="3823" w:type="dxa"/>
          </w:tcPr>
          <w:p w14:paraId="10626FFC" w14:textId="3379598B" w:rsidR="00797E4F" w:rsidRPr="00A7575D" w:rsidRDefault="00797E4F" w:rsidP="0057685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B6ED377" w14:textId="3DE00338" w:rsidR="00797E4F" w:rsidRPr="00ED0267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3FF9A817" w14:textId="77777777" w:rsidTr="00365AF8">
        <w:trPr>
          <w:trHeight w:val="283"/>
        </w:trPr>
        <w:tc>
          <w:tcPr>
            <w:tcW w:w="3823" w:type="dxa"/>
          </w:tcPr>
          <w:p w14:paraId="5A19B7CF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7AD5745" w14:textId="50D777AC" w:rsidR="00797E4F" w:rsidRPr="00ED0267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797E4F" w14:paraId="0515B637" w14:textId="77777777" w:rsidTr="00365AF8">
        <w:trPr>
          <w:trHeight w:val="283"/>
        </w:trPr>
        <w:tc>
          <w:tcPr>
            <w:tcW w:w="3823" w:type="dxa"/>
          </w:tcPr>
          <w:p w14:paraId="67B252C5" w14:textId="516CED9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F1E364B" w14:textId="61527676" w:rsidR="00797E4F" w:rsidRPr="00ED0267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797E4F" w:rsidRPr="006F49D0" w14:paraId="5FADA812" w14:textId="77777777" w:rsidTr="00365AF8">
        <w:trPr>
          <w:trHeight w:val="283"/>
        </w:trPr>
        <w:tc>
          <w:tcPr>
            <w:tcW w:w="3823" w:type="dxa"/>
          </w:tcPr>
          <w:p w14:paraId="2CFBFCBA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A1B2D82" w14:textId="586A16CE" w:rsidR="00797E4F" w:rsidRPr="00ED0267" w:rsidRDefault="00277361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4,</w:t>
            </w:r>
            <w:r w:rsidR="000B7D28" w:rsidRPr="00ED0267">
              <w:rPr>
                <w:rFonts w:ascii="Arial" w:hAnsi="Arial" w:cs="Arial"/>
                <w:sz w:val="18"/>
                <w:szCs w:val="16"/>
              </w:rPr>
              <w:t>20</w:t>
            </w:r>
          </w:p>
        </w:tc>
      </w:tr>
      <w:tr w:rsidR="00797E4F" w14:paraId="20B8D9B7" w14:textId="77777777" w:rsidTr="00365AF8">
        <w:trPr>
          <w:trHeight w:val="283"/>
        </w:trPr>
        <w:tc>
          <w:tcPr>
            <w:tcW w:w="3823" w:type="dxa"/>
          </w:tcPr>
          <w:p w14:paraId="24159E32" w14:textId="5AE4316B" w:rsidR="00797E4F" w:rsidRPr="00A7575D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C62ADF7" w14:textId="02CE5F66" w:rsidR="00797E4F" w:rsidRPr="00ED0267" w:rsidRDefault="00313876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-</w:t>
            </w:r>
            <w:r w:rsidR="00277361" w:rsidRPr="00ED0267">
              <w:rPr>
                <w:rFonts w:ascii="Arial" w:hAnsi="Arial" w:cs="Arial"/>
                <w:sz w:val="18"/>
                <w:szCs w:val="16"/>
              </w:rPr>
              <w:t>0,</w:t>
            </w:r>
            <w:r w:rsidR="000B7D28" w:rsidRPr="00ED0267">
              <w:rPr>
                <w:rFonts w:ascii="Arial" w:hAnsi="Arial" w:cs="Arial"/>
                <w:sz w:val="18"/>
                <w:szCs w:val="16"/>
              </w:rPr>
              <w:t>30</w:t>
            </w:r>
          </w:p>
        </w:tc>
      </w:tr>
      <w:tr w:rsidR="00797E4F" w:rsidRPr="006F49D0" w14:paraId="258FCBB3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6E84F40E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3AE39" w14:textId="6107A027" w:rsidR="00797E4F" w:rsidRPr="00ED0267" w:rsidRDefault="004C3F94" w:rsidP="000B7D2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797E4F" w:rsidRPr="006F49D0" w14:paraId="15F08F3E" w14:textId="77777777" w:rsidTr="00365AF8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88669C5" w14:textId="77777777" w:rsidR="00797E4F" w:rsidRPr="004712BA" w:rsidRDefault="00797E4F" w:rsidP="00797E4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9478F0" w14:textId="7C84C974" w:rsidR="00797E4F" w:rsidRPr="00ED0267" w:rsidRDefault="00ED0267" w:rsidP="00730191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53</w:t>
            </w:r>
          </w:p>
        </w:tc>
      </w:tr>
    </w:tbl>
    <w:p w14:paraId="7AFFF209" w14:textId="3DA59D00" w:rsidR="000A5ED1" w:rsidRPr="00B26FFD" w:rsidRDefault="008E51AD" w:rsidP="000A5ED1">
      <w:pPr>
        <w:spacing w:after="0" w:line="360" w:lineRule="auto"/>
        <w:ind w:left="66"/>
        <w:textAlignment w:val="baseline"/>
        <w:rPr>
          <w:rFonts w:ascii="Arial" w:hAnsi="Arial" w:cs="Arial"/>
          <w:sz w:val="20"/>
          <w:szCs w:val="20"/>
        </w:rPr>
      </w:pPr>
      <w:r w:rsidRPr="008E51AD"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1584DC2C" wp14:editId="52B1AE0A">
            <wp:simplePos x="0" y="0"/>
            <wp:positionH relativeFrom="column">
              <wp:posOffset>3251835</wp:posOffset>
            </wp:positionH>
            <wp:positionV relativeFrom="paragraph">
              <wp:posOffset>70485</wp:posOffset>
            </wp:positionV>
            <wp:extent cx="3093720" cy="2178050"/>
            <wp:effectExtent l="19050" t="19050" r="11430" b="12700"/>
            <wp:wrapSquare wrapText="bothSides"/>
            <wp:docPr id="4" name="Grafik 4" descr="N:\Presse\5_PresseMITTEILUNGEN\Marktbericht Investment\2020\2020_Q3\Grafiken\Investmentmarkt HH_3Q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esse\5_PresseMITTEILUNGEN\Marktbericht Investment\2020\2020_Q3\Grafiken\Investmentmarkt HH_3Q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7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B66BA" w14:textId="5B79AF62" w:rsidR="00FA0BF4" w:rsidRDefault="00FA0BF4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664A1698" w14:textId="77777777" w:rsidR="007C0ABB" w:rsidRDefault="007C0ABB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9B26E04" w14:textId="30CB4FC7" w:rsidR="00A0600B" w:rsidRPr="00A0600B" w:rsidRDefault="00713D81" w:rsidP="008327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</w:t>
      </w:r>
      <w:r w:rsidR="00FD39DE">
        <w:rPr>
          <w:rFonts w:ascii="Arial" w:hAnsi="Arial" w:cs="Arial"/>
          <w:b/>
          <w:sz w:val="20"/>
          <w:szCs w:val="20"/>
        </w:rPr>
        <w:t>Top-</w:t>
      </w:r>
      <w:r>
        <w:rPr>
          <w:rFonts w:ascii="Arial" w:hAnsi="Arial" w:cs="Arial"/>
          <w:b/>
          <w:sz w:val="20"/>
          <w:szCs w:val="20"/>
        </w:rPr>
        <w:t>Transaktionen</w:t>
      </w:r>
      <w:r w:rsidR="00E90673">
        <w:rPr>
          <w:rFonts w:ascii="Arial" w:hAnsi="Arial" w:cs="Arial"/>
          <w:b/>
          <w:sz w:val="20"/>
          <w:szCs w:val="20"/>
        </w:rPr>
        <w:t xml:space="preserve"> | Investmentmarkt </w:t>
      </w:r>
      <w:r w:rsidR="0054412E">
        <w:rPr>
          <w:rFonts w:ascii="Arial" w:hAnsi="Arial" w:cs="Arial"/>
          <w:b/>
          <w:sz w:val="20"/>
          <w:szCs w:val="20"/>
        </w:rPr>
        <w:t>Hamburg</w:t>
      </w:r>
      <w:r w:rsidR="00CD6BD0">
        <w:rPr>
          <w:rFonts w:ascii="Arial" w:hAnsi="Arial" w:cs="Arial"/>
          <w:b/>
          <w:sz w:val="20"/>
          <w:szCs w:val="20"/>
        </w:rPr>
        <w:t xml:space="preserve"> | 1</w:t>
      </w:r>
      <w:r w:rsidR="00567E49">
        <w:rPr>
          <w:rFonts w:ascii="Arial" w:hAnsi="Arial" w:cs="Arial"/>
          <w:b/>
          <w:sz w:val="20"/>
          <w:szCs w:val="20"/>
        </w:rPr>
        <w:t>.-3</w:t>
      </w:r>
      <w:r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 w:rsidR="00CD6BD0">
        <w:rPr>
          <w:rFonts w:ascii="Arial" w:hAnsi="Arial" w:cs="Arial"/>
          <w:b/>
          <w:sz w:val="20"/>
          <w:szCs w:val="20"/>
        </w:rPr>
        <w:t>2020</w:t>
      </w:r>
    </w:p>
    <w:tbl>
      <w:tblPr>
        <w:tblStyle w:val="TableGrid1"/>
        <w:tblpPr w:leftFromText="141" w:rightFromText="141" w:vertAnchor="text" w:horzAnchor="margin" w:tblpY="61"/>
        <w:tblW w:w="10015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2268"/>
        <w:gridCol w:w="1937"/>
        <w:gridCol w:w="1137"/>
      </w:tblGrid>
      <w:tr w:rsidR="0057685F" w:rsidRPr="006F49D0" w14:paraId="3881C746" w14:textId="77777777" w:rsidTr="007C0ABB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2D3315CD" w14:textId="71BF6E52" w:rsidR="00713D81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57685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1BD8284D" w14:textId="77777777" w:rsidR="00713D81" w:rsidRPr="00C626E7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134" w:type="dxa"/>
            <w:shd w:val="clear" w:color="auto" w:fill="1F242B" w:themeFill="accent2"/>
          </w:tcPr>
          <w:p w14:paraId="4E8EC8BF" w14:textId="6417BD91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1F242B" w:themeFill="accent2"/>
          </w:tcPr>
          <w:p w14:paraId="56B818C2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2268" w:type="dxa"/>
            <w:shd w:val="clear" w:color="auto" w:fill="1F242B" w:themeFill="accent2"/>
            <w:vAlign w:val="center"/>
          </w:tcPr>
          <w:p w14:paraId="6F9AAE5A" w14:textId="4A2FFAB4" w:rsidR="00713D81" w:rsidRPr="009F10F1" w:rsidRDefault="00D0004A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1937" w:type="dxa"/>
            <w:shd w:val="clear" w:color="auto" w:fill="1F242B" w:themeFill="accent2"/>
            <w:vAlign w:val="center"/>
          </w:tcPr>
          <w:p w14:paraId="1C1FB7C5" w14:textId="4E70162E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7" w:type="dxa"/>
            <w:shd w:val="clear" w:color="auto" w:fill="1F242B" w:themeFill="accent2"/>
            <w:vAlign w:val="center"/>
          </w:tcPr>
          <w:p w14:paraId="07D9CAD3" w14:textId="678A9FB3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4946B45A" w14:textId="1E52F7FD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F2414C" w:rsidRPr="00F2414C" w14:paraId="536A5B8F" w14:textId="77777777" w:rsidTr="007C0ABB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1881AA3" w14:textId="596B855B" w:rsidR="006321DC" w:rsidRPr="005D3366" w:rsidRDefault="000623C0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33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„Johann Kontor”, Klosterwall 6-8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2BEE6" w14:textId="5F0353D5" w:rsidR="006321DC" w:rsidRPr="000B7D28" w:rsidRDefault="000623C0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255AB" w14:textId="32A9A9F6" w:rsidR="006321DC" w:rsidRPr="000B7D28" w:rsidRDefault="000623C0" w:rsidP="00797E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Mixed-Use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D7257" w14:textId="1E52B92B" w:rsidR="006321DC" w:rsidRPr="000B7D28" w:rsidRDefault="00A81626" w:rsidP="008652F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Captiva / </w:t>
            </w:r>
            <w:proofErr w:type="spellStart"/>
            <w:r w:rsidR="00A975B1" w:rsidRPr="00BB6626">
              <w:rPr>
                <w:rFonts w:ascii="Arial" w:hAnsi="Arial" w:cs="Arial"/>
                <w:sz w:val="18"/>
                <w:szCs w:val="18"/>
                <w:lang w:val="en-US"/>
              </w:rPr>
              <w:t>HanseMerkur</w:t>
            </w:r>
            <w:proofErr w:type="spellEnd"/>
            <w:r w:rsidR="008652FA" w:rsidRPr="00BB662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8652FA" w:rsidRPr="00BB66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Aug. </w:t>
            </w:r>
            <w:proofErr w:type="spellStart"/>
            <w:r w:rsidR="008652FA" w:rsidRPr="00BB6626">
              <w:rPr>
                <w:rFonts w:ascii="Arial" w:hAnsi="Arial" w:cs="Arial"/>
                <w:bCs/>
                <w:sz w:val="18"/>
                <w:szCs w:val="18"/>
                <w:lang w:val="en-GB"/>
              </w:rPr>
              <w:t>Prien</w:t>
            </w:r>
            <w:proofErr w:type="spellEnd"/>
            <w:r w:rsidR="008652FA" w:rsidRPr="00BB66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Family Office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9C838C3" w14:textId="03CBE3D5" w:rsidR="006321DC" w:rsidRPr="000B7D28" w:rsidRDefault="000623C0" w:rsidP="00CF2E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Aug. Prien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13683C7" w14:textId="3C86D22D" w:rsidR="006321DC" w:rsidRPr="000B7D28" w:rsidRDefault="0061138B" w:rsidP="00346814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&gt;</w:t>
            </w:r>
            <w:r w:rsidR="007C0A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E007DD" w:rsidRPr="006F49D0" w14:paraId="7ED75F87" w14:textId="77777777" w:rsidTr="007C0ABB">
        <w:trPr>
          <w:trHeight w:val="567"/>
        </w:trPr>
        <w:tc>
          <w:tcPr>
            <w:tcW w:w="2263" w:type="dxa"/>
            <w:shd w:val="clear" w:color="auto" w:fill="CECACE" w:themeFill="background2" w:themeFillShade="E6"/>
            <w:vAlign w:val="center"/>
          </w:tcPr>
          <w:p w14:paraId="23C7E9E3" w14:textId="42BA4033" w:rsidR="00E007DD" w:rsidRPr="0061138B" w:rsidRDefault="00346814" w:rsidP="00FA44C3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8B">
              <w:rPr>
                <w:rFonts w:ascii="Arial" w:hAnsi="Arial" w:cs="Arial"/>
                <w:sz w:val="18"/>
                <w:szCs w:val="18"/>
              </w:rPr>
              <w:t>„</w:t>
            </w:r>
            <w:r w:rsidR="007C0ABB">
              <w:rPr>
                <w:rFonts w:ascii="Arial" w:hAnsi="Arial" w:cs="Arial"/>
                <w:sz w:val="18"/>
                <w:szCs w:val="18"/>
              </w:rPr>
              <w:t>Gruner + Jahr-</w:t>
            </w:r>
            <w:r w:rsidR="00FA44C3" w:rsidRPr="00FA44C3">
              <w:rPr>
                <w:rFonts w:ascii="Arial" w:hAnsi="Arial" w:cs="Arial"/>
                <w:sz w:val="18"/>
                <w:szCs w:val="18"/>
              </w:rPr>
              <w:t>Verlagshaus</w:t>
            </w:r>
            <w:r w:rsidR="00FA44C3">
              <w:rPr>
                <w:rFonts w:ascii="Arial" w:hAnsi="Arial" w:cs="Arial"/>
                <w:sz w:val="18"/>
                <w:szCs w:val="18"/>
              </w:rPr>
              <w:t>“,</w:t>
            </w:r>
            <w:r w:rsidR="00FA44C3">
              <w:rPr>
                <w:rFonts w:ascii="Arial" w:hAnsi="Arial" w:cs="Arial"/>
                <w:sz w:val="18"/>
                <w:szCs w:val="18"/>
              </w:rPr>
              <w:br/>
            </w:r>
            <w:r w:rsidR="00FA44C3" w:rsidRPr="00FA44C3">
              <w:rPr>
                <w:rFonts w:ascii="Arial" w:hAnsi="Arial" w:cs="Arial"/>
                <w:sz w:val="18"/>
                <w:szCs w:val="18"/>
              </w:rPr>
              <w:t>Am Baumwall 11</w:t>
            </w:r>
          </w:p>
        </w:tc>
        <w:tc>
          <w:tcPr>
            <w:tcW w:w="1134" w:type="dxa"/>
            <w:shd w:val="clear" w:color="auto" w:fill="CECACE" w:themeFill="background2" w:themeFillShade="E6"/>
            <w:vAlign w:val="center"/>
          </w:tcPr>
          <w:p w14:paraId="476473DE" w14:textId="1615B41A" w:rsidR="00E007DD" w:rsidRPr="0061138B" w:rsidRDefault="005D3366" w:rsidP="00797E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336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73BDF3A5" w14:textId="3FC186D9" w:rsidR="00E007DD" w:rsidRPr="0061138B" w:rsidRDefault="005D3366" w:rsidP="00CC6FB9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2268" w:type="dxa"/>
            <w:shd w:val="clear" w:color="auto" w:fill="CECACE" w:themeFill="background2" w:themeFillShade="E6"/>
            <w:vAlign w:val="center"/>
          </w:tcPr>
          <w:p w14:paraId="593905A3" w14:textId="37E4FF1C" w:rsidR="00E007DD" w:rsidRPr="0061138B" w:rsidRDefault="00FA44C3" w:rsidP="00FA44C3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44C3">
              <w:rPr>
                <w:rFonts w:ascii="Arial" w:hAnsi="Arial" w:cs="Arial"/>
                <w:sz w:val="18"/>
                <w:szCs w:val="18"/>
              </w:rPr>
              <w:t>Tishman</w:t>
            </w:r>
            <w:proofErr w:type="spellEnd"/>
            <w:r w:rsidRPr="00FA44C3">
              <w:rPr>
                <w:rFonts w:ascii="Arial" w:hAnsi="Arial" w:cs="Arial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sz w:val="18"/>
                <w:szCs w:val="18"/>
              </w:rPr>
              <w:t xml:space="preserve">eyer </w:t>
            </w:r>
          </w:p>
        </w:tc>
        <w:tc>
          <w:tcPr>
            <w:tcW w:w="1937" w:type="dxa"/>
            <w:shd w:val="clear" w:color="auto" w:fill="CECACE" w:themeFill="background2" w:themeFillShade="E6"/>
            <w:vAlign w:val="center"/>
          </w:tcPr>
          <w:p w14:paraId="7B9A326D" w14:textId="05635854" w:rsidR="00E007DD" w:rsidRPr="0061138B" w:rsidRDefault="00FA44C3" w:rsidP="00FA44C3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44C3">
              <w:rPr>
                <w:rFonts w:ascii="Arial" w:hAnsi="Arial" w:cs="Arial"/>
                <w:sz w:val="18"/>
                <w:szCs w:val="18"/>
              </w:rPr>
              <w:t xml:space="preserve">Gruner + Jahr </w:t>
            </w:r>
          </w:p>
        </w:tc>
        <w:tc>
          <w:tcPr>
            <w:tcW w:w="1137" w:type="dxa"/>
            <w:shd w:val="clear" w:color="auto" w:fill="CECACE" w:themeFill="background2" w:themeFillShade="E6"/>
            <w:vAlign w:val="center"/>
          </w:tcPr>
          <w:p w14:paraId="658D753C" w14:textId="7439C907" w:rsidR="00E007DD" w:rsidRPr="0061138B" w:rsidRDefault="00A77745" w:rsidP="00A7774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CF2E86" w:rsidRPr="006F49D0" w14:paraId="0B564638" w14:textId="77777777" w:rsidTr="007C0ABB">
        <w:trPr>
          <w:trHeight w:val="567"/>
        </w:trPr>
        <w:tc>
          <w:tcPr>
            <w:tcW w:w="2263" w:type="dxa"/>
            <w:shd w:val="clear" w:color="auto" w:fill="CECACE" w:themeFill="background2" w:themeFillShade="E6"/>
            <w:vAlign w:val="center"/>
          </w:tcPr>
          <w:p w14:paraId="0E6078DB" w14:textId="75AEA6D5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ED0872">
              <w:rPr>
                <w:rFonts w:ascii="Arial" w:hAnsi="Arial" w:cs="Arial"/>
                <w:sz w:val="18"/>
                <w:szCs w:val="18"/>
              </w:rPr>
              <w:t>Karstadt</w:t>
            </w:r>
            <w:r>
              <w:rPr>
                <w:rFonts w:ascii="Arial" w:hAnsi="Arial" w:cs="Arial"/>
                <w:sz w:val="18"/>
                <w:szCs w:val="18"/>
              </w:rPr>
              <w:t xml:space="preserve">“, </w:t>
            </w:r>
            <w:r w:rsidRPr="00ED0872">
              <w:rPr>
                <w:rFonts w:ascii="Arial" w:hAnsi="Arial" w:cs="Arial"/>
                <w:sz w:val="18"/>
                <w:szCs w:val="18"/>
              </w:rPr>
              <w:t>Mönckebergstraße 16</w:t>
            </w:r>
          </w:p>
        </w:tc>
        <w:tc>
          <w:tcPr>
            <w:tcW w:w="1134" w:type="dxa"/>
            <w:shd w:val="clear" w:color="auto" w:fill="CECACE" w:themeFill="background2" w:themeFillShade="E6"/>
            <w:vAlign w:val="center"/>
          </w:tcPr>
          <w:p w14:paraId="26092AC0" w14:textId="7C159DF9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shd w:val="clear" w:color="auto" w:fill="CECACE" w:themeFill="background2" w:themeFillShade="E6"/>
            <w:vAlign w:val="center"/>
          </w:tcPr>
          <w:p w14:paraId="48B9BC46" w14:textId="530D23B5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Einzelhandel</w:t>
            </w:r>
          </w:p>
        </w:tc>
        <w:tc>
          <w:tcPr>
            <w:tcW w:w="2268" w:type="dxa"/>
            <w:shd w:val="clear" w:color="auto" w:fill="CECACE" w:themeFill="background2" w:themeFillShade="E6"/>
            <w:vAlign w:val="center"/>
          </w:tcPr>
          <w:p w14:paraId="1878AFEF" w14:textId="208C8B2A" w:rsidR="00CF2E86" w:rsidRPr="000B7D28" w:rsidRDefault="00ED0872" w:rsidP="00CF2E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0872">
              <w:rPr>
                <w:rFonts w:ascii="Arial" w:hAnsi="Arial" w:cs="Arial"/>
                <w:sz w:val="18"/>
                <w:szCs w:val="18"/>
              </w:rPr>
              <w:t>Signa Holding</w:t>
            </w:r>
          </w:p>
        </w:tc>
        <w:tc>
          <w:tcPr>
            <w:tcW w:w="1937" w:type="dxa"/>
            <w:shd w:val="clear" w:color="auto" w:fill="CECACE" w:themeFill="background2" w:themeFillShade="E6"/>
            <w:vAlign w:val="center"/>
          </w:tcPr>
          <w:p w14:paraId="690229E1" w14:textId="3B5884EB" w:rsidR="00CF2E86" w:rsidRPr="000B7D28" w:rsidRDefault="00ED0872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0872">
              <w:rPr>
                <w:rFonts w:ascii="Arial" w:hAnsi="Arial" w:cs="Arial"/>
                <w:sz w:val="18"/>
                <w:szCs w:val="18"/>
              </w:rPr>
              <w:t xml:space="preserve">Quantum Immobilien </w:t>
            </w:r>
          </w:p>
        </w:tc>
        <w:tc>
          <w:tcPr>
            <w:tcW w:w="1137" w:type="dxa"/>
            <w:shd w:val="clear" w:color="auto" w:fill="CECACE" w:themeFill="background2" w:themeFillShade="E6"/>
            <w:vAlign w:val="center"/>
          </w:tcPr>
          <w:p w14:paraId="130D9693" w14:textId="2D3A3EA2" w:rsidR="00CF2E86" w:rsidRPr="000B7D28" w:rsidRDefault="00B4411F" w:rsidP="00CF2E8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ED0872" w:rsidRPr="00F4684B" w14:paraId="451329F1" w14:textId="77777777" w:rsidTr="007C0ABB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9F312" w14:textId="697AF52B" w:rsidR="00ED0872" w:rsidRPr="000B7D28" w:rsidRDefault="00ED0872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8B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Ericus-Contor</w:t>
            </w:r>
            <w:proofErr w:type="spellEnd"/>
            <w:r w:rsidRPr="0061138B"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 w:rsidRPr="005D3366">
              <w:rPr>
                <w:rFonts w:ascii="Arial" w:hAnsi="Arial" w:cs="Arial"/>
                <w:sz w:val="18"/>
                <w:szCs w:val="18"/>
              </w:rPr>
              <w:t>Ericusspitze</w:t>
            </w:r>
            <w:proofErr w:type="spellEnd"/>
            <w:r w:rsidRPr="005D3366">
              <w:rPr>
                <w:rFonts w:ascii="Arial" w:hAnsi="Arial" w:cs="Arial"/>
                <w:sz w:val="18"/>
                <w:szCs w:val="18"/>
              </w:rPr>
              <w:t xml:space="preserve"> 2-4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EE417" w14:textId="33F5A249" w:rsidR="00ED0872" w:rsidRPr="000B7D28" w:rsidRDefault="00ED0872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5D3366">
              <w:rPr>
                <w:rFonts w:ascii="Arial" w:hAnsi="Arial" w:cs="Arial"/>
                <w:sz w:val="18"/>
                <w:szCs w:val="18"/>
              </w:rPr>
              <w:t>afenCity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10512" w14:textId="7E3C8310" w:rsidR="00ED0872" w:rsidRPr="000B7D28" w:rsidRDefault="00ED0872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5EA7" w14:textId="48E7E1D0" w:rsidR="00ED0872" w:rsidRPr="000B7D28" w:rsidRDefault="00ED0872" w:rsidP="00ED087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5D3366">
              <w:rPr>
                <w:rFonts w:ascii="Arial" w:hAnsi="Arial" w:cs="Arial"/>
                <w:sz w:val="18"/>
                <w:szCs w:val="18"/>
              </w:rPr>
              <w:t>Union Investment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801B6" w14:textId="40035433" w:rsidR="00ED0872" w:rsidRPr="000B7D28" w:rsidRDefault="00ED0872" w:rsidP="00ED087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3366">
              <w:rPr>
                <w:rFonts w:ascii="Arial" w:hAnsi="Arial" w:cs="Arial"/>
                <w:sz w:val="18"/>
                <w:szCs w:val="18"/>
              </w:rPr>
              <w:t>Patrizia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6832E" w14:textId="5AC208F5" w:rsidR="00ED0872" w:rsidRPr="000B7D28" w:rsidRDefault="00ED0872" w:rsidP="00ED0872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</w:tr>
    </w:tbl>
    <w:p w14:paraId="0101C8CA" w14:textId="77777777" w:rsidR="007C0ABB" w:rsidRDefault="007C0ABB" w:rsidP="007C0ABB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>
        <w:rPr>
          <w:rFonts w:ascii="Arial" w:hAnsi="Arial" w:cs="Arial"/>
          <w:sz w:val="16"/>
          <w:szCs w:val="16"/>
        </w:rPr>
        <w:t>; Deals aus jeweiligem Berichtsquartal sind grau hinterlegt</w:t>
      </w:r>
    </w:p>
    <w:p w14:paraId="06A84312" w14:textId="77777777" w:rsidR="00713D81" w:rsidRDefault="00713D81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B225B7" w14:textId="6EE00BE0" w:rsidR="00897DBE" w:rsidRPr="00897DBE" w:rsidRDefault="00FC40F0" w:rsidP="00CE4A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r w:rsidRPr="008327E5">
        <w:rPr>
          <w:rFonts w:ascii="Arial" w:eastAsia="Arial" w:hAnsi="Arial" w:cs="Arial"/>
          <w:sz w:val="20"/>
          <w:szCs w:val="20"/>
        </w:rPr>
        <w:t>Marktbericht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hyperlink r:id="rId9" w:history="1">
        <w:r w:rsidRPr="00FC40F0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</w:t>
      </w:r>
      <w:r w:rsidR="002B14F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1C1AA4D" w14:textId="23D05B49" w:rsidR="00046FEC" w:rsidRDefault="00046FEC" w:rsidP="00A73C1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7CB0AA0" w14:textId="77777777" w:rsidR="002B0F0D" w:rsidRPr="0090748B" w:rsidRDefault="002B0F0D" w:rsidP="002B0F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4ABAC92F" w14:textId="5101FA75" w:rsidR="002B0F0D" w:rsidRPr="00583E25" w:rsidRDefault="002B0F0D" w:rsidP="002B0F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  <w:r w:rsidR="007C0ABB">
        <w:rPr>
          <w:rFonts w:ascii="Arial" w:hAnsi="Arial" w:cs="Arial"/>
          <w:snapToGrid w:val="0"/>
          <w:sz w:val="16"/>
          <w:szCs w:val="16"/>
        </w:rPr>
        <w:t xml:space="preserve"> </w:t>
      </w: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7AC4E6FD" w14:textId="77777777" w:rsidR="002B0F0D" w:rsidRPr="00583E25" w:rsidRDefault="002B0F0D" w:rsidP="002B0F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83E5564" w14:textId="5E2E5D9B" w:rsidR="002B0F0D" w:rsidRPr="008E51AD" w:rsidRDefault="002B0F0D" w:rsidP="00A73C12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  <w:r w:rsidR="008E51AD" w:rsidRPr="008E51A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B0F0D" w:rsidRPr="008E51AD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796B0D71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77C6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77C6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619DCF6E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C0A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7C0A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7C0A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619DCF6E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C0ABB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7C0ABB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7C0ABB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75C0DD04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C0A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7C0A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7C0AB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75C0DD04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C0ABB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7C0ABB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7C0ABB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87F2D4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204E4"/>
    <w:multiLevelType w:val="multilevel"/>
    <w:tmpl w:val="7E7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107F"/>
    <w:rsid w:val="00032035"/>
    <w:rsid w:val="000418C7"/>
    <w:rsid w:val="00046FEC"/>
    <w:rsid w:val="00060743"/>
    <w:rsid w:val="000615E2"/>
    <w:rsid w:val="000623C0"/>
    <w:rsid w:val="00064A03"/>
    <w:rsid w:val="00066796"/>
    <w:rsid w:val="0006754E"/>
    <w:rsid w:val="00075002"/>
    <w:rsid w:val="000755CE"/>
    <w:rsid w:val="000766D7"/>
    <w:rsid w:val="0007670A"/>
    <w:rsid w:val="00080F27"/>
    <w:rsid w:val="000834E2"/>
    <w:rsid w:val="000A517C"/>
    <w:rsid w:val="000A5ED1"/>
    <w:rsid w:val="000A6314"/>
    <w:rsid w:val="000A72C3"/>
    <w:rsid w:val="000B0335"/>
    <w:rsid w:val="000B0C81"/>
    <w:rsid w:val="000B1606"/>
    <w:rsid w:val="000B3315"/>
    <w:rsid w:val="000B3A6C"/>
    <w:rsid w:val="000B7D28"/>
    <w:rsid w:val="000C4EAB"/>
    <w:rsid w:val="000C655C"/>
    <w:rsid w:val="000C74B2"/>
    <w:rsid w:val="000C770D"/>
    <w:rsid w:val="000D48D4"/>
    <w:rsid w:val="000E03F3"/>
    <w:rsid w:val="000E49CB"/>
    <w:rsid w:val="000E7BC7"/>
    <w:rsid w:val="000F5742"/>
    <w:rsid w:val="00102873"/>
    <w:rsid w:val="001029C4"/>
    <w:rsid w:val="0011486D"/>
    <w:rsid w:val="0011749C"/>
    <w:rsid w:val="00117D5D"/>
    <w:rsid w:val="00117EF7"/>
    <w:rsid w:val="00121E33"/>
    <w:rsid w:val="00126550"/>
    <w:rsid w:val="001324D6"/>
    <w:rsid w:val="00132522"/>
    <w:rsid w:val="00135BD2"/>
    <w:rsid w:val="00135E09"/>
    <w:rsid w:val="00144CE4"/>
    <w:rsid w:val="00154825"/>
    <w:rsid w:val="0016387C"/>
    <w:rsid w:val="0017364E"/>
    <w:rsid w:val="0017516B"/>
    <w:rsid w:val="00176F1D"/>
    <w:rsid w:val="0018068D"/>
    <w:rsid w:val="00180801"/>
    <w:rsid w:val="001809AE"/>
    <w:rsid w:val="00184A4E"/>
    <w:rsid w:val="001871BC"/>
    <w:rsid w:val="0019467B"/>
    <w:rsid w:val="001A199C"/>
    <w:rsid w:val="001A2ABE"/>
    <w:rsid w:val="001A360C"/>
    <w:rsid w:val="001A6817"/>
    <w:rsid w:val="001B577C"/>
    <w:rsid w:val="001C2BFF"/>
    <w:rsid w:val="001C34B0"/>
    <w:rsid w:val="001D14DA"/>
    <w:rsid w:val="001D43BB"/>
    <w:rsid w:val="001D645F"/>
    <w:rsid w:val="001D64B8"/>
    <w:rsid w:val="001E1172"/>
    <w:rsid w:val="001E6995"/>
    <w:rsid w:val="001F1513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6DDF"/>
    <w:rsid w:val="00227E31"/>
    <w:rsid w:val="00230F81"/>
    <w:rsid w:val="002341EE"/>
    <w:rsid w:val="002353AA"/>
    <w:rsid w:val="00237341"/>
    <w:rsid w:val="002462B6"/>
    <w:rsid w:val="00251FC5"/>
    <w:rsid w:val="00252F40"/>
    <w:rsid w:val="00253412"/>
    <w:rsid w:val="00254C6F"/>
    <w:rsid w:val="002550BA"/>
    <w:rsid w:val="00255675"/>
    <w:rsid w:val="00255679"/>
    <w:rsid w:val="002561F0"/>
    <w:rsid w:val="00261FB3"/>
    <w:rsid w:val="0027266B"/>
    <w:rsid w:val="00274734"/>
    <w:rsid w:val="00277361"/>
    <w:rsid w:val="00277C66"/>
    <w:rsid w:val="00277D9C"/>
    <w:rsid w:val="00281E80"/>
    <w:rsid w:val="002834B0"/>
    <w:rsid w:val="00283671"/>
    <w:rsid w:val="00284A5D"/>
    <w:rsid w:val="00284E27"/>
    <w:rsid w:val="00294B7D"/>
    <w:rsid w:val="0029731B"/>
    <w:rsid w:val="002A1973"/>
    <w:rsid w:val="002B0F0D"/>
    <w:rsid w:val="002B14F6"/>
    <w:rsid w:val="002B71B8"/>
    <w:rsid w:val="002B7C7F"/>
    <w:rsid w:val="002C055A"/>
    <w:rsid w:val="002C2392"/>
    <w:rsid w:val="002C450A"/>
    <w:rsid w:val="002D1C5C"/>
    <w:rsid w:val="002D1E20"/>
    <w:rsid w:val="002E2A92"/>
    <w:rsid w:val="002E6860"/>
    <w:rsid w:val="002F0411"/>
    <w:rsid w:val="002F767E"/>
    <w:rsid w:val="00301F3A"/>
    <w:rsid w:val="00304D7A"/>
    <w:rsid w:val="0030711D"/>
    <w:rsid w:val="0031189D"/>
    <w:rsid w:val="00313876"/>
    <w:rsid w:val="003246F0"/>
    <w:rsid w:val="00325E2A"/>
    <w:rsid w:val="00326066"/>
    <w:rsid w:val="003272F3"/>
    <w:rsid w:val="003326FA"/>
    <w:rsid w:val="00335A2C"/>
    <w:rsid w:val="0034064A"/>
    <w:rsid w:val="00345716"/>
    <w:rsid w:val="00346814"/>
    <w:rsid w:val="0034786C"/>
    <w:rsid w:val="00347A18"/>
    <w:rsid w:val="00350D85"/>
    <w:rsid w:val="00351477"/>
    <w:rsid w:val="003517C9"/>
    <w:rsid w:val="00351DCD"/>
    <w:rsid w:val="00357EC4"/>
    <w:rsid w:val="003627E1"/>
    <w:rsid w:val="00365AF8"/>
    <w:rsid w:val="00370000"/>
    <w:rsid w:val="00373507"/>
    <w:rsid w:val="0038230E"/>
    <w:rsid w:val="00382529"/>
    <w:rsid w:val="0038350F"/>
    <w:rsid w:val="003908D1"/>
    <w:rsid w:val="00396CE0"/>
    <w:rsid w:val="003A00C9"/>
    <w:rsid w:val="003A25A4"/>
    <w:rsid w:val="003A7528"/>
    <w:rsid w:val="003B0F06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665D"/>
    <w:rsid w:val="0040086D"/>
    <w:rsid w:val="004017D8"/>
    <w:rsid w:val="00405D59"/>
    <w:rsid w:val="00411E03"/>
    <w:rsid w:val="004123B1"/>
    <w:rsid w:val="00412E3D"/>
    <w:rsid w:val="00417F4D"/>
    <w:rsid w:val="004269AC"/>
    <w:rsid w:val="00426E13"/>
    <w:rsid w:val="004303A1"/>
    <w:rsid w:val="00436114"/>
    <w:rsid w:val="00440DC9"/>
    <w:rsid w:val="004450C4"/>
    <w:rsid w:val="0044510C"/>
    <w:rsid w:val="00445DF9"/>
    <w:rsid w:val="004477DC"/>
    <w:rsid w:val="004506D2"/>
    <w:rsid w:val="00456F40"/>
    <w:rsid w:val="00457DE3"/>
    <w:rsid w:val="004609BD"/>
    <w:rsid w:val="00463081"/>
    <w:rsid w:val="004661EE"/>
    <w:rsid w:val="00466741"/>
    <w:rsid w:val="00466A79"/>
    <w:rsid w:val="00470064"/>
    <w:rsid w:val="0047198B"/>
    <w:rsid w:val="004739AF"/>
    <w:rsid w:val="00476B6E"/>
    <w:rsid w:val="004818CE"/>
    <w:rsid w:val="004865AE"/>
    <w:rsid w:val="004966E3"/>
    <w:rsid w:val="004A2BEA"/>
    <w:rsid w:val="004A3C64"/>
    <w:rsid w:val="004A5AEA"/>
    <w:rsid w:val="004B2694"/>
    <w:rsid w:val="004B2FDA"/>
    <w:rsid w:val="004B3391"/>
    <w:rsid w:val="004B480A"/>
    <w:rsid w:val="004B5A6D"/>
    <w:rsid w:val="004C0CA2"/>
    <w:rsid w:val="004C3F94"/>
    <w:rsid w:val="004D50C0"/>
    <w:rsid w:val="004D772A"/>
    <w:rsid w:val="004D7FFC"/>
    <w:rsid w:val="004E1D29"/>
    <w:rsid w:val="004E339B"/>
    <w:rsid w:val="004E4273"/>
    <w:rsid w:val="004E4562"/>
    <w:rsid w:val="004F077F"/>
    <w:rsid w:val="004F78B4"/>
    <w:rsid w:val="005023DD"/>
    <w:rsid w:val="00503D8C"/>
    <w:rsid w:val="0051485A"/>
    <w:rsid w:val="00522B84"/>
    <w:rsid w:val="00524FBD"/>
    <w:rsid w:val="00531A7F"/>
    <w:rsid w:val="00534BAD"/>
    <w:rsid w:val="005356B3"/>
    <w:rsid w:val="005360E8"/>
    <w:rsid w:val="005412D0"/>
    <w:rsid w:val="005428C5"/>
    <w:rsid w:val="0054319A"/>
    <w:rsid w:val="00543C55"/>
    <w:rsid w:val="0054412E"/>
    <w:rsid w:val="0054563C"/>
    <w:rsid w:val="005504C9"/>
    <w:rsid w:val="005529CE"/>
    <w:rsid w:val="0055393B"/>
    <w:rsid w:val="005554C7"/>
    <w:rsid w:val="00556F58"/>
    <w:rsid w:val="0056184E"/>
    <w:rsid w:val="00567D57"/>
    <w:rsid w:val="00567E49"/>
    <w:rsid w:val="00570104"/>
    <w:rsid w:val="00571004"/>
    <w:rsid w:val="0057189A"/>
    <w:rsid w:val="0057685F"/>
    <w:rsid w:val="00576B3F"/>
    <w:rsid w:val="00577B63"/>
    <w:rsid w:val="00582B99"/>
    <w:rsid w:val="00584EAD"/>
    <w:rsid w:val="00590903"/>
    <w:rsid w:val="005A2F39"/>
    <w:rsid w:val="005A617A"/>
    <w:rsid w:val="005B0FC9"/>
    <w:rsid w:val="005B24B2"/>
    <w:rsid w:val="005B66D3"/>
    <w:rsid w:val="005B7D91"/>
    <w:rsid w:val="005C4556"/>
    <w:rsid w:val="005C5302"/>
    <w:rsid w:val="005D307B"/>
    <w:rsid w:val="005D3366"/>
    <w:rsid w:val="005E362E"/>
    <w:rsid w:val="005E43B3"/>
    <w:rsid w:val="005F0A7E"/>
    <w:rsid w:val="005F69D4"/>
    <w:rsid w:val="005F7593"/>
    <w:rsid w:val="006029D7"/>
    <w:rsid w:val="006046B3"/>
    <w:rsid w:val="00606BFF"/>
    <w:rsid w:val="00606E35"/>
    <w:rsid w:val="0061109D"/>
    <w:rsid w:val="0061138B"/>
    <w:rsid w:val="00612AA0"/>
    <w:rsid w:val="006138CB"/>
    <w:rsid w:val="006224C4"/>
    <w:rsid w:val="006225EA"/>
    <w:rsid w:val="006261DF"/>
    <w:rsid w:val="00631936"/>
    <w:rsid w:val="006321DC"/>
    <w:rsid w:val="00641270"/>
    <w:rsid w:val="00642074"/>
    <w:rsid w:val="006424F8"/>
    <w:rsid w:val="00653AA8"/>
    <w:rsid w:val="00656049"/>
    <w:rsid w:val="00672C84"/>
    <w:rsid w:val="00674ADA"/>
    <w:rsid w:val="00675A3F"/>
    <w:rsid w:val="00681CAB"/>
    <w:rsid w:val="00682CFC"/>
    <w:rsid w:val="006842EF"/>
    <w:rsid w:val="00690C37"/>
    <w:rsid w:val="00691585"/>
    <w:rsid w:val="00692D4F"/>
    <w:rsid w:val="00693E35"/>
    <w:rsid w:val="00695E58"/>
    <w:rsid w:val="0069757D"/>
    <w:rsid w:val="006A1329"/>
    <w:rsid w:val="006A4C7A"/>
    <w:rsid w:val="006A66F9"/>
    <w:rsid w:val="006B4303"/>
    <w:rsid w:val="006D024C"/>
    <w:rsid w:val="006E2E4F"/>
    <w:rsid w:val="006E5C9C"/>
    <w:rsid w:val="006F1774"/>
    <w:rsid w:val="006F292B"/>
    <w:rsid w:val="006F31D6"/>
    <w:rsid w:val="00713D81"/>
    <w:rsid w:val="00717A20"/>
    <w:rsid w:val="00720DFF"/>
    <w:rsid w:val="007265F3"/>
    <w:rsid w:val="00730191"/>
    <w:rsid w:val="00730E23"/>
    <w:rsid w:val="00753311"/>
    <w:rsid w:val="00754513"/>
    <w:rsid w:val="00761363"/>
    <w:rsid w:val="00762CC5"/>
    <w:rsid w:val="00767063"/>
    <w:rsid w:val="00773DF1"/>
    <w:rsid w:val="007906B4"/>
    <w:rsid w:val="007970A0"/>
    <w:rsid w:val="00797E4F"/>
    <w:rsid w:val="007A314C"/>
    <w:rsid w:val="007B215B"/>
    <w:rsid w:val="007B4617"/>
    <w:rsid w:val="007B761C"/>
    <w:rsid w:val="007C0ABB"/>
    <w:rsid w:val="007C26B6"/>
    <w:rsid w:val="007C2D96"/>
    <w:rsid w:val="007E759D"/>
    <w:rsid w:val="007F2DBE"/>
    <w:rsid w:val="007F33B6"/>
    <w:rsid w:val="007F642D"/>
    <w:rsid w:val="007F756A"/>
    <w:rsid w:val="00800E2C"/>
    <w:rsid w:val="0080214D"/>
    <w:rsid w:val="008045E7"/>
    <w:rsid w:val="00805D7E"/>
    <w:rsid w:val="00812471"/>
    <w:rsid w:val="00817CDC"/>
    <w:rsid w:val="008261A5"/>
    <w:rsid w:val="008327E5"/>
    <w:rsid w:val="0083382E"/>
    <w:rsid w:val="00844AAC"/>
    <w:rsid w:val="0085354A"/>
    <w:rsid w:val="00855325"/>
    <w:rsid w:val="00862E34"/>
    <w:rsid w:val="008634F3"/>
    <w:rsid w:val="008652FA"/>
    <w:rsid w:val="00865915"/>
    <w:rsid w:val="008661AA"/>
    <w:rsid w:val="00871832"/>
    <w:rsid w:val="00875E9B"/>
    <w:rsid w:val="00876FCA"/>
    <w:rsid w:val="00886CCE"/>
    <w:rsid w:val="008942C6"/>
    <w:rsid w:val="00896B33"/>
    <w:rsid w:val="00897DBE"/>
    <w:rsid w:val="008A2995"/>
    <w:rsid w:val="008A2BA4"/>
    <w:rsid w:val="008A47D4"/>
    <w:rsid w:val="008A62FB"/>
    <w:rsid w:val="008A77B7"/>
    <w:rsid w:val="008B0319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1E1D"/>
    <w:rsid w:val="008E461D"/>
    <w:rsid w:val="008E51AD"/>
    <w:rsid w:val="008E5520"/>
    <w:rsid w:val="008F0896"/>
    <w:rsid w:val="008F08E5"/>
    <w:rsid w:val="008F097F"/>
    <w:rsid w:val="008F0EA4"/>
    <w:rsid w:val="008F10B9"/>
    <w:rsid w:val="008F1EE5"/>
    <w:rsid w:val="008F38F6"/>
    <w:rsid w:val="008F5213"/>
    <w:rsid w:val="008F67E7"/>
    <w:rsid w:val="008F6A25"/>
    <w:rsid w:val="008F6B2D"/>
    <w:rsid w:val="009000CF"/>
    <w:rsid w:val="00903957"/>
    <w:rsid w:val="009050B3"/>
    <w:rsid w:val="00906FC5"/>
    <w:rsid w:val="0090748B"/>
    <w:rsid w:val="00920C9C"/>
    <w:rsid w:val="00922754"/>
    <w:rsid w:val="00925781"/>
    <w:rsid w:val="009258D0"/>
    <w:rsid w:val="00934D87"/>
    <w:rsid w:val="00935AB3"/>
    <w:rsid w:val="009635CF"/>
    <w:rsid w:val="009646C4"/>
    <w:rsid w:val="009668BB"/>
    <w:rsid w:val="00966CA0"/>
    <w:rsid w:val="00972AE9"/>
    <w:rsid w:val="009734CE"/>
    <w:rsid w:val="00974CB0"/>
    <w:rsid w:val="00975085"/>
    <w:rsid w:val="00980A57"/>
    <w:rsid w:val="0098460C"/>
    <w:rsid w:val="0099413E"/>
    <w:rsid w:val="00996E1A"/>
    <w:rsid w:val="009A0BD5"/>
    <w:rsid w:val="009B1E02"/>
    <w:rsid w:val="009B3F04"/>
    <w:rsid w:val="009B4392"/>
    <w:rsid w:val="009B7D09"/>
    <w:rsid w:val="009C0784"/>
    <w:rsid w:val="009C2EC0"/>
    <w:rsid w:val="009D24DA"/>
    <w:rsid w:val="009D4C49"/>
    <w:rsid w:val="009D5D75"/>
    <w:rsid w:val="009E0C0B"/>
    <w:rsid w:val="009E572D"/>
    <w:rsid w:val="009F32A2"/>
    <w:rsid w:val="009F54CE"/>
    <w:rsid w:val="009F70FE"/>
    <w:rsid w:val="00A0600B"/>
    <w:rsid w:val="00A06264"/>
    <w:rsid w:val="00A10FEE"/>
    <w:rsid w:val="00A1639A"/>
    <w:rsid w:val="00A215C9"/>
    <w:rsid w:val="00A25474"/>
    <w:rsid w:val="00A535FD"/>
    <w:rsid w:val="00A5364B"/>
    <w:rsid w:val="00A615E0"/>
    <w:rsid w:val="00A65E2B"/>
    <w:rsid w:val="00A70878"/>
    <w:rsid w:val="00A73C12"/>
    <w:rsid w:val="00A74AA0"/>
    <w:rsid w:val="00A7546D"/>
    <w:rsid w:val="00A7613D"/>
    <w:rsid w:val="00A77035"/>
    <w:rsid w:val="00A77100"/>
    <w:rsid w:val="00A77745"/>
    <w:rsid w:val="00A81626"/>
    <w:rsid w:val="00A83191"/>
    <w:rsid w:val="00A848FC"/>
    <w:rsid w:val="00A975B1"/>
    <w:rsid w:val="00AA0609"/>
    <w:rsid w:val="00AA4D97"/>
    <w:rsid w:val="00AB424B"/>
    <w:rsid w:val="00AC7178"/>
    <w:rsid w:val="00AC77A0"/>
    <w:rsid w:val="00AD17B7"/>
    <w:rsid w:val="00AF08D2"/>
    <w:rsid w:val="00AF44B5"/>
    <w:rsid w:val="00B01A1B"/>
    <w:rsid w:val="00B02242"/>
    <w:rsid w:val="00B069C5"/>
    <w:rsid w:val="00B06D1B"/>
    <w:rsid w:val="00B077D5"/>
    <w:rsid w:val="00B16A78"/>
    <w:rsid w:val="00B200E4"/>
    <w:rsid w:val="00B245A8"/>
    <w:rsid w:val="00B26FFD"/>
    <w:rsid w:val="00B31E12"/>
    <w:rsid w:val="00B31F77"/>
    <w:rsid w:val="00B35B6D"/>
    <w:rsid w:val="00B35DC6"/>
    <w:rsid w:val="00B35F93"/>
    <w:rsid w:val="00B4411F"/>
    <w:rsid w:val="00B4666C"/>
    <w:rsid w:val="00B51699"/>
    <w:rsid w:val="00B53FAF"/>
    <w:rsid w:val="00B55D98"/>
    <w:rsid w:val="00B63153"/>
    <w:rsid w:val="00B6527D"/>
    <w:rsid w:val="00B67D66"/>
    <w:rsid w:val="00B73B3A"/>
    <w:rsid w:val="00B74507"/>
    <w:rsid w:val="00B75718"/>
    <w:rsid w:val="00B75834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75E0"/>
    <w:rsid w:val="00BE10CC"/>
    <w:rsid w:val="00BE4198"/>
    <w:rsid w:val="00BF029A"/>
    <w:rsid w:val="00BF3AFD"/>
    <w:rsid w:val="00C1606C"/>
    <w:rsid w:val="00C16E16"/>
    <w:rsid w:val="00C23180"/>
    <w:rsid w:val="00C26F94"/>
    <w:rsid w:val="00C41492"/>
    <w:rsid w:val="00C4628F"/>
    <w:rsid w:val="00C502EC"/>
    <w:rsid w:val="00C50874"/>
    <w:rsid w:val="00C700D6"/>
    <w:rsid w:val="00C702B5"/>
    <w:rsid w:val="00C70389"/>
    <w:rsid w:val="00C712CA"/>
    <w:rsid w:val="00C73270"/>
    <w:rsid w:val="00C84310"/>
    <w:rsid w:val="00C904B6"/>
    <w:rsid w:val="00C90A75"/>
    <w:rsid w:val="00C96DF4"/>
    <w:rsid w:val="00CA0F2C"/>
    <w:rsid w:val="00CA6A66"/>
    <w:rsid w:val="00CC1337"/>
    <w:rsid w:val="00CC2514"/>
    <w:rsid w:val="00CC282E"/>
    <w:rsid w:val="00CC48DF"/>
    <w:rsid w:val="00CC6FB9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CF7FAD"/>
    <w:rsid w:val="00D0004A"/>
    <w:rsid w:val="00D04BA2"/>
    <w:rsid w:val="00D077B0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4A15"/>
    <w:rsid w:val="00D55867"/>
    <w:rsid w:val="00D57410"/>
    <w:rsid w:val="00D634A3"/>
    <w:rsid w:val="00D72339"/>
    <w:rsid w:val="00D73E47"/>
    <w:rsid w:val="00D74ABB"/>
    <w:rsid w:val="00D83CB7"/>
    <w:rsid w:val="00D95437"/>
    <w:rsid w:val="00D959E6"/>
    <w:rsid w:val="00D976B3"/>
    <w:rsid w:val="00D97FA8"/>
    <w:rsid w:val="00DA01CC"/>
    <w:rsid w:val="00DB179C"/>
    <w:rsid w:val="00DB4363"/>
    <w:rsid w:val="00DB5923"/>
    <w:rsid w:val="00DB66BD"/>
    <w:rsid w:val="00DC0EC5"/>
    <w:rsid w:val="00DC6837"/>
    <w:rsid w:val="00DC7B25"/>
    <w:rsid w:val="00DD340F"/>
    <w:rsid w:val="00DD39EA"/>
    <w:rsid w:val="00DD6B73"/>
    <w:rsid w:val="00DE23F8"/>
    <w:rsid w:val="00DE7CC2"/>
    <w:rsid w:val="00DF4FE3"/>
    <w:rsid w:val="00DF5006"/>
    <w:rsid w:val="00E007DD"/>
    <w:rsid w:val="00E02FFE"/>
    <w:rsid w:val="00E04392"/>
    <w:rsid w:val="00E05CF6"/>
    <w:rsid w:val="00E112C9"/>
    <w:rsid w:val="00E1314C"/>
    <w:rsid w:val="00E158F7"/>
    <w:rsid w:val="00E16ABE"/>
    <w:rsid w:val="00E17864"/>
    <w:rsid w:val="00E2087E"/>
    <w:rsid w:val="00E234CA"/>
    <w:rsid w:val="00E2356E"/>
    <w:rsid w:val="00E2636D"/>
    <w:rsid w:val="00E34976"/>
    <w:rsid w:val="00E36818"/>
    <w:rsid w:val="00E41C74"/>
    <w:rsid w:val="00E442E4"/>
    <w:rsid w:val="00E47B97"/>
    <w:rsid w:val="00E5203C"/>
    <w:rsid w:val="00E61516"/>
    <w:rsid w:val="00E634CC"/>
    <w:rsid w:val="00E65D79"/>
    <w:rsid w:val="00E739F4"/>
    <w:rsid w:val="00E81727"/>
    <w:rsid w:val="00E82F0E"/>
    <w:rsid w:val="00E83245"/>
    <w:rsid w:val="00E90673"/>
    <w:rsid w:val="00E95F89"/>
    <w:rsid w:val="00E96FAC"/>
    <w:rsid w:val="00EA0382"/>
    <w:rsid w:val="00EA129F"/>
    <w:rsid w:val="00EB7A31"/>
    <w:rsid w:val="00EC08DC"/>
    <w:rsid w:val="00ED0267"/>
    <w:rsid w:val="00ED0582"/>
    <w:rsid w:val="00ED0872"/>
    <w:rsid w:val="00ED1262"/>
    <w:rsid w:val="00ED7374"/>
    <w:rsid w:val="00EE31F6"/>
    <w:rsid w:val="00EE36DC"/>
    <w:rsid w:val="00EE6896"/>
    <w:rsid w:val="00EF06B5"/>
    <w:rsid w:val="00EF7DDD"/>
    <w:rsid w:val="00F044EE"/>
    <w:rsid w:val="00F04D64"/>
    <w:rsid w:val="00F20069"/>
    <w:rsid w:val="00F21201"/>
    <w:rsid w:val="00F2414C"/>
    <w:rsid w:val="00F27CD8"/>
    <w:rsid w:val="00F32657"/>
    <w:rsid w:val="00F3320B"/>
    <w:rsid w:val="00F3537B"/>
    <w:rsid w:val="00F40E92"/>
    <w:rsid w:val="00F41947"/>
    <w:rsid w:val="00F42774"/>
    <w:rsid w:val="00F435AA"/>
    <w:rsid w:val="00F45370"/>
    <w:rsid w:val="00F511B7"/>
    <w:rsid w:val="00F578CF"/>
    <w:rsid w:val="00F60A04"/>
    <w:rsid w:val="00F63C5D"/>
    <w:rsid w:val="00F72E52"/>
    <w:rsid w:val="00F76C6A"/>
    <w:rsid w:val="00F83BF1"/>
    <w:rsid w:val="00F84307"/>
    <w:rsid w:val="00F90CB9"/>
    <w:rsid w:val="00F91D23"/>
    <w:rsid w:val="00F91DD8"/>
    <w:rsid w:val="00F97373"/>
    <w:rsid w:val="00F97F69"/>
    <w:rsid w:val="00FA0254"/>
    <w:rsid w:val="00FA0BF4"/>
    <w:rsid w:val="00FA44C3"/>
    <w:rsid w:val="00FA59F1"/>
    <w:rsid w:val="00FA6854"/>
    <w:rsid w:val="00FB064F"/>
    <w:rsid w:val="00FB0F6B"/>
    <w:rsid w:val="00FB144F"/>
    <w:rsid w:val="00FB159A"/>
    <w:rsid w:val="00FB2A03"/>
    <w:rsid w:val="00FB4D77"/>
    <w:rsid w:val="00FB644B"/>
    <w:rsid w:val="00FC40F0"/>
    <w:rsid w:val="00FC497D"/>
    <w:rsid w:val="00FD076B"/>
    <w:rsid w:val="00FD1BF5"/>
    <w:rsid w:val="00FD39DE"/>
    <w:rsid w:val="00FE4B61"/>
    <w:rsid w:val="00FE7F7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4E95-76D3-42DD-9063-84389110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7</cp:revision>
  <cp:lastPrinted>2020-06-30T14:38:00Z</cp:lastPrinted>
  <dcterms:created xsi:type="dcterms:W3CDTF">2020-09-28T09:35:00Z</dcterms:created>
  <dcterms:modified xsi:type="dcterms:W3CDTF">2020-09-29T08:26:00Z</dcterms:modified>
</cp:coreProperties>
</file>