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9034" w14:textId="5AA7ADDE" w:rsidR="000D48D4" w:rsidRDefault="00D157A0" w:rsidP="00365AF8">
      <w:pPr>
        <w:spacing w:after="0" w:line="360" w:lineRule="auto"/>
        <w:rPr>
          <w:rFonts w:ascii="Arial" w:hAnsi="Arial" w:cs="Arial"/>
          <w:b/>
        </w:rPr>
      </w:pPr>
      <w:r w:rsidRPr="0054412E">
        <w:rPr>
          <w:rFonts w:ascii="Arial" w:hAnsi="Arial" w:cs="Arial"/>
          <w:b/>
        </w:rPr>
        <w:t>Hamburg</w:t>
      </w:r>
      <w:r w:rsidR="00E90673" w:rsidRPr="0054412E">
        <w:rPr>
          <w:rFonts w:ascii="Arial" w:hAnsi="Arial" w:cs="Arial"/>
          <w:b/>
        </w:rPr>
        <w:t xml:space="preserve">: </w:t>
      </w:r>
      <w:r w:rsidR="009050B3">
        <w:rPr>
          <w:rFonts w:ascii="Arial" w:hAnsi="Arial" w:cs="Arial"/>
          <w:b/>
        </w:rPr>
        <w:t>Investmentmarkt 1</w:t>
      </w:r>
      <w:r w:rsidR="005D3366">
        <w:rPr>
          <w:rFonts w:ascii="Arial" w:hAnsi="Arial" w:cs="Arial"/>
          <w:b/>
        </w:rPr>
        <w:t>.-2</w:t>
      </w:r>
      <w:r w:rsidR="009050B3">
        <w:rPr>
          <w:rFonts w:ascii="Arial" w:hAnsi="Arial" w:cs="Arial"/>
          <w:b/>
        </w:rPr>
        <w:t>.</w:t>
      </w:r>
      <w:r w:rsidR="00B9324B" w:rsidRPr="00B9324B">
        <w:rPr>
          <w:rFonts w:ascii="Arial" w:hAnsi="Arial" w:cs="Arial"/>
          <w:b/>
        </w:rPr>
        <w:t xml:space="preserve"> Quartal 20</w:t>
      </w:r>
      <w:r w:rsidR="00BC7971">
        <w:rPr>
          <w:rFonts w:ascii="Arial" w:hAnsi="Arial" w:cs="Arial"/>
          <w:b/>
        </w:rPr>
        <w:t>20</w:t>
      </w:r>
      <w:r w:rsidR="0054412E">
        <w:rPr>
          <w:rFonts w:ascii="Arial" w:hAnsi="Arial" w:cs="Arial"/>
          <w:b/>
        </w:rPr>
        <w:br/>
      </w:r>
      <w:r w:rsidR="00277D9C">
        <w:rPr>
          <w:rFonts w:ascii="Arial" w:hAnsi="Arial" w:cs="Arial"/>
          <w:b/>
          <w:sz w:val="28"/>
          <w:szCs w:val="28"/>
        </w:rPr>
        <w:t xml:space="preserve">Investmentmarkt </w:t>
      </w:r>
      <w:r w:rsidR="00457DE3">
        <w:rPr>
          <w:rFonts w:ascii="Arial" w:hAnsi="Arial" w:cs="Arial"/>
          <w:b/>
          <w:sz w:val="28"/>
          <w:szCs w:val="28"/>
        </w:rPr>
        <w:t>bisher</w:t>
      </w:r>
      <w:r w:rsidR="001C2BFF">
        <w:rPr>
          <w:rFonts w:ascii="Arial" w:hAnsi="Arial" w:cs="Arial"/>
          <w:b/>
          <w:sz w:val="28"/>
          <w:szCs w:val="28"/>
        </w:rPr>
        <w:t xml:space="preserve"> </w:t>
      </w:r>
      <w:r w:rsidR="00277D9C">
        <w:rPr>
          <w:rFonts w:ascii="Arial" w:hAnsi="Arial" w:cs="Arial"/>
          <w:b/>
          <w:sz w:val="28"/>
          <w:szCs w:val="28"/>
        </w:rPr>
        <w:t xml:space="preserve">unbeeindruckt </w:t>
      </w:r>
      <w:r w:rsidR="00DA01CC">
        <w:rPr>
          <w:rFonts w:ascii="Arial" w:hAnsi="Arial" w:cs="Arial"/>
          <w:b/>
          <w:sz w:val="28"/>
          <w:szCs w:val="28"/>
        </w:rPr>
        <w:t xml:space="preserve">von </w:t>
      </w:r>
      <w:r w:rsidR="006F31D6">
        <w:rPr>
          <w:rFonts w:ascii="Arial" w:hAnsi="Arial" w:cs="Arial"/>
          <w:b/>
          <w:sz w:val="28"/>
          <w:szCs w:val="28"/>
        </w:rPr>
        <w:t>Corona-</w:t>
      </w:r>
      <w:r w:rsidR="00DA01CC">
        <w:rPr>
          <w:rFonts w:ascii="Arial" w:hAnsi="Arial" w:cs="Arial"/>
          <w:b/>
          <w:sz w:val="28"/>
          <w:szCs w:val="28"/>
        </w:rPr>
        <w:t xml:space="preserve">Pandemie </w:t>
      </w:r>
    </w:p>
    <w:p w14:paraId="5DC3EAC5" w14:textId="29DB094C" w:rsidR="00590903" w:rsidRPr="00253412" w:rsidRDefault="00590903" w:rsidP="00365AF8">
      <w:pPr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0314270A" w14:textId="77777777" w:rsidR="0054319A" w:rsidRDefault="00E90673" w:rsidP="00F91D2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26DDF">
        <w:rPr>
          <w:rFonts w:ascii="Arial" w:hAnsi="Arial" w:cs="Arial"/>
          <w:b/>
          <w:sz w:val="20"/>
          <w:szCs w:val="20"/>
        </w:rPr>
        <w:t xml:space="preserve">Hamburg, </w:t>
      </w:r>
      <w:r w:rsidR="00226DDF" w:rsidRPr="00226DDF">
        <w:rPr>
          <w:rFonts w:ascii="Arial" w:hAnsi="Arial" w:cs="Arial"/>
          <w:b/>
          <w:sz w:val="20"/>
          <w:szCs w:val="20"/>
        </w:rPr>
        <w:t>2</w:t>
      </w:r>
      <w:r w:rsidR="00B31F77" w:rsidRPr="00226DDF">
        <w:rPr>
          <w:rFonts w:ascii="Arial" w:hAnsi="Arial" w:cs="Arial"/>
          <w:b/>
          <w:sz w:val="20"/>
          <w:szCs w:val="20"/>
        </w:rPr>
        <w:t>.</w:t>
      </w:r>
      <w:r w:rsidR="00D157A0" w:rsidRPr="00226DDF">
        <w:rPr>
          <w:rFonts w:ascii="Arial" w:hAnsi="Arial" w:cs="Arial"/>
          <w:b/>
          <w:sz w:val="20"/>
          <w:szCs w:val="20"/>
        </w:rPr>
        <w:t xml:space="preserve"> </w:t>
      </w:r>
      <w:r w:rsidR="00277D9C" w:rsidRPr="00226DDF">
        <w:rPr>
          <w:rFonts w:ascii="Arial" w:hAnsi="Arial" w:cs="Arial"/>
          <w:b/>
          <w:sz w:val="20"/>
          <w:szCs w:val="20"/>
        </w:rPr>
        <w:t>Juli</w:t>
      </w:r>
      <w:r w:rsidR="00132522" w:rsidRPr="00226DDF">
        <w:rPr>
          <w:rFonts w:ascii="Arial" w:hAnsi="Arial" w:cs="Arial"/>
          <w:b/>
          <w:sz w:val="20"/>
          <w:szCs w:val="20"/>
        </w:rPr>
        <w:t xml:space="preserve"> </w:t>
      </w:r>
      <w:r w:rsidR="00D157A0" w:rsidRPr="00226DDF">
        <w:rPr>
          <w:rFonts w:ascii="Arial" w:hAnsi="Arial" w:cs="Arial"/>
          <w:b/>
          <w:sz w:val="20"/>
          <w:szCs w:val="20"/>
        </w:rPr>
        <w:t>20</w:t>
      </w:r>
      <w:r w:rsidR="009F70FE" w:rsidRPr="00226DDF">
        <w:rPr>
          <w:rFonts w:ascii="Arial" w:hAnsi="Arial" w:cs="Arial"/>
          <w:b/>
          <w:sz w:val="20"/>
          <w:szCs w:val="20"/>
        </w:rPr>
        <w:t>20</w:t>
      </w:r>
      <w:r w:rsidR="00D157A0" w:rsidRPr="00226DDF">
        <w:rPr>
          <w:rFonts w:ascii="Arial" w:hAnsi="Arial" w:cs="Arial"/>
          <w:b/>
          <w:sz w:val="20"/>
          <w:szCs w:val="20"/>
        </w:rPr>
        <w:t xml:space="preserve"> </w:t>
      </w:r>
      <w:r w:rsidR="00D157A0" w:rsidRPr="00226DDF">
        <w:rPr>
          <w:rFonts w:ascii="Arial" w:hAnsi="Arial" w:cs="Arial"/>
          <w:sz w:val="20"/>
          <w:szCs w:val="20"/>
        </w:rPr>
        <w:t>–</w:t>
      </w:r>
      <w:r w:rsidR="008E1E1D" w:rsidRPr="00226DDF">
        <w:rPr>
          <w:rFonts w:ascii="Arial" w:hAnsi="Arial" w:cs="Arial"/>
          <w:sz w:val="20"/>
          <w:szCs w:val="20"/>
        </w:rPr>
        <w:t xml:space="preserve"> </w:t>
      </w:r>
      <w:r w:rsidR="00E83245" w:rsidRPr="00226DDF">
        <w:rPr>
          <w:rFonts w:ascii="Arial" w:hAnsi="Arial" w:cs="Arial"/>
          <w:sz w:val="20"/>
          <w:szCs w:val="20"/>
        </w:rPr>
        <w:t xml:space="preserve">Der Investmentmarkt für gewerbliche Immobilien in Hamburg </w:t>
      </w:r>
      <w:r w:rsidR="00F97F69">
        <w:rPr>
          <w:rFonts w:ascii="Arial" w:hAnsi="Arial" w:cs="Arial"/>
          <w:sz w:val="20"/>
          <w:szCs w:val="20"/>
        </w:rPr>
        <w:t>verzeichnete ein starkes 2.</w:t>
      </w:r>
      <w:r w:rsidR="00A77035">
        <w:rPr>
          <w:rFonts w:ascii="Arial" w:hAnsi="Arial" w:cs="Arial"/>
          <w:sz w:val="20"/>
          <w:szCs w:val="20"/>
        </w:rPr>
        <w:t xml:space="preserve"> </w:t>
      </w:r>
      <w:r w:rsidR="00F97F69">
        <w:rPr>
          <w:rFonts w:ascii="Arial" w:hAnsi="Arial" w:cs="Arial"/>
          <w:sz w:val="20"/>
          <w:szCs w:val="20"/>
        </w:rPr>
        <w:t xml:space="preserve">Quartal </w:t>
      </w:r>
      <w:r w:rsidR="00E65D79">
        <w:rPr>
          <w:rFonts w:ascii="Arial" w:hAnsi="Arial" w:cs="Arial"/>
          <w:sz w:val="20"/>
          <w:szCs w:val="20"/>
        </w:rPr>
        <w:t>m</w:t>
      </w:r>
      <w:r w:rsidR="00E83245" w:rsidRPr="00226DDF">
        <w:rPr>
          <w:rFonts w:ascii="Arial" w:hAnsi="Arial" w:cs="Arial"/>
          <w:sz w:val="20"/>
          <w:szCs w:val="20"/>
        </w:rPr>
        <w:t xml:space="preserve">it einem Transaktionsvolumen von rund 2,0 Mrd. € bei </w:t>
      </w:r>
      <w:r w:rsidR="00144CE4" w:rsidRPr="00226DDF">
        <w:rPr>
          <w:rFonts w:ascii="Arial" w:hAnsi="Arial" w:cs="Arial"/>
          <w:sz w:val="20"/>
          <w:szCs w:val="20"/>
        </w:rPr>
        <w:t>über</w:t>
      </w:r>
      <w:r w:rsidR="00E83245" w:rsidRPr="00226DDF">
        <w:rPr>
          <w:rFonts w:ascii="Arial" w:hAnsi="Arial" w:cs="Arial"/>
          <w:sz w:val="20"/>
          <w:szCs w:val="20"/>
        </w:rPr>
        <w:t xml:space="preserve"> </w:t>
      </w:r>
      <w:r w:rsidR="00144CE4" w:rsidRPr="00226DDF">
        <w:rPr>
          <w:rFonts w:ascii="Arial" w:hAnsi="Arial" w:cs="Arial"/>
          <w:sz w:val="20"/>
          <w:szCs w:val="20"/>
        </w:rPr>
        <w:t>40</w:t>
      </w:r>
      <w:r w:rsidR="00E83245" w:rsidRPr="00226DDF">
        <w:rPr>
          <w:rFonts w:ascii="Arial" w:hAnsi="Arial" w:cs="Arial"/>
          <w:sz w:val="20"/>
          <w:szCs w:val="20"/>
        </w:rPr>
        <w:t xml:space="preserve"> Transaktionen</w:t>
      </w:r>
      <w:r w:rsidR="00F97F69">
        <w:rPr>
          <w:rFonts w:ascii="Arial" w:hAnsi="Arial" w:cs="Arial"/>
          <w:sz w:val="20"/>
          <w:szCs w:val="20"/>
        </w:rPr>
        <w:t>.</w:t>
      </w:r>
      <w:r w:rsidR="00E83245" w:rsidRPr="00226DDF">
        <w:rPr>
          <w:rFonts w:ascii="Arial" w:hAnsi="Arial" w:cs="Arial"/>
          <w:sz w:val="20"/>
          <w:szCs w:val="20"/>
        </w:rPr>
        <w:t xml:space="preserve"> </w:t>
      </w:r>
      <w:r w:rsidR="00F97F69">
        <w:rPr>
          <w:rFonts w:ascii="Arial" w:hAnsi="Arial" w:cs="Arial"/>
          <w:sz w:val="20"/>
          <w:szCs w:val="20"/>
        </w:rPr>
        <w:t>Damit l</w:t>
      </w:r>
      <w:r w:rsidR="00F04D64">
        <w:rPr>
          <w:rFonts w:ascii="Arial" w:hAnsi="Arial" w:cs="Arial"/>
          <w:sz w:val="20"/>
          <w:szCs w:val="20"/>
        </w:rPr>
        <w:t>ag</w:t>
      </w:r>
      <w:r w:rsidR="00F97F69">
        <w:rPr>
          <w:rFonts w:ascii="Arial" w:hAnsi="Arial" w:cs="Arial"/>
          <w:sz w:val="20"/>
          <w:szCs w:val="20"/>
        </w:rPr>
        <w:t xml:space="preserve"> das Ergebn</w:t>
      </w:r>
      <w:r w:rsidR="00F04D64">
        <w:rPr>
          <w:rFonts w:ascii="Arial" w:hAnsi="Arial" w:cs="Arial"/>
          <w:sz w:val="20"/>
          <w:szCs w:val="20"/>
        </w:rPr>
        <w:t>i</w:t>
      </w:r>
      <w:r w:rsidR="00F97F69">
        <w:rPr>
          <w:rFonts w:ascii="Arial" w:hAnsi="Arial" w:cs="Arial"/>
          <w:sz w:val="20"/>
          <w:szCs w:val="20"/>
        </w:rPr>
        <w:t xml:space="preserve">s </w:t>
      </w:r>
      <w:r w:rsidR="00E83245" w:rsidRPr="00226DDF">
        <w:rPr>
          <w:rFonts w:ascii="Arial" w:hAnsi="Arial" w:cs="Arial"/>
          <w:sz w:val="20"/>
          <w:szCs w:val="20"/>
        </w:rPr>
        <w:t>r</w:t>
      </w:r>
      <w:r w:rsidR="002B71B8">
        <w:rPr>
          <w:rFonts w:ascii="Arial" w:hAnsi="Arial" w:cs="Arial"/>
          <w:sz w:val="20"/>
          <w:szCs w:val="20"/>
        </w:rPr>
        <w:t>und</w:t>
      </w:r>
      <w:r w:rsidR="00E83245" w:rsidRPr="00226DDF">
        <w:rPr>
          <w:rFonts w:ascii="Arial" w:hAnsi="Arial" w:cs="Arial"/>
          <w:sz w:val="20"/>
          <w:szCs w:val="20"/>
        </w:rPr>
        <w:t xml:space="preserve"> </w:t>
      </w:r>
      <w:r w:rsidR="00226DDF" w:rsidRPr="00226DDF">
        <w:rPr>
          <w:rFonts w:ascii="Arial" w:hAnsi="Arial" w:cs="Arial"/>
          <w:sz w:val="20"/>
          <w:szCs w:val="20"/>
        </w:rPr>
        <w:t>85 </w:t>
      </w:r>
      <w:r w:rsidR="00E83245" w:rsidRPr="00226DDF">
        <w:rPr>
          <w:rFonts w:ascii="Arial" w:hAnsi="Arial" w:cs="Arial"/>
          <w:sz w:val="20"/>
          <w:szCs w:val="20"/>
        </w:rPr>
        <w:t xml:space="preserve">% über dem Vorjahreswert (1,1 Mrd. €, 42 Transaktionen). </w:t>
      </w:r>
      <w:r w:rsidR="00E83245" w:rsidRPr="00226DDF">
        <w:rPr>
          <w:rFonts w:ascii="Arial" w:hAnsi="Arial" w:cs="Arial"/>
          <w:i/>
          <w:sz w:val="20"/>
          <w:szCs w:val="20"/>
        </w:rPr>
        <w:t>„</w:t>
      </w:r>
      <w:r w:rsidR="00102873">
        <w:rPr>
          <w:rFonts w:ascii="Arial" w:hAnsi="Arial" w:cs="Arial"/>
          <w:i/>
          <w:sz w:val="20"/>
          <w:szCs w:val="20"/>
        </w:rPr>
        <w:t>T</w:t>
      </w:r>
      <w:r w:rsidR="00E83245" w:rsidRPr="00226DDF">
        <w:rPr>
          <w:rFonts w:ascii="Arial" w:hAnsi="Arial" w:cs="Arial"/>
          <w:i/>
          <w:sz w:val="20"/>
          <w:szCs w:val="20"/>
        </w:rPr>
        <w:t xml:space="preserve">rotz Pandemie erreichte der Investmentmarkt </w:t>
      </w:r>
      <w:r w:rsidR="00226DDF">
        <w:rPr>
          <w:rFonts w:ascii="Arial" w:hAnsi="Arial" w:cs="Arial"/>
          <w:i/>
          <w:sz w:val="20"/>
          <w:szCs w:val="20"/>
        </w:rPr>
        <w:t>das zweitbeste</w:t>
      </w:r>
      <w:r w:rsidR="00E83245" w:rsidRPr="00226DDF">
        <w:rPr>
          <w:rFonts w:ascii="Arial" w:hAnsi="Arial" w:cs="Arial"/>
          <w:i/>
          <w:sz w:val="20"/>
          <w:szCs w:val="20"/>
        </w:rPr>
        <w:t xml:space="preserve"> Halbjahresergebnis</w:t>
      </w:r>
      <w:r w:rsidR="00226DDF">
        <w:rPr>
          <w:rFonts w:ascii="Arial" w:hAnsi="Arial" w:cs="Arial"/>
          <w:i/>
          <w:sz w:val="20"/>
          <w:szCs w:val="20"/>
        </w:rPr>
        <w:t xml:space="preserve"> seit Aufzeichnungsbeginn</w:t>
      </w:r>
      <w:r w:rsidR="00E83245" w:rsidRPr="00226DDF">
        <w:rPr>
          <w:rFonts w:ascii="Arial" w:hAnsi="Arial" w:cs="Arial"/>
          <w:i/>
          <w:sz w:val="20"/>
          <w:szCs w:val="20"/>
        </w:rPr>
        <w:t>. Dabei wurden im zweiten Quartal überwiegend weit fortgeschritten</w:t>
      </w:r>
      <w:r w:rsidR="00F97F69">
        <w:rPr>
          <w:rFonts w:ascii="Arial" w:hAnsi="Arial" w:cs="Arial"/>
          <w:i/>
          <w:sz w:val="20"/>
          <w:szCs w:val="20"/>
        </w:rPr>
        <w:t>e</w:t>
      </w:r>
      <w:r w:rsidR="00E83245" w:rsidRPr="00226DDF">
        <w:rPr>
          <w:rFonts w:ascii="Arial" w:hAnsi="Arial" w:cs="Arial"/>
          <w:i/>
          <w:sz w:val="20"/>
          <w:szCs w:val="20"/>
        </w:rPr>
        <w:t xml:space="preserve"> </w:t>
      </w:r>
      <w:r w:rsidR="003908D1" w:rsidRPr="003908D1">
        <w:rPr>
          <w:rFonts w:ascii="Arial" w:hAnsi="Arial" w:cs="Arial"/>
          <w:i/>
          <w:sz w:val="20"/>
          <w:szCs w:val="20"/>
        </w:rPr>
        <w:t>Transaktionen</w:t>
      </w:r>
      <w:r w:rsidR="008B0319">
        <w:rPr>
          <w:rFonts w:ascii="Arial" w:hAnsi="Arial" w:cs="Arial"/>
          <w:i/>
          <w:sz w:val="20"/>
          <w:szCs w:val="20"/>
        </w:rPr>
        <w:t xml:space="preserve">, </w:t>
      </w:r>
      <w:r w:rsidR="003908D1">
        <w:rPr>
          <w:rFonts w:ascii="Arial" w:hAnsi="Arial" w:cs="Arial"/>
          <w:i/>
          <w:sz w:val="20"/>
          <w:szCs w:val="20"/>
        </w:rPr>
        <w:t xml:space="preserve">Paketverkäufe </w:t>
      </w:r>
      <w:r w:rsidR="008B0319">
        <w:rPr>
          <w:rFonts w:ascii="Arial" w:hAnsi="Arial" w:cs="Arial"/>
          <w:i/>
          <w:sz w:val="20"/>
          <w:szCs w:val="20"/>
        </w:rPr>
        <w:t xml:space="preserve">und Übernahmen ganzer Gesellschaften </w:t>
      </w:r>
      <w:r w:rsidR="00E83245" w:rsidRPr="00226DDF">
        <w:rPr>
          <w:rFonts w:ascii="Arial" w:hAnsi="Arial" w:cs="Arial"/>
          <w:i/>
          <w:sz w:val="20"/>
          <w:szCs w:val="20"/>
        </w:rPr>
        <w:t>finalisiert</w:t>
      </w:r>
      <w:r w:rsidR="008B0319">
        <w:rPr>
          <w:rFonts w:ascii="Arial" w:hAnsi="Arial" w:cs="Arial"/>
          <w:i/>
          <w:sz w:val="20"/>
          <w:szCs w:val="20"/>
        </w:rPr>
        <w:t>, die maßgeblich zu dem Ergebnis beitrugen</w:t>
      </w:r>
      <w:r w:rsidR="00E83245" w:rsidRPr="00226DDF">
        <w:rPr>
          <w:rFonts w:ascii="Arial" w:hAnsi="Arial" w:cs="Arial"/>
          <w:i/>
          <w:sz w:val="20"/>
          <w:szCs w:val="20"/>
        </w:rPr>
        <w:t xml:space="preserve">“, </w:t>
      </w:r>
      <w:r w:rsidR="00E83245" w:rsidRPr="00226DDF">
        <w:rPr>
          <w:rFonts w:ascii="Arial" w:hAnsi="Arial" w:cs="Arial"/>
          <w:sz w:val="20"/>
          <w:szCs w:val="20"/>
        </w:rPr>
        <w:t xml:space="preserve">erläutert </w:t>
      </w:r>
      <w:r w:rsidR="00E83245" w:rsidRPr="00226DDF">
        <w:rPr>
          <w:rFonts w:ascii="Arial" w:hAnsi="Arial" w:cs="Arial"/>
          <w:b/>
          <w:sz w:val="20"/>
          <w:szCs w:val="20"/>
        </w:rPr>
        <w:t xml:space="preserve">Axel </w:t>
      </w:r>
      <w:proofErr w:type="spellStart"/>
      <w:r w:rsidR="00E83245" w:rsidRPr="00226DDF">
        <w:rPr>
          <w:rFonts w:ascii="Arial" w:hAnsi="Arial" w:cs="Arial"/>
          <w:b/>
          <w:sz w:val="20"/>
          <w:szCs w:val="20"/>
        </w:rPr>
        <w:t>Steinbrinker</w:t>
      </w:r>
      <w:proofErr w:type="spellEnd"/>
      <w:r w:rsidR="00E83245" w:rsidRPr="00226DDF">
        <w:rPr>
          <w:rFonts w:ascii="Arial" w:hAnsi="Arial" w:cs="Arial"/>
          <w:sz w:val="20"/>
          <w:szCs w:val="20"/>
        </w:rPr>
        <w:t>, Geschäftsführer von Grossmann &amp; Berger, Mitglied von German Property Partners (GPP)</w:t>
      </w:r>
      <w:r w:rsidR="004E1D29">
        <w:rPr>
          <w:rFonts w:ascii="Arial" w:hAnsi="Arial" w:cs="Arial"/>
          <w:sz w:val="20"/>
          <w:szCs w:val="20"/>
        </w:rPr>
        <w:t xml:space="preserve">. </w:t>
      </w:r>
    </w:p>
    <w:p w14:paraId="3AAB6D03" w14:textId="62473C48" w:rsidR="00F20069" w:rsidRPr="004E1D29" w:rsidRDefault="004E1D29" w:rsidP="00F91D2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E1D29">
        <w:rPr>
          <w:rFonts w:ascii="Arial" w:hAnsi="Arial" w:cs="Arial"/>
          <w:sz w:val="20"/>
          <w:szCs w:val="20"/>
        </w:rPr>
        <w:t xml:space="preserve">Viele Investoren </w:t>
      </w:r>
      <w:r w:rsidR="0054319A">
        <w:rPr>
          <w:rFonts w:ascii="Arial" w:hAnsi="Arial" w:cs="Arial"/>
          <w:sz w:val="20"/>
          <w:szCs w:val="20"/>
        </w:rPr>
        <w:t>beobachtet</w:t>
      </w:r>
      <w:r w:rsidRPr="004E1D29">
        <w:rPr>
          <w:rFonts w:ascii="Arial" w:hAnsi="Arial" w:cs="Arial"/>
          <w:sz w:val="20"/>
          <w:szCs w:val="20"/>
        </w:rPr>
        <w:t xml:space="preserve">en gespannt die </w:t>
      </w:r>
      <w:r w:rsidR="0054319A">
        <w:rPr>
          <w:rFonts w:ascii="Arial" w:hAnsi="Arial" w:cs="Arial"/>
          <w:sz w:val="20"/>
          <w:szCs w:val="20"/>
        </w:rPr>
        <w:t>Entwicklungen</w:t>
      </w:r>
      <w:r w:rsidRPr="004E1D29">
        <w:rPr>
          <w:rFonts w:ascii="Arial" w:hAnsi="Arial" w:cs="Arial"/>
          <w:sz w:val="20"/>
          <w:szCs w:val="20"/>
        </w:rPr>
        <w:t xml:space="preserve"> des 2. Quartals.</w:t>
      </w:r>
      <w:r w:rsidRPr="004E1D2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„</w:t>
      </w:r>
      <w:r w:rsidR="00C700D6" w:rsidRPr="004E1D29">
        <w:rPr>
          <w:rFonts w:ascii="Arial" w:hAnsi="Arial" w:cs="Arial"/>
          <w:i/>
          <w:sz w:val="20"/>
          <w:szCs w:val="20"/>
        </w:rPr>
        <w:t>D</w:t>
      </w:r>
      <w:r w:rsidR="0054319A">
        <w:rPr>
          <w:rFonts w:ascii="Arial" w:hAnsi="Arial" w:cs="Arial"/>
          <w:i/>
          <w:sz w:val="20"/>
          <w:szCs w:val="20"/>
        </w:rPr>
        <w:t>ass d</w:t>
      </w:r>
      <w:r w:rsidR="00C700D6" w:rsidRPr="00226DDF">
        <w:rPr>
          <w:rFonts w:ascii="Arial" w:hAnsi="Arial" w:cs="Arial"/>
          <w:i/>
          <w:sz w:val="20"/>
          <w:szCs w:val="20"/>
        </w:rPr>
        <w:t xml:space="preserve">ie </w:t>
      </w:r>
      <w:r w:rsidR="00102873" w:rsidRPr="00102873">
        <w:rPr>
          <w:rFonts w:ascii="Arial" w:hAnsi="Arial" w:cs="Arial"/>
          <w:i/>
          <w:sz w:val="20"/>
          <w:szCs w:val="20"/>
        </w:rPr>
        <w:t>‚</w:t>
      </w:r>
      <w:r w:rsidR="00102873">
        <w:rPr>
          <w:rFonts w:ascii="Arial" w:hAnsi="Arial" w:cs="Arial"/>
          <w:i/>
          <w:sz w:val="20"/>
          <w:szCs w:val="20"/>
        </w:rPr>
        <w:t>Nach-Corona-Preisbildung</w:t>
      </w:r>
      <w:r w:rsidR="00102873" w:rsidRPr="00102873">
        <w:rPr>
          <w:rFonts w:ascii="Arial" w:hAnsi="Arial" w:cs="Arial"/>
          <w:i/>
          <w:sz w:val="20"/>
          <w:szCs w:val="20"/>
        </w:rPr>
        <w:t>‘</w:t>
      </w:r>
      <w:r w:rsidR="00C700D6" w:rsidRPr="00226DDF">
        <w:rPr>
          <w:rFonts w:ascii="Arial" w:hAnsi="Arial" w:cs="Arial"/>
          <w:i/>
          <w:sz w:val="20"/>
          <w:szCs w:val="20"/>
        </w:rPr>
        <w:t xml:space="preserve"> </w:t>
      </w:r>
      <w:r w:rsidR="008B0319">
        <w:rPr>
          <w:rFonts w:ascii="Arial" w:hAnsi="Arial" w:cs="Arial"/>
          <w:i/>
          <w:sz w:val="20"/>
          <w:szCs w:val="20"/>
        </w:rPr>
        <w:t xml:space="preserve">mit Ausnahme von Handel und Hotel </w:t>
      </w:r>
      <w:r w:rsidR="00690C37">
        <w:rPr>
          <w:rFonts w:ascii="Arial" w:hAnsi="Arial" w:cs="Arial"/>
          <w:i/>
          <w:sz w:val="20"/>
          <w:szCs w:val="20"/>
        </w:rPr>
        <w:t xml:space="preserve">bisher </w:t>
      </w:r>
      <w:r w:rsidR="008B0319">
        <w:rPr>
          <w:rFonts w:ascii="Arial" w:hAnsi="Arial" w:cs="Arial"/>
          <w:i/>
          <w:sz w:val="20"/>
          <w:szCs w:val="20"/>
        </w:rPr>
        <w:t>grundsätzlich positiv verlaufen</w:t>
      </w:r>
      <w:r w:rsidR="0054319A">
        <w:rPr>
          <w:rFonts w:ascii="Arial" w:hAnsi="Arial" w:cs="Arial"/>
          <w:i/>
          <w:sz w:val="20"/>
          <w:szCs w:val="20"/>
        </w:rPr>
        <w:t xml:space="preserve"> ist, sendet</w:t>
      </w:r>
      <w:r w:rsidR="00335A2C">
        <w:rPr>
          <w:rFonts w:ascii="Arial" w:hAnsi="Arial" w:cs="Arial"/>
          <w:i/>
          <w:sz w:val="20"/>
          <w:szCs w:val="20"/>
        </w:rPr>
        <w:t xml:space="preserve"> ein wichtiges Signal </w:t>
      </w:r>
      <w:r w:rsidR="0054319A">
        <w:rPr>
          <w:rFonts w:ascii="Arial" w:hAnsi="Arial" w:cs="Arial"/>
          <w:i/>
          <w:sz w:val="20"/>
          <w:szCs w:val="20"/>
        </w:rPr>
        <w:t>an</w:t>
      </w:r>
      <w:r w:rsidR="00335A2C">
        <w:rPr>
          <w:rFonts w:ascii="Arial" w:hAnsi="Arial" w:cs="Arial"/>
          <w:i/>
          <w:sz w:val="20"/>
          <w:szCs w:val="20"/>
        </w:rPr>
        <w:t xml:space="preserve"> </w:t>
      </w:r>
      <w:r w:rsidR="0054319A">
        <w:rPr>
          <w:rFonts w:ascii="Arial" w:hAnsi="Arial" w:cs="Arial"/>
          <w:i/>
          <w:sz w:val="20"/>
          <w:szCs w:val="20"/>
        </w:rPr>
        <w:t>die Marktteilnehmer</w:t>
      </w:r>
      <w:r w:rsidR="00C700D6" w:rsidRPr="00226DDF">
        <w:rPr>
          <w:rFonts w:ascii="Arial" w:hAnsi="Arial" w:cs="Arial"/>
          <w:i/>
          <w:sz w:val="20"/>
          <w:szCs w:val="20"/>
        </w:rPr>
        <w:t xml:space="preserve">. </w:t>
      </w:r>
      <w:r w:rsidR="008B0319">
        <w:rPr>
          <w:rFonts w:ascii="Arial" w:hAnsi="Arial" w:cs="Arial"/>
          <w:i/>
          <w:sz w:val="20"/>
          <w:szCs w:val="20"/>
        </w:rPr>
        <w:t>Aufgrund der schwindenden Unsicherheiten werden nach den Sommerferien vermehrt Produkte in den Markt kommen.</w:t>
      </w:r>
      <w:r w:rsidR="00A77035">
        <w:rPr>
          <w:rFonts w:ascii="Arial" w:hAnsi="Arial" w:cs="Arial"/>
          <w:i/>
          <w:sz w:val="20"/>
          <w:szCs w:val="20"/>
        </w:rPr>
        <w:t xml:space="preserve"> Da</w:t>
      </w:r>
      <w:r w:rsidR="008B0319">
        <w:rPr>
          <w:rFonts w:ascii="Arial" w:hAnsi="Arial" w:cs="Arial"/>
          <w:i/>
          <w:sz w:val="20"/>
          <w:szCs w:val="20"/>
        </w:rPr>
        <w:t xml:space="preserve"> bis zum Vertragsabschluss etwa vier bis sechs Monate vergehen, </w:t>
      </w:r>
      <w:r w:rsidR="00A77035">
        <w:rPr>
          <w:rFonts w:ascii="Arial" w:hAnsi="Arial" w:cs="Arial"/>
          <w:i/>
          <w:sz w:val="20"/>
          <w:szCs w:val="20"/>
        </w:rPr>
        <w:t>wird</w:t>
      </w:r>
      <w:r w:rsidR="00C700D6" w:rsidRPr="00226DDF">
        <w:rPr>
          <w:rFonts w:ascii="Arial" w:hAnsi="Arial" w:cs="Arial"/>
          <w:i/>
          <w:sz w:val="20"/>
          <w:szCs w:val="20"/>
        </w:rPr>
        <w:t xml:space="preserve"> </w:t>
      </w:r>
      <w:r w:rsidR="008A47D4" w:rsidRPr="00226DDF">
        <w:rPr>
          <w:rFonts w:ascii="Arial" w:hAnsi="Arial" w:cs="Arial"/>
          <w:i/>
          <w:sz w:val="20"/>
          <w:szCs w:val="20"/>
        </w:rPr>
        <w:t>insbesondere das 4. Quartal</w:t>
      </w:r>
      <w:r w:rsidR="00A77035">
        <w:rPr>
          <w:rFonts w:ascii="Arial" w:hAnsi="Arial" w:cs="Arial"/>
          <w:i/>
          <w:sz w:val="20"/>
          <w:szCs w:val="20"/>
        </w:rPr>
        <w:t xml:space="preserve"> lebhafter ausfallen</w:t>
      </w:r>
      <w:r w:rsidR="00C700D6" w:rsidRPr="00226DDF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4E1D29">
        <w:rPr>
          <w:rFonts w:ascii="Arial" w:hAnsi="Arial" w:cs="Arial"/>
          <w:sz w:val="20"/>
          <w:szCs w:val="20"/>
        </w:rPr>
        <w:t xml:space="preserve">prognostiziert </w:t>
      </w:r>
      <w:proofErr w:type="spellStart"/>
      <w:r w:rsidRPr="004E1D29">
        <w:rPr>
          <w:rFonts w:ascii="Arial" w:hAnsi="Arial" w:cs="Arial"/>
          <w:b/>
          <w:sz w:val="20"/>
          <w:szCs w:val="20"/>
        </w:rPr>
        <w:t>Steinbrinker</w:t>
      </w:r>
      <w:proofErr w:type="spellEnd"/>
      <w:r w:rsidRPr="004E1D29">
        <w:rPr>
          <w:rFonts w:ascii="Arial" w:hAnsi="Arial" w:cs="Arial"/>
          <w:sz w:val="20"/>
          <w:szCs w:val="20"/>
        </w:rPr>
        <w:t>.</w:t>
      </w:r>
    </w:p>
    <w:p w14:paraId="2CE8AC6A" w14:textId="0A72C4E5" w:rsidR="00906FC5" w:rsidRPr="00D35A6D" w:rsidRDefault="00906FC5" w:rsidP="00906FC5">
      <w:pPr>
        <w:spacing w:after="0" w:line="360" w:lineRule="auto"/>
        <w:rPr>
          <w:rFonts w:ascii="Arial" w:hAnsi="Arial" w:cs="Arial"/>
          <w:sz w:val="18"/>
          <w:szCs w:val="20"/>
        </w:rPr>
      </w:pPr>
    </w:p>
    <w:p w14:paraId="79CA357A" w14:textId="58F908D1" w:rsidR="000A5ED1" w:rsidRPr="00D35A6D" w:rsidRDefault="00365AF8" w:rsidP="00365AF8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D35A6D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7FD5FB86" w14:textId="2E485D8C" w:rsidR="00524FBD" w:rsidRPr="00226DDF" w:rsidRDefault="00476B6E" w:rsidP="00476B6E">
      <w:pPr>
        <w:pStyle w:val="Listenabsatz"/>
        <w:numPr>
          <w:ilvl w:val="0"/>
          <w:numId w:val="16"/>
        </w:numPr>
        <w:spacing w:after="0" w:line="360" w:lineRule="auto"/>
        <w:ind w:left="425" w:hanging="357"/>
        <w:textAlignment w:val="baseline"/>
        <w:rPr>
          <w:rFonts w:ascii="Arial" w:hAnsi="Arial" w:cs="Arial"/>
          <w:sz w:val="20"/>
          <w:szCs w:val="20"/>
        </w:rPr>
      </w:pPr>
      <w:r w:rsidRPr="00226DDF">
        <w:rPr>
          <w:rFonts w:ascii="Arial" w:hAnsi="Arial" w:cs="Arial"/>
          <w:sz w:val="20"/>
          <w:szCs w:val="20"/>
        </w:rPr>
        <w:t>Die Verkäufe</w:t>
      </w:r>
      <w:r w:rsidR="00524FBD" w:rsidRPr="00226DDF">
        <w:rPr>
          <w:rFonts w:ascii="Arial" w:hAnsi="Arial" w:cs="Arial"/>
          <w:sz w:val="20"/>
          <w:szCs w:val="20"/>
        </w:rPr>
        <w:t xml:space="preserve"> </w:t>
      </w:r>
      <w:r w:rsidR="002561F0">
        <w:rPr>
          <w:rFonts w:ascii="Arial" w:hAnsi="Arial" w:cs="Arial"/>
          <w:sz w:val="20"/>
          <w:szCs w:val="20"/>
        </w:rPr>
        <w:t>der Objekte</w:t>
      </w:r>
      <w:r w:rsidR="00524FBD" w:rsidRPr="00226DDF">
        <w:rPr>
          <w:rFonts w:ascii="Arial" w:hAnsi="Arial" w:cs="Arial"/>
          <w:sz w:val="20"/>
          <w:szCs w:val="20"/>
        </w:rPr>
        <w:t xml:space="preserve"> </w:t>
      </w:r>
      <w:r w:rsidR="00C712CA">
        <w:rPr>
          <w:rFonts w:ascii="Arial" w:hAnsi="Arial" w:cs="Arial"/>
          <w:sz w:val="20"/>
          <w:szCs w:val="20"/>
        </w:rPr>
        <w:t>„</w:t>
      </w:r>
      <w:proofErr w:type="spellStart"/>
      <w:r w:rsidR="00524FBD" w:rsidRPr="00226DDF">
        <w:rPr>
          <w:rFonts w:ascii="Arial" w:hAnsi="Arial" w:cs="Arial"/>
          <w:sz w:val="20"/>
          <w:szCs w:val="20"/>
        </w:rPr>
        <w:t>Ericus-Contor</w:t>
      </w:r>
      <w:proofErr w:type="spellEnd"/>
      <w:r w:rsidR="00C712CA">
        <w:rPr>
          <w:rFonts w:ascii="Arial" w:hAnsi="Arial" w:cs="Arial"/>
          <w:sz w:val="20"/>
          <w:szCs w:val="20"/>
        </w:rPr>
        <w:t>“</w:t>
      </w:r>
      <w:r w:rsidR="00524FBD" w:rsidRPr="00226DDF">
        <w:rPr>
          <w:rFonts w:ascii="Arial" w:hAnsi="Arial" w:cs="Arial"/>
          <w:sz w:val="20"/>
          <w:szCs w:val="20"/>
        </w:rPr>
        <w:t xml:space="preserve"> und </w:t>
      </w:r>
      <w:r w:rsidR="00C712CA">
        <w:rPr>
          <w:rFonts w:ascii="Arial" w:hAnsi="Arial" w:cs="Arial"/>
          <w:sz w:val="20"/>
          <w:szCs w:val="20"/>
        </w:rPr>
        <w:t>„</w:t>
      </w:r>
      <w:r w:rsidR="00524FBD" w:rsidRPr="00226DDF">
        <w:rPr>
          <w:rFonts w:ascii="Arial" w:hAnsi="Arial" w:cs="Arial"/>
          <w:sz w:val="20"/>
          <w:szCs w:val="20"/>
        </w:rPr>
        <w:t>Neue</w:t>
      </w:r>
      <w:r w:rsidR="00C712CA">
        <w:rPr>
          <w:rFonts w:ascii="Arial" w:hAnsi="Arial" w:cs="Arial"/>
          <w:sz w:val="20"/>
          <w:szCs w:val="20"/>
        </w:rPr>
        <w:t>r</w:t>
      </w:r>
      <w:r w:rsidR="00524FBD" w:rsidRPr="00226D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FBD" w:rsidRPr="00226DDF">
        <w:rPr>
          <w:rFonts w:ascii="Arial" w:hAnsi="Arial" w:cs="Arial"/>
          <w:sz w:val="20"/>
          <w:szCs w:val="20"/>
        </w:rPr>
        <w:t>Dovenhof</w:t>
      </w:r>
      <w:proofErr w:type="spellEnd"/>
      <w:r w:rsidR="00C712CA">
        <w:rPr>
          <w:rFonts w:ascii="Arial" w:hAnsi="Arial" w:cs="Arial"/>
          <w:sz w:val="20"/>
          <w:szCs w:val="20"/>
        </w:rPr>
        <w:t>“</w:t>
      </w:r>
      <w:r w:rsidR="00524FBD" w:rsidRPr="00226DDF">
        <w:rPr>
          <w:rFonts w:ascii="Arial" w:hAnsi="Arial" w:cs="Arial"/>
          <w:sz w:val="20"/>
          <w:szCs w:val="20"/>
        </w:rPr>
        <w:t xml:space="preserve"> zeugen </w:t>
      </w:r>
      <w:r w:rsidRPr="00226DDF">
        <w:rPr>
          <w:rFonts w:ascii="Arial" w:hAnsi="Arial" w:cs="Arial"/>
          <w:sz w:val="20"/>
          <w:szCs w:val="20"/>
        </w:rPr>
        <w:t>vom ungebrochenen Glauben an Immobilien als Anlageprodukte.</w:t>
      </w:r>
      <w:r w:rsidR="00B67D66">
        <w:rPr>
          <w:rFonts w:ascii="Arial" w:hAnsi="Arial" w:cs="Arial"/>
          <w:sz w:val="20"/>
          <w:szCs w:val="20"/>
        </w:rPr>
        <w:t xml:space="preserve"> </w:t>
      </w:r>
      <w:r w:rsidR="00C712CA">
        <w:rPr>
          <w:rFonts w:ascii="Arial" w:hAnsi="Arial" w:cs="Arial"/>
          <w:sz w:val="20"/>
          <w:szCs w:val="20"/>
        </w:rPr>
        <w:t xml:space="preserve">Da </w:t>
      </w:r>
      <w:r w:rsidR="00B67D66" w:rsidRPr="00226DDF">
        <w:rPr>
          <w:rFonts w:ascii="Arial" w:hAnsi="Arial" w:cs="Arial"/>
          <w:sz w:val="20"/>
          <w:szCs w:val="20"/>
        </w:rPr>
        <w:t xml:space="preserve">Core-Objekte </w:t>
      </w:r>
      <w:r w:rsidR="002561F0">
        <w:rPr>
          <w:rFonts w:ascii="Arial" w:hAnsi="Arial" w:cs="Arial"/>
          <w:sz w:val="20"/>
          <w:szCs w:val="20"/>
        </w:rPr>
        <w:t xml:space="preserve">in Krisen-Zeiten besonders </w:t>
      </w:r>
      <w:r w:rsidR="00B67D66" w:rsidRPr="00226DDF">
        <w:rPr>
          <w:rFonts w:ascii="Arial" w:hAnsi="Arial" w:cs="Arial"/>
          <w:sz w:val="20"/>
          <w:szCs w:val="20"/>
        </w:rPr>
        <w:t>gefragt</w:t>
      </w:r>
      <w:r w:rsidR="00C712CA">
        <w:rPr>
          <w:rFonts w:ascii="Arial" w:hAnsi="Arial" w:cs="Arial"/>
          <w:sz w:val="20"/>
          <w:szCs w:val="20"/>
        </w:rPr>
        <w:t xml:space="preserve"> sind, entfielen auf den T</w:t>
      </w:r>
      <w:r w:rsidR="008045E7">
        <w:rPr>
          <w:rFonts w:ascii="Arial" w:hAnsi="Arial" w:cs="Arial"/>
          <w:sz w:val="20"/>
          <w:szCs w:val="20"/>
        </w:rPr>
        <w:t xml:space="preserve">eilmarkt City </w:t>
      </w:r>
      <w:r w:rsidR="00C712CA">
        <w:rPr>
          <w:rFonts w:ascii="Arial" w:hAnsi="Arial" w:cs="Arial"/>
          <w:sz w:val="20"/>
          <w:szCs w:val="20"/>
        </w:rPr>
        <w:t>ru</w:t>
      </w:r>
      <w:r w:rsidR="008045E7">
        <w:rPr>
          <w:rFonts w:ascii="Arial" w:hAnsi="Arial" w:cs="Arial"/>
          <w:sz w:val="20"/>
          <w:szCs w:val="20"/>
        </w:rPr>
        <w:t xml:space="preserve">nd </w:t>
      </w:r>
      <w:r w:rsidR="00AC77A0">
        <w:rPr>
          <w:rFonts w:ascii="Arial" w:hAnsi="Arial" w:cs="Arial"/>
          <w:sz w:val="20"/>
          <w:szCs w:val="20"/>
        </w:rPr>
        <w:t>41</w:t>
      </w:r>
      <w:r w:rsidR="008045E7">
        <w:rPr>
          <w:rFonts w:ascii="Arial" w:hAnsi="Arial" w:cs="Arial"/>
          <w:sz w:val="20"/>
          <w:szCs w:val="20"/>
        </w:rPr>
        <w:t xml:space="preserve"> % des Transaktionsvolumens.  </w:t>
      </w:r>
    </w:p>
    <w:p w14:paraId="4E5556A3" w14:textId="77777777" w:rsidR="00674ADA" w:rsidRDefault="00B67D66" w:rsidP="00674ADA">
      <w:pPr>
        <w:pStyle w:val="Listenabsatz"/>
        <w:numPr>
          <w:ilvl w:val="0"/>
          <w:numId w:val="16"/>
        </w:numPr>
        <w:spacing w:after="0" w:line="360" w:lineRule="auto"/>
        <w:ind w:left="425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24FBD" w:rsidRPr="00226DDF">
        <w:rPr>
          <w:rFonts w:ascii="Arial" w:hAnsi="Arial" w:cs="Arial"/>
          <w:sz w:val="20"/>
          <w:szCs w:val="20"/>
        </w:rPr>
        <w:t xml:space="preserve">echs Transaktionen über 100 Mio. € </w:t>
      </w:r>
      <w:r>
        <w:rPr>
          <w:rFonts w:ascii="Arial" w:hAnsi="Arial" w:cs="Arial"/>
          <w:sz w:val="20"/>
          <w:szCs w:val="20"/>
        </w:rPr>
        <w:t xml:space="preserve">machten </w:t>
      </w:r>
      <w:r w:rsidR="00761363" w:rsidRPr="00226DDF">
        <w:rPr>
          <w:rFonts w:ascii="Arial" w:hAnsi="Arial" w:cs="Arial"/>
          <w:sz w:val="20"/>
          <w:szCs w:val="20"/>
        </w:rPr>
        <w:t xml:space="preserve">den Löwenanteil </w:t>
      </w:r>
      <w:r w:rsidR="00C712CA">
        <w:rPr>
          <w:rFonts w:ascii="Arial" w:hAnsi="Arial" w:cs="Arial"/>
          <w:sz w:val="20"/>
          <w:szCs w:val="20"/>
        </w:rPr>
        <w:t>(</w:t>
      </w:r>
      <w:r w:rsidR="00C712CA" w:rsidRPr="00226DDF">
        <w:rPr>
          <w:rFonts w:ascii="Arial" w:hAnsi="Arial" w:cs="Arial"/>
          <w:sz w:val="20"/>
          <w:szCs w:val="20"/>
        </w:rPr>
        <w:t>54 %</w:t>
      </w:r>
      <w:r w:rsidR="00C712CA">
        <w:rPr>
          <w:rFonts w:ascii="Arial" w:hAnsi="Arial" w:cs="Arial"/>
          <w:sz w:val="20"/>
          <w:szCs w:val="20"/>
        </w:rPr>
        <w:t xml:space="preserve">) </w:t>
      </w:r>
      <w:r w:rsidR="00761363" w:rsidRPr="00226DDF">
        <w:rPr>
          <w:rFonts w:ascii="Arial" w:hAnsi="Arial" w:cs="Arial"/>
          <w:sz w:val="20"/>
          <w:szCs w:val="20"/>
        </w:rPr>
        <w:t xml:space="preserve">am Transaktionsvolumen aus. </w:t>
      </w:r>
      <w:r w:rsidR="00DB179C" w:rsidRPr="00226DDF">
        <w:rPr>
          <w:rFonts w:ascii="Arial" w:hAnsi="Arial" w:cs="Arial"/>
          <w:sz w:val="20"/>
          <w:szCs w:val="20"/>
        </w:rPr>
        <w:t>Verkäufe</w:t>
      </w:r>
      <w:r w:rsidR="00761363" w:rsidRPr="00226DDF">
        <w:rPr>
          <w:rFonts w:ascii="Arial" w:hAnsi="Arial" w:cs="Arial"/>
          <w:sz w:val="20"/>
          <w:szCs w:val="20"/>
        </w:rPr>
        <w:t xml:space="preserve"> zwischen 50 und 100 Mio. € rangierten auf dem zweiten Platz</w:t>
      </w:r>
      <w:r w:rsidR="00C712CA">
        <w:rPr>
          <w:rFonts w:ascii="Arial" w:hAnsi="Arial" w:cs="Arial"/>
          <w:sz w:val="20"/>
          <w:szCs w:val="20"/>
        </w:rPr>
        <w:t xml:space="preserve"> (21 %)</w:t>
      </w:r>
      <w:r w:rsidR="00761363" w:rsidRPr="00226DDF">
        <w:rPr>
          <w:rFonts w:ascii="Arial" w:hAnsi="Arial" w:cs="Arial"/>
          <w:sz w:val="20"/>
          <w:szCs w:val="20"/>
        </w:rPr>
        <w:t xml:space="preserve">. </w:t>
      </w:r>
    </w:p>
    <w:p w14:paraId="77F59DCB" w14:textId="2AC205D9" w:rsidR="00476B6E" w:rsidRPr="00674ADA" w:rsidRDefault="00476B6E" w:rsidP="00674ADA">
      <w:pPr>
        <w:pStyle w:val="Listenabsatz"/>
        <w:numPr>
          <w:ilvl w:val="0"/>
          <w:numId w:val="16"/>
        </w:numPr>
        <w:spacing w:after="0" w:line="360" w:lineRule="auto"/>
        <w:ind w:left="425" w:hanging="357"/>
        <w:textAlignment w:val="baseline"/>
        <w:rPr>
          <w:rFonts w:ascii="Arial" w:hAnsi="Arial" w:cs="Arial"/>
          <w:sz w:val="20"/>
          <w:szCs w:val="20"/>
        </w:rPr>
      </w:pPr>
      <w:r w:rsidRPr="00674ADA">
        <w:rPr>
          <w:rFonts w:ascii="Arial" w:hAnsi="Arial" w:cs="Arial"/>
          <w:sz w:val="20"/>
          <w:szCs w:val="20"/>
        </w:rPr>
        <w:t>Das Marktgeschehen prägten insbesondere Portfoliotransaktionen</w:t>
      </w:r>
      <w:r w:rsidR="003908D1" w:rsidRPr="00674ADA">
        <w:rPr>
          <w:rFonts w:ascii="Arial" w:hAnsi="Arial" w:cs="Arial"/>
          <w:sz w:val="20"/>
          <w:szCs w:val="20"/>
        </w:rPr>
        <w:t xml:space="preserve"> </w:t>
      </w:r>
      <w:r w:rsidR="00674ADA">
        <w:rPr>
          <w:rFonts w:ascii="Arial" w:hAnsi="Arial" w:cs="Arial"/>
          <w:sz w:val="20"/>
          <w:szCs w:val="20"/>
        </w:rPr>
        <w:t>(</w:t>
      </w:r>
      <w:r w:rsidR="00690C37" w:rsidRPr="00674ADA">
        <w:rPr>
          <w:rFonts w:ascii="Arial" w:hAnsi="Arial" w:cs="Arial"/>
          <w:sz w:val="20"/>
          <w:szCs w:val="20"/>
        </w:rPr>
        <w:t>in Form von Unternehmens- und Anteilsübernahmen sowie Veräußerungen von Projektpaketen</w:t>
      </w:r>
      <w:r w:rsidR="00674ADA">
        <w:rPr>
          <w:rFonts w:ascii="Arial" w:hAnsi="Arial" w:cs="Arial"/>
          <w:sz w:val="20"/>
          <w:szCs w:val="20"/>
        </w:rPr>
        <w:t>)</w:t>
      </w:r>
      <w:r w:rsidR="00690C37" w:rsidRPr="00674ADA">
        <w:rPr>
          <w:rFonts w:ascii="Arial" w:hAnsi="Arial" w:cs="Arial"/>
          <w:sz w:val="20"/>
          <w:szCs w:val="20"/>
        </w:rPr>
        <w:t xml:space="preserve"> </w:t>
      </w:r>
      <w:r w:rsidR="003908D1" w:rsidRPr="00674ADA">
        <w:rPr>
          <w:rFonts w:ascii="Arial" w:hAnsi="Arial" w:cs="Arial"/>
          <w:sz w:val="20"/>
          <w:szCs w:val="20"/>
        </w:rPr>
        <w:t>mit</w:t>
      </w:r>
      <w:r w:rsidRPr="00674ADA">
        <w:rPr>
          <w:rFonts w:ascii="Arial" w:hAnsi="Arial" w:cs="Arial"/>
          <w:sz w:val="20"/>
          <w:szCs w:val="20"/>
        </w:rPr>
        <w:t xml:space="preserve"> eine</w:t>
      </w:r>
      <w:r w:rsidR="00032035" w:rsidRPr="00674ADA">
        <w:rPr>
          <w:rFonts w:ascii="Arial" w:hAnsi="Arial" w:cs="Arial"/>
          <w:sz w:val="20"/>
          <w:szCs w:val="20"/>
        </w:rPr>
        <w:t>m</w:t>
      </w:r>
      <w:r w:rsidRPr="00674ADA">
        <w:rPr>
          <w:rFonts w:ascii="Arial" w:hAnsi="Arial" w:cs="Arial"/>
          <w:sz w:val="20"/>
          <w:szCs w:val="20"/>
        </w:rPr>
        <w:t xml:space="preserve"> Volumenanteil von </w:t>
      </w:r>
      <w:r w:rsidR="002B71B8" w:rsidRPr="00674ADA">
        <w:rPr>
          <w:rFonts w:ascii="Arial" w:hAnsi="Arial" w:cs="Arial"/>
          <w:sz w:val="20"/>
          <w:szCs w:val="20"/>
        </w:rPr>
        <w:t>rund</w:t>
      </w:r>
      <w:r w:rsidRPr="00674ADA">
        <w:rPr>
          <w:rFonts w:ascii="Arial" w:hAnsi="Arial" w:cs="Arial"/>
          <w:sz w:val="20"/>
          <w:szCs w:val="20"/>
        </w:rPr>
        <w:t xml:space="preserve"> </w:t>
      </w:r>
      <w:r w:rsidR="00761363" w:rsidRPr="00674ADA">
        <w:rPr>
          <w:rFonts w:ascii="Arial" w:hAnsi="Arial" w:cs="Arial"/>
          <w:sz w:val="20"/>
          <w:szCs w:val="20"/>
        </w:rPr>
        <w:t>34 %</w:t>
      </w:r>
      <w:r w:rsidR="00903957" w:rsidRPr="00674ADA">
        <w:rPr>
          <w:rFonts w:ascii="Arial" w:hAnsi="Arial" w:cs="Arial"/>
          <w:sz w:val="20"/>
          <w:szCs w:val="20"/>
        </w:rPr>
        <w:t>.</w:t>
      </w:r>
      <w:r w:rsidR="00761363" w:rsidRPr="00674ADA">
        <w:rPr>
          <w:rFonts w:ascii="Arial" w:hAnsi="Arial" w:cs="Arial"/>
          <w:sz w:val="20"/>
          <w:szCs w:val="20"/>
        </w:rPr>
        <w:t xml:space="preserve"> </w:t>
      </w:r>
      <w:r w:rsidR="00FB2A03" w:rsidRPr="00674ADA">
        <w:rPr>
          <w:rFonts w:ascii="Arial" w:hAnsi="Arial" w:cs="Arial"/>
          <w:sz w:val="20"/>
          <w:szCs w:val="20"/>
        </w:rPr>
        <w:t>Beispiele sind das „Quartier am Zeughaus" und der „</w:t>
      </w:r>
      <w:proofErr w:type="spellStart"/>
      <w:r w:rsidR="00690C37" w:rsidRPr="00674ADA">
        <w:rPr>
          <w:rFonts w:ascii="Arial" w:hAnsi="Arial" w:cs="Arial"/>
          <w:sz w:val="20"/>
          <w:szCs w:val="20"/>
        </w:rPr>
        <w:t>Pentahof</w:t>
      </w:r>
      <w:proofErr w:type="spellEnd"/>
      <w:r w:rsidR="00690C37" w:rsidRPr="00674ADA">
        <w:rPr>
          <w:rFonts w:ascii="Arial" w:hAnsi="Arial" w:cs="Arial"/>
          <w:sz w:val="20"/>
          <w:szCs w:val="20"/>
        </w:rPr>
        <w:t>“</w:t>
      </w:r>
      <w:r w:rsidR="00FB2A03" w:rsidRPr="00674ADA">
        <w:rPr>
          <w:rFonts w:ascii="Arial" w:hAnsi="Arial" w:cs="Arial"/>
          <w:sz w:val="20"/>
          <w:szCs w:val="20"/>
        </w:rPr>
        <w:t xml:space="preserve">, </w:t>
      </w:r>
      <w:r w:rsidR="00690C37" w:rsidRPr="00674ADA">
        <w:rPr>
          <w:rFonts w:ascii="Arial" w:hAnsi="Arial" w:cs="Arial"/>
          <w:sz w:val="20"/>
          <w:szCs w:val="20"/>
        </w:rPr>
        <w:t>die</w:t>
      </w:r>
      <w:r w:rsidR="00FB2A03" w:rsidRPr="00674ADA">
        <w:rPr>
          <w:rFonts w:ascii="Arial" w:hAnsi="Arial" w:cs="Arial"/>
          <w:sz w:val="20"/>
          <w:szCs w:val="20"/>
        </w:rPr>
        <w:t xml:space="preserve"> durch die </w:t>
      </w:r>
      <w:proofErr w:type="spellStart"/>
      <w:r w:rsidR="00FB2A03" w:rsidRPr="00674ADA">
        <w:rPr>
          <w:rFonts w:ascii="Arial" w:hAnsi="Arial" w:cs="Arial"/>
          <w:sz w:val="20"/>
          <w:szCs w:val="20"/>
        </w:rPr>
        <w:t>Godewind</w:t>
      </w:r>
      <w:proofErr w:type="spellEnd"/>
      <w:r w:rsidR="00FB2A03" w:rsidRPr="00674ADA">
        <w:rPr>
          <w:rFonts w:ascii="Arial" w:hAnsi="Arial" w:cs="Arial"/>
          <w:sz w:val="20"/>
          <w:szCs w:val="20"/>
        </w:rPr>
        <w:t xml:space="preserve">-Übernahme an </w:t>
      </w:r>
      <w:proofErr w:type="spellStart"/>
      <w:r w:rsidR="00FB2A03" w:rsidRPr="00674ADA">
        <w:rPr>
          <w:rFonts w:ascii="Arial" w:hAnsi="Arial" w:cs="Arial"/>
          <w:sz w:val="20"/>
          <w:szCs w:val="20"/>
        </w:rPr>
        <w:t>Covivio</w:t>
      </w:r>
      <w:proofErr w:type="spellEnd"/>
      <w:r w:rsidR="00FB2A03" w:rsidRPr="00674ADA">
        <w:rPr>
          <w:rFonts w:ascii="Arial" w:hAnsi="Arial" w:cs="Arial"/>
          <w:sz w:val="20"/>
          <w:szCs w:val="20"/>
        </w:rPr>
        <w:t xml:space="preserve"> </w:t>
      </w:r>
      <w:r w:rsidR="00690C37" w:rsidRPr="00674ADA">
        <w:rPr>
          <w:rFonts w:ascii="Arial" w:hAnsi="Arial" w:cs="Arial"/>
          <w:sz w:val="20"/>
          <w:szCs w:val="20"/>
        </w:rPr>
        <w:t>gingen</w:t>
      </w:r>
      <w:r w:rsidR="00FB2A03" w:rsidRPr="00674ADA">
        <w:rPr>
          <w:rFonts w:ascii="Arial" w:hAnsi="Arial" w:cs="Arial"/>
          <w:sz w:val="20"/>
          <w:szCs w:val="20"/>
        </w:rPr>
        <w:t>.</w:t>
      </w:r>
    </w:p>
    <w:p w14:paraId="6EF10C36" w14:textId="4904BEEE" w:rsidR="003908D1" w:rsidRDefault="003908D1" w:rsidP="003908D1">
      <w:pPr>
        <w:pStyle w:val="Listenabsatz"/>
        <w:numPr>
          <w:ilvl w:val="0"/>
          <w:numId w:val="16"/>
        </w:numPr>
        <w:spacing w:after="0" w:line="360" w:lineRule="auto"/>
        <w:ind w:left="425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3908D1">
        <w:rPr>
          <w:rFonts w:ascii="Arial" w:hAnsi="Arial" w:cs="Arial"/>
          <w:sz w:val="20"/>
          <w:szCs w:val="20"/>
        </w:rPr>
        <w:t>Mixed-</w:t>
      </w:r>
      <w:proofErr w:type="spellStart"/>
      <w:r w:rsidRPr="003908D1">
        <w:rPr>
          <w:rFonts w:ascii="Arial" w:hAnsi="Arial" w:cs="Arial"/>
          <w:sz w:val="20"/>
          <w:szCs w:val="20"/>
        </w:rPr>
        <w:t>Use</w:t>
      </w:r>
      <w:proofErr w:type="spellEnd"/>
      <w:r w:rsidRPr="003908D1">
        <w:rPr>
          <w:rFonts w:ascii="Arial" w:hAnsi="Arial" w:cs="Arial"/>
          <w:sz w:val="20"/>
          <w:szCs w:val="20"/>
        </w:rPr>
        <w:t>-Ob</w:t>
      </w:r>
      <w:r w:rsidR="00C712CA">
        <w:rPr>
          <w:rFonts w:ascii="Arial" w:hAnsi="Arial" w:cs="Arial"/>
          <w:sz w:val="20"/>
          <w:szCs w:val="20"/>
        </w:rPr>
        <w:t>j</w:t>
      </w:r>
      <w:r w:rsidRPr="003908D1">
        <w:rPr>
          <w:rFonts w:ascii="Arial" w:hAnsi="Arial" w:cs="Arial"/>
          <w:sz w:val="20"/>
          <w:szCs w:val="20"/>
        </w:rPr>
        <w:t xml:space="preserve">ekte </w:t>
      </w:r>
      <w:r w:rsidR="0029731B">
        <w:rPr>
          <w:rFonts w:ascii="Arial" w:hAnsi="Arial" w:cs="Arial"/>
          <w:sz w:val="20"/>
          <w:szCs w:val="20"/>
        </w:rPr>
        <w:t>landeten</w:t>
      </w:r>
      <w:r w:rsidR="00102873">
        <w:rPr>
          <w:rFonts w:ascii="Arial" w:hAnsi="Arial" w:cs="Arial"/>
          <w:sz w:val="20"/>
          <w:szCs w:val="20"/>
        </w:rPr>
        <w:t xml:space="preserve"> </w:t>
      </w:r>
      <w:r w:rsidRPr="003908D1">
        <w:rPr>
          <w:rFonts w:ascii="Arial" w:hAnsi="Arial" w:cs="Arial"/>
          <w:sz w:val="20"/>
          <w:szCs w:val="20"/>
        </w:rPr>
        <w:t xml:space="preserve">mit einem Anteil von </w:t>
      </w:r>
      <w:r w:rsidR="0029731B">
        <w:rPr>
          <w:rFonts w:ascii="Arial" w:hAnsi="Arial" w:cs="Arial"/>
          <w:sz w:val="20"/>
          <w:szCs w:val="20"/>
        </w:rPr>
        <w:t xml:space="preserve">nunmehr </w:t>
      </w:r>
      <w:r w:rsidRPr="003908D1">
        <w:rPr>
          <w:rFonts w:ascii="Arial" w:hAnsi="Arial" w:cs="Arial"/>
          <w:sz w:val="20"/>
          <w:szCs w:val="20"/>
        </w:rPr>
        <w:t>23 % auf de</w:t>
      </w:r>
      <w:r w:rsidR="0029731B">
        <w:rPr>
          <w:rFonts w:ascii="Arial" w:hAnsi="Arial" w:cs="Arial"/>
          <w:sz w:val="20"/>
          <w:szCs w:val="20"/>
        </w:rPr>
        <w:t>m</w:t>
      </w:r>
      <w:r w:rsidRPr="003908D1">
        <w:rPr>
          <w:rFonts w:ascii="Arial" w:hAnsi="Arial" w:cs="Arial"/>
          <w:sz w:val="20"/>
          <w:szCs w:val="20"/>
        </w:rPr>
        <w:t xml:space="preserve"> zweiten Platz. Neuer alter </w:t>
      </w:r>
      <w:r w:rsidR="0011749C">
        <w:rPr>
          <w:rFonts w:ascii="Arial" w:hAnsi="Arial" w:cs="Arial"/>
          <w:sz w:val="20"/>
          <w:szCs w:val="20"/>
        </w:rPr>
        <w:t>Spitzenreiter</w:t>
      </w:r>
      <w:r w:rsidRPr="003908D1">
        <w:rPr>
          <w:rFonts w:ascii="Arial" w:hAnsi="Arial" w:cs="Arial"/>
          <w:sz w:val="20"/>
          <w:szCs w:val="20"/>
        </w:rPr>
        <w:t xml:space="preserve"> sind Büro</w:t>
      </w:r>
      <w:r w:rsidR="00102873">
        <w:rPr>
          <w:rFonts w:ascii="Arial" w:hAnsi="Arial" w:cs="Arial"/>
          <w:sz w:val="20"/>
          <w:szCs w:val="20"/>
        </w:rPr>
        <w:t xml:space="preserve">-Immobilien </w:t>
      </w:r>
      <w:r>
        <w:rPr>
          <w:rFonts w:ascii="Arial" w:hAnsi="Arial" w:cs="Arial"/>
          <w:sz w:val="20"/>
          <w:szCs w:val="20"/>
        </w:rPr>
        <w:t>mit r</w:t>
      </w:r>
      <w:r w:rsidR="00102873"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z w:val="20"/>
          <w:szCs w:val="20"/>
        </w:rPr>
        <w:t xml:space="preserve"> 43</w:t>
      </w:r>
      <w:r w:rsidRPr="003908D1">
        <w:rPr>
          <w:rFonts w:ascii="Arial" w:hAnsi="Arial" w:cs="Arial"/>
          <w:sz w:val="20"/>
          <w:szCs w:val="20"/>
        </w:rPr>
        <w:t> %.</w:t>
      </w:r>
    </w:p>
    <w:p w14:paraId="180FE9C0" w14:textId="0988BF96" w:rsidR="002561F0" w:rsidRDefault="002561F0" w:rsidP="002561F0">
      <w:pPr>
        <w:pStyle w:val="Listenabsatz"/>
        <w:numPr>
          <w:ilvl w:val="0"/>
          <w:numId w:val="16"/>
        </w:numPr>
        <w:spacing w:after="0" w:line="360" w:lineRule="auto"/>
        <w:ind w:left="425" w:hanging="357"/>
        <w:textAlignment w:val="baseline"/>
        <w:rPr>
          <w:rFonts w:ascii="Arial" w:hAnsi="Arial" w:cs="Arial"/>
          <w:sz w:val="20"/>
          <w:szCs w:val="20"/>
        </w:rPr>
      </w:pPr>
      <w:r w:rsidRPr="00B245A8">
        <w:rPr>
          <w:rFonts w:ascii="Arial" w:hAnsi="Arial" w:cs="Arial"/>
          <w:sz w:val="20"/>
          <w:szCs w:val="20"/>
        </w:rPr>
        <w:t xml:space="preserve">Die Renditen blieben </w:t>
      </w:r>
      <w:r w:rsidR="0029731B">
        <w:rPr>
          <w:rFonts w:ascii="Arial" w:hAnsi="Arial" w:cs="Arial"/>
          <w:sz w:val="20"/>
          <w:szCs w:val="20"/>
        </w:rPr>
        <w:t xml:space="preserve">weitgehend </w:t>
      </w:r>
      <w:r w:rsidRPr="00B245A8">
        <w:rPr>
          <w:rFonts w:ascii="Arial" w:hAnsi="Arial" w:cs="Arial"/>
          <w:sz w:val="20"/>
          <w:szCs w:val="20"/>
        </w:rPr>
        <w:t xml:space="preserve">stabil auf niedrigem Niveau. Da die konkreten wirtschaftlichen Folgen auf Unternehmensebene wohl erst im </w:t>
      </w:r>
      <w:r>
        <w:rPr>
          <w:rFonts w:ascii="Arial" w:hAnsi="Arial" w:cs="Arial"/>
          <w:sz w:val="20"/>
          <w:szCs w:val="20"/>
        </w:rPr>
        <w:t>Herbst</w:t>
      </w:r>
      <w:r w:rsidRPr="00B245A8">
        <w:rPr>
          <w:rFonts w:ascii="Arial" w:hAnsi="Arial" w:cs="Arial"/>
          <w:sz w:val="20"/>
          <w:szCs w:val="20"/>
        </w:rPr>
        <w:t xml:space="preserve"> sichtbar werden, ist aufgrund der Abhängigkeit vom Vermietungsmarkt eine </w:t>
      </w:r>
      <w:r w:rsidR="0029731B">
        <w:rPr>
          <w:rFonts w:ascii="Arial" w:hAnsi="Arial" w:cs="Arial"/>
          <w:sz w:val="20"/>
          <w:szCs w:val="20"/>
        </w:rPr>
        <w:t xml:space="preserve">geringe </w:t>
      </w:r>
      <w:r w:rsidRPr="00B245A8">
        <w:rPr>
          <w:rFonts w:ascii="Arial" w:hAnsi="Arial" w:cs="Arial"/>
          <w:sz w:val="20"/>
          <w:szCs w:val="20"/>
        </w:rPr>
        <w:t xml:space="preserve">Anpassung der Renditen im weiteren Jahresverlauf möglich. </w:t>
      </w:r>
    </w:p>
    <w:p w14:paraId="405BAD30" w14:textId="77777777" w:rsidR="002561F0" w:rsidRPr="002561F0" w:rsidRDefault="002561F0" w:rsidP="002561F0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</w:p>
    <w:p w14:paraId="5E40163B" w14:textId="0C2A38F5" w:rsidR="008A2BA4" w:rsidRPr="001809AE" w:rsidRDefault="00261FB3" w:rsidP="001809AE">
      <w:pPr>
        <w:pStyle w:val="Listenabsatz"/>
        <w:numPr>
          <w:ilvl w:val="0"/>
          <w:numId w:val="16"/>
        </w:numPr>
        <w:spacing w:after="0" w:line="360" w:lineRule="auto"/>
        <w:ind w:left="425" w:hanging="357"/>
        <w:textAlignment w:val="baseline"/>
        <w:rPr>
          <w:rFonts w:ascii="Arial" w:hAnsi="Arial" w:cs="Arial"/>
          <w:sz w:val="20"/>
          <w:szCs w:val="20"/>
        </w:rPr>
      </w:pPr>
      <w:r w:rsidRPr="001809AE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2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3823"/>
        <w:gridCol w:w="1134"/>
      </w:tblGrid>
      <w:tr w:rsidR="000A5ED1" w:rsidRPr="006F49D0" w14:paraId="2928D7C9" w14:textId="77777777" w:rsidTr="00365AF8">
        <w:trPr>
          <w:trHeight w:val="283"/>
        </w:trPr>
        <w:tc>
          <w:tcPr>
            <w:tcW w:w="0" w:type="auto"/>
            <w:shd w:val="clear" w:color="auto" w:fill="1F242B" w:themeFill="accent2"/>
          </w:tcPr>
          <w:p w14:paraId="513B5E89" w14:textId="0E2F594A" w:rsidR="000A5ED1" w:rsidRPr="004712BA" w:rsidRDefault="000A5ED1" w:rsidP="00CD6BD0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Investmentmarkt</w:t>
            </w:r>
            <w:r w:rsidR="00800E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0E2C"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412E">
              <w:rPr>
                <w:rFonts w:ascii="Arial" w:hAnsi="Arial" w:cs="Arial"/>
                <w:b/>
                <w:sz w:val="20"/>
                <w:szCs w:val="20"/>
              </w:rPr>
              <w:t>Hamburg</w:t>
            </w:r>
            <w:r w:rsidR="00800E2C">
              <w:t xml:space="preserve"> </w:t>
            </w:r>
            <w:r w:rsidR="00800E2C"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 w:rsidR="00800E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6BD0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1F242B" w:themeFill="accent2"/>
          </w:tcPr>
          <w:p w14:paraId="6DA68AD4" w14:textId="7F9346F6" w:rsidR="000A5ED1" w:rsidRPr="004712BA" w:rsidRDefault="000A5ED1" w:rsidP="00465B0E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Q</w:t>
            </w:r>
            <w:r w:rsidR="00797E4F"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="005D3366">
              <w:rPr>
                <w:rFonts w:ascii="Arial" w:hAnsi="Arial" w:cs="Arial"/>
                <w:b/>
                <w:sz w:val="18"/>
                <w:szCs w:val="16"/>
              </w:rPr>
              <w:t>-2</w:t>
            </w:r>
          </w:p>
        </w:tc>
      </w:tr>
      <w:tr w:rsidR="00797E4F" w:rsidRPr="006F49D0" w14:paraId="12A35FD1" w14:textId="77777777" w:rsidTr="00365AF8">
        <w:trPr>
          <w:trHeight w:val="283"/>
        </w:trPr>
        <w:tc>
          <w:tcPr>
            <w:tcW w:w="3823" w:type="dxa"/>
          </w:tcPr>
          <w:p w14:paraId="1EEAFBBC" w14:textId="7D79639C" w:rsidR="00797E4F" w:rsidRPr="004712BA" w:rsidRDefault="00797E4F" w:rsidP="00E17864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Transaktionsvolumen </w:t>
            </w:r>
            <w:r w:rsidRPr="00CF57DD">
              <w:rPr>
                <w:rFonts w:ascii="Arial" w:hAnsi="Arial" w:cs="Arial"/>
                <w:sz w:val="18"/>
                <w:szCs w:val="16"/>
              </w:rPr>
              <w:t>[</w:t>
            </w:r>
            <w:r w:rsidR="00E17864">
              <w:rPr>
                <w:rFonts w:ascii="Arial" w:hAnsi="Arial" w:cs="Arial"/>
                <w:sz w:val="18"/>
                <w:szCs w:val="16"/>
              </w:rPr>
              <w:t>Mio</w:t>
            </w:r>
            <w:r w:rsidRPr="004712BA">
              <w:rPr>
                <w:rFonts w:ascii="Arial" w:hAnsi="Arial" w:cs="Arial"/>
                <w:sz w:val="18"/>
                <w:szCs w:val="16"/>
              </w:rPr>
              <w:t>. €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7C81A3D" w14:textId="7D7108C2" w:rsidR="00797E4F" w:rsidRPr="003B0F06" w:rsidRDefault="00DB5923" w:rsidP="00E17864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B0F06">
              <w:rPr>
                <w:rFonts w:ascii="Arial" w:hAnsi="Arial" w:cs="Arial"/>
                <w:sz w:val="18"/>
                <w:szCs w:val="16"/>
              </w:rPr>
              <w:t>2</w:t>
            </w:r>
            <w:r w:rsidR="00E17864" w:rsidRPr="003B0F06">
              <w:rPr>
                <w:rFonts w:ascii="Arial" w:hAnsi="Arial" w:cs="Arial"/>
                <w:sz w:val="18"/>
                <w:szCs w:val="16"/>
              </w:rPr>
              <w:t>.</w:t>
            </w:r>
            <w:r w:rsidRPr="003B0F06">
              <w:rPr>
                <w:rFonts w:ascii="Arial" w:hAnsi="Arial" w:cs="Arial"/>
                <w:sz w:val="18"/>
                <w:szCs w:val="16"/>
              </w:rPr>
              <w:t>0</w:t>
            </w:r>
            <w:r w:rsidR="00E17864" w:rsidRPr="003B0F06">
              <w:rPr>
                <w:rFonts w:ascii="Arial" w:hAnsi="Arial" w:cs="Arial"/>
                <w:sz w:val="18"/>
                <w:szCs w:val="16"/>
              </w:rPr>
              <w:t>30</w:t>
            </w:r>
          </w:p>
        </w:tc>
      </w:tr>
      <w:tr w:rsidR="00797E4F" w:rsidRPr="006F49D0" w14:paraId="6A7ABFCD" w14:textId="77777777" w:rsidTr="00365AF8">
        <w:trPr>
          <w:trHeight w:val="283"/>
        </w:trPr>
        <w:tc>
          <w:tcPr>
            <w:tcW w:w="3823" w:type="dxa"/>
          </w:tcPr>
          <w:p w14:paraId="209F9D9C" w14:textId="77777777" w:rsidR="00797E4F" w:rsidRPr="00A7575D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266E247E" w14:textId="2C7B3662" w:rsidR="00797E4F" w:rsidRPr="003B0F06" w:rsidRDefault="003B0F06" w:rsidP="003B0F0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B0F06">
              <w:rPr>
                <w:rFonts w:ascii="Arial" w:hAnsi="Arial" w:cs="Arial"/>
                <w:sz w:val="18"/>
                <w:szCs w:val="16"/>
              </w:rPr>
              <w:t>+85</w:t>
            </w:r>
          </w:p>
        </w:tc>
      </w:tr>
      <w:tr w:rsidR="00797E4F" w:rsidRPr="006F49D0" w14:paraId="1F46D6E3" w14:textId="77777777" w:rsidTr="00365AF8">
        <w:trPr>
          <w:trHeight w:val="283"/>
        </w:trPr>
        <w:tc>
          <w:tcPr>
            <w:tcW w:w="3823" w:type="dxa"/>
          </w:tcPr>
          <w:p w14:paraId="021D0700" w14:textId="77777777" w:rsidR="00797E4F" w:rsidRPr="00A7575D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F57DD">
              <w:rPr>
                <w:rFonts w:ascii="Arial" w:hAnsi="Arial" w:cs="Arial"/>
                <w:b/>
                <w:sz w:val="18"/>
                <w:szCs w:val="16"/>
              </w:rPr>
              <w:t>Anteil CBD</w:t>
            </w:r>
            <w:r>
              <w:rPr>
                <w:rFonts w:ascii="Arial" w:hAnsi="Arial" w:cs="Arial"/>
                <w:sz w:val="18"/>
                <w:szCs w:val="16"/>
              </w:rPr>
              <w:t xml:space="preserve"> [%]</w:t>
            </w:r>
          </w:p>
        </w:tc>
        <w:tc>
          <w:tcPr>
            <w:tcW w:w="1134" w:type="dxa"/>
            <w:vAlign w:val="center"/>
          </w:tcPr>
          <w:p w14:paraId="2EA23137" w14:textId="098B264D" w:rsidR="00797E4F" w:rsidRPr="003B0F06" w:rsidRDefault="00AC77A0" w:rsidP="000B7D2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41</w:t>
            </w:r>
          </w:p>
        </w:tc>
      </w:tr>
      <w:tr w:rsidR="00797E4F" w:rsidRPr="006F49D0" w14:paraId="1F687A93" w14:textId="77777777" w:rsidTr="00365AF8">
        <w:trPr>
          <w:trHeight w:val="283"/>
        </w:trPr>
        <w:tc>
          <w:tcPr>
            <w:tcW w:w="3823" w:type="dxa"/>
          </w:tcPr>
          <w:p w14:paraId="7BAE8D04" w14:textId="77777777" w:rsidR="00797E4F" w:rsidRPr="00CF57DD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Anteil internationaler Investoren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7264C863" w14:textId="0D555182" w:rsidR="00797E4F" w:rsidRPr="003B0F06" w:rsidRDefault="004C3F94" w:rsidP="000B7D2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B0F06">
              <w:rPr>
                <w:rFonts w:ascii="Arial" w:hAnsi="Arial" w:cs="Arial"/>
                <w:sz w:val="18"/>
                <w:szCs w:val="16"/>
              </w:rPr>
              <w:t>39</w:t>
            </w:r>
          </w:p>
        </w:tc>
      </w:tr>
      <w:tr w:rsidR="00797E4F" w:rsidRPr="006F49D0" w14:paraId="16A9EFD5" w14:textId="77777777" w:rsidTr="00365AF8">
        <w:trPr>
          <w:trHeight w:val="283"/>
        </w:trPr>
        <w:tc>
          <w:tcPr>
            <w:tcW w:w="3823" w:type="dxa"/>
          </w:tcPr>
          <w:p w14:paraId="776A8B5E" w14:textId="77777777" w:rsidR="00797E4F" w:rsidRPr="004712BA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Büro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4D71828B" w14:textId="717A48C3" w:rsidR="00797E4F" w:rsidRPr="003B0F06" w:rsidRDefault="00277361" w:rsidP="000B7D2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B0F06">
              <w:rPr>
                <w:rFonts w:ascii="Arial" w:hAnsi="Arial" w:cs="Arial"/>
                <w:sz w:val="18"/>
                <w:szCs w:val="16"/>
              </w:rPr>
              <w:t>2,80</w:t>
            </w:r>
          </w:p>
        </w:tc>
      </w:tr>
      <w:tr w:rsidR="00797E4F" w14:paraId="55B3498E" w14:textId="77777777" w:rsidTr="00365AF8">
        <w:trPr>
          <w:trHeight w:val="283"/>
        </w:trPr>
        <w:tc>
          <w:tcPr>
            <w:tcW w:w="3823" w:type="dxa"/>
          </w:tcPr>
          <w:p w14:paraId="10626FFC" w14:textId="3379598B" w:rsidR="00797E4F" w:rsidRPr="00A7575D" w:rsidRDefault="00797E4F" w:rsidP="0057685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2B6ED377" w14:textId="3DE00338" w:rsidR="00797E4F" w:rsidRPr="003B0F06" w:rsidRDefault="00277361" w:rsidP="000B7D2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B0F06">
              <w:rPr>
                <w:rFonts w:ascii="Arial" w:hAnsi="Arial" w:cs="Arial"/>
                <w:sz w:val="18"/>
                <w:szCs w:val="16"/>
              </w:rPr>
              <w:t>±0,00</w:t>
            </w:r>
          </w:p>
        </w:tc>
      </w:tr>
      <w:tr w:rsidR="00797E4F" w:rsidRPr="006F49D0" w14:paraId="3FF9A817" w14:textId="77777777" w:rsidTr="00365AF8">
        <w:trPr>
          <w:trHeight w:val="283"/>
        </w:trPr>
        <w:tc>
          <w:tcPr>
            <w:tcW w:w="3823" w:type="dxa"/>
          </w:tcPr>
          <w:p w14:paraId="5A19B7CF" w14:textId="77777777" w:rsidR="00797E4F" w:rsidRPr="004712BA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Geschäftshäuser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27AD5745" w14:textId="50D777AC" w:rsidR="00797E4F" w:rsidRPr="003B0F06" w:rsidRDefault="00277361" w:rsidP="000B7D2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B0F06">
              <w:rPr>
                <w:rFonts w:ascii="Arial" w:hAnsi="Arial" w:cs="Arial"/>
                <w:sz w:val="18"/>
                <w:szCs w:val="16"/>
              </w:rPr>
              <w:t>2,70</w:t>
            </w:r>
          </w:p>
        </w:tc>
      </w:tr>
      <w:tr w:rsidR="00797E4F" w14:paraId="0515B637" w14:textId="77777777" w:rsidTr="00365AF8">
        <w:trPr>
          <w:trHeight w:val="283"/>
        </w:trPr>
        <w:tc>
          <w:tcPr>
            <w:tcW w:w="3823" w:type="dxa"/>
          </w:tcPr>
          <w:p w14:paraId="67B252C5" w14:textId="516CED9B" w:rsidR="00797E4F" w:rsidRPr="00A7575D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F1E364B" w14:textId="61527676" w:rsidR="00797E4F" w:rsidRPr="003B0F06" w:rsidRDefault="00277361" w:rsidP="000B7D2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B0F06">
              <w:rPr>
                <w:rFonts w:ascii="Arial" w:hAnsi="Arial" w:cs="Arial"/>
                <w:sz w:val="18"/>
                <w:szCs w:val="16"/>
              </w:rPr>
              <w:t>±0,00</w:t>
            </w:r>
          </w:p>
        </w:tc>
      </w:tr>
      <w:tr w:rsidR="00797E4F" w:rsidRPr="006F49D0" w14:paraId="5FADA812" w14:textId="77777777" w:rsidTr="00365AF8">
        <w:trPr>
          <w:trHeight w:val="283"/>
        </w:trPr>
        <w:tc>
          <w:tcPr>
            <w:tcW w:w="3823" w:type="dxa"/>
          </w:tcPr>
          <w:p w14:paraId="2CFBFCBA" w14:textId="77777777" w:rsidR="00797E4F" w:rsidRPr="004712BA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Logistik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5A1B2D82" w14:textId="586A16CE" w:rsidR="00797E4F" w:rsidRPr="003B0F06" w:rsidRDefault="00277361" w:rsidP="000B7D2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B0F06">
              <w:rPr>
                <w:rFonts w:ascii="Arial" w:hAnsi="Arial" w:cs="Arial"/>
                <w:sz w:val="18"/>
                <w:szCs w:val="16"/>
              </w:rPr>
              <w:t>4,</w:t>
            </w:r>
            <w:r w:rsidR="000B7D28" w:rsidRPr="003B0F06">
              <w:rPr>
                <w:rFonts w:ascii="Arial" w:hAnsi="Arial" w:cs="Arial"/>
                <w:sz w:val="18"/>
                <w:szCs w:val="16"/>
              </w:rPr>
              <w:t>20</w:t>
            </w:r>
          </w:p>
        </w:tc>
      </w:tr>
      <w:tr w:rsidR="00797E4F" w14:paraId="20B8D9B7" w14:textId="77777777" w:rsidTr="00365AF8">
        <w:trPr>
          <w:trHeight w:val="283"/>
        </w:trPr>
        <w:tc>
          <w:tcPr>
            <w:tcW w:w="3823" w:type="dxa"/>
          </w:tcPr>
          <w:p w14:paraId="24159E32" w14:textId="5AE4316B" w:rsidR="00797E4F" w:rsidRPr="00A7575D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6C62ADF7" w14:textId="06BB93D4" w:rsidR="00797E4F" w:rsidRPr="003B0F06" w:rsidRDefault="00313876" w:rsidP="000B7D2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B0F06">
              <w:rPr>
                <w:rFonts w:ascii="Arial" w:hAnsi="Arial" w:cs="Arial"/>
                <w:sz w:val="18"/>
                <w:szCs w:val="16"/>
              </w:rPr>
              <w:t>-</w:t>
            </w:r>
            <w:r w:rsidR="00277361" w:rsidRPr="003B0F06">
              <w:rPr>
                <w:rFonts w:ascii="Arial" w:hAnsi="Arial" w:cs="Arial"/>
                <w:sz w:val="18"/>
                <w:szCs w:val="16"/>
              </w:rPr>
              <w:t>0,</w:t>
            </w:r>
            <w:r w:rsidR="000B7D28" w:rsidRPr="003B0F06">
              <w:rPr>
                <w:rFonts w:ascii="Arial" w:hAnsi="Arial" w:cs="Arial"/>
                <w:sz w:val="18"/>
                <w:szCs w:val="16"/>
              </w:rPr>
              <w:t>30</w:t>
            </w:r>
          </w:p>
        </w:tc>
      </w:tr>
      <w:tr w:rsidR="00797E4F" w:rsidRPr="006F49D0" w14:paraId="258FCBB3" w14:textId="77777777" w:rsidTr="00365AF8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6E84F40E" w14:textId="77777777" w:rsidR="00797E4F" w:rsidRPr="004712BA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93AE39" w14:textId="13EA6299" w:rsidR="00797E4F" w:rsidRPr="003B0F06" w:rsidRDefault="004C3F94" w:rsidP="000B7D2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B0F06"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</w:tr>
      <w:tr w:rsidR="00797E4F" w:rsidRPr="006F49D0" w14:paraId="15F08F3E" w14:textId="77777777" w:rsidTr="00365AF8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188669C5" w14:textId="77777777" w:rsidR="00797E4F" w:rsidRPr="004712BA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712BA">
              <w:rPr>
                <w:rFonts w:ascii="Arial" w:hAnsi="Arial" w:cs="Arial"/>
                <w:b/>
                <w:sz w:val="18"/>
                <w:szCs w:val="16"/>
              </w:rPr>
              <w:t xml:space="preserve">Assetklasse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9478F0" w14:textId="783FB697" w:rsidR="00797E4F" w:rsidRPr="003B0F06" w:rsidRDefault="004D7FFC" w:rsidP="00730191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  <w:r w:rsidR="00730191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</w:tbl>
    <w:p w14:paraId="7AFFF209" w14:textId="6BDFF14E" w:rsidR="000A5ED1" w:rsidRPr="00B26FFD" w:rsidRDefault="00FA0BF4" w:rsidP="000A5ED1">
      <w:pPr>
        <w:spacing w:after="0" w:line="360" w:lineRule="auto"/>
        <w:ind w:left="66"/>
        <w:textAlignment w:val="baseline"/>
        <w:rPr>
          <w:rFonts w:ascii="Arial" w:hAnsi="Arial" w:cs="Arial"/>
          <w:sz w:val="20"/>
          <w:szCs w:val="20"/>
        </w:rPr>
      </w:pPr>
      <w:r w:rsidRPr="00FA0BF4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3ED5EB00" wp14:editId="6B8D892A">
            <wp:simplePos x="0" y="0"/>
            <wp:positionH relativeFrom="column">
              <wp:posOffset>3275262</wp:posOffset>
            </wp:positionH>
            <wp:positionV relativeFrom="paragraph">
              <wp:posOffset>81984</wp:posOffset>
            </wp:positionV>
            <wp:extent cx="3063875" cy="2214245"/>
            <wp:effectExtent l="19050" t="19050" r="22225" b="14605"/>
            <wp:wrapSquare wrapText="bothSides"/>
            <wp:docPr id="5" name="Grafik 5" descr="N:\Presse\5_PresseMITTEILUNGEN\Marktbericht Investment\2020\2020_Q2\Grafiken\Investmentmarkt HH_2Q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Presse\5_PresseMITTEILUNGEN\Marktbericht Investment\2020\2020_Q2\Grafiken\Investmentmarkt HH_2Q2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214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53CCE" w14:textId="6F31FDBB" w:rsidR="000A5ED1" w:rsidRDefault="000A5ED1" w:rsidP="000A5ED1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28EB66BA" w14:textId="77777777" w:rsidR="00FA0BF4" w:rsidRDefault="00FA0BF4" w:rsidP="000A5ED1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29B26E04" w14:textId="56932712" w:rsidR="00A0600B" w:rsidRPr="00A0600B" w:rsidRDefault="00713D81" w:rsidP="008327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Ausgewählte </w:t>
      </w:r>
      <w:r w:rsidR="00FD39DE">
        <w:rPr>
          <w:rFonts w:ascii="Arial" w:hAnsi="Arial" w:cs="Arial"/>
          <w:b/>
          <w:sz w:val="20"/>
          <w:szCs w:val="20"/>
        </w:rPr>
        <w:t>Top-</w:t>
      </w:r>
      <w:r>
        <w:rPr>
          <w:rFonts w:ascii="Arial" w:hAnsi="Arial" w:cs="Arial"/>
          <w:b/>
          <w:sz w:val="20"/>
          <w:szCs w:val="20"/>
        </w:rPr>
        <w:t>Transaktionen</w:t>
      </w:r>
      <w:r w:rsidR="00E90673">
        <w:rPr>
          <w:rFonts w:ascii="Arial" w:hAnsi="Arial" w:cs="Arial"/>
          <w:b/>
          <w:sz w:val="20"/>
          <w:szCs w:val="20"/>
        </w:rPr>
        <w:t xml:space="preserve"> | Investmentmarkt </w:t>
      </w:r>
      <w:r w:rsidR="0054412E">
        <w:rPr>
          <w:rFonts w:ascii="Arial" w:hAnsi="Arial" w:cs="Arial"/>
          <w:b/>
          <w:sz w:val="20"/>
          <w:szCs w:val="20"/>
        </w:rPr>
        <w:t>Hamburg</w:t>
      </w:r>
      <w:r w:rsidR="00CD6BD0">
        <w:rPr>
          <w:rFonts w:ascii="Arial" w:hAnsi="Arial" w:cs="Arial"/>
          <w:b/>
          <w:sz w:val="20"/>
          <w:szCs w:val="20"/>
        </w:rPr>
        <w:t xml:space="preserve"> | 1</w:t>
      </w:r>
      <w:r w:rsidR="005D3366">
        <w:rPr>
          <w:rFonts w:ascii="Arial" w:hAnsi="Arial" w:cs="Arial"/>
          <w:b/>
          <w:sz w:val="20"/>
          <w:szCs w:val="20"/>
        </w:rPr>
        <w:t>.-2</w:t>
      </w:r>
      <w:r>
        <w:rPr>
          <w:rFonts w:ascii="Arial" w:hAnsi="Arial" w:cs="Arial"/>
          <w:b/>
          <w:sz w:val="20"/>
          <w:szCs w:val="20"/>
        </w:rPr>
        <w:t>.</w:t>
      </w:r>
      <w:r w:rsidRPr="00EE7FCA">
        <w:rPr>
          <w:rFonts w:ascii="Arial" w:hAnsi="Arial" w:cs="Arial"/>
          <w:b/>
          <w:sz w:val="20"/>
          <w:szCs w:val="20"/>
        </w:rPr>
        <w:t xml:space="preserve"> Quartal </w:t>
      </w:r>
      <w:r w:rsidR="00CD6BD0">
        <w:rPr>
          <w:rFonts w:ascii="Arial" w:hAnsi="Arial" w:cs="Arial"/>
          <w:b/>
          <w:sz w:val="20"/>
          <w:szCs w:val="20"/>
        </w:rPr>
        <w:t>2020</w:t>
      </w:r>
    </w:p>
    <w:tbl>
      <w:tblPr>
        <w:tblStyle w:val="TableGrid1"/>
        <w:tblpPr w:leftFromText="141" w:rightFromText="141" w:vertAnchor="text" w:horzAnchor="margin" w:tblpY="61"/>
        <w:tblW w:w="10038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276"/>
        <w:gridCol w:w="2268"/>
        <w:gridCol w:w="1937"/>
        <w:gridCol w:w="1137"/>
        <w:gridCol w:w="23"/>
      </w:tblGrid>
      <w:tr w:rsidR="0057685F" w:rsidRPr="006F49D0" w14:paraId="3881C746" w14:textId="77777777" w:rsidTr="00A81626">
        <w:trPr>
          <w:gridAfter w:val="1"/>
          <w:wAfter w:w="23" w:type="dxa"/>
          <w:trHeight w:val="567"/>
        </w:trPr>
        <w:tc>
          <w:tcPr>
            <w:tcW w:w="2263" w:type="dxa"/>
            <w:shd w:val="clear" w:color="auto" w:fill="1F242B" w:themeFill="accent2"/>
            <w:vAlign w:val="center"/>
          </w:tcPr>
          <w:p w14:paraId="2D3315CD" w14:textId="71BF6E52" w:rsidR="00713D81" w:rsidRDefault="00713D81" w:rsidP="00713D81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Projekt</w:t>
            </w:r>
            <w:r w:rsidR="0057685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F10F1">
              <w:rPr>
                <w:rFonts w:ascii="Arial" w:hAnsi="Arial" w:cs="Arial"/>
                <w:b/>
                <w:sz w:val="18"/>
                <w:szCs w:val="16"/>
              </w:rPr>
              <w:t>/</w:t>
            </w:r>
            <w:r w:rsidR="0057685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F10F1">
              <w:rPr>
                <w:rFonts w:ascii="Arial" w:hAnsi="Arial" w:cs="Arial"/>
                <w:b/>
                <w:sz w:val="18"/>
                <w:szCs w:val="16"/>
              </w:rPr>
              <w:t>Objekt</w:t>
            </w:r>
          </w:p>
          <w:p w14:paraId="1BD8284D" w14:textId="77777777" w:rsidR="00713D81" w:rsidRPr="00C626E7" w:rsidRDefault="00713D81" w:rsidP="00713D81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Straße Nr. </w:t>
            </w:r>
          </w:p>
        </w:tc>
        <w:tc>
          <w:tcPr>
            <w:tcW w:w="1134" w:type="dxa"/>
            <w:shd w:val="clear" w:color="auto" w:fill="1F242B" w:themeFill="accent2"/>
          </w:tcPr>
          <w:p w14:paraId="4E8EC8BF" w14:textId="6417BD91" w:rsidR="00713D81" w:rsidRPr="009F10F1" w:rsidRDefault="00713D81" w:rsidP="00713D81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Teilmarkt</w:t>
            </w:r>
          </w:p>
        </w:tc>
        <w:tc>
          <w:tcPr>
            <w:tcW w:w="1276" w:type="dxa"/>
            <w:shd w:val="clear" w:color="auto" w:fill="1F242B" w:themeFill="accent2"/>
          </w:tcPr>
          <w:p w14:paraId="56B818C2" w14:textId="77777777" w:rsidR="00713D81" w:rsidRPr="009F10F1" w:rsidRDefault="00713D81" w:rsidP="00713D81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Asset-klasse</w:t>
            </w:r>
          </w:p>
        </w:tc>
        <w:tc>
          <w:tcPr>
            <w:tcW w:w="2268" w:type="dxa"/>
            <w:shd w:val="clear" w:color="auto" w:fill="1F242B" w:themeFill="accent2"/>
            <w:vAlign w:val="center"/>
          </w:tcPr>
          <w:p w14:paraId="6F9AAE5A" w14:textId="4A2FFAB4" w:rsidR="00713D81" w:rsidRPr="009F10F1" w:rsidRDefault="00D0004A" w:rsidP="00713D81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Käufer</w:t>
            </w:r>
          </w:p>
        </w:tc>
        <w:tc>
          <w:tcPr>
            <w:tcW w:w="1937" w:type="dxa"/>
            <w:shd w:val="clear" w:color="auto" w:fill="1F242B" w:themeFill="accent2"/>
            <w:vAlign w:val="center"/>
          </w:tcPr>
          <w:p w14:paraId="1C1FB7C5" w14:textId="4DB4F905" w:rsidR="00713D81" w:rsidRPr="009F10F1" w:rsidRDefault="00713D81" w:rsidP="00713D81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Verkäufer</w:t>
            </w:r>
          </w:p>
        </w:tc>
        <w:tc>
          <w:tcPr>
            <w:tcW w:w="1137" w:type="dxa"/>
            <w:shd w:val="clear" w:color="auto" w:fill="1F242B" w:themeFill="accent2"/>
            <w:vAlign w:val="center"/>
          </w:tcPr>
          <w:p w14:paraId="07D9CAD3" w14:textId="678A9FB3" w:rsidR="00713D81" w:rsidRPr="009F10F1" w:rsidRDefault="00713D81" w:rsidP="00713D81">
            <w:pPr>
              <w:widowControl w:val="0"/>
              <w:spacing w:before="60"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Kaufpreis*</w:t>
            </w:r>
          </w:p>
          <w:p w14:paraId="4946B45A" w14:textId="1E52F7FD" w:rsidR="00713D81" w:rsidRPr="009F10F1" w:rsidRDefault="00713D81" w:rsidP="00713D81">
            <w:pPr>
              <w:widowControl w:val="0"/>
              <w:spacing w:before="60"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[ca. Mio. €]</w:t>
            </w:r>
          </w:p>
        </w:tc>
      </w:tr>
      <w:tr w:rsidR="00F2414C" w:rsidRPr="00F2414C" w14:paraId="536A5B8F" w14:textId="77777777" w:rsidTr="00A81626">
        <w:trPr>
          <w:gridAfter w:val="1"/>
          <w:wAfter w:w="23" w:type="dxa"/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61881AA3" w14:textId="596B855B" w:rsidR="006321DC" w:rsidRPr="005D3366" w:rsidRDefault="000623C0" w:rsidP="00CF2E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33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„Johann Kontor”, Klosterwall 6-8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72BEE6" w14:textId="5F0353D5" w:rsidR="006321DC" w:rsidRPr="000B7D28" w:rsidRDefault="000623C0" w:rsidP="00797E4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B7D2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City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255AB" w14:textId="32A9A9F6" w:rsidR="006321DC" w:rsidRPr="000B7D28" w:rsidRDefault="000623C0" w:rsidP="00797E4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B7D2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Mixed-Use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6D7257" w14:textId="1E52B92B" w:rsidR="006321DC" w:rsidRPr="000B7D28" w:rsidRDefault="00A81626" w:rsidP="008652F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Captiva / </w:t>
            </w:r>
            <w:proofErr w:type="spellStart"/>
            <w:r w:rsidR="00A975B1" w:rsidRPr="00BB6626">
              <w:rPr>
                <w:rFonts w:ascii="Arial" w:hAnsi="Arial" w:cs="Arial"/>
                <w:sz w:val="18"/>
                <w:szCs w:val="18"/>
                <w:lang w:val="en-US"/>
              </w:rPr>
              <w:t>HanseMerkur</w:t>
            </w:r>
            <w:proofErr w:type="spellEnd"/>
            <w:r w:rsidR="008652FA" w:rsidRPr="00BB6626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8652FA" w:rsidRPr="00BB662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Aug. </w:t>
            </w:r>
            <w:proofErr w:type="spellStart"/>
            <w:r w:rsidR="008652FA" w:rsidRPr="00BB6626">
              <w:rPr>
                <w:rFonts w:ascii="Arial" w:hAnsi="Arial" w:cs="Arial"/>
                <w:bCs/>
                <w:sz w:val="18"/>
                <w:szCs w:val="18"/>
                <w:lang w:val="en-GB"/>
              </w:rPr>
              <w:t>Prien</w:t>
            </w:r>
            <w:proofErr w:type="spellEnd"/>
            <w:r w:rsidR="008652FA" w:rsidRPr="00BB662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Family Office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9C838C3" w14:textId="5B929C42" w:rsidR="006321DC" w:rsidRPr="000B7D28" w:rsidRDefault="000623C0" w:rsidP="00CF2E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7D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Aug. Prien 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13683C7" w14:textId="5B93353A" w:rsidR="006321DC" w:rsidRPr="000B7D28" w:rsidRDefault="0061138B" w:rsidP="00346814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&gt;300</w:t>
            </w:r>
          </w:p>
        </w:tc>
      </w:tr>
      <w:tr w:rsidR="00E007DD" w:rsidRPr="006F49D0" w14:paraId="7ED75F87" w14:textId="77777777" w:rsidTr="00102873">
        <w:trPr>
          <w:gridAfter w:val="1"/>
          <w:wAfter w:w="23" w:type="dxa"/>
          <w:trHeight w:val="567"/>
        </w:trPr>
        <w:tc>
          <w:tcPr>
            <w:tcW w:w="2263" w:type="dxa"/>
            <w:shd w:val="clear" w:color="auto" w:fill="CECACE" w:themeFill="background2" w:themeFillShade="E6"/>
            <w:vAlign w:val="center"/>
          </w:tcPr>
          <w:p w14:paraId="23C7E9E3" w14:textId="57DEA429" w:rsidR="00E007DD" w:rsidRPr="0061138B" w:rsidRDefault="00346814" w:rsidP="00CC6FB9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1138B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="005D3366">
              <w:rPr>
                <w:rFonts w:ascii="Arial" w:hAnsi="Arial" w:cs="Arial"/>
                <w:sz w:val="18"/>
                <w:szCs w:val="18"/>
              </w:rPr>
              <w:t>Ericus-Contor</w:t>
            </w:r>
            <w:proofErr w:type="spellEnd"/>
            <w:r w:rsidRPr="0061138B">
              <w:rPr>
                <w:rFonts w:ascii="Arial" w:hAnsi="Arial" w:cs="Arial"/>
                <w:sz w:val="18"/>
                <w:szCs w:val="18"/>
              </w:rPr>
              <w:t xml:space="preserve">“, </w:t>
            </w:r>
            <w:proofErr w:type="spellStart"/>
            <w:r w:rsidR="005D3366" w:rsidRPr="005D3366">
              <w:rPr>
                <w:rFonts w:ascii="Arial" w:hAnsi="Arial" w:cs="Arial"/>
                <w:sz w:val="18"/>
                <w:szCs w:val="18"/>
              </w:rPr>
              <w:t>Ericusspitze</w:t>
            </w:r>
            <w:proofErr w:type="spellEnd"/>
            <w:r w:rsidR="005D3366" w:rsidRPr="005D3366">
              <w:rPr>
                <w:rFonts w:ascii="Arial" w:hAnsi="Arial" w:cs="Arial"/>
                <w:sz w:val="18"/>
                <w:szCs w:val="18"/>
              </w:rPr>
              <w:t xml:space="preserve"> 2-4</w:t>
            </w:r>
          </w:p>
        </w:tc>
        <w:tc>
          <w:tcPr>
            <w:tcW w:w="1134" w:type="dxa"/>
            <w:shd w:val="clear" w:color="auto" w:fill="CECACE" w:themeFill="background2" w:themeFillShade="E6"/>
            <w:vAlign w:val="center"/>
          </w:tcPr>
          <w:p w14:paraId="476473DE" w14:textId="7190EC02" w:rsidR="00E007DD" w:rsidRPr="0061138B" w:rsidRDefault="005D3366" w:rsidP="00797E4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5D3366">
              <w:rPr>
                <w:rFonts w:ascii="Arial" w:hAnsi="Arial" w:cs="Arial"/>
                <w:sz w:val="18"/>
                <w:szCs w:val="18"/>
              </w:rPr>
              <w:t>afenCity</w:t>
            </w:r>
          </w:p>
        </w:tc>
        <w:tc>
          <w:tcPr>
            <w:tcW w:w="1276" w:type="dxa"/>
            <w:shd w:val="clear" w:color="auto" w:fill="CECACE" w:themeFill="background2" w:themeFillShade="E6"/>
            <w:vAlign w:val="center"/>
          </w:tcPr>
          <w:p w14:paraId="73BDF3A5" w14:textId="3FC186D9" w:rsidR="00E007DD" w:rsidRPr="0061138B" w:rsidRDefault="005D3366" w:rsidP="00CC6FB9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7D28">
              <w:rPr>
                <w:rFonts w:ascii="Arial" w:hAnsi="Arial" w:cs="Arial"/>
                <w:sz w:val="18"/>
                <w:szCs w:val="18"/>
              </w:rPr>
              <w:t>Büro</w:t>
            </w:r>
          </w:p>
        </w:tc>
        <w:tc>
          <w:tcPr>
            <w:tcW w:w="2268" w:type="dxa"/>
            <w:shd w:val="clear" w:color="auto" w:fill="CECACE" w:themeFill="background2" w:themeFillShade="E6"/>
            <w:vAlign w:val="center"/>
          </w:tcPr>
          <w:p w14:paraId="593905A3" w14:textId="0401CC3A" w:rsidR="00E007DD" w:rsidRPr="0061138B" w:rsidRDefault="005D3366" w:rsidP="00405D59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3366">
              <w:rPr>
                <w:rFonts w:ascii="Arial" w:hAnsi="Arial" w:cs="Arial"/>
                <w:sz w:val="18"/>
                <w:szCs w:val="18"/>
              </w:rPr>
              <w:t>Union Investment</w:t>
            </w:r>
          </w:p>
        </w:tc>
        <w:tc>
          <w:tcPr>
            <w:tcW w:w="1937" w:type="dxa"/>
            <w:shd w:val="clear" w:color="auto" w:fill="CECACE" w:themeFill="background2" w:themeFillShade="E6"/>
            <w:vAlign w:val="center"/>
          </w:tcPr>
          <w:p w14:paraId="7B9A326D" w14:textId="79765D51" w:rsidR="00E007DD" w:rsidRPr="0061138B" w:rsidRDefault="005D3366" w:rsidP="000B7D28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3366">
              <w:rPr>
                <w:rFonts w:ascii="Arial" w:hAnsi="Arial" w:cs="Arial"/>
                <w:sz w:val="18"/>
                <w:szCs w:val="18"/>
              </w:rPr>
              <w:t>Patrizia</w:t>
            </w:r>
          </w:p>
        </w:tc>
        <w:tc>
          <w:tcPr>
            <w:tcW w:w="1137" w:type="dxa"/>
            <w:shd w:val="clear" w:color="auto" w:fill="CECACE" w:themeFill="background2" w:themeFillShade="E6"/>
            <w:vAlign w:val="center"/>
          </w:tcPr>
          <w:p w14:paraId="658D753C" w14:textId="6966ECBB" w:rsidR="00E007DD" w:rsidRPr="0061138B" w:rsidRDefault="005D3366" w:rsidP="00E007DD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</w:tr>
      <w:tr w:rsidR="00CF2E86" w:rsidRPr="006F49D0" w14:paraId="0B564638" w14:textId="77777777" w:rsidTr="00102873">
        <w:trPr>
          <w:gridAfter w:val="1"/>
          <w:wAfter w:w="23" w:type="dxa"/>
          <w:trHeight w:val="567"/>
        </w:trPr>
        <w:tc>
          <w:tcPr>
            <w:tcW w:w="2263" w:type="dxa"/>
            <w:shd w:val="clear" w:color="auto" w:fill="CECACE" w:themeFill="background2" w:themeFillShade="E6"/>
            <w:vAlign w:val="center"/>
          </w:tcPr>
          <w:p w14:paraId="0E6078DB" w14:textId="6EEA5C28" w:rsidR="00CF2E86" w:rsidRPr="000B7D28" w:rsidRDefault="00346814" w:rsidP="00CF2E8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7D28">
              <w:rPr>
                <w:rFonts w:ascii="Arial" w:hAnsi="Arial" w:cs="Arial"/>
                <w:sz w:val="18"/>
                <w:szCs w:val="18"/>
              </w:rPr>
              <w:t>„</w:t>
            </w:r>
            <w:r w:rsidR="005D3366">
              <w:rPr>
                <w:rFonts w:ascii="Arial" w:hAnsi="Arial" w:cs="Arial"/>
                <w:sz w:val="18"/>
                <w:szCs w:val="18"/>
              </w:rPr>
              <w:t>Quartier am Zeughaus</w:t>
            </w:r>
            <w:r w:rsidRPr="000B7D28">
              <w:rPr>
                <w:rFonts w:ascii="Arial" w:hAnsi="Arial" w:cs="Arial"/>
                <w:sz w:val="18"/>
                <w:szCs w:val="18"/>
              </w:rPr>
              <w:t xml:space="preserve">“, </w:t>
            </w:r>
            <w:r w:rsidR="005D3366">
              <w:rPr>
                <w:rFonts w:ascii="Arial" w:hAnsi="Arial" w:cs="Arial"/>
                <w:sz w:val="18"/>
                <w:szCs w:val="18"/>
              </w:rPr>
              <w:t xml:space="preserve">Christoph-Probst-Weg </w:t>
            </w:r>
            <w:r w:rsidR="005D3366" w:rsidRPr="005D3366">
              <w:rPr>
                <w:rFonts w:ascii="Arial" w:hAnsi="Arial" w:cs="Arial"/>
                <w:sz w:val="18"/>
                <w:szCs w:val="18"/>
              </w:rPr>
              <w:t>26-31,3-4, 1-2</w:t>
            </w:r>
          </w:p>
        </w:tc>
        <w:tc>
          <w:tcPr>
            <w:tcW w:w="1134" w:type="dxa"/>
            <w:shd w:val="clear" w:color="auto" w:fill="CECACE" w:themeFill="background2" w:themeFillShade="E6"/>
            <w:vAlign w:val="center"/>
          </w:tcPr>
          <w:p w14:paraId="26092AC0" w14:textId="61866B7B" w:rsidR="00CF2E86" w:rsidRPr="000B7D28" w:rsidRDefault="005D3366" w:rsidP="00CF2E8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02873">
              <w:rPr>
                <w:rFonts w:ascii="Arial" w:hAnsi="Arial" w:cs="Arial"/>
                <w:sz w:val="18"/>
                <w:szCs w:val="18"/>
              </w:rPr>
              <w:t>Eppendorf</w:t>
            </w:r>
          </w:p>
        </w:tc>
        <w:tc>
          <w:tcPr>
            <w:tcW w:w="1276" w:type="dxa"/>
            <w:shd w:val="clear" w:color="auto" w:fill="CECACE" w:themeFill="background2" w:themeFillShade="E6"/>
            <w:vAlign w:val="center"/>
          </w:tcPr>
          <w:p w14:paraId="48B9BC46" w14:textId="49A7CC99" w:rsidR="00CF2E86" w:rsidRPr="000B7D28" w:rsidRDefault="005D3366" w:rsidP="00CF2E8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7D28">
              <w:rPr>
                <w:rFonts w:ascii="Arial" w:hAnsi="Arial" w:cs="Arial"/>
                <w:sz w:val="18"/>
                <w:szCs w:val="18"/>
              </w:rPr>
              <w:t>Büro</w:t>
            </w:r>
          </w:p>
        </w:tc>
        <w:tc>
          <w:tcPr>
            <w:tcW w:w="2268" w:type="dxa"/>
            <w:shd w:val="clear" w:color="auto" w:fill="CECACE" w:themeFill="background2" w:themeFillShade="E6"/>
            <w:vAlign w:val="center"/>
          </w:tcPr>
          <w:p w14:paraId="1878AFEF" w14:textId="3B5F7DF7" w:rsidR="00CF2E86" w:rsidRPr="000B7D28" w:rsidRDefault="005D3366" w:rsidP="00CF2E8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3366">
              <w:rPr>
                <w:rFonts w:ascii="Arial" w:hAnsi="Arial" w:cs="Arial"/>
                <w:sz w:val="18"/>
                <w:szCs w:val="18"/>
              </w:rPr>
              <w:t>Covivio</w:t>
            </w:r>
            <w:proofErr w:type="spellEnd"/>
          </w:p>
        </w:tc>
        <w:tc>
          <w:tcPr>
            <w:tcW w:w="1937" w:type="dxa"/>
            <w:shd w:val="clear" w:color="auto" w:fill="CECACE" w:themeFill="background2" w:themeFillShade="E6"/>
            <w:vAlign w:val="center"/>
          </w:tcPr>
          <w:p w14:paraId="690229E1" w14:textId="2C4794A8" w:rsidR="00CF2E86" w:rsidRPr="000B7D28" w:rsidRDefault="005D3366" w:rsidP="00CF2E8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3366">
              <w:rPr>
                <w:rFonts w:ascii="Arial" w:hAnsi="Arial" w:cs="Arial"/>
                <w:sz w:val="18"/>
                <w:szCs w:val="18"/>
              </w:rPr>
              <w:t>Godewind</w:t>
            </w:r>
            <w:proofErr w:type="spellEnd"/>
          </w:p>
        </w:tc>
        <w:tc>
          <w:tcPr>
            <w:tcW w:w="1137" w:type="dxa"/>
            <w:shd w:val="clear" w:color="auto" w:fill="CECACE" w:themeFill="background2" w:themeFillShade="E6"/>
            <w:vAlign w:val="center"/>
          </w:tcPr>
          <w:p w14:paraId="130D9693" w14:textId="68CEA589" w:rsidR="00CF2E86" w:rsidRPr="000B7D28" w:rsidRDefault="00DA01CC" w:rsidP="00CF2E86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</w:tr>
      <w:tr w:rsidR="00CF2E86" w:rsidRPr="00F4684B" w14:paraId="451329F1" w14:textId="77777777" w:rsidTr="00102873">
        <w:trPr>
          <w:gridAfter w:val="1"/>
          <w:wAfter w:w="23" w:type="dxa"/>
          <w:trHeight w:val="56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ECACE" w:themeFill="background2" w:themeFillShade="E6"/>
            <w:vAlign w:val="center"/>
          </w:tcPr>
          <w:p w14:paraId="5605083E" w14:textId="1919CC8C" w:rsidR="00346814" w:rsidRPr="000B7D28" w:rsidRDefault="00346814" w:rsidP="00346814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7D28">
              <w:rPr>
                <w:rFonts w:ascii="Arial" w:hAnsi="Arial" w:cs="Arial"/>
                <w:sz w:val="18"/>
                <w:szCs w:val="18"/>
              </w:rPr>
              <w:t>„</w:t>
            </w:r>
            <w:r w:rsidR="00DA01CC">
              <w:rPr>
                <w:rFonts w:ascii="Arial" w:hAnsi="Arial" w:cs="Arial"/>
                <w:sz w:val="18"/>
                <w:szCs w:val="18"/>
              </w:rPr>
              <w:t xml:space="preserve">Neuer </w:t>
            </w:r>
            <w:proofErr w:type="spellStart"/>
            <w:r w:rsidR="00DA01CC">
              <w:rPr>
                <w:rFonts w:ascii="Arial" w:hAnsi="Arial" w:cs="Arial"/>
                <w:sz w:val="18"/>
                <w:szCs w:val="18"/>
              </w:rPr>
              <w:t>Dovenhof</w:t>
            </w:r>
            <w:proofErr w:type="spellEnd"/>
            <w:r w:rsidRPr="000B7D28">
              <w:rPr>
                <w:rFonts w:ascii="Arial" w:hAnsi="Arial" w:cs="Arial"/>
                <w:sz w:val="18"/>
                <w:szCs w:val="18"/>
              </w:rPr>
              <w:t>“,</w:t>
            </w:r>
          </w:p>
          <w:p w14:paraId="6659F312" w14:textId="6BC6281F" w:rsidR="00CF2E86" w:rsidRPr="000B7D28" w:rsidRDefault="005D3366" w:rsidP="00346814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3366">
              <w:rPr>
                <w:rFonts w:ascii="Arial" w:hAnsi="Arial" w:cs="Arial"/>
                <w:sz w:val="18"/>
                <w:szCs w:val="18"/>
              </w:rPr>
              <w:t>Brandstwiete</w:t>
            </w:r>
            <w:proofErr w:type="spellEnd"/>
            <w:r w:rsidRPr="005D3366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ECACE" w:themeFill="background2" w:themeFillShade="E6"/>
            <w:vAlign w:val="center"/>
          </w:tcPr>
          <w:p w14:paraId="23CEE417" w14:textId="0B25D0C8" w:rsidR="00CF2E86" w:rsidRPr="000B7D28" w:rsidRDefault="005D3366" w:rsidP="00CF2E8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ECACE" w:themeFill="background2" w:themeFillShade="E6"/>
            <w:vAlign w:val="center"/>
          </w:tcPr>
          <w:p w14:paraId="53110512" w14:textId="2D182579" w:rsidR="00CF2E86" w:rsidRPr="000B7D28" w:rsidRDefault="000B7D28" w:rsidP="00CF2E8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7D28">
              <w:rPr>
                <w:rFonts w:ascii="Arial" w:hAnsi="Arial" w:cs="Arial"/>
                <w:sz w:val="18"/>
                <w:szCs w:val="18"/>
              </w:rPr>
              <w:t>Büro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ECACE" w:themeFill="background2" w:themeFillShade="E6"/>
            <w:vAlign w:val="center"/>
          </w:tcPr>
          <w:p w14:paraId="4EFC5EA7" w14:textId="16BAE971" w:rsidR="00CF2E86" w:rsidRPr="000B7D28" w:rsidRDefault="005D3366" w:rsidP="00A8319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5D3366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="00A83191">
              <w:rPr>
                <w:rFonts w:ascii="Arial" w:hAnsi="Arial" w:cs="Arial"/>
                <w:color w:val="000000"/>
                <w:sz w:val="18"/>
                <w:szCs w:val="18"/>
              </w:rPr>
              <w:t>urich</w:t>
            </w:r>
            <w:proofErr w:type="spellEnd"/>
            <w:r w:rsidR="00A831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3366">
              <w:rPr>
                <w:rFonts w:ascii="Arial" w:hAnsi="Arial" w:cs="Arial"/>
                <w:color w:val="000000"/>
                <w:sz w:val="18"/>
                <w:szCs w:val="18"/>
              </w:rPr>
              <w:t>Versicherung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CECACE" w:themeFill="background2" w:themeFillShade="E6"/>
            <w:vAlign w:val="center"/>
          </w:tcPr>
          <w:p w14:paraId="42C801B6" w14:textId="4C4CFF1F" w:rsidR="00CF2E86" w:rsidRPr="000B7D28" w:rsidRDefault="005D3366" w:rsidP="000B7D28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Swiss Life REIM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CECACE" w:themeFill="background2" w:themeFillShade="E6"/>
            <w:vAlign w:val="center"/>
          </w:tcPr>
          <w:p w14:paraId="0DF6832E" w14:textId="6C076331" w:rsidR="00CF2E86" w:rsidRPr="000B7D28" w:rsidRDefault="005D3366" w:rsidP="00CF2E86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</w:tr>
      <w:tr w:rsidR="00713D81" w:rsidRPr="00797E2F" w14:paraId="03C1DF19" w14:textId="77777777" w:rsidTr="00E007DD">
        <w:trPr>
          <w:trHeight w:val="455"/>
        </w:trPr>
        <w:tc>
          <w:tcPr>
            <w:tcW w:w="100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87552C" w14:textId="32CE7102" w:rsidR="005504C9" w:rsidRDefault="00713D81" w:rsidP="005504C9">
            <w:pPr>
              <w:widowControl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474C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679D">
              <w:rPr>
                <w:rFonts w:ascii="Arial" w:hAnsi="Arial" w:cs="Arial"/>
                <w:sz w:val="16"/>
                <w:szCs w:val="16"/>
              </w:rPr>
              <w:t>Die aufgeführten Kaufpreise ba</w:t>
            </w:r>
            <w:r>
              <w:rPr>
                <w:rFonts w:ascii="Arial" w:hAnsi="Arial" w:cs="Arial"/>
                <w:sz w:val="16"/>
                <w:szCs w:val="16"/>
              </w:rPr>
              <w:t xml:space="preserve">sieren auf öffentlich verfügbaren Angaben; </w:t>
            </w:r>
            <w:r w:rsidRPr="00B4679D">
              <w:rPr>
                <w:rFonts w:ascii="Arial" w:hAnsi="Arial" w:cs="Arial"/>
                <w:sz w:val="16"/>
                <w:szCs w:val="16"/>
              </w:rPr>
              <w:t xml:space="preserve">wo solche fehlen, sind </w:t>
            </w: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r w:rsidRPr="00B4679D">
              <w:rPr>
                <w:rFonts w:ascii="Arial" w:hAnsi="Arial" w:cs="Arial"/>
                <w:sz w:val="16"/>
                <w:szCs w:val="16"/>
              </w:rPr>
              <w:t>Kaufpreise geschätzt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5504C9">
              <w:rPr>
                <w:rFonts w:ascii="Arial" w:hAnsi="Arial" w:cs="Arial"/>
                <w:sz w:val="16"/>
                <w:szCs w:val="16"/>
              </w:rPr>
              <w:t>Neue Deals/Deals aus jeweiligem Berichtsquartal sind grau hinterlegt</w:t>
            </w:r>
          </w:p>
          <w:p w14:paraId="1976F5D6" w14:textId="15082846" w:rsidR="00713D81" w:rsidRPr="001871BC" w:rsidRDefault="00713D81" w:rsidP="00E04392">
            <w:pPr>
              <w:widowControl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A84312" w14:textId="77777777" w:rsidR="00713D81" w:rsidRDefault="00713D81" w:rsidP="000A5ED1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CB225B7" w14:textId="6EE00BE0" w:rsidR="00897DBE" w:rsidRPr="00897DBE" w:rsidRDefault="00FC40F0" w:rsidP="00CE4A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Der ausführliche </w:t>
      </w:r>
      <w:r w:rsidRPr="008327E5">
        <w:rPr>
          <w:rFonts w:ascii="Arial" w:eastAsia="Arial" w:hAnsi="Arial" w:cs="Arial"/>
          <w:sz w:val="20"/>
          <w:szCs w:val="20"/>
        </w:rPr>
        <w:t>Marktbericht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steht in Kürze auf unserer </w:t>
      </w:r>
      <w:hyperlink r:id="rId9" w:history="1">
        <w:r w:rsidRPr="00FC40F0">
          <w:rPr>
            <w:rStyle w:val="Hyperlink"/>
            <w:rFonts w:ascii="Arial" w:eastAsia="Arial" w:hAnsi="Arial" w:cs="Arial"/>
            <w:sz w:val="20"/>
            <w:szCs w:val="20"/>
          </w:rPr>
          <w:t>Website</w:t>
        </w:r>
      </w:hyperlink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zum Download bereit</w:t>
      </w:r>
      <w:r w:rsidR="002B14F6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51C1AA4D" w14:textId="23D05B49" w:rsidR="00046FEC" w:rsidRDefault="00046FEC" w:rsidP="00A73C12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7CB0AA0" w14:textId="77777777" w:rsidR="002B0F0D" w:rsidRPr="0090748B" w:rsidRDefault="002B0F0D" w:rsidP="002B0F0D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</w:t>
      </w:r>
      <w:r w:rsidRPr="0090748B">
        <w:rPr>
          <w:rFonts w:ascii="Arial" w:hAnsi="Arial" w:cs="Arial"/>
          <w:b/>
          <w:sz w:val="16"/>
          <w:szCs w:val="16"/>
        </w:rPr>
        <w:t>ber Grossmann &amp; Berger</w:t>
      </w:r>
    </w:p>
    <w:p w14:paraId="73637DFB" w14:textId="77777777" w:rsidR="002B0F0D" w:rsidRPr="00583E25" w:rsidRDefault="002B0F0D" w:rsidP="002B0F0D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  <w:r w:rsidRPr="00583E25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B17BF5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83E25">
        <w:rPr>
          <w:rFonts w:ascii="Arial" w:hAnsi="Arial" w:cs="Arial"/>
          <w:snapToGrid w:val="0"/>
          <w:sz w:val="16"/>
          <w:szCs w:val="16"/>
        </w:rPr>
        <w:t xml:space="preserve"> ist einer der führenden Immobiliendienstleister für den Verkauf und die Vermietung von Gewerbe- und Wohn-Immobilien in Norddeutschland. Mit Hauptsitz in Hamburg, einer Niederlassung in Berlin und insgesamt </w:t>
      </w:r>
      <w:r>
        <w:rPr>
          <w:rFonts w:ascii="Arial" w:hAnsi="Arial" w:cs="Arial"/>
          <w:snapToGrid w:val="0"/>
          <w:sz w:val="16"/>
          <w:szCs w:val="16"/>
        </w:rPr>
        <w:t>vier</w:t>
      </w:r>
      <w:r w:rsidRPr="00583E25">
        <w:rPr>
          <w:rFonts w:ascii="Arial" w:hAnsi="Arial" w:cs="Arial"/>
          <w:snapToGrid w:val="0"/>
          <w:sz w:val="16"/>
          <w:szCs w:val="16"/>
        </w:rPr>
        <w:t>zehn Immobilienshops ist das Unternehmen mit über 190 Mitarbeitern flächendeckend im norddeutschen Markt präsent. Dank der über 85-jährigen Erfahrung verfügt Grossmann &amp; Berger über umfassende Immobilienkompetenz.</w:t>
      </w:r>
    </w:p>
    <w:p w14:paraId="4AE4E890" w14:textId="77777777" w:rsidR="002B0F0D" w:rsidRPr="00583E25" w:rsidRDefault="002B0F0D" w:rsidP="002B0F0D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</w:p>
    <w:p w14:paraId="4ABAC92F" w14:textId="77777777" w:rsidR="002B0F0D" w:rsidRPr="00583E25" w:rsidRDefault="002B0F0D" w:rsidP="002B0F0D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  <w:r w:rsidRPr="00583E25">
        <w:rPr>
          <w:rFonts w:ascii="Arial" w:hAnsi="Arial" w:cs="Arial"/>
          <w:sz w:val="16"/>
          <w:szCs w:val="16"/>
        </w:rPr>
        <w:t xml:space="preserve">Grossmann &amp; Berger ist ein Beteiligungsunternehmen der HASPA-Gruppe, zu der mit der Hamburger Sparkasse (Haspa) auch Deutschlands größte Sparkasse gehört. Zudem ist das Unternehmen Gründungsmitglied des deutschlandweiten Gewerbeimmobiliennetzwerks </w:t>
      </w:r>
      <w:hyperlink r:id="rId11" w:history="1">
        <w:r w:rsidRPr="00583E25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83E25">
        <w:rPr>
          <w:rFonts w:ascii="Arial" w:hAnsi="Arial" w:cs="Arial"/>
          <w:sz w:val="16"/>
          <w:szCs w:val="16"/>
        </w:rPr>
        <w:t xml:space="preserve"> (GPP) und der Arbeitsgemeinschaft </w:t>
      </w:r>
      <w:proofErr w:type="spellStart"/>
      <w:r w:rsidRPr="00583E25">
        <w:rPr>
          <w:rFonts w:ascii="Arial" w:hAnsi="Arial" w:cs="Arial"/>
          <w:sz w:val="16"/>
          <w:szCs w:val="16"/>
        </w:rPr>
        <w:t>ImmobilienVermittler</w:t>
      </w:r>
      <w:proofErr w:type="spellEnd"/>
      <w:r w:rsidRPr="00583E25">
        <w:rPr>
          <w:rFonts w:ascii="Arial" w:hAnsi="Arial" w:cs="Arial"/>
          <w:sz w:val="16"/>
          <w:szCs w:val="16"/>
        </w:rPr>
        <w:t xml:space="preserve"> Banken Bausparkassen e.V. (IVBB).</w:t>
      </w:r>
      <w:r w:rsidRPr="00583E25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7AC4E6FD" w14:textId="77777777" w:rsidR="002B0F0D" w:rsidRPr="00583E25" w:rsidRDefault="002B0F0D" w:rsidP="002B0F0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83E5564" w14:textId="78059D78" w:rsidR="002B0F0D" w:rsidRPr="00102873" w:rsidRDefault="002B0F0D" w:rsidP="00A73C12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2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3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3C6AB4">
        <w:rPr>
          <w:rFonts w:ascii="Arial" w:hAnsi="Arial" w:cs="Arial"/>
          <w:sz w:val="16"/>
          <w:szCs w:val="16"/>
        </w:rPr>
        <w:t xml:space="preserve"> mit dem Betreff "</w:t>
      </w:r>
      <w:r>
        <w:rPr>
          <w:rFonts w:ascii="Arial" w:hAnsi="Arial" w:cs="Arial"/>
          <w:sz w:val="16"/>
          <w:szCs w:val="16"/>
        </w:rPr>
        <w:t>Abmeldung aus Presseverteiler".</w:t>
      </w:r>
    </w:p>
    <w:sectPr w:rsidR="002B0F0D" w:rsidRPr="00102873" w:rsidSect="00D83CB7">
      <w:headerReference w:type="default" r:id="rId16"/>
      <w:footerReference w:type="default" r:id="rId17"/>
      <w:headerReference w:type="first" r:id="rId18"/>
      <w:footerReference w:type="first" r:id="rId19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4C78B" w14:textId="77777777" w:rsidR="006261DF" w:rsidRDefault="006261DF">
      <w:r>
        <w:separator/>
      </w:r>
    </w:p>
  </w:endnote>
  <w:endnote w:type="continuationSeparator" w:id="0">
    <w:p w14:paraId="4B4AB812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402D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Pr="00D83CB7">
      <w:rPr>
        <w:rFonts w:ascii="Arial" w:hAnsi="Arial" w:cs="Arial"/>
        <w:color w:val="918F90"/>
        <w:sz w:val="18"/>
        <w:szCs w:val="18"/>
      </w:rPr>
      <w:t xml:space="preserve"> 9 | D-20354 Hamburg | Tel. +49 (0)40/350 80 2-0 | www.grossmann-berger.de</w:t>
    </w:r>
  </w:p>
  <w:p w14:paraId="5440A7EF" w14:textId="6BFEFF0A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730191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730191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09B1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C8AE65D" wp14:editId="37B4444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CAC64" w14:textId="77777777" w:rsidR="006261DF" w:rsidRDefault="006261DF">
      <w:r>
        <w:separator/>
      </w:r>
    </w:p>
  </w:footnote>
  <w:footnote w:type="continuationSeparator" w:id="0">
    <w:p w14:paraId="36C151B1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A270" w14:textId="1353DA7E" w:rsidR="006138CB" w:rsidRPr="009E3ADA" w:rsidRDefault="003E27B4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F1C8E7" wp14:editId="565DED62">
              <wp:simplePos x="0" y="0"/>
              <wp:positionH relativeFrom="margin">
                <wp:posOffset>-74930</wp:posOffset>
              </wp:positionH>
              <wp:positionV relativeFrom="paragraph">
                <wp:posOffset>42530</wp:posOffset>
              </wp:positionV>
              <wp:extent cx="4779010" cy="281940"/>
              <wp:effectExtent l="0" t="0" r="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F3728" w14:textId="706D40CF" w:rsidR="003E27B4" w:rsidRDefault="003E27B4" w:rsidP="003E27B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Corinna Fühner | Telefon: +49 (0)40/350 80 2-</w:t>
                          </w:r>
                          <w:r w:rsidR="00D24A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c.fuehner@grossmann-berger.de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1C8E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5.9pt;margin-top:3.35pt;width:376.3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" filled="f" stroked="f">
              <v:textbox>
                <w:txbxContent>
                  <w:p w14:paraId="49DF3728" w14:textId="706D40CF" w:rsidR="003E27B4" w:rsidRDefault="003E27B4" w:rsidP="003E27B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Corinna Fühner | Telefon: +49 (0)40/350 80 2-</w:t>
                    </w:r>
                    <w:r w:rsidR="00D24AF1">
                      <w:rPr>
                        <w:rFonts w:ascii="Arial" w:hAnsi="Arial" w:cs="Arial"/>
                        <w:sz w:val="16"/>
                        <w:szCs w:val="16"/>
                      </w:rPr>
                      <w:t>588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c.fuehner@grossmann-berger.de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5B9848C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58FA" w14:textId="61381213" w:rsidR="00D83CB7" w:rsidRDefault="00CE7D16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2EA495" wp14:editId="55D8E217">
              <wp:simplePos x="0" y="0"/>
              <wp:positionH relativeFrom="margin">
                <wp:posOffset>-92267</wp:posOffset>
              </wp:positionH>
              <wp:positionV relativeFrom="paragraph">
                <wp:posOffset>9525</wp:posOffset>
              </wp:positionV>
              <wp:extent cx="4779010" cy="281940"/>
              <wp:effectExtent l="0" t="0" r="0" b="381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CAEDD" w14:textId="30564BAE" w:rsidR="00CE7D16" w:rsidRDefault="00CE7D16" w:rsidP="00CE7D1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E27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 Fühner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D24A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3E27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.f</w:t>
                          </w:r>
                          <w:r w:rsidR="003E27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uehner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EA49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-7.25pt;margin-top:.75pt;width:376.3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" filled="f" stroked="f">
              <v:textbox>
                <w:txbxContent>
                  <w:p w14:paraId="296CAEDD" w14:textId="30564BAE" w:rsidR="00CE7D16" w:rsidRDefault="00CE7D16" w:rsidP="00CE7D1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E27B4">
                      <w:rPr>
                        <w:rFonts w:ascii="Arial" w:hAnsi="Arial" w:cs="Arial"/>
                        <w:sz w:val="16"/>
                        <w:szCs w:val="16"/>
                      </w:rPr>
                      <w:t>Corinna Fühner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D24AF1">
                      <w:rPr>
                        <w:rFonts w:ascii="Arial" w:hAnsi="Arial" w:cs="Arial"/>
                        <w:sz w:val="16"/>
                        <w:szCs w:val="16"/>
                      </w:rPr>
                      <w:t>588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3E27B4"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.f</w:t>
                    </w:r>
                    <w:r w:rsidR="003E27B4">
                      <w:rPr>
                        <w:rFonts w:ascii="Arial" w:hAnsi="Arial" w:cs="Arial"/>
                        <w:sz w:val="16"/>
                        <w:szCs w:val="16"/>
                      </w:rPr>
                      <w:t>uehner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7ED31F5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F305C1"/>
    <w:multiLevelType w:val="hybridMultilevel"/>
    <w:tmpl w:val="87F2D4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96C5D"/>
    <w:multiLevelType w:val="hybridMultilevel"/>
    <w:tmpl w:val="0FA2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5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054B7C"/>
    <w:multiLevelType w:val="hybridMultilevel"/>
    <w:tmpl w:val="2AC65C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B204E4"/>
    <w:multiLevelType w:val="multilevel"/>
    <w:tmpl w:val="7E72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7"/>
  </w:num>
  <w:num w:numId="14">
    <w:abstractNumId w:val="14"/>
  </w:num>
  <w:num w:numId="15">
    <w:abstractNumId w:val="15"/>
  </w:num>
  <w:num w:numId="16">
    <w:abstractNumId w:val="11"/>
  </w:num>
  <w:num w:numId="17">
    <w:abstractNumId w:val="12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392D"/>
    <w:rsid w:val="000159FE"/>
    <w:rsid w:val="00022F16"/>
    <w:rsid w:val="00023D78"/>
    <w:rsid w:val="00027644"/>
    <w:rsid w:val="0003075C"/>
    <w:rsid w:val="00032035"/>
    <w:rsid w:val="000418C7"/>
    <w:rsid w:val="00046FEC"/>
    <w:rsid w:val="00060743"/>
    <w:rsid w:val="000615E2"/>
    <w:rsid w:val="000623C0"/>
    <w:rsid w:val="00064A03"/>
    <w:rsid w:val="00066796"/>
    <w:rsid w:val="00075002"/>
    <w:rsid w:val="000755CE"/>
    <w:rsid w:val="000766D7"/>
    <w:rsid w:val="0007670A"/>
    <w:rsid w:val="00080F27"/>
    <w:rsid w:val="000834E2"/>
    <w:rsid w:val="000A517C"/>
    <w:rsid w:val="000A5ED1"/>
    <w:rsid w:val="000A72C3"/>
    <w:rsid w:val="000B0335"/>
    <w:rsid w:val="000B0C81"/>
    <w:rsid w:val="000B1606"/>
    <w:rsid w:val="000B3315"/>
    <w:rsid w:val="000B3A6C"/>
    <w:rsid w:val="000B7D28"/>
    <w:rsid w:val="000C74B2"/>
    <w:rsid w:val="000C770D"/>
    <w:rsid w:val="000D48D4"/>
    <w:rsid w:val="000E03F3"/>
    <w:rsid w:val="000E49CB"/>
    <w:rsid w:val="000E7BC7"/>
    <w:rsid w:val="000F5742"/>
    <w:rsid w:val="00102873"/>
    <w:rsid w:val="001029C4"/>
    <w:rsid w:val="0011486D"/>
    <w:rsid w:val="0011749C"/>
    <w:rsid w:val="00117D5D"/>
    <w:rsid w:val="00117EF7"/>
    <w:rsid w:val="00121E33"/>
    <w:rsid w:val="00126550"/>
    <w:rsid w:val="001324D6"/>
    <w:rsid w:val="00132522"/>
    <w:rsid w:val="00135BD2"/>
    <w:rsid w:val="00135E09"/>
    <w:rsid w:val="00144CE4"/>
    <w:rsid w:val="00154825"/>
    <w:rsid w:val="0017364E"/>
    <w:rsid w:val="0017516B"/>
    <w:rsid w:val="00176F1D"/>
    <w:rsid w:val="0018068D"/>
    <w:rsid w:val="00180801"/>
    <w:rsid w:val="001809AE"/>
    <w:rsid w:val="001871BC"/>
    <w:rsid w:val="001A2ABE"/>
    <w:rsid w:val="001A360C"/>
    <w:rsid w:val="001B577C"/>
    <w:rsid w:val="001C2BFF"/>
    <w:rsid w:val="001D14DA"/>
    <w:rsid w:val="001D43BB"/>
    <w:rsid w:val="001D645F"/>
    <w:rsid w:val="001D64B8"/>
    <w:rsid w:val="001E1172"/>
    <w:rsid w:val="001E6995"/>
    <w:rsid w:val="001F1513"/>
    <w:rsid w:val="001F3C3A"/>
    <w:rsid w:val="0020062D"/>
    <w:rsid w:val="00201E4A"/>
    <w:rsid w:val="00205769"/>
    <w:rsid w:val="00212FEC"/>
    <w:rsid w:val="002131BB"/>
    <w:rsid w:val="00213F07"/>
    <w:rsid w:val="00214952"/>
    <w:rsid w:val="0022086D"/>
    <w:rsid w:val="00226DDF"/>
    <w:rsid w:val="00227E31"/>
    <w:rsid w:val="00230F81"/>
    <w:rsid w:val="002341EE"/>
    <w:rsid w:val="002353AA"/>
    <w:rsid w:val="00237341"/>
    <w:rsid w:val="002462B6"/>
    <w:rsid w:val="00251FC5"/>
    <w:rsid w:val="00252F40"/>
    <w:rsid w:val="00253412"/>
    <w:rsid w:val="00254C6F"/>
    <w:rsid w:val="002550BA"/>
    <w:rsid w:val="00255679"/>
    <w:rsid w:val="002561F0"/>
    <w:rsid w:val="00261FB3"/>
    <w:rsid w:val="0027266B"/>
    <w:rsid w:val="00274734"/>
    <w:rsid w:val="00277361"/>
    <w:rsid w:val="00277D9C"/>
    <w:rsid w:val="00281E80"/>
    <w:rsid w:val="002834B0"/>
    <w:rsid w:val="00283671"/>
    <w:rsid w:val="00284A5D"/>
    <w:rsid w:val="00284E27"/>
    <w:rsid w:val="00294B7D"/>
    <w:rsid w:val="0029731B"/>
    <w:rsid w:val="002A1973"/>
    <w:rsid w:val="002B0F0D"/>
    <w:rsid w:val="002B14F6"/>
    <w:rsid w:val="002B71B8"/>
    <w:rsid w:val="002B7C7F"/>
    <w:rsid w:val="002C055A"/>
    <w:rsid w:val="002C2392"/>
    <w:rsid w:val="002C450A"/>
    <w:rsid w:val="002D1C5C"/>
    <w:rsid w:val="002D1E20"/>
    <w:rsid w:val="002E2A92"/>
    <w:rsid w:val="002E6860"/>
    <w:rsid w:val="002F0411"/>
    <w:rsid w:val="002F767E"/>
    <w:rsid w:val="00301F3A"/>
    <w:rsid w:val="00304D7A"/>
    <w:rsid w:val="0031189D"/>
    <w:rsid w:val="00313876"/>
    <w:rsid w:val="003246F0"/>
    <w:rsid w:val="00325E2A"/>
    <w:rsid w:val="00326066"/>
    <w:rsid w:val="003272F3"/>
    <w:rsid w:val="003326FA"/>
    <w:rsid w:val="00335A2C"/>
    <w:rsid w:val="0034064A"/>
    <w:rsid w:val="00345716"/>
    <w:rsid w:val="00346814"/>
    <w:rsid w:val="0034786C"/>
    <w:rsid w:val="00347A18"/>
    <w:rsid w:val="00350D85"/>
    <w:rsid w:val="00351477"/>
    <w:rsid w:val="003517C9"/>
    <w:rsid w:val="00351DCD"/>
    <w:rsid w:val="00357EC4"/>
    <w:rsid w:val="003627E1"/>
    <w:rsid w:val="00365AF8"/>
    <w:rsid w:val="00370000"/>
    <w:rsid w:val="00373507"/>
    <w:rsid w:val="0038230E"/>
    <w:rsid w:val="00382529"/>
    <w:rsid w:val="0038350F"/>
    <w:rsid w:val="003908D1"/>
    <w:rsid w:val="00396CE0"/>
    <w:rsid w:val="003A00C9"/>
    <w:rsid w:val="003A25A4"/>
    <w:rsid w:val="003B0F06"/>
    <w:rsid w:val="003B19F4"/>
    <w:rsid w:val="003B49E4"/>
    <w:rsid w:val="003B4CCF"/>
    <w:rsid w:val="003B6CD4"/>
    <w:rsid w:val="003C1693"/>
    <w:rsid w:val="003C5218"/>
    <w:rsid w:val="003C6AB4"/>
    <w:rsid w:val="003E099F"/>
    <w:rsid w:val="003E27B4"/>
    <w:rsid w:val="003E4DF9"/>
    <w:rsid w:val="003F665D"/>
    <w:rsid w:val="0040086D"/>
    <w:rsid w:val="004017D8"/>
    <w:rsid w:val="00405D59"/>
    <w:rsid w:val="00411E03"/>
    <w:rsid w:val="004123B1"/>
    <w:rsid w:val="00417F4D"/>
    <w:rsid w:val="004269AC"/>
    <w:rsid w:val="00426E13"/>
    <w:rsid w:val="004303A1"/>
    <w:rsid w:val="00440DC9"/>
    <w:rsid w:val="004450C4"/>
    <w:rsid w:val="00445DF9"/>
    <w:rsid w:val="004506D2"/>
    <w:rsid w:val="00456F40"/>
    <w:rsid w:val="00457DE3"/>
    <w:rsid w:val="004609BD"/>
    <w:rsid w:val="004661EE"/>
    <w:rsid w:val="00466741"/>
    <w:rsid w:val="00470064"/>
    <w:rsid w:val="0047198B"/>
    <w:rsid w:val="004739AF"/>
    <w:rsid w:val="00476B6E"/>
    <w:rsid w:val="004818CE"/>
    <w:rsid w:val="004966E3"/>
    <w:rsid w:val="004A2BEA"/>
    <w:rsid w:val="004A3C64"/>
    <w:rsid w:val="004A5AEA"/>
    <w:rsid w:val="004B2694"/>
    <w:rsid w:val="004B2FDA"/>
    <w:rsid w:val="004B480A"/>
    <w:rsid w:val="004B5A6D"/>
    <w:rsid w:val="004C0CA2"/>
    <w:rsid w:val="004C3F94"/>
    <w:rsid w:val="004D50C0"/>
    <w:rsid w:val="004D772A"/>
    <w:rsid w:val="004D7FFC"/>
    <w:rsid w:val="004E1D29"/>
    <w:rsid w:val="004E339B"/>
    <w:rsid w:val="004E4273"/>
    <w:rsid w:val="004E4562"/>
    <w:rsid w:val="004F077F"/>
    <w:rsid w:val="004F78B4"/>
    <w:rsid w:val="005023DD"/>
    <w:rsid w:val="00503D8C"/>
    <w:rsid w:val="0051485A"/>
    <w:rsid w:val="00522B84"/>
    <w:rsid w:val="00524FBD"/>
    <w:rsid w:val="00531A7F"/>
    <w:rsid w:val="00534BAD"/>
    <w:rsid w:val="005356B3"/>
    <w:rsid w:val="005360E8"/>
    <w:rsid w:val="005412D0"/>
    <w:rsid w:val="005428C5"/>
    <w:rsid w:val="0054319A"/>
    <w:rsid w:val="00543C55"/>
    <w:rsid w:val="0054412E"/>
    <w:rsid w:val="0054563C"/>
    <w:rsid w:val="005504C9"/>
    <w:rsid w:val="0055393B"/>
    <w:rsid w:val="005554C7"/>
    <w:rsid w:val="00556F58"/>
    <w:rsid w:val="00567D57"/>
    <w:rsid w:val="00571004"/>
    <w:rsid w:val="0057685F"/>
    <w:rsid w:val="00577B63"/>
    <w:rsid w:val="00582B99"/>
    <w:rsid w:val="00590903"/>
    <w:rsid w:val="005A2F39"/>
    <w:rsid w:val="005A617A"/>
    <w:rsid w:val="005B0FC9"/>
    <w:rsid w:val="005B24B2"/>
    <w:rsid w:val="005B66D3"/>
    <w:rsid w:val="005B7D91"/>
    <w:rsid w:val="005C4556"/>
    <w:rsid w:val="005C5302"/>
    <w:rsid w:val="005D307B"/>
    <w:rsid w:val="005D3366"/>
    <w:rsid w:val="005E362E"/>
    <w:rsid w:val="005E43B3"/>
    <w:rsid w:val="005F69D4"/>
    <w:rsid w:val="005F7593"/>
    <w:rsid w:val="006029D7"/>
    <w:rsid w:val="00606BFF"/>
    <w:rsid w:val="00606E35"/>
    <w:rsid w:val="0061109D"/>
    <w:rsid w:val="0061138B"/>
    <w:rsid w:val="00612AA0"/>
    <w:rsid w:val="006138CB"/>
    <w:rsid w:val="006224C4"/>
    <w:rsid w:val="006225EA"/>
    <w:rsid w:val="006261DF"/>
    <w:rsid w:val="00631936"/>
    <w:rsid w:val="006321DC"/>
    <w:rsid w:val="00641270"/>
    <w:rsid w:val="00642074"/>
    <w:rsid w:val="006424F8"/>
    <w:rsid w:val="00656049"/>
    <w:rsid w:val="00672C84"/>
    <w:rsid w:val="00674ADA"/>
    <w:rsid w:val="00675A3F"/>
    <w:rsid w:val="00681CAB"/>
    <w:rsid w:val="00682CFC"/>
    <w:rsid w:val="006842EF"/>
    <w:rsid w:val="00690C37"/>
    <w:rsid w:val="00692D4F"/>
    <w:rsid w:val="00693E35"/>
    <w:rsid w:val="00695E58"/>
    <w:rsid w:val="0069757D"/>
    <w:rsid w:val="006A1329"/>
    <w:rsid w:val="006A66F9"/>
    <w:rsid w:val="006B4303"/>
    <w:rsid w:val="006D024C"/>
    <w:rsid w:val="006E2E4F"/>
    <w:rsid w:val="006E5C9C"/>
    <w:rsid w:val="006F1774"/>
    <w:rsid w:val="006F292B"/>
    <w:rsid w:val="006F31D6"/>
    <w:rsid w:val="00713D81"/>
    <w:rsid w:val="00717A20"/>
    <w:rsid w:val="00720DFF"/>
    <w:rsid w:val="007265F3"/>
    <w:rsid w:val="00730191"/>
    <w:rsid w:val="00730E23"/>
    <w:rsid w:val="00753311"/>
    <w:rsid w:val="00754513"/>
    <w:rsid w:val="00761363"/>
    <w:rsid w:val="00762CC5"/>
    <w:rsid w:val="00767063"/>
    <w:rsid w:val="007906B4"/>
    <w:rsid w:val="007970A0"/>
    <w:rsid w:val="00797E4F"/>
    <w:rsid w:val="007A314C"/>
    <w:rsid w:val="007B215B"/>
    <w:rsid w:val="007B4617"/>
    <w:rsid w:val="007B761C"/>
    <w:rsid w:val="007C26B6"/>
    <w:rsid w:val="007C2D96"/>
    <w:rsid w:val="007E759D"/>
    <w:rsid w:val="007F2DBE"/>
    <w:rsid w:val="007F33B6"/>
    <w:rsid w:val="007F642D"/>
    <w:rsid w:val="007F756A"/>
    <w:rsid w:val="00800E2C"/>
    <w:rsid w:val="0080214D"/>
    <w:rsid w:val="008045E7"/>
    <w:rsid w:val="00805D7E"/>
    <w:rsid w:val="00812471"/>
    <w:rsid w:val="008261A5"/>
    <w:rsid w:val="008327E5"/>
    <w:rsid w:val="0083382E"/>
    <w:rsid w:val="00844AAC"/>
    <w:rsid w:val="0085354A"/>
    <w:rsid w:val="00855325"/>
    <w:rsid w:val="00862E34"/>
    <w:rsid w:val="008634F3"/>
    <w:rsid w:val="008652FA"/>
    <w:rsid w:val="00865915"/>
    <w:rsid w:val="008661AA"/>
    <w:rsid w:val="00871832"/>
    <w:rsid w:val="00875E9B"/>
    <w:rsid w:val="00876FCA"/>
    <w:rsid w:val="00886CCE"/>
    <w:rsid w:val="008942C6"/>
    <w:rsid w:val="00896B33"/>
    <w:rsid w:val="00897DBE"/>
    <w:rsid w:val="008A2995"/>
    <w:rsid w:val="008A2BA4"/>
    <w:rsid w:val="008A47D4"/>
    <w:rsid w:val="008A62FB"/>
    <w:rsid w:val="008A77B7"/>
    <w:rsid w:val="008B0319"/>
    <w:rsid w:val="008B0F67"/>
    <w:rsid w:val="008B297B"/>
    <w:rsid w:val="008B3833"/>
    <w:rsid w:val="008C0535"/>
    <w:rsid w:val="008C0BCD"/>
    <w:rsid w:val="008C0BD9"/>
    <w:rsid w:val="008C608D"/>
    <w:rsid w:val="008D1F37"/>
    <w:rsid w:val="008E14BE"/>
    <w:rsid w:val="008E1E1D"/>
    <w:rsid w:val="008E461D"/>
    <w:rsid w:val="008E5520"/>
    <w:rsid w:val="008F0896"/>
    <w:rsid w:val="008F08E5"/>
    <w:rsid w:val="008F097F"/>
    <w:rsid w:val="008F0EA4"/>
    <w:rsid w:val="008F10B9"/>
    <w:rsid w:val="008F38F6"/>
    <w:rsid w:val="008F5213"/>
    <w:rsid w:val="008F67E7"/>
    <w:rsid w:val="008F6B2D"/>
    <w:rsid w:val="009000CF"/>
    <w:rsid w:val="00903957"/>
    <w:rsid w:val="009050B3"/>
    <w:rsid w:val="00906FC5"/>
    <w:rsid w:val="0090748B"/>
    <w:rsid w:val="00920C9C"/>
    <w:rsid w:val="00922754"/>
    <w:rsid w:val="00925781"/>
    <w:rsid w:val="009258D0"/>
    <w:rsid w:val="00934D87"/>
    <w:rsid w:val="00935AB3"/>
    <w:rsid w:val="009635CF"/>
    <w:rsid w:val="009646C4"/>
    <w:rsid w:val="009668BB"/>
    <w:rsid w:val="00966CA0"/>
    <w:rsid w:val="00972AE9"/>
    <w:rsid w:val="009734CE"/>
    <w:rsid w:val="00974CB0"/>
    <w:rsid w:val="00975085"/>
    <w:rsid w:val="00980A57"/>
    <w:rsid w:val="0098460C"/>
    <w:rsid w:val="0099413E"/>
    <w:rsid w:val="00996E1A"/>
    <w:rsid w:val="009A0BD5"/>
    <w:rsid w:val="009B1E02"/>
    <w:rsid w:val="009B4392"/>
    <w:rsid w:val="009B7D09"/>
    <w:rsid w:val="009C0784"/>
    <w:rsid w:val="009D24DA"/>
    <w:rsid w:val="009D5D75"/>
    <w:rsid w:val="009E0C0B"/>
    <w:rsid w:val="009E572D"/>
    <w:rsid w:val="009F32A2"/>
    <w:rsid w:val="009F54CE"/>
    <w:rsid w:val="009F70FE"/>
    <w:rsid w:val="00A0600B"/>
    <w:rsid w:val="00A06264"/>
    <w:rsid w:val="00A1639A"/>
    <w:rsid w:val="00A215C9"/>
    <w:rsid w:val="00A25474"/>
    <w:rsid w:val="00A5364B"/>
    <w:rsid w:val="00A615E0"/>
    <w:rsid w:val="00A65E2B"/>
    <w:rsid w:val="00A70878"/>
    <w:rsid w:val="00A73C12"/>
    <w:rsid w:val="00A74AA0"/>
    <w:rsid w:val="00A7546D"/>
    <w:rsid w:val="00A7613D"/>
    <w:rsid w:val="00A77035"/>
    <w:rsid w:val="00A77100"/>
    <w:rsid w:val="00A81626"/>
    <w:rsid w:val="00A83191"/>
    <w:rsid w:val="00A848FC"/>
    <w:rsid w:val="00A975B1"/>
    <w:rsid w:val="00AA4D97"/>
    <w:rsid w:val="00AB424B"/>
    <w:rsid w:val="00AC77A0"/>
    <w:rsid w:val="00AD17B7"/>
    <w:rsid w:val="00AF08D2"/>
    <w:rsid w:val="00AF44B5"/>
    <w:rsid w:val="00B01A1B"/>
    <w:rsid w:val="00B02242"/>
    <w:rsid w:val="00B069C5"/>
    <w:rsid w:val="00B06D1B"/>
    <w:rsid w:val="00B077D5"/>
    <w:rsid w:val="00B16A78"/>
    <w:rsid w:val="00B200E4"/>
    <w:rsid w:val="00B245A8"/>
    <w:rsid w:val="00B26FFD"/>
    <w:rsid w:val="00B31E12"/>
    <w:rsid w:val="00B31F77"/>
    <w:rsid w:val="00B35B6D"/>
    <w:rsid w:val="00B35DC6"/>
    <w:rsid w:val="00B51699"/>
    <w:rsid w:val="00B53FAF"/>
    <w:rsid w:val="00B55D98"/>
    <w:rsid w:val="00B63153"/>
    <w:rsid w:val="00B6527D"/>
    <w:rsid w:val="00B67D66"/>
    <w:rsid w:val="00B73B3A"/>
    <w:rsid w:val="00B74507"/>
    <w:rsid w:val="00B75718"/>
    <w:rsid w:val="00B75E7E"/>
    <w:rsid w:val="00B81257"/>
    <w:rsid w:val="00B9324B"/>
    <w:rsid w:val="00B93817"/>
    <w:rsid w:val="00B9391B"/>
    <w:rsid w:val="00B9682D"/>
    <w:rsid w:val="00BA0B96"/>
    <w:rsid w:val="00BA52C9"/>
    <w:rsid w:val="00BB15DA"/>
    <w:rsid w:val="00BB340D"/>
    <w:rsid w:val="00BB6626"/>
    <w:rsid w:val="00BC2A3A"/>
    <w:rsid w:val="00BC64EC"/>
    <w:rsid w:val="00BC7971"/>
    <w:rsid w:val="00BC7BF3"/>
    <w:rsid w:val="00BD073D"/>
    <w:rsid w:val="00BD6001"/>
    <w:rsid w:val="00BD75E0"/>
    <w:rsid w:val="00BE10CC"/>
    <w:rsid w:val="00BE4198"/>
    <w:rsid w:val="00BF029A"/>
    <w:rsid w:val="00BF3AFD"/>
    <w:rsid w:val="00C1606C"/>
    <w:rsid w:val="00C16E16"/>
    <w:rsid w:val="00C23180"/>
    <w:rsid w:val="00C26F94"/>
    <w:rsid w:val="00C41492"/>
    <w:rsid w:val="00C502EC"/>
    <w:rsid w:val="00C50874"/>
    <w:rsid w:val="00C700D6"/>
    <w:rsid w:val="00C702B5"/>
    <w:rsid w:val="00C70389"/>
    <w:rsid w:val="00C712CA"/>
    <w:rsid w:val="00C73270"/>
    <w:rsid w:val="00C904B6"/>
    <w:rsid w:val="00C90A75"/>
    <w:rsid w:val="00C96DF4"/>
    <w:rsid w:val="00CA0F2C"/>
    <w:rsid w:val="00CA6A66"/>
    <w:rsid w:val="00CC1337"/>
    <w:rsid w:val="00CC2514"/>
    <w:rsid w:val="00CC48DF"/>
    <w:rsid w:val="00CC6FB9"/>
    <w:rsid w:val="00CD4A91"/>
    <w:rsid w:val="00CD6BD0"/>
    <w:rsid w:val="00CD70E7"/>
    <w:rsid w:val="00CD7363"/>
    <w:rsid w:val="00CE0964"/>
    <w:rsid w:val="00CE0C1F"/>
    <w:rsid w:val="00CE3191"/>
    <w:rsid w:val="00CE455F"/>
    <w:rsid w:val="00CE4A15"/>
    <w:rsid w:val="00CE5195"/>
    <w:rsid w:val="00CE6B63"/>
    <w:rsid w:val="00CE74B4"/>
    <w:rsid w:val="00CE7D16"/>
    <w:rsid w:val="00CF0BF9"/>
    <w:rsid w:val="00CF2E86"/>
    <w:rsid w:val="00CF5957"/>
    <w:rsid w:val="00D0004A"/>
    <w:rsid w:val="00D04BA2"/>
    <w:rsid w:val="00D077B0"/>
    <w:rsid w:val="00D157A0"/>
    <w:rsid w:val="00D22D42"/>
    <w:rsid w:val="00D24AF1"/>
    <w:rsid w:val="00D31447"/>
    <w:rsid w:val="00D35A6D"/>
    <w:rsid w:val="00D36D8D"/>
    <w:rsid w:val="00D45711"/>
    <w:rsid w:val="00D47190"/>
    <w:rsid w:val="00D500FC"/>
    <w:rsid w:val="00D50EC4"/>
    <w:rsid w:val="00D51597"/>
    <w:rsid w:val="00D5326E"/>
    <w:rsid w:val="00D55867"/>
    <w:rsid w:val="00D57410"/>
    <w:rsid w:val="00D634A3"/>
    <w:rsid w:val="00D72339"/>
    <w:rsid w:val="00D73E47"/>
    <w:rsid w:val="00D74ABB"/>
    <w:rsid w:val="00D83CB7"/>
    <w:rsid w:val="00D95437"/>
    <w:rsid w:val="00D976B3"/>
    <w:rsid w:val="00D97FA8"/>
    <w:rsid w:val="00DA01CC"/>
    <w:rsid w:val="00DB179C"/>
    <w:rsid w:val="00DB4363"/>
    <w:rsid w:val="00DB5923"/>
    <w:rsid w:val="00DB66BD"/>
    <w:rsid w:val="00DC7B25"/>
    <w:rsid w:val="00DD340F"/>
    <w:rsid w:val="00DD39EA"/>
    <w:rsid w:val="00DD6B73"/>
    <w:rsid w:val="00DE23F8"/>
    <w:rsid w:val="00DE7CC2"/>
    <w:rsid w:val="00E007DD"/>
    <w:rsid w:val="00E04392"/>
    <w:rsid w:val="00E05CF6"/>
    <w:rsid w:val="00E112C9"/>
    <w:rsid w:val="00E1314C"/>
    <w:rsid w:val="00E158F7"/>
    <w:rsid w:val="00E16ABE"/>
    <w:rsid w:val="00E17864"/>
    <w:rsid w:val="00E2087E"/>
    <w:rsid w:val="00E234CA"/>
    <w:rsid w:val="00E2356E"/>
    <w:rsid w:val="00E2636D"/>
    <w:rsid w:val="00E34976"/>
    <w:rsid w:val="00E36818"/>
    <w:rsid w:val="00E442E4"/>
    <w:rsid w:val="00E47B97"/>
    <w:rsid w:val="00E5203C"/>
    <w:rsid w:val="00E61516"/>
    <w:rsid w:val="00E634CC"/>
    <w:rsid w:val="00E65D79"/>
    <w:rsid w:val="00E739F4"/>
    <w:rsid w:val="00E81727"/>
    <w:rsid w:val="00E82F0E"/>
    <w:rsid w:val="00E83245"/>
    <w:rsid w:val="00E90673"/>
    <w:rsid w:val="00E95F89"/>
    <w:rsid w:val="00E96FAC"/>
    <w:rsid w:val="00EA0382"/>
    <w:rsid w:val="00EA129F"/>
    <w:rsid w:val="00EB7A31"/>
    <w:rsid w:val="00EC08DC"/>
    <w:rsid w:val="00ED0582"/>
    <w:rsid w:val="00ED1262"/>
    <w:rsid w:val="00ED7374"/>
    <w:rsid w:val="00EE31F6"/>
    <w:rsid w:val="00EE36DC"/>
    <w:rsid w:val="00EE6896"/>
    <w:rsid w:val="00EF06B5"/>
    <w:rsid w:val="00F044EE"/>
    <w:rsid w:val="00F04D64"/>
    <w:rsid w:val="00F20069"/>
    <w:rsid w:val="00F21201"/>
    <w:rsid w:val="00F2414C"/>
    <w:rsid w:val="00F3320B"/>
    <w:rsid w:val="00F3537B"/>
    <w:rsid w:val="00F40E92"/>
    <w:rsid w:val="00F41947"/>
    <w:rsid w:val="00F42774"/>
    <w:rsid w:val="00F435AA"/>
    <w:rsid w:val="00F45370"/>
    <w:rsid w:val="00F511B7"/>
    <w:rsid w:val="00F578CF"/>
    <w:rsid w:val="00F60A04"/>
    <w:rsid w:val="00F63C5D"/>
    <w:rsid w:val="00F72E52"/>
    <w:rsid w:val="00F76C6A"/>
    <w:rsid w:val="00F83BF1"/>
    <w:rsid w:val="00F90CB9"/>
    <w:rsid w:val="00F91D23"/>
    <w:rsid w:val="00F91DD8"/>
    <w:rsid w:val="00F97373"/>
    <w:rsid w:val="00F97F69"/>
    <w:rsid w:val="00FA0254"/>
    <w:rsid w:val="00FA0BF4"/>
    <w:rsid w:val="00FA59F1"/>
    <w:rsid w:val="00FA6854"/>
    <w:rsid w:val="00FB064F"/>
    <w:rsid w:val="00FB0F6B"/>
    <w:rsid w:val="00FB144F"/>
    <w:rsid w:val="00FB159A"/>
    <w:rsid w:val="00FB2A03"/>
    <w:rsid w:val="00FB4D77"/>
    <w:rsid w:val="00FC40F0"/>
    <w:rsid w:val="00FC497D"/>
    <w:rsid w:val="00FD076B"/>
    <w:rsid w:val="00FD1BF5"/>
    <w:rsid w:val="00FD39DE"/>
    <w:rsid w:val="00FE4B61"/>
    <w:rsid w:val="00FF3782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61"/>
    <o:shapelayout v:ext="edit">
      <o:idmap v:ext="edit" data="1"/>
    </o:shapelayout>
  </w:shapeDefaults>
  <w:decimalSymbol w:val=","/>
  <w:listSeparator w:val=";"/>
  <w14:docId w14:val="5CF9775E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767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D9100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7670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E600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67063"/>
    <w:rPr>
      <w:rFonts w:asciiTheme="majorHAnsi" w:eastAsiaTheme="majorEastAsia" w:hAnsiTheme="majorHAnsi" w:cstheme="majorBidi"/>
      <w:color w:val="BD9100" w:themeColor="accent1" w:themeShade="BF"/>
      <w:sz w:val="32"/>
      <w:szCs w:val="3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767063"/>
    <w:rPr>
      <w:rFonts w:asciiTheme="majorHAnsi" w:eastAsiaTheme="majorEastAsia" w:hAnsiTheme="majorHAnsi" w:cstheme="majorBidi"/>
      <w:color w:val="7E600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1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rossmann-berger.de/news/pressemapp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datenschut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rmanpropertypartners.de/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grossmann-berger.de" TargetMode="External"/><Relationship Id="rId10" Type="http://schemas.openxmlformats.org/officeDocument/2006/relationships/hyperlink" Target="https://www.grossmann-berger.d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hamburg-investment/" TargetMode="External"/><Relationship Id="rId14" Type="http://schemas.openxmlformats.org/officeDocument/2006/relationships/hyperlink" Target="file:///\\file01\Marketing\Presse\5_PresseMITTEILUNGEN\Marktbericht%20B&#252;ro\2020\2020%20Q2\20180517_Dokumentation%20der%20Verarbeitungstaetigkeit%20nach%20DSGVO_Presse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D284-E5D1-4C81-8FB5-23420E65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4878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Corinna Fühner</cp:lastModifiedBy>
  <cp:revision>30</cp:revision>
  <cp:lastPrinted>2020-06-30T14:38:00Z</cp:lastPrinted>
  <dcterms:created xsi:type="dcterms:W3CDTF">2020-06-29T10:12:00Z</dcterms:created>
  <dcterms:modified xsi:type="dcterms:W3CDTF">2020-07-01T07:42:00Z</dcterms:modified>
</cp:coreProperties>
</file>