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9034" w14:textId="3A28D268" w:rsidR="000D48D4" w:rsidRDefault="00D157A0" w:rsidP="00365AF8">
      <w:pPr>
        <w:spacing w:after="0" w:line="360" w:lineRule="auto"/>
        <w:rPr>
          <w:rFonts w:ascii="Arial" w:hAnsi="Arial" w:cs="Arial"/>
          <w:b/>
        </w:rPr>
      </w:pPr>
      <w:r w:rsidRPr="0054412E">
        <w:rPr>
          <w:rFonts w:ascii="Arial" w:hAnsi="Arial" w:cs="Arial"/>
          <w:b/>
        </w:rPr>
        <w:t>Hamburg</w:t>
      </w:r>
      <w:r w:rsidR="00E90673" w:rsidRPr="0054412E">
        <w:rPr>
          <w:rFonts w:ascii="Arial" w:hAnsi="Arial" w:cs="Arial"/>
          <w:b/>
        </w:rPr>
        <w:t xml:space="preserve">: </w:t>
      </w:r>
      <w:r w:rsidR="009050B3">
        <w:rPr>
          <w:rFonts w:ascii="Arial" w:hAnsi="Arial" w:cs="Arial"/>
          <w:b/>
        </w:rPr>
        <w:t>Investmentmarkt 1.</w:t>
      </w:r>
      <w:r w:rsidR="00B9324B" w:rsidRPr="00B9324B">
        <w:rPr>
          <w:rFonts w:ascii="Arial" w:hAnsi="Arial" w:cs="Arial"/>
          <w:b/>
        </w:rPr>
        <w:t xml:space="preserve"> Quartal 20</w:t>
      </w:r>
      <w:r w:rsidR="00BC7971">
        <w:rPr>
          <w:rFonts w:ascii="Arial" w:hAnsi="Arial" w:cs="Arial"/>
          <w:b/>
        </w:rPr>
        <w:t>20</w:t>
      </w:r>
      <w:r w:rsidR="0054412E">
        <w:rPr>
          <w:rFonts w:ascii="Arial" w:hAnsi="Arial" w:cs="Arial"/>
          <w:b/>
        </w:rPr>
        <w:br/>
      </w:r>
      <w:r w:rsidR="009668BB" w:rsidRPr="008634F3">
        <w:rPr>
          <w:rFonts w:ascii="Arial" w:hAnsi="Arial" w:cs="Arial"/>
          <w:b/>
          <w:sz w:val="28"/>
          <w:szCs w:val="28"/>
        </w:rPr>
        <w:t>Corona</w:t>
      </w:r>
      <w:r w:rsidR="00351DCD" w:rsidRPr="008634F3">
        <w:rPr>
          <w:rFonts w:ascii="Arial" w:hAnsi="Arial" w:cs="Arial"/>
          <w:b/>
          <w:sz w:val="28"/>
          <w:szCs w:val="28"/>
        </w:rPr>
        <w:t>-V</w:t>
      </w:r>
      <w:r w:rsidR="009668BB" w:rsidRPr="008634F3">
        <w:rPr>
          <w:rFonts w:ascii="Arial" w:hAnsi="Arial" w:cs="Arial"/>
          <w:b/>
          <w:sz w:val="28"/>
          <w:szCs w:val="28"/>
        </w:rPr>
        <w:t xml:space="preserve">irus </w:t>
      </w:r>
      <w:r w:rsidR="008E14BE" w:rsidRPr="008634F3">
        <w:rPr>
          <w:rFonts w:ascii="Arial" w:hAnsi="Arial" w:cs="Arial"/>
          <w:b/>
          <w:sz w:val="28"/>
          <w:szCs w:val="28"/>
        </w:rPr>
        <w:t>bremst verheißungsvollen Auftakt aus</w:t>
      </w:r>
      <w:r w:rsidR="008E14BE">
        <w:rPr>
          <w:rFonts w:ascii="Arial" w:hAnsi="Arial" w:cs="Arial"/>
          <w:b/>
        </w:rPr>
        <w:t xml:space="preserve"> </w:t>
      </w:r>
    </w:p>
    <w:p w14:paraId="5DC3EAC5" w14:textId="29DB094C" w:rsidR="00590903" w:rsidRPr="00253412" w:rsidRDefault="00590903" w:rsidP="00365AF8">
      <w:pPr>
        <w:spacing w:after="0" w:line="360" w:lineRule="auto"/>
        <w:jc w:val="both"/>
        <w:rPr>
          <w:rFonts w:ascii="Arial" w:hAnsi="Arial" w:cs="Arial"/>
          <w:b/>
          <w:sz w:val="18"/>
          <w:szCs w:val="20"/>
        </w:rPr>
      </w:pPr>
    </w:p>
    <w:p w14:paraId="3AAB6D03" w14:textId="39AB0D0B" w:rsidR="00F20069" w:rsidRPr="00606BFF" w:rsidRDefault="00E90673" w:rsidP="00F91D23">
      <w:pPr>
        <w:spacing w:after="0" w:line="360" w:lineRule="auto"/>
        <w:rPr>
          <w:rFonts w:ascii="Arial" w:hAnsi="Arial" w:cs="Arial"/>
          <w:sz w:val="20"/>
          <w:szCs w:val="20"/>
        </w:rPr>
      </w:pPr>
      <w:r w:rsidRPr="00AB424B">
        <w:rPr>
          <w:rFonts w:ascii="Arial" w:hAnsi="Arial" w:cs="Arial"/>
          <w:b/>
          <w:sz w:val="20"/>
          <w:szCs w:val="20"/>
        </w:rPr>
        <w:t xml:space="preserve">Hamburg, </w:t>
      </w:r>
      <w:r w:rsidR="00BD6001">
        <w:rPr>
          <w:rFonts w:ascii="Arial" w:hAnsi="Arial" w:cs="Arial"/>
          <w:b/>
          <w:sz w:val="20"/>
          <w:szCs w:val="20"/>
        </w:rPr>
        <w:t>2</w:t>
      </w:r>
      <w:r w:rsidR="00B31F77">
        <w:rPr>
          <w:rFonts w:ascii="Arial" w:hAnsi="Arial" w:cs="Arial"/>
          <w:b/>
          <w:sz w:val="20"/>
          <w:szCs w:val="20"/>
        </w:rPr>
        <w:t>.</w:t>
      </w:r>
      <w:r w:rsidR="00D157A0" w:rsidRPr="00AB424B">
        <w:rPr>
          <w:rFonts w:ascii="Arial" w:hAnsi="Arial" w:cs="Arial"/>
          <w:b/>
          <w:sz w:val="20"/>
          <w:szCs w:val="20"/>
        </w:rPr>
        <w:t xml:space="preserve"> </w:t>
      </w:r>
      <w:r w:rsidR="009668BB" w:rsidRPr="00AB424B">
        <w:rPr>
          <w:rFonts w:ascii="Arial" w:hAnsi="Arial" w:cs="Arial"/>
          <w:b/>
          <w:sz w:val="20"/>
          <w:szCs w:val="20"/>
        </w:rPr>
        <w:t>April</w:t>
      </w:r>
      <w:r w:rsidR="00132522" w:rsidRPr="00AB424B">
        <w:rPr>
          <w:rFonts w:ascii="Arial" w:hAnsi="Arial" w:cs="Arial"/>
          <w:b/>
          <w:sz w:val="20"/>
          <w:szCs w:val="20"/>
        </w:rPr>
        <w:t xml:space="preserve"> </w:t>
      </w:r>
      <w:r w:rsidR="00D157A0" w:rsidRPr="00AB424B">
        <w:rPr>
          <w:rFonts w:ascii="Arial" w:hAnsi="Arial" w:cs="Arial"/>
          <w:b/>
          <w:sz w:val="20"/>
          <w:szCs w:val="20"/>
        </w:rPr>
        <w:t>20</w:t>
      </w:r>
      <w:r w:rsidR="009F70FE" w:rsidRPr="00AB424B">
        <w:rPr>
          <w:rFonts w:ascii="Arial" w:hAnsi="Arial" w:cs="Arial"/>
          <w:b/>
          <w:sz w:val="20"/>
          <w:szCs w:val="20"/>
        </w:rPr>
        <w:t>20</w:t>
      </w:r>
      <w:r w:rsidR="00D157A0" w:rsidRPr="00AB424B">
        <w:rPr>
          <w:rFonts w:ascii="Arial" w:hAnsi="Arial" w:cs="Arial"/>
          <w:b/>
          <w:sz w:val="20"/>
          <w:szCs w:val="20"/>
        </w:rPr>
        <w:t xml:space="preserve"> </w:t>
      </w:r>
      <w:r w:rsidR="00D157A0" w:rsidRPr="00AB424B">
        <w:rPr>
          <w:rFonts w:ascii="Arial" w:hAnsi="Arial" w:cs="Arial"/>
          <w:sz w:val="20"/>
          <w:szCs w:val="20"/>
        </w:rPr>
        <w:t>–</w:t>
      </w:r>
      <w:r w:rsidR="00797E4F" w:rsidRPr="00AB424B">
        <w:rPr>
          <w:rFonts w:ascii="Arial" w:hAnsi="Arial" w:cs="Arial"/>
          <w:b/>
          <w:sz w:val="20"/>
          <w:szCs w:val="20"/>
        </w:rPr>
        <w:t xml:space="preserve"> </w:t>
      </w:r>
      <w:r w:rsidR="00A848FC">
        <w:rPr>
          <w:rFonts w:ascii="Arial" w:hAnsi="Arial" w:cs="Arial"/>
          <w:sz w:val="20"/>
          <w:szCs w:val="20"/>
        </w:rPr>
        <w:t>Das</w:t>
      </w:r>
      <w:r w:rsidR="008E14BE" w:rsidRPr="00AB424B">
        <w:rPr>
          <w:rFonts w:ascii="Arial" w:hAnsi="Arial" w:cs="Arial"/>
          <w:sz w:val="20"/>
          <w:szCs w:val="20"/>
        </w:rPr>
        <w:t xml:space="preserve"> Corona</w:t>
      </w:r>
      <w:r w:rsidR="00351DCD">
        <w:rPr>
          <w:rFonts w:ascii="Arial" w:hAnsi="Arial" w:cs="Arial"/>
          <w:sz w:val="20"/>
          <w:szCs w:val="20"/>
        </w:rPr>
        <w:t>-V</w:t>
      </w:r>
      <w:r w:rsidR="008E14BE" w:rsidRPr="00AB424B">
        <w:rPr>
          <w:rFonts w:ascii="Arial" w:hAnsi="Arial" w:cs="Arial"/>
          <w:sz w:val="20"/>
          <w:szCs w:val="20"/>
        </w:rPr>
        <w:t xml:space="preserve">irus machte im 1. Quartal 2020 auch vor dem Investmentmarkt für gewerbliche Immobilien in Hamburg </w:t>
      </w:r>
      <w:r w:rsidR="002B7C7F">
        <w:rPr>
          <w:rFonts w:ascii="Arial" w:hAnsi="Arial" w:cs="Arial"/>
          <w:sz w:val="20"/>
          <w:szCs w:val="20"/>
        </w:rPr>
        <w:t>nicht</w:t>
      </w:r>
      <w:r w:rsidR="002B7C7F" w:rsidRPr="00AB424B">
        <w:rPr>
          <w:rFonts w:ascii="Arial" w:hAnsi="Arial" w:cs="Arial"/>
          <w:sz w:val="20"/>
          <w:szCs w:val="20"/>
        </w:rPr>
        <w:t xml:space="preserve"> </w:t>
      </w:r>
      <w:r w:rsidR="008E14BE" w:rsidRPr="00AB424B">
        <w:rPr>
          <w:rFonts w:ascii="Arial" w:hAnsi="Arial" w:cs="Arial"/>
          <w:sz w:val="20"/>
          <w:szCs w:val="20"/>
        </w:rPr>
        <w:t xml:space="preserve">Halt. Zwar startete </w:t>
      </w:r>
      <w:r w:rsidR="00CD6BD0" w:rsidRPr="00AB424B">
        <w:rPr>
          <w:rFonts w:ascii="Arial" w:hAnsi="Arial" w:cs="Arial"/>
          <w:sz w:val="20"/>
          <w:szCs w:val="20"/>
        </w:rPr>
        <w:t>das</w:t>
      </w:r>
      <w:r w:rsidR="008E14BE" w:rsidRPr="00AB424B">
        <w:rPr>
          <w:rFonts w:ascii="Arial" w:hAnsi="Arial" w:cs="Arial"/>
          <w:sz w:val="20"/>
          <w:szCs w:val="20"/>
        </w:rPr>
        <w:t xml:space="preserve"> </w:t>
      </w:r>
      <w:r w:rsidR="0020062D" w:rsidRPr="00AB424B">
        <w:rPr>
          <w:rFonts w:ascii="Arial" w:hAnsi="Arial" w:cs="Arial"/>
          <w:sz w:val="20"/>
          <w:szCs w:val="20"/>
        </w:rPr>
        <w:t>Investment</w:t>
      </w:r>
      <w:r w:rsidR="00CD6BD0" w:rsidRPr="00AB424B">
        <w:rPr>
          <w:rFonts w:ascii="Arial" w:hAnsi="Arial" w:cs="Arial"/>
          <w:sz w:val="20"/>
          <w:szCs w:val="20"/>
        </w:rPr>
        <w:t xml:space="preserve">jahr </w:t>
      </w:r>
      <w:r w:rsidR="008E14BE" w:rsidRPr="00AB424B">
        <w:rPr>
          <w:rFonts w:ascii="Arial" w:hAnsi="Arial" w:cs="Arial"/>
          <w:sz w:val="20"/>
          <w:szCs w:val="20"/>
        </w:rPr>
        <w:t xml:space="preserve">mit einem Transaktionsvolumen von rund </w:t>
      </w:r>
      <w:r w:rsidR="00631936" w:rsidRPr="00AB424B">
        <w:rPr>
          <w:rFonts w:ascii="Arial" w:hAnsi="Arial" w:cs="Arial"/>
          <w:sz w:val="20"/>
          <w:szCs w:val="20"/>
        </w:rPr>
        <w:t>970 Mio.</w:t>
      </w:r>
      <w:r w:rsidR="008E14BE" w:rsidRPr="00AB424B">
        <w:rPr>
          <w:rFonts w:ascii="Arial" w:hAnsi="Arial" w:cs="Arial"/>
          <w:sz w:val="20"/>
          <w:szCs w:val="20"/>
        </w:rPr>
        <w:t xml:space="preserve"> € bei etwa 20 Transaktionen deutlich </w:t>
      </w:r>
      <w:r w:rsidR="00CE5195" w:rsidRPr="00AB424B">
        <w:rPr>
          <w:rFonts w:ascii="Arial" w:hAnsi="Arial" w:cs="Arial"/>
          <w:sz w:val="20"/>
          <w:szCs w:val="20"/>
        </w:rPr>
        <w:t xml:space="preserve">kraftvoller </w:t>
      </w:r>
      <w:r w:rsidR="008E14BE" w:rsidRPr="00AB424B">
        <w:rPr>
          <w:rFonts w:ascii="Arial" w:hAnsi="Arial" w:cs="Arial"/>
          <w:sz w:val="20"/>
          <w:szCs w:val="20"/>
        </w:rPr>
        <w:t xml:space="preserve">als </w:t>
      </w:r>
      <w:r w:rsidR="0020062D" w:rsidRPr="00AB424B">
        <w:rPr>
          <w:rFonts w:ascii="Arial" w:hAnsi="Arial" w:cs="Arial"/>
          <w:sz w:val="20"/>
          <w:szCs w:val="20"/>
        </w:rPr>
        <w:t>im</w:t>
      </w:r>
      <w:r w:rsidR="008E14BE" w:rsidRPr="00AB424B">
        <w:rPr>
          <w:rFonts w:ascii="Arial" w:hAnsi="Arial" w:cs="Arial"/>
          <w:sz w:val="20"/>
          <w:szCs w:val="20"/>
        </w:rPr>
        <w:t xml:space="preserve"> Vorjahreszeitraum</w:t>
      </w:r>
      <w:r w:rsidR="00D31447" w:rsidRPr="00AB424B">
        <w:rPr>
          <w:rFonts w:ascii="Arial" w:hAnsi="Arial" w:cs="Arial"/>
          <w:sz w:val="20"/>
          <w:szCs w:val="20"/>
        </w:rPr>
        <w:t xml:space="preserve"> (460 Mio. €, 21 Transaktionen)</w:t>
      </w:r>
      <w:r w:rsidR="00754513">
        <w:rPr>
          <w:rFonts w:ascii="Arial" w:hAnsi="Arial" w:cs="Arial"/>
          <w:sz w:val="20"/>
          <w:szCs w:val="20"/>
        </w:rPr>
        <w:t>, zum</w:t>
      </w:r>
      <w:r w:rsidR="00CE5195" w:rsidRPr="00AB424B">
        <w:rPr>
          <w:rFonts w:ascii="Arial" w:hAnsi="Arial" w:cs="Arial"/>
          <w:sz w:val="20"/>
          <w:szCs w:val="20"/>
        </w:rPr>
        <w:t xml:space="preserve"> </w:t>
      </w:r>
      <w:r w:rsidR="008E14BE" w:rsidRPr="00AB424B">
        <w:rPr>
          <w:rFonts w:ascii="Arial" w:hAnsi="Arial" w:cs="Arial"/>
          <w:sz w:val="20"/>
          <w:szCs w:val="20"/>
        </w:rPr>
        <w:t xml:space="preserve">Quartalsende </w:t>
      </w:r>
      <w:r w:rsidR="00FA59F1">
        <w:rPr>
          <w:rFonts w:ascii="Arial" w:hAnsi="Arial" w:cs="Arial"/>
          <w:sz w:val="20"/>
          <w:szCs w:val="20"/>
        </w:rPr>
        <w:t xml:space="preserve">kam der Markt jedoch </w:t>
      </w:r>
      <w:r w:rsidR="00754513">
        <w:rPr>
          <w:rFonts w:ascii="Arial" w:hAnsi="Arial" w:cs="Arial"/>
          <w:sz w:val="20"/>
          <w:szCs w:val="20"/>
        </w:rPr>
        <w:t xml:space="preserve">weitgehend </w:t>
      </w:r>
      <w:r w:rsidR="00FA59F1">
        <w:rPr>
          <w:rFonts w:ascii="Arial" w:hAnsi="Arial" w:cs="Arial"/>
          <w:sz w:val="20"/>
          <w:szCs w:val="20"/>
        </w:rPr>
        <w:t>zum Stillstand</w:t>
      </w:r>
      <w:r w:rsidR="008E14BE" w:rsidRPr="00AB424B">
        <w:rPr>
          <w:rFonts w:ascii="Arial" w:hAnsi="Arial" w:cs="Arial"/>
          <w:sz w:val="20"/>
          <w:szCs w:val="20"/>
        </w:rPr>
        <w:t xml:space="preserve">. </w:t>
      </w:r>
      <w:r w:rsidR="008E14BE" w:rsidRPr="00AB424B">
        <w:rPr>
          <w:rFonts w:ascii="Arial" w:hAnsi="Arial" w:cs="Arial"/>
          <w:i/>
          <w:sz w:val="20"/>
          <w:szCs w:val="20"/>
        </w:rPr>
        <w:t xml:space="preserve">„Der Verkauf des </w:t>
      </w:r>
      <w:r w:rsidR="00767063" w:rsidRPr="00767063">
        <w:rPr>
          <w:rFonts w:ascii="Arial" w:hAnsi="Arial" w:cs="Arial"/>
          <w:i/>
          <w:sz w:val="20"/>
          <w:szCs w:val="20"/>
        </w:rPr>
        <w:t>‚</w:t>
      </w:r>
      <w:r w:rsidR="00767063">
        <w:rPr>
          <w:rFonts w:ascii="Arial" w:hAnsi="Arial" w:cs="Arial"/>
          <w:i/>
          <w:sz w:val="20"/>
          <w:szCs w:val="20"/>
        </w:rPr>
        <w:t>Johann Kontor</w:t>
      </w:r>
      <w:r w:rsidR="00767063" w:rsidRPr="00767063">
        <w:rPr>
          <w:rFonts w:ascii="Arial" w:hAnsi="Arial" w:cs="Arial"/>
          <w:i/>
          <w:sz w:val="20"/>
          <w:szCs w:val="20"/>
        </w:rPr>
        <w:t>‘</w:t>
      </w:r>
      <w:r w:rsidR="008E14BE" w:rsidRPr="00AB424B">
        <w:rPr>
          <w:rFonts w:ascii="Arial" w:hAnsi="Arial" w:cs="Arial"/>
          <w:i/>
          <w:sz w:val="20"/>
          <w:szCs w:val="20"/>
        </w:rPr>
        <w:t xml:space="preserve"> sorgte für ein</w:t>
      </w:r>
      <w:r w:rsidR="001F3C3A">
        <w:rPr>
          <w:rFonts w:ascii="Arial" w:hAnsi="Arial" w:cs="Arial"/>
          <w:i/>
          <w:sz w:val="20"/>
          <w:szCs w:val="20"/>
        </w:rPr>
        <w:t>en</w:t>
      </w:r>
      <w:r w:rsidR="00754513">
        <w:rPr>
          <w:rFonts w:ascii="Arial" w:hAnsi="Arial" w:cs="Arial"/>
          <w:i/>
          <w:sz w:val="20"/>
          <w:szCs w:val="20"/>
        </w:rPr>
        <w:t xml:space="preserve"> Investment-Kr</w:t>
      </w:r>
      <w:r w:rsidR="008E14BE" w:rsidRPr="00AB424B">
        <w:rPr>
          <w:rFonts w:ascii="Arial" w:hAnsi="Arial" w:cs="Arial"/>
          <w:i/>
          <w:sz w:val="20"/>
          <w:szCs w:val="20"/>
        </w:rPr>
        <w:t>acher zum Jahresauftakt.</w:t>
      </w:r>
      <w:r w:rsidR="0020062D" w:rsidRPr="00AB424B">
        <w:rPr>
          <w:rFonts w:ascii="Arial" w:hAnsi="Arial" w:cs="Arial"/>
          <w:i/>
          <w:sz w:val="20"/>
          <w:szCs w:val="20"/>
        </w:rPr>
        <w:t xml:space="preserve"> </w:t>
      </w:r>
      <w:r w:rsidR="00FA59F1">
        <w:rPr>
          <w:rFonts w:ascii="Arial" w:hAnsi="Arial" w:cs="Arial"/>
          <w:i/>
          <w:sz w:val="20"/>
          <w:szCs w:val="20"/>
        </w:rPr>
        <w:t>Durch die Ausbreitung de</w:t>
      </w:r>
      <w:r w:rsidR="007A314C">
        <w:rPr>
          <w:rFonts w:ascii="Arial" w:hAnsi="Arial" w:cs="Arial"/>
          <w:i/>
          <w:sz w:val="20"/>
          <w:szCs w:val="20"/>
        </w:rPr>
        <w:t>s</w:t>
      </w:r>
      <w:r w:rsidR="00FA59F1">
        <w:rPr>
          <w:rFonts w:ascii="Arial" w:hAnsi="Arial" w:cs="Arial"/>
          <w:i/>
          <w:sz w:val="20"/>
          <w:szCs w:val="20"/>
        </w:rPr>
        <w:t xml:space="preserve"> </w:t>
      </w:r>
      <w:r w:rsidR="00BE10CC">
        <w:rPr>
          <w:rFonts w:ascii="Arial" w:hAnsi="Arial" w:cs="Arial"/>
          <w:i/>
          <w:sz w:val="20"/>
          <w:szCs w:val="20"/>
        </w:rPr>
        <w:t>Corona</w:t>
      </w:r>
      <w:r w:rsidR="00351DCD">
        <w:rPr>
          <w:rFonts w:ascii="Arial" w:hAnsi="Arial" w:cs="Arial"/>
          <w:i/>
          <w:sz w:val="20"/>
          <w:szCs w:val="20"/>
        </w:rPr>
        <w:t>-V</w:t>
      </w:r>
      <w:r w:rsidR="00BE10CC">
        <w:rPr>
          <w:rFonts w:ascii="Arial" w:hAnsi="Arial" w:cs="Arial"/>
          <w:i/>
          <w:sz w:val="20"/>
          <w:szCs w:val="20"/>
        </w:rPr>
        <w:t xml:space="preserve">irus </w:t>
      </w:r>
      <w:r w:rsidR="00BE10CC" w:rsidRPr="00AB424B">
        <w:rPr>
          <w:rFonts w:ascii="Arial" w:hAnsi="Arial" w:cs="Arial"/>
          <w:i/>
          <w:sz w:val="20"/>
          <w:szCs w:val="20"/>
        </w:rPr>
        <w:t>wurden</w:t>
      </w:r>
      <w:r w:rsidR="0020062D" w:rsidRPr="00AB424B">
        <w:rPr>
          <w:rFonts w:ascii="Arial" w:hAnsi="Arial" w:cs="Arial"/>
          <w:i/>
          <w:sz w:val="20"/>
          <w:szCs w:val="20"/>
        </w:rPr>
        <w:t xml:space="preserve"> </w:t>
      </w:r>
      <w:r w:rsidR="00EF06B5">
        <w:rPr>
          <w:rFonts w:ascii="Arial" w:hAnsi="Arial" w:cs="Arial"/>
          <w:i/>
          <w:sz w:val="20"/>
          <w:szCs w:val="20"/>
        </w:rPr>
        <w:t>seit</w:t>
      </w:r>
      <w:r w:rsidR="000F5742">
        <w:rPr>
          <w:rFonts w:ascii="Arial" w:hAnsi="Arial" w:cs="Arial"/>
          <w:i/>
          <w:sz w:val="20"/>
          <w:szCs w:val="20"/>
        </w:rPr>
        <w:t xml:space="preserve"> März</w:t>
      </w:r>
      <w:r w:rsidR="000F5742" w:rsidRPr="00AB424B">
        <w:rPr>
          <w:rFonts w:ascii="Arial" w:hAnsi="Arial" w:cs="Arial"/>
          <w:i/>
          <w:sz w:val="20"/>
          <w:szCs w:val="20"/>
        </w:rPr>
        <w:t xml:space="preserve"> </w:t>
      </w:r>
      <w:r w:rsidR="0020062D" w:rsidRPr="00AB424B">
        <w:rPr>
          <w:rFonts w:ascii="Arial" w:hAnsi="Arial" w:cs="Arial"/>
          <w:i/>
          <w:sz w:val="20"/>
          <w:szCs w:val="20"/>
        </w:rPr>
        <w:t xml:space="preserve">jedoch zahlreiche </w:t>
      </w:r>
      <w:r w:rsidR="000418C7" w:rsidRPr="00AB424B">
        <w:rPr>
          <w:rFonts w:ascii="Arial" w:hAnsi="Arial" w:cs="Arial"/>
          <w:i/>
          <w:sz w:val="20"/>
          <w:szCs w:val="20"/>
        </w:rPr>
        <w:t>Verhandlungen</w:t>
      </w:r>
      <w:r w:rsidR="0020062D" w:rsidRPr="00AB424B">
        <w:rPr>
          <w:rFonts w:ascii="Arial" w:hAnsi="Arial" w:cs="Arial"/>
          <w:i/>
          <w:sz w:val="20"/>
          <w:szCs w:val="20"/>
        </w:rPr>
        <w:t xml:space="preserve"> </w:t>
      </w:r>
      <w:r w:rsidR="000418C7" w:rsidRPr="00AB424B">
        <w:rPr>
          <w:rFonts w:ascii="Arial" w:hAnsi="Arial" w:cs="Arial"/>
          <w:i/>
          <w:sz w:val="20"/>
          <w:szCs w:val="20"/>
        </w:rPr>
        <w:t>pausiert</w:t>
      </w:r>
      <w:r w:rsidR="00F91D23">
        <w:rPr>
          <w:rFonts w:ascii="Arial" w:hAnsi="Arial" w:cs="Arial"/>
          <w:i/>
          <w:sz w:val="20"/>
          <w:szCs w:val="20"/>
        </w:rPr>
        <w:t xml:space="preserve">. Insbesondere die </w:t>
      </w:r>
      <w:r w:rsidR="00606BFF">
        <w:rPr>
          <w:rFonts w:ascii="Arial" w:hAnsi="Arial" w:cs="Arial"/>
          <w:i/>
          <w:sz w:val="20"/>
          <w:szCs w:val="20"/>
        </w:rPr>
        <w:t xml:space="preserve">angekündigten Mietstundungen </w:t>
      </w:r>
      <w:r w:rsidR="00754513">
        <w:rPr>
          <w:rFonts w:ascii="Arial" w:hAnsi="Arial" w:cs="Arial"/>
          <w:i/>
          <w:sz w:val="20"/>
          <w:szCs w:val="20"/>
        </w:rPr>
        <w:t xml:space="preserve">zahlreicher Mieter, </w:t>
      </w:r>
      <w:r w:rsidR="001F3C3A">
        <w:rPr>
          <w:rFonts w:ascii="Arial" w:hAnsi="Arial" w:cs="Arial"/>
          <w:i/>
          <w:sz w:val="20"/>
          <w:szCs w:val="20"/>
        </w:rPr>
        <w:t>eingeschränkte</w:t>
      </w:r>
      <w:r w:rsidR="00754513">
        <w:rPr>
          <w:rFonts w:ascii="Arial" w:hAnsi="Arial" w:cs="Arial"/>
          <w:i/>
          <w:sz w:val="20"/>
          <w:szCs w:val="20"/>
        </w:rPr>
        <w:t xml:space="preserve"> Besichtigungsmöglichkeiten sowie Unklarheit über die Länge der Corona-Krise </w:t>
      </w:r>
      <w:r w:rsidR="00606BFF">
        <w:rPr>
          <w:rFonts w:ascii="Arial" w:hAnsi="Arial" w:cs="Arial"/>
          <w:i/>
          <w:sz w:val="20"/>
          <w:szCs w:val="20"/>
        </w:rPr>
        <w:t>bringen derzeit Uns</w:t>
      </w:r>
      <w:r w:rsidR="00754513">
        <w:rPr>
          <w:rFonts w:ascii="Arial" w:hAnsi="Arial" w:cs="Arial"/>
          <w:i/>
          <w:sz w:val="20"/>
          <w:szCs w:val="20"/>
        </w:rPr>
        <w:t>icherheit in laufend</w:t>
      </w:r>
      <w:r w:rsidR="00BE10CC">
        <w:rPr>
          <w:rFonts w:ascii="Arial" w:hAnsi="Arial" w:cs="Arial"/>
          <w:i/>
          <w:sz w:val="20"/>
          <w:szCs w:val="20"/>
        </w:rPr>
        <w:t>e</w:t>
      </w:r>
      <w:r w:rsidR="00606BFF">
        <w:rPr>
          <w:rFonts w:ascii="Arial" w:hAnsi="Arial" w:cs="Arial"/>
          <w:i/>
          <w:sz w:val="20"/>
          <w:szCs w:val="20"/>
        </w:rPr>
        <w:t xml:space="preserve"> Transaktionen</w:t>
      </w:r>
      <w:r w:rsidR="008E14BE" w:rsidRPr="00AB424B">
        <w:rPr>
          <w:rFonts w:ascii="Arial" w:hAnsi="Arial" w:cs="Arial"/>
          <w:i/>
          <w:sz w:val="20"/>
          <w:szCs w:val="20"/>
        </w:rPr>
        <w:t xml:space="preserve">“, </w:t>
      </w:r>
      <w:r w:rsidR="008E14BE" w:rsidRPr="00AB424B">
        <w:rPr>
          <w:rFonts w:ascii="Arial" w:hAnsi="Arial" w:cs="Arial"/>
          <w:sz w:val="20"/>
          <w:szCs w:val="20"/>
        </w:rPr>
        <w:t xml:space="preserve">erläutert </w:t>
      </w:r>
      <w:r w:rsidR="008E14BE" w:rsidRPr="00AB424B">
        <w:rPr>
          <w:rFonts w:ascii="Arial" w:hAnsi="Arial" w:cs="Arial"/>
          <w:b/>
          <w:sz w:val="20"/>
          <w:szCs w:val="20"/>
        </w:rPr>
        <w:t xml:space="preserve">Axel </w:t>
      </w:r>
      <w:proofErr w:type="spellStart"/>
      <w:r w:rsidR="008E14BE" w:rsidRPr="00AB424B">
        <w:rPr>
          <w:rFonts w:ascii="Arial" w:hAnsi="Arial" w:cs="Arial"/>
          <w:b/>
          <w:sz w:val="20"/>
          <w:szCs w:val="20"/>
        </w:rPr>
        <w:t>Steinbrinker</w:t>
      </w:r>
      <w:proofErr w:type="spellEnd"/>
      <w:r w:rsidR="008E14BE" w:rsidRPr="00AB424B">
        <w:rPr>
          <w:rFonts w:ascii="Arial" w:hAnsi="Arial" w:cs="Arial"/>
          <w:sz w:val="20"/>
          <w:szCs w:val="20"/>
        </w:rPr>
        <w:t>, Geschäftsführer von Grossmann &amp; Berger, Mitglied von German Property Partners (GPP).</w:t>
      </w:r>
      <w:r w:rsidR="00EF06B5">
        <w:rPr>
          <w:rFonts w:ascii="Arial" w:hAnsi="Arial" w:cs="Arial"/>
          <w:sz w:val="20"/>
          <w:szCs w:val="20"/>
        </w:rPr>
        <w:t xml:space="preserve"> </w:t>
      </w:r>
      <w:r w:rsidR="00754513">
        <w:rPr>
          <w:rFonts w:ascii="Arial" w:hAnsi="Arial" w:cs="Arial"/>
          <w:i/>
          <w:sz w:val="20"/>
          <w:szCs w:val="20"/>
        </w:rPr>
        <w:t>„Anleger</w:t>
      </w:r>
      <w:r w:rsidR="00EF06B5">
        <w:rPr>
          <w:rFonts w:ascii="Arial" w:hAnsi="Arial" w:cs="Arial"/>
          <w:i/>
          <w:sz w:val="20"/>
          <w:szCs w:val="20"/>
        </w:rPr>
        <w:t xml:space="preserve"> meiden</w:t>
      </w:r>
      <w:r w:rsidR="00F91D23">
        <w:rPr>
          <w:rFonts w:ascii="Arial" w:hAnsi="Arial" w:cs="Arial"/>
          <w:i/>
          <w:sz w:val="20"/>
          <w:szCs w:val="20"/>
        </w:rPr>
        <w:t xml:space="preserve"> </w:t>
      </w:r>
      <w:r w:rsidR="001F3C3A">
        <w:rPr>
          <w:rFonts w:ascii="Arial" w:hAnsi="Arial" w:cs="Arial"/>
          <w:i/>
          <w:sz w:val="20"/>
          <w:szCs w:val="20"/>
        </w:rPr>
        <w:t xml:space="preserve">nun </w:t>
      </w:r>
      <w:r w:rsidR="00F91D23">
        <w:rPr>
          <w:rFonts w:ascii="Arial" w:hAnsi="Arial" w:cs="Arial"/>
          <w:i/>
          <w:sz w:val="20"/>
          <w:szCs w:val="20"/>
        </w:rPr>
        <w:t>insbesondere</w:t>
      </w:r>
      <w:r w:rsidR="00EF06B5">
        <w:rPr>
          <w:rFonts w:ascii="Arial" w:hAnsi="Arial" w:cs="Arial"/>
          <w:i/>
          <w:sz w:val="20"/>
          <w:szCs w:val="20"/>
        </w:rPr>
        <w:t xml:space="preserve"> risikobehaftete </w:t>
      </w:r>
      <w:proofErr w:type="spellStart"/>
      <w:r w:rsidR="00EF06B5">
        <w:rPr>
          <w:rFonts w:ascii="Arial" w:hAnsi="Arial" w:cs="Arial"/>
          <w:i/>
          <w:sz w:val="20"/>
          <w:szCs w:val="20"/>
        </w:rPr>
        <w:t>Assetklassen</w:t>
      </w:r>
      <w:proofErr w:type="spellEnd"/>
      <w:r w:rsidR="00EF06B5">
        <w:rPr>
          <w:rFonts w:ascii="Arial" w:hAnsi="Arial" w:cs="Arial"/>
          <w:i/>
          <w:sz w:val="20"/>
          <w:szCs w:val="20"/>
        </w:rPr>
        <w:t xml:space="preserve"> wie H</w:t>
      </w:r>
      <w:r w:rsidR="000F5742" w:rsidRPr="00BE10CC">
        <w:rPr>
          <w:rFonts w:ascii="Arial" w:hAnsi="Arial" w:cs="Arial"/>
          <w:i/>
          <w:sz w:val="20"/>
          <w:szCs w:val="20"/>
        </w:rPr>
        <w:t>otel</w:t>
      </w:r>
      <w:r w:rsidR="00BE10CC">
        <w:rPr>
          <w:rFonts w:ascii="Arial" w:hAnsi="Arial" w:cs="Arial"/>
          <w:i/>
          <w:sz w:val="20"/>
          <w:szCs w:val="20"/>
        </w:rPr>
        <w:t xml:space="preserve"> und Einzelhandel</w:t>
      </w:r>
      <w:r w:rsidR="00EF06B5">
        <w:rPr>
          <w:rFonts w:ascii="Arial" w:hAnsi="Arial" w:cs="Arial"/>
          <w:i/>
          <w:sz w:val="20"/>
          <w:szCs w:val="20"/>
        </w:rPr>
        <w:t xml:space="preserve">. Für eigenkapitalstarke Käufer eröffnet </w:t>
      </w:r>
      <w:r w:rsidR="00F20069" w:rsidRPr="00BE10CC">
        <w:rPr>
          <w:rFonts w:ascii="Arial" w:hAnsi="Arial" w:cs="Arial"/>
          <w:i/>
          <w:sz w:val="20"/>
          <w:szCs w:val="20"/>
        </w:rPr>
        <w:t>die Situation</w:t>
      </w:r>
      <w:r w:rsidR="00EF06B5">
        <w:rPr>
          <w:rFonts w:ascii="Arial" w:hAnsi="Arial" w:cs="Arial"/>
          <w:i/>
          <w:sz w:val="20"/>
          <w:szCs w:val="20"/>
        </w:rPr>
        <w:t xml:space="preserve"> aber auch C</w:t>
      </w:r>
      <w:r w:rsidR="000F5742" w:rsidRPr="00BE10CC">
        <w:rPr>
          <w:rFonts w:ascii="Arial" w:hAnsi="Arial" w:cs="Arial"/>
          <w:i/>
          <w:sz w:val="20"/>
          <w:szCs w:val="20"/>
        </w:rPr>
        <w:t>hancen</w:t>
      </w:r>
      <w:r w:rsidR="00EF06B5">
        <w:rPr>
          <w:rFonts w:ascii="Arial" w:hAnsi="Arial" w:cs="Arial"/>
          <w:i/>
          <w:sz w:val="20"/>
          <w:szCs w:val="20"/>
        </w:rPr>
        <w:t xml:space="preserve">, denn sie </w:t>
      </w:r>
      <w:r w:rsidR="00A25474">
        <w:rPr>
          <w:rFonts w:ascii="Arial" w:hAnsi="Arial" w:cs="Arial"/>
          <w:i/>
          <w:sz w:val="20"/>
          <w:szCs w:val="20"/>
        </w:rPr>
        <w:t>ko</w:t>
      </w:r>
      <w:r w:rsidR="00F20069">
        <w:rPr>
          <w:rFonts w:ascii="Arial" w:hAnsi="Arial" w:cs="Arial"/>
          <w:i/>
          <w:sz w:val="20"/>
          <w:szCs w:val="20"/>
        </w:rPr>
        <w:t>mmen nun ohne überharten Wettbe</w:t>
      </w:r>
      <w:r w:rsidR="00A25474">
        <w:rPr>
          <w:rFonts w:ascii="Arial" w:hAnsi="Arial" w:cs="Arial"/>
          <w:i/>
          <w:sz w:val="20"/>
          <w:szCs w:val="20"/>
        </w:rPr>
        <w:t>werb an gute Produkte.“</w:t>
      </w:r>
      <w:r w:rsidR="000F5742">
        <w:rPr>
          <w:rFonts w:ascii="Arial" w:hAnsi="Arial" w:cs="Arial"/>
          <w:sz w:val="20"/>
          <w:szCs w:val="20"/>
        </w:rPr>
        <w:t xml:space="preserve"> </w:t>
      </w:r>
      <w:proofErr w:type="spellStart"/>
      <w:r w:rsidR="00EF06B5" w:rsidRPr="00080F27">
        <w:rPr>
          <w:rFonts w:ascii="Arial" w:hAnsi="Arial" w:cs="Arial"/>
          <w:b/>
          <w:sz w:val="20"/>
          <w:szCs w:val="20"/>
        </w:rPr>
        <w:t>Steinbrinker</w:t>
      </w:r>
      <w:proofErr w:type="spellEnd"/>
      <w:r w:rsidR="00EF06B5">
        <w:rPr>
          <w:rFonts w:ascii="Arial" w:hAnsi="Arial" w:cs="Arial"/>
          <w:sz w:val="20"/>
          <w:szCs w:val="20"/>
        </w:rPr>
        <w:t xml:space="preserve"> rechnet </w:t>
      </w:r>
      <w:r w:rsidR="00F91D23">
        <w:rPr>
          <w:rFonts w:ascii="Arial" w:hAnsi="Arial" w:cs="Arial"/>
          <w:sz w:val="20"/>
          <w:szCs w:val="20"/>
        </w:rPr>
        <w:t xml:space="preserve">im 2. Quartal </w:t>
      </w:r>
      <w:r w:rsidR="00EF06B5">
        <w:rPr>
          <w:rFonts w:ascii="Arial" w:hAnsi="Arial" w:cs="Arial"/>
          <w:sz w:val="20"/>
          <w:szCs w:val="20"/>
        </w:rPr>
        <w:t>mit einem spürbaren Rückgang des Transaktionsvolumens als Folge der Corona-Pandemie.</w:t>
      </w:r>
      <w:r w:rsidR="00F91D23">
        <w:rPr>
          <w:rFonts w:ascii="Arial" w:hAnsi="Arial" w:cs="Arial"/>
          <w:sz w:val="20"/>
          <w:szCs w:val="20"/>
        </w:rPr>
        <w:t xml:space="preserve"> Dennoch blickt er</w:t>
      </w:r>
      <w:r w:rsidR="00754513">
        <w:rPr>
          <w:rFonts w:ascii="Arial" w:hAnsi="Arial" w:cs="Arial"/>
          <w:sz w:val="20"/>
          <w:szCs w:val="20"/>
        </w:rPr>
        <w:t xml:space="preserve"> grundsätzlich</w:t>
      </w:r>
      <w:r w:rsidR="00F91D23">
        <w:rPr>
          <w:rFonts w:ascii="Arial" w:hAnsi="Arial" w:cs="Arial"/>
          <w:sz w:val="20"/>
          <w:szCs w:val="20"/>
        </w:rPr>
        <w:t xml:space="preserve"> optimistisch in die Zukunft: </w:t>
      </w:r>
      <w:r w:rsidR="00F91D23" w:rsidRPr="00F91D23">
        <w:rPr>
          <w:rFonts w:ascii="Arial" w:hAnsi="Arial" w:cs="Arial"/>
          <w:i/>
          <w:sz w:val="20"/>
          <w:szCs w:val="20"/>
        </w:rPr>
        <w:t xml:space="preserve">„Börsenturbulenzen und </w:t>
      </w:r>
      <w:r w:rsidR="00754513">
        <w:rPr>
          <w:rFonts w:ascii="Arial" w:hAnsi="Arial" w:cs="Arial"/>
          <w:i/>
          <w:sz w:val="20"/>
          <w:szCs w:val="20"/>
        </w:rPr>
        <w:t>weiter gesu</w:t>
      </w:r>
      <w:r w:rsidR="00F91D23" w:rsidRPr="00F91D23">
        <w:rPr>
          <w:rFonts w:ascii="Arial" w:hAnsi="Arial" w:cs="Arial"/>
          <w:i/>
          <w:sz w:val="20"/>
          <w:szCs w:val="20"/>
        </w:rPr>
        <w:t xml:space="preserve">nkene Zinsen festigen derzeit den Stand von Immobilien als sichere </w:t>
      </w:r>
      <w:r w:rsidR="00754513">
        <w:rPr>
          <w:rFonts w:ascii="Arial" w:hAnsi="Arial" w:cs="Arial"/>
          <w:i/>
          <w:sz w:val="20"/>
          <w:szCs w:val="20"/>
        </w:rPr>
        <w:t>Kapital</w:t>
      </w:r>
      <w:r w:rsidR="00F91D23" w:rsidRPr="00F91D23">
        <w:rPr>
          <w:rFonts w:ascii="Arial" w:hAnsi="Arial" w:cs="Arial"/>
          <w:i/>
          <w:sz w:val="20"/>
          <w:szCs w:val="20"/>
        </w:rPr>
        <w:t xml:space="preserve">anlage. </w:t>
      </w:r>
      <w:r w:rsidR="00F91D23">
        <w:rPr>
          <w:rFonts w:ascii="Arial" w:hAnsi="Arial" w:cs="Arial"/>
          <w:i/>
          <w:sz w:val="20"/>
          <w:szCs w:val="20"/>
        </w:rPr>
        <w:t>M</w:t>
      </w:r>
      <w:r w:rsidR="008D1F37" w:rsidRPr="00F91D23">
        <w:rPr>
          <w:rFonts w:ascii="Arial" w:hAnsi="Arial" w:cs="Arial"/>
          <w:i/>
          <w:sz w:val="20"/>
          <w:szCs w:val="20"/>
        </w:rPr>
        <w:t xml:space="preserve">it zunehmender Planungssicherheit </w:t>
      </w:r>
      <w:r w:rsidR="00F91D23">
        <w:rPr>
          <w:rFonts w:ascii="Arial" w:hAnsi="Arial" w:cs="Arial"/>
          <w:i/>
          <w:sz w:val="20"/>
          <w:szCs w:val="20"/>
        </w:rPr>
        <w:t xml:space="preserve">wird </w:t>
      </w:r>
      <w:r w:rsidR="008D1F37" w:rsidRPr="00F91D23">
        <w:rPr>
          <w:rFonts w:ascii="Arial" w:hAnsi="Arial" w:cs="Arial"/>
          <w:i/>
          <w:sz w:val="20"/>
          <w:szCs w:val="20"/>
        </w:rPr>
        <w:t>die Investmentmaschinerie</w:t>
      </w:r>
      <w:r w:rsidR="00606BFF">
        <w:rPr>
          <w:rFonts w:ascii="Arial" w:hAnsi="Arial" w:cs="Arial"/>
          <w:i/>
          <w:sz w:val="20"/>
          <w:szCs w:val="20"/>
        </w:rPr>
        <w:t xml:space="preserve"> daher</w:t>
      </w:r>
      <w:r w:rsidR="008D1F37" w:rsidRPr="00F91D23">
        <w:rPr>
          <w:rFonts w:ascii="Arial" w:hAnsi="Arial" w:cs="Arial"/>
          <w:i/>
          <w:sz w:val="20"/>
          <w:szCs w:val="20"/>
        </w:rPr>
        <w:t xml:space="preserve"> wieder in Gang</w:t>
      </w:r>
      <w:r w:rsidR="00F91D23">
        <w:rPr>
          <w:rFonts w:ascii="Arial" w:hAnsi="Arial" w:cs="Arial"/>
          <w:i/>
          <w:sz w:val="20"/>
          <w:szCs w:val="20"/>
        </w:rPr>
        <w:t xml:space="preserve"> kommen.“</w:t>
      </w:r>
      <w:r w:rsidR="008D1F37" w:rsidRPr="00F91D23" w:rsidDel="00975085">
        <w:rPr>
          <w:rFonts w:ascii="Arial" w:hAnsi="Arial" w:cs="Arial"/>
          <w:i/>
          <w:sz w:val="20"/>
          <w:szCs w:val="20"/>
        </w:rPr>
        <w:t xml:space="preserve"> </w:t>
      </w:r>
    </w:p>
    <w:p w14:paraId="2CE8AC6A" w14:textId="0A72C4E5" w:rsidR="00906FC5" w:rsidRPr="00D35A6D" w:rsidRDefault="00906FC5" w:rsidP="00906FC5">
      <w:pPr>
        <w:spacing w:after="0" w:line="360" w:lineRule="auto"/>
        <w:rPr>
          <w:rFonts w:ascii="Arial" w:hAnsi="Arial" w:cs="Arial"/>
          <w:sz w:val="18"/>
          <w:szCs w:val="20"/>
        </w:rPr>
      </w:pPr>
    </w:p>
    <w:p w14:paraId="79CA357A" w14:textId="58F908D1" w:rsidR="000A5ED1" w:rsidRPr="00D35A6D" w:rsidRDefault="00365AF8" w:rsidP="00365AF8">
      <w:pPr>
        <w:spacing w:after="0" w:line="360" w:lineRule="auto"/>
        <w:textAlignment w:val="baseline"/>
        <w:rPr>
          <w:rFonts w:ascii="Arial" w:hAnsi="Arial" w:cs="Arial"/>
          <w:b/>
          <w:sz w:val="20"/>
          <w:szCs w:val="20"/>
        </w:rPr>
      </w:pPr>
      <w:r w:rsidRPr="00D35A6D">
        <w:rPr>
          <w:rFonts w:ascii="Arial" w:hAnsi="Arial" w:cs="Arial"/>
          <w:b/>
          <w:sz w:val="20"/>
          <w:szCs w:val="20"/>
        </w:rPr>
        <w:t xml:space="preserve">Markt im Detail: </w:t>
      </w:r>
    </w:p>
    <w:p w14:paraId="0AE8BE1D" w14:textId="5B2C781E" w:rsidR="008F097F" w:rsidRPr="005F69D4" w:rsidRDefault="007265F3" w:rsidP="008F097F">
      <w:pPr>
        <w:pStyle w:val="Listenabsatz"/>
        <w:numPr>
          <w:ilvl w:val="0"/>
          <w:numId w:val="16"/>
        </w:numPr>
        <w:spacing w:after="0" w:line="360" w:lineRule="auto"/>
        <w:ind w:left="425" w:hanging="357"/>
        <w:textAlignment w:val="baseline"/>
        <w:rPr>
          <w:rFonts w:ascii="Arial" w:hAnsi="Arial" w:cs="Arial"/>
          <w:sz w:val="20"/>
          <w:szCs w:val="20"/>
        </w:rPr>
      </w:pPr>
      <w:r w:rsidRPr="005F69D4">
        <w:rPr>
          <w:rFonts w:ascii="Arial" w:hAnsi="Arial" w:cs="Arial"/>
          <w:sz w:val="20"/>
          <w:szCs w:val="20"/>
        </w:rPr>
        <w:t>Mit dem Verkauf des „Jo</w:t>
      </w:r>
      <w:r w:rsidR="00692D4F">
        <w:rPr>
          <w:rFonts w:ascii="Arial" w:hAnsi="Arial" w:cs="Arial"/>
          <w:sz w:val="20"/>
          <w:szCs w:val="20"/>
        </w:rPr>
        <w:t>hann Kontor“ verdrängten Mixed-</w:t>
      </w:r>
      <w:proofErr w:type="spellStart"/>
      <w:r w:rsidR="00692D4F">
        <w:rPr>
          <w:rFonts w:ascii="Arial" w:hAnsi="Arial" w:cs="Arial"/>
          <w:sz w:val="20"/>
          <w:szCs w:val="20"/>
        </w:rPr>
        <w:t>U</w:t>
      </w:r>
      <w:r w:rsidRPr="005F69D4">
        <w:rPr>
          <w:rFonts w:ascii="Arial" w:hAnsi="Arial" w:cs="Arial"/>
          <w:sz w:val="20"/>
          <w:szCs w:val="20"/>
        </w:rPr>
        <w:t>se</w:t>
      </w:r>
      <w:proofErr w:type="spellEnd"/>
      <w:r w:rsidRPr="005F69D4">
        <w:rPr>
          <w:rFonts w:ascii="Arial" w:hAnsi="Arial" w:cs="Arial"/>
          <w:sz w:val="20"/>
          <w:szCs w:val="20"/>
        </w:rPr>
        <w:t xml:space="preserve"> Objekte mit einem Volumenanteil von rund 40 % Büro-Immobilien auf den zweiten Platz (30 %). </w:t>
      </w:r>
      <w:r w:rsidR="007A314C">
        <w:rPr>
          <w:rFonts w:ascii="Arial" w:hAnsi="Arial" w:cs="Arial"/>
          <w:sz w:val="20"/>
          <w:szCs w:val="20"/>
        </w:rPr>
        <w:t>L</w:t>
      </w:r>
      <w:r w:rsidRPr="005F69D4">
        <w:rPr>
          <w:rFonts w:ascii="Arial" w:hAnsi="Arial" w:cs="Arial"/>
          <w:sz w:val="20"/>
          <w:szCs w:val="20"/>
        </w:rPr>
        <w:t xml:space="preserve">etztere </w:t>
      </w:r>
      <w:r w:rsidR="00351DCD">
        <w:rPr>
          <w:rFonts w:ascii="Arial" w:hAnsi="Arial" w:cs="Arial"/>
          <w:sz w:val="20"/>
          <w:szCs w:val="20"/>
        </w:rPr>
        <w:t xml:space="preserve">waren mit acht Transaktionen </w:t>
      </w:r>
      <w:r w:rsidRPr="005F69D4">
        <w:rPr>
          <w:rFonts w:ascii="Arial" w:hAnsi="Arial" w:cs="Arial"/>
          <w:sz w:val="20"/>
          <w:szCs w:val="20"/>
        </w:rPr>
        <w:t xml:space="preserve">dennoch in der Überzahl. </w:t>
      </w:r>
    </w:p>
    <w:p w14:paraId="3BE5AC57" w14:textId="652610EC" w:rsidR="00D976B3" w:rsidRDefault="00D976B3" w:rsidP="00D976B3">
      <w:pPr>
        <w:pStyle w:val="Listenabsatz"/>
        <w:numPr>
          <w:ilvl w:val="0"/>
          <w:numId w:val="16"/>
        </w:numPr>
        <w:spacing w:after="0" w:line="360" w:lineRule="auto"/>
        <w:ind w:left="425" w:hanging="357"/>
        <w:jc w:val="both"/>
        <w:textAlignment w:val="baseline"/>
        <w:rPr>
          <w:rFonts w:ascii="Arial" w:hAnsi="Arial" w:cs="Arial"/>
          <w:sz w:val="20"/>
          <w:szCs w:val="20"/>
        </w:rPr>
      </w:pPr>
      <w:r w:rsidRPr="005F69D4">
        <w:rPr>
          <w:rFonts w:ascii="Arial" w:hAnsi="Arial" w:cs="Arial"/>
          <w:sz w:val="20"/>
          <w:szCs w:val="20"/>
        </w:rPr>
        <w:t>Rund 48 % des Transaktionsvolumens entfiel</w:t>
      </w:r>
      <w:r w:rsidR="004B2694">
        <w:rPr>
          <w:rFonts w:ascii="Arial" w:hAnsi="Arial" w:cs="Arial"/>
          <w:sz w:val="20"/>
          <w:szCs w:val="20"/>
        </w:rPr>
        <w:t>en</w:t>
      </w:r>
      <w:r w:rsidRPr="005F69D4">
        <w:rPr>
          <w:rFonts w:ascii="Arial" w:hAnsi="Arial" w:cs="Arial"/>
          <w:sz w:val="20"/>
          <w:szCs w:val="20"/>
        </w:rPr>
        <w:t xml:space="preserve"> im 1. Quar</w:t>
      </w:r>
      <w:r w:rsidR="001D645F">
        <w:rPr>
          <w:rFonts w:ascii="Arial" w:hAnsi="Arial" w:cs="Arial"/>
          <w:sz w:val="20"/>
          <w:szCs w:val="20"/>
        </w:rPr>
        <w:t xml:space="preserve">tal auf den Teilmarkt City. Dies weist darauf hin, dass Investoren zur Risikovermeidung zunehmend </w:t>
      </w:r>
      <w:r w:rsidRPr="005F69D4">
        <w:rPr>
          <w:rFonts w:ascii="Arial" w:hAnsi="Arial" w:cs="Arial"/>
          <w:sz w:val="20"/>
          <w:szCs w:val="20"/>
        </w:rPr>
        <w:t>Core-</w:t>
      </w:r>
      <w:r w:rsidR="001D645F">
        <w:rPr>
          <w:rFonts w:ascii="Arial" w:hAnsi="Arial" w:cs="Arial"/>
          <w:sz w:val="20"/>
          <w:szCs w:val="20"/>
        </w:rPr>
        <w:t>Objekte fokussieren</w:t>
      </w:r>
      <w:r w:rsidRPr="005F69D4">
        <w:rPr>
          <w:rFonts w:ascii="Arial" w:hAnsi="Arial" w:cs="Arial"/>
          <w:sz w:val="20"/>
          <w:szCs w:val="20"/>
        </w:rPr>
        <w:t xml:space="preserve">. </w:t>
      </w:r>
    </w:p>
    <w:p w14:paraId="729F99E7" w14:textId="27A87C09" w:rsidR="00326066" w:rsidRPr="00326066" w:rsidRDefault="00326066" w:rsidP="00326066">
      <w:pPr>
        <w:pStyle w:val="Listenabsatz"/>
        <w:numPr>
          <w:ilvl w:val="0"/>
          <w:numId w:val="16"/>
        </w:numPr>
        <w:spacing w:after="0" w:line="360" w:lineRule="auto"/>
        <w:ind w:left="425" w:hanging="357"/>
        <w:textAlignment w:val="baseline"/>
        <w:rPr>
          <w:rFonts w:ascii="Arial" w:hAnsi="Arial" w:cs="Arial"/>
          <w:sz w:val="20"/>
          <w:szCs w:val="20"/>
        </w:rPr>
      </w:pPr>
      <w:r w:rsidRPr="005F69D4">
        <w:rPr>
          <w:rFonts w:ascii="Arial" w:hAnsi="Arial" w:cs="Arial"/>
          <w:sz w:val="20"/>
          <w:szCs w:val="20"/>
        </w:rPr>
        <w:t xml:space="preserve">Einzeltransaktionen </w:t>
      </w:r>
      <w:r>
        <w:rPr>
          <w:rFonts w:ascii="Arial" w:hAnsi="Arial" w:cs="Arial"/>
          <w:sz w:val="20"/>
          <w:szCs w:val="20"/>
        </w:rPr>
        <w:t xml:space="preserve">waren im 1. Quartal </w:t>
      </w:r>
      <w:r w:rsidRPr="005F69D4">
        <w:rPr>
          <w:rFonts w:ascii="Arial" w:hAnsi="Arial" w:cs="Arial"/>
          <w:sz w:val="20"/>
          <w:szCs w:val="20"/>
        </w:rPr>
        <w:t xml:space="preserve">mit 92 % </w:t>
      </w:r>
      <w:r>
        <w:rPr>
          <w:rFonts w:ascii="Arial" w:hAnsi="Arial" w:cs="Arial"/>
          <w:sz w:val="20"/>
          <w:szCs w:val="20"/>
        </w:rPr>
        <w:t xml:space="preserve">Volumenanteil </w:t>
      </w:r>
      <w:r w:rsidRPr="005F69D4">
        <w:rPr>
          <w:rFonts w:ascii="Arial" w:hAnsi="Arial" w:cs="Arial"/>
          <w:sz w:val="20"/>
          <w:szCs w:val="20"/>
        </w:rPr>
        <w:t>die treibende Kraft</w:t>
      </w:r>
      <w:r>
        <w:rPr>
          <w:rFonts w:ascii="Arial" w:hAnsi="Arial" w:cs="Arial"/>
          <w:sz w:val="20"/>
          <w:szCs w:val="20"/>
        </w:rPr>
        <w:t xml:space="preserve"> auf dem Investmentmarkt</w:t>
      </w:r>
      <w:r w:rsidRPr="005F69D4">
        <w:rPr>
          <w:rFonts w:ascii="Arial" w:hAnsi="Arial" w:cs="Arial"/>
          <w:sz w:val="20"/>
          <w:szCs w:val="20"/>
        </w:rPr>
        <w:t>.</w:t>
      </w:r>
      <w:r>
        <w:rPr>
          <w:rFonts w:ascii="Arial" w:hAnsi="Arial" w:cs="Arial"/>
          <w:sz w:val="20"/>
          <w:szCs w:val="20"/>
        </w:rPr>
        <w:t xml:space="preserve"> </w:t>
      </w:r>
      <w:r w:rsidRPr="005F69D4">
        <w:rPr>
          <w:rFonts w:ascii="Arial" w:hAnsi="Arial" w:cs="Arial"/>
          <w:sz w:val="20"/>
          <w:szCs w:val="20"/>
        </w:rPr>
        <w:t>Portfoliotransaktionen</w:t>
      </w:r>
      <w:r>
        <w:rPr>
          <w:rFonts w:ascii="Arial" w:hAnsi="Arial" w:cs="Arial"/>
          <w:sz w:val="20"/>
          <w:szCs w:val="20"/>
        </w:rPr>
        <w:t xml:space="preserve"> trugen mit 8 % nur wenig zum Gesamtergebnis bei. </w:t>
      </w:r>
      <w:r w:rsidRPr="005F69D4">
        <w:rPr>
          <w:rFonts w:ascii="Arial" w:hAnsi="Arial" w:cs="Arial"/>
          <w:sz w:val="20"/>
          <w:szCs w:val="20"/>
        </w:rPr>
        <w:t xml:space="preserve">  </w:t>
      </w:r>
    </w:p>
    <w:p w14:paraId="1F2C9FD6" w14:textId="7E006E73" w:rsidR="00BE10CC" w:rsidRDefault="00EE6896" w:rsidP="00BE10CC">
      <w:pPr>
        <w:pStyle w:val="Listenabsatz"/>
        <w:numPr>
          <w:ilvl w:val="0"/>
          <w:numId w:val="16"/>
        </w:numPr>
        <w:spacing w:after="0" w:line="360" w:lineRule="auto"/>
        <w:ind w:left="425" w:hanging="357"/>
        <w:textAlignment w:val="baseline"/>
        <w:rPr>
          <w:rFonts w:ascii="Arial" w:hAnsi="Arial" w:cs="Arial"/>
          <w:sz w:val="20"/>
          <w:szCs w:val="20"/>
        </w:rPr>
      </w:pPr>
      <w:r w:rsidRPr="005F69D4">
        <w:rPr>
          <w:rFonts w:ascii="Arial" w:hAnsi="Arial" w:cs="Arial"/>
          <w:sz w:val="20"/>
          <w:szCs w:val="20"/>
        </w:rPr>
        <w:t xml:space="preserve">Bei der Verteilung </w:t>
      </w:r>
      <w:r w:rsidR="00D35A6D" w:rsidRPr="005F69D4">
        <w:rPr>
          <w:rFonts w:ascii="Arial" w:hAnsi="Arial" w:cs="Arial"/>
          <w:sz w:val="20"/>
          <w:szCs w:val="20"/>
        </w:rPr>
        <w:t xml:space="preserve">nach Größenklassen </w:t>
      </w:r>
      <w:r w:rsidR="00656049">
        <w:rPr>
          <w:rFonts w:ascii="Arial" w:hAnsi="Arial" w:cs="Arial"/>
          <w:sz w:val="20"/>
          <w:szCs w:val="20"/>
        </w:rPr>
        <w:t xml:space="preserve">dominierten </w:t>
      </w:r>
      <w:r w:rsidR="00656049" w:rsidRPr="005F69D4">
        <w:rPr>
          <w:rFonts w:ascii="Arial" w:hAnsi="Arial" w:cs="Arial"/>
          <w:sz w:val="20"/>
          <w:szCs w:val="20"/>
        </w:rPr>
        <w:t>Transaktionen ab 100 Mio. € mit 46 % das Volumen.</w:t>
      </w:r>
      <w:r w:rsidR="005F69D4" w:rsidRPr="005F69D4">
        <w:rPr>
          <w:rFonts w:ascii="Arial" w:hAnsi="Arial" w:cs="Arial"/>
          <w:sz w:val="20"/>
          <w:szCs w:val="20"/>
        </w:rPr>
        <w:t xml:space="preserve"> Die meisten Transaktionen wurden jedoch mit sieben Deals in der Größenklasse von 26 bis 50 Mio. € geschlossen (28%). </w:t>
      </w:r>
    </w:p>
    <w:p w14:paraId="402B1975" w14:textId="681E9F62" w:rsidR="00326066" w:rsidRDefault="000623C0" w:rsidP="008A2BA4">
      <w:pPr>
        <w:pStyle w:val="Listenabsatz"/>
        <w:numPr>
          <w:ilvl w:val="0"/>
          <w:numId w:val="16"/>
        </w:numPr>
        <w:spacing w:after="0" w:line="360" w:lineRule="auto"/>
        <w:ind w:left="425" w:hanging="357"/>
        <w:textAlignment w:val="baseline"/>
        <w:rPr>
          <w:rFonts w:ascii="Arial" w:hAnsi="Arial" w:cs="Arial"/>
          <w:sz w:val="20"/>
          <w:szCs w:val="20"/>
        </w:rPr>
      </w:pPr>
      <w:r w:rsidRPr="00BE10CC">
        <w:rPr>
          <w:rFonts w:ascii="Arial" w:hAnsi="Arial" w:cs="Arial"/>
          <w:sz w:val="20"/>
          <w:szCs w:val="20"/>
        </w:rPr>
        <w:t>Die Renditekompression verlor weiter an Fahrt, sodass die Renditen auf dem niedrigen Stand des Vorjahr</w:t>
      </w:r>
      <w:r w:rsidR="0038350F">
        <w:rPr>
          <w:rFonts w:ascii="Arial" w:hAnsi="Arial" w:cs="Arial"/>
          <w:sz w:val="20"/>
          <w:szCs w:val="20"/>
        </w:rPr>
        <w:t xml:space="preserve">esendes verweilten. Die </w:t>
      </w:r>
      <w:r w:rsidR="008F10B9">
        <w:rPr>
          <w:rFonts w:ascii="Arial" w:hAnsi="Arial" w:cs="Arial"/>
          <w:sz w:val="20"/>
          <w:szCs w:val="20"/>
        </w:rPr>
        <w:t xml:space="preserve">aktuell </w:t>
      </w:r>
      <w:r w:rsidRPr="00BE10CC">
        <w:rPr>
          <w:rFonts w:ascii="Arial" w:hAnsi="Arial" w:cs="Arial"/>
          <w:sz w:val="20"/>
          <w:szCs w:val="20"/>
        </w:rPr>
        <w:t xml:space="preserve">steigende Attraktivität von </w:t>
      </w:r>
      <w:r w:rsidR="00A975B1" w:rsidRPr="00BE10CC">
        <w:rPr>
          <w:rFonts w:ascii="Arial" w:hAnsi="Arial" w:cs="Arial"/>
          <w:sz w:val="20"/>
          <w:szCs w:val="20"/>
        </w:rPr>
        <w:t xml:space="preserve">Core-Objekten </w:t>
      </w:r>
      <w:r w:rsidRPr="00BE10CC">
        <w:rPr>
          <w:rFonts w:ascii="Arial" w:hAnsi="Arial" w:cs="Arial"/>
          <w:sz w:val="20"/>
          <w:szCs w:val="20"/>
        </w:rPr>
        <w:t xml:space="preserve">als Anlageprodukte </w:t>
      </w:r>
      <w:r w:rsidR="00DD39EA" w:rsidRPr="00BE10CC">
        <w:rPr>
          <w:rFonts w:ascii="Arial" w:hAnsi="Arial" w:cs="Arial"/>
          <w:sz w:val="20"/>
          <w:szCs w:val="20"/>
        </w:rPr>
        <w:t>setzt dabei i</w:t>
      </w:r>
      <w:r w:rsidR="002C450A">
        <w:rPr>
          <w:rFonts w:ascii="Arial" w:hAnsi="Arial" w:cs="Arial"/>
          <w:sz w:val="20"/>
          <w:szCs w:val="20"/>
        </w:rPr>
        <w:t>nsbesondere die Spitzenrenditen</w:t>
      </w:r>
      <w:r w:rsidR="006F292B" w:rsidRPr="00BE10CC">
        <w:rPr>
          <w:rFonts w:ascii="Arial" w:hAnsi="Arial" w:cs="Arial"/>
          <w:sz w:val="20"/>
          <w:szCs w:val="20"/>
        </w:rPr>
        <w:t xml:space="preserve"> </w:t>
      </w:r>
      <w:r w:rsidR="00DD39EA" w:rsidRPr="00BE10CC">
        <w:rPr>
          <w:rFonts w:ascii="Arial" w:hAnsi="Arial" w:cs="Arial"/>
          <w:sz w:val="20"/>
          <w:szCs w:val="20"/>
        </w:rPr>
        <w:t>unter</w:t>
      </w:r>
      <w:r w:rsidR="00346814" w:rsidRPr="00BE10CC">
        <w:rPr>
          <w:rFonts w:ascii="Arial" w:hAnsi="Arial" w:cs="Arial"/>
          <w:sz w:val="20"/>
          <w:szCs w:val="20"/>
        </w:rPr>
        <w:t xml:space="preserve"> zusätzlichen Druck. </w:t>
      </w:r>
    </w:p>
    <w:p w14:paraId="79D54FF6" w14:textId="57E16F24" w:rsidR="008A2BA4" w:rsidRDefault="008A2BA4" w:rsidP="008A2BA4">
      <w:pPr>
        <w:spacing w:after="0" w:line="360" w:lineRule="auto"/>
        <w:ind w:left="68"/>
        <w:textAlignment w:val="baseline"/>
        <w:rPr>
          <w:rFonts w:ascii="Arial" w:hAnsi="Arial" w:cs="Arial"/>
          <w:sz w:val="20"/>
          <w:szCs w:val="20"/>
        </w:rPr>
      </w:pPr>
    </w:p>
    <w:p w14:paraId="7E719F67" w14:textId="4006C1A8" w:rsidR="008A2BA4" w:rsidRDefault="008A2BA4" w:rsidP="008A2BA4">
      <w:pPr>
        <w:spacing w:after="0" w:line="360" w:lineRule="auto"/>
        <w:ind w:left="68"/>
        <w:textAlignment w:val="baseline"/>
        <w:rPr>
          <w:rFonts w:ascii="Arial" w:hAnsi="Arial" w:cs="Arial"/>
          <w:sz w:val="20"/>
          <w:szCs w:val="20"/>
        </w:rPr>
      </w:pPr>
    </w:p>
    <w:p w14:paraId="5E40163B" w14:textId="77777777" w:rsidR="008A2BA4" w:rsidRPr="008A2BA4" w:rsidRDefault="008A2BA4" w:rsidP="008A2BA4">
      <w:pPr>
        <w:spacing w:after="0" w:line="360" w:lineRule="auto"/>
        <w:ind w:left="68"/>
        <w:textAlignment w:val="baseline"/>
        <w:rPr>
          <w:rFonts w:ascii="Arial" w:hAnsi="Arial" w:cs="Arial"/>
          <w:sz w:val="20"/>
          <w:szCs w:val="20"/>
        </w:rPr>
      </w:pPr>
    </w:p>
    <w:tbl>
      <w:tblPr>
        <w:tblStyle w:val="TableGrid2"/>
        <w:tblpPr w:leftFromText="141" w:rightFromText="141" w:vertAnchor="text" w:horzAnchor="margin" w:tblpY="106"/>
        <w:tblW w:w="0" w:type="auto"/>
        <w:tblLook w:val="04A0" w:firstRow="1" w:lastRow="0" w:firstColumn="1" w:lastColumn="0" w:noHBand="0" w:noVBand="1"/>
      </w:tblPr>
      <w:tblGrid>
        <w:gridCol w:w="3823"/>
        <w:gridCol w:w="1134"/>
      </w:tblGrid>
      <w:tr w:rsidR="000A5ED1" w:rsidRPr="006F49D0" w14:paraId="2928D7C9" w14:textId="77777777" w:rsidTr="00365AF8">
        <w:trPr>
          <w:trHeight w:val="283"/>
        </w:trPr>
        <w:tc>
          <w:tcPr>
            <w:tcW w:w="0" w:type="auto"/>
            <w:shd w:val="clear" w:color="auto" w:fill="1F242B" w:themeFill="accent2"/>
          </w:tcPr>
          <w:p w14:paraId="513B5E89" w14:textId="0E2F594A" w:rsidR="000A5ED1" w:rsidRPr="004712BA" w:rsidRDefault="000A5ED1" w:rsidP="00CD6BD0">
            <w:pPr>
              <w:widowControl w:val="0"/>
              <w:spacing w:before="60" w:after="60"/>
              <w:jc w:val="both"/>
              <w:rPr>
                <w:rFonts w:ascii="Arial" w:hAnsi="Arial" w:cs="Arial"/>
                <w:b/>
                <w:sz w:val="18"/>
                <w:szCs w:val="16"/>
              </w:rPr>
            </w:pPr>
            <w:r>
              <w:rPr>
                <w:rFonts w:ascii="Arial" w:hAnsi="Arial" w:cs="Arial"/>
                <w:b/>
                <w:sz w:val="20"/>
                <w:szCs w:val="20"/>
              </w:rPr>
              <w:lastRenderedPageBreak/>
              <w:t>Investmentmarkt</w:t>
            </w:r>
            <w:r w:rsidR="00800E2C">
              <w:rPr>
                <w:rFonts w:ascii="Arial" w:hAnsi="Arial" w:cs="Arial"/>
                <w:b/>
                <w:sz w:val="20"/>
                <w:szCs w:val="20"/>
              </w:rPr>
              <w:t xml:space="preserve"> </w:t>
            </w:r>
            <w:r w:rsidR="00800E2C" w:rsidRPr="00800E2C">
              <w:rPr>
                <w:rFonts w:ascii="Arial" w:hAnsi="Arial" w:cs="Arial"/>
                <w:b/>
                <w:sz w:val="20"/>
                <w:szCs w:val="20"/>
              </w:rPr>
              <w:t>|</w:t>
            </w:r>
            <w:r>
              <w:rPr>
                <w:rFonts w:ascii="Arial" w:hAnsi="Arial" w:cs="Arial"/>
                <w:b/>
                <w:sz w:val="20"/>
                <w:szCs w:val="20"/>
              </w:rPr>
              <w:t xml:space="preserve"> </w:t>
            </w:r>
            <w:r w:rsidR="0054412E">
              <w:rPr>
                <w:rFonts w:ascii="Arial" w:hAnsi="Arial" w:cs="Arial"/>
                <w:b/>
                <w:sz w:val="20"/>
                <w:szCs w:val="20"/>
              </w:rPr>
              <w:t>Hamburg</w:t>
            </w:r>
            <w:r w:rsidR="00800E2C">
              <w:t xml:space="preserve"> </w:t>
            </w:r>
            <w:r w:rsidR="00800E2C" w:rsidRPr="00800E2C">
              <w:rPr>
                <w:rFonts w:ascii="Arial" w:hAnsi="Arial" w:cs="Arial"/>
                <w:b/>
                <w:sz w:val="20"/>
                <w:szCs w:val="20"/>
              </w:rPr>
              <w:t>|</w:t>
            </w:r>
            <w:r w:rsidR="00800E2C">
              <w:rPr>
                <w:rFonts w:ascii="Arial" w:hAnsi="Arial" w:cs="Arial"/>
                <w:b/>
                <w:sz w:val="20"/>
                <w:szCs w:val="20"/>
              </w:rPr>
              <w:t xml:space="preserve"> </w:t>
            </w:r>
            <w:r w:rsidR="00CD6BD0">
              <w:rPr>
                <w:rFonts w:ascii="Arial" w:hAnsi="Arial" w:cs="Arial"/>
                <w:b/>
                <w:sz w:val="20"/>
                <w:szCs w:val="20"/>
              </w:rPr>
              <w:t>2020</w:t>
            </w:r>
          </w:p>
        </w:tc>
        <w:tc>
          <w:tcPr>
            <w:tcW w:w="1134" w:type="dxa"/>
            <w:shd w:val="clear" w:color="auto" w:fill="1F242B" w:themeFill="accent2"/>
          </w:tcPr>
          <w:p w14:paraId="6DA68AD4" w14:textId="2E709E14" w:rsidR="000A5ED1" w:rsidRPr="004712BA" w:rsidRDefault="000A5ED1" w:rsidP="00465B0E">
            <w:pPr>
              <w:widowControl w:val="0"/>
              <w:spacing w:before="60" w:after="60"/>
              <w:jc w:val="center"/>
              <w:rPr>
                <w:rFonts w:ascii="Arial" w:hAnsi="Arial" w:cs="Arial"/>
                <w:b/>
                <w:sz w:val="18"/>
                <w:szCs w:val="16"/>
              </w:rPr>
            </w:pPr>
            <w:r w:rsidRPr="004712BA">
              <w:rPr>
                <w:rFonts w:ascii="Arial" w:hAnsi="Arial" w:cs="Arial"/>
                <w:b/>
                <w:sz w:val="18"/>
                <w:szCs w:val="16"/>
              </w:rPr>
              <w:t>Q</w:t>
            </w:r>
            <w:r w:rsidR="00797E4F">
              <w:rPr>
                <w:rFonts w:ascii="Arial" w:hAnsi="Arial" w:cs="Arial"/>
                <w:b/>
                <w:sz w:val="18"/>
                <w:szCs w:val="16"/>
              </w:rPr>
              <w:t>1</w:t>
            </w:r>
          </w:p>
        </w:tc>
      </w:tr>
      <w:tr w:rsidR="00797E4F" w:rsidRPr="006F49D0" w14:paraId="12A35FD1" w14:textId="77777777" w:rsidTr="00365AF8">
        <w:trPr>
          <w:trHeight w:val="283"/>
        </w:trPr>
        <w:tc>
          <w:tcPr>
            <w:tcW w:w="3823" w:type="dxa"/>
          </w:tcPr>
          <w:p w14:paraId="1EEAFBBC" w14:textId="421C87C5" w:rsidR="00797E4F" w:rsidRPr="004712BA" w:rsidRDefault="00797E4F" w:rsidP="00797E4F">
            <w:pPr>
              <w:widowControl w:val="0"/>
              <w:spacing w:before="40" w:after="40"/>
              <w:jc w:val="both"/>
              <w:rPr>
                <w:rFonts w:ascii="Arial" w:hAnsi="Arial" w:cs="Arial"/>
                <w:b/>
                <w:sz w:val="18"/>
                <w:szCs w:val="16"/>
              </w:rPr>
            </w:pPr>
            <w:r>
              <w:rPr>
                <w:rFonts w:ascii="Arial" w:hAnsi="Arial" w:cs="Arial"/>
                <w:b/>
                <w:sz w:val="18"/>
                <w:szCs w:val="16"/>
              </w:rPr>
              <w:t xml:space="preserve">Transaktionsvolumen </w:t>
            </w:r>
            <w:r w:rsidRPr="00CF57DD">
              <w:rPr>
                <w:rFonts w:ascii="Arial" w:hAnsi="Arial" w:cs="Arial"/>
                <w:sz w:val="18"/>
                <w:szCs w:val="16"/>
              </w:rPr>
              <w:t>[</w:t>
            </w:r>
            <w:r w:rsidRPr="004712BA">
              <w:rPr>
                <w:rFonts w:ascii="Arial" w:hAnsi="Arial" w:cs="Arial"/>
                <w:sz w:val="18"/>
                <w:szCs w:val="16"/>
              </w:rPr>
              <w:t>Mio. €</w:t>
            </w:r>
            <w:r>
              <w:rPr>
                <w:rFonts w:ascii="Arial" w:hAnsi="Arial" w:cs="Arial"/>
                <w:sz w:val="18"/>
                <w:szCs w:val="16"/>
              </w:rPr>
              <w:t>]</w:t>
            </w:r>
          </w:p>
        </w:tc>
        <w:tc>
          <w:tcPr>
            <w:tcW w:w="1134" w:type="dxa"/>
            <w:vAlign w:val="center"/>
          </w:tcPr>
          <w:p w14:paraId="37C81A3D" w14:textId="241963BD" w:rsidR="00797E4F" w:rsidRPr="000B7D28" w:rsidRDefault="000B7D28" w:rsidP="000B7D28">
            <w:pPr>
              <w:widowControl w:val="0"/>
              <w:spacing w:before="40" w:after="40"/>
              <w:jc w:val="right"/>
              <w:rPr>
                <w:rFonts w:ascii="Arial" w:hAnsi="Arial" w:cs="Arial"/>
                <w:sz w:val="18"/>
                <w:szCs w:val="16"/>
              </w:rPr>
            </w:pPr>
            <w:r w:rsidRPr="000B7D28">
              <w:rPr>
                <w:rFonts w:ascii="Arial" w:hAnsi="Arial" w:cs="Arial"/>
                <w:sz w:val="18"/>
                <w:szCs w:val="16"/>
              </w:rPr>
              <w:t>970</w:t>
            </w:r>
          </w:p>
        </w:tc>
      </w:tr>
      <w:tr w:rsidR="00797E4F" w:rsidRPr="006F49D0" w14:paraId="6A7ABFCD" w14:textId="77777777" w:rsidTr="00365AF8">
        <w:trPr>
          <w:trHeight w:val="283"/>
        </w:trPr>
        <w:tc>
          <w:tcPr>
            <w:tcW w:w="3823" w:type="dxa"/>
          </w:tcPr>
          <w:p w14:paraId="209F9D9C" w14:textId="77777777" w:rsidR="00797E4F" w:rsidRPr="00A7575D" w:rsidRDefault="00797E4F" w:rsidP="00797E4F">
            <w:pPr>
              <w:widowControl w:val="0"/>
              <w:spacing w:before="40" w:after="40"/>
              <w:jc w:val="both"/>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34" w:type="dxa"/>
            <w:vAlign w:val="center"/>
          </w:tcPr>
          <w:p w14:paraId="266E247E" w14:textId="40AECB10" w:rsidR="00797E4F" w:rsidRPr="000B7D28" w:rsidRDefault="000B7D28" w:rsidP="000B7D28">
            <w:pPr>
              <w:widowControl w:val="0"/>
              <w:spacing w:before="40" w:after="40"/>
              <w:jc w:val="right"/>
              <w:rPr>
                <w:rFonts w:ascii="Arial" w:hAnsi="Arial" w:cs="Arial"/>
                <w:sz w:val="18"/>
                <w:szCs w:val="16"/>
              </w:rPr>
            </w:pPr>
            <w:r w:rsidRPr="000B7D28">
              <w:rPr>
                <w:rFonts w:ascii="Arial" w:hAnsi="Arial" w:cs="Arial"/>
                <w:sz w:val="18"/>
                <w:szCs w:val="16"/>
              </w:rPr>
              <w:t>+111</w:t>
            </w:r>
          </w:p>
        </w:tc>
      </w:tr>
      <w:tr w:rsidR="00797E4F" w:rsidRPr="006F49D0" w14:paraId="1F46D6E3" w14:textId="77777777" w:rsidTr="00365AF8">
        <w:trPr>
          <w:trHeight w:val="283"/>
        </w:trPr>
        <w:tc>
          <w:tcPr>
            <w:tcW w:w="3823" w:type="dxa"/>
          </w:tcPr>
          <w:p w14:paraId="021D0700" w14:textId="77777777" w:rsidR="00797E4F" w:rsidRPr="00A7575D" w:rsidRDefault="00797E4F" w:rsidP="00797E4F">
            <w:pPr>
              <w:widowControl w:val="0"/>
              <w:spacing w:before="40" w:after="40"/>
              <w:jc w:val="both"/>
              <w:rPr>
                <w:rFonts w:ascii="Arial" w:hAnsi="Arial" w:cs="Arial"/>
                <w:sz w:val="18"/>
                <w:szCs w:val="16"/>
              </w:rPr>
            </w:pPr>
            <w:r w:rsidRPr="00CF57DD">
              <w:rPr>
                <w:rFonts w:ascii="Arial" w:hAnsi="Arial" w:cs="Arial"/>
                <w:b/>
                <w:sz w:val="18"/>
                <w:szCs w:val="16"/>
              </w:rPr>
              <w:t>Anteil CBD</w:t>
            </w:r>
            <w:r>
              <w:rPr>
                <w:rFonts w:ascii="Arial" w:hAnsi="Arial" w:cs="Arial"/>
                <w:sz w:val="18"/>
                <w:szCs w:val="16"/>
              </w:rPr>
              <w:t xml:space="preserve"> [%]</w:t>
            </w:r>
          </w:p>
        </w:tc>
        <w:tc>
          <w:tcPr>
            <w:tcW w:w="1134" w:type="dxa"/>
            <w:vAlign w:val="center"/>
          </w:tcPr>
          <w:p w14:paraId="2EA23137" w14:textId="0C04F30F" w:rsidR="00797E4F" w:rsidRPr="000B7D28" w:rsidRDefault="000B7D28" w:rsidP="000B7D28">
            <w:pPr>
              <w:widowControl w:val="0"/>
              <w:spacing w:before="40" w:after="40"/>
              <w:jc w:val="right"/>
              <w:rPr>
                <w:rFonts w:ascii="Arial" w:hAnsi="Arial" w:cs="Arial"/>
                <w:sz w:val="18"/>
                <w:szCs w:val="16"/>
              </w:rPr>
            </w:pPr>
            <w:r w:rsidRPr="000B7D28">
              <w:rPr>
                <w:rFonts w:ascii="Arial" w:hAnsi="Arial" w:cs="Arial"/>
                <w:sz w:val="18"/>
                <w:szCs w:val="16"/>
              </w:rPr>
              <w:t>48</w:t>
            </w:r>
          </w:p>
        </w:tc>
      </w:tr>
      <w:tr w:rsidR="00797E4F" w:rsidRPr="006F49D0" w14:paraId="1F687A93" w14:textId="77777777" w:rsidTr="00365AF8">
        <w:trPr>
          <w:trHeight w:val="283"/>
        </w:trPr>
        <w:tc>
          <w:tcPr>
            <w:tcW w:w="3823" w:type="dxa"/>
          </w:tcPr>
          <w:p w14:paraId="7BAE8D04" w14:textId="77777777" w:rsidR="00797E4F" w:rsidRPr="00CF57DD" w:rsidRDefault="00797E4F" w:rsidP="00797E4F">
            <w:pPr>
              <w:widowControl w:val="0"/>
              <w:spacing w:before="40" w:after="40"/>
              <w:jc w:val="both"/>
              <w:rPr>
                <w:rFonts w:ascii="Arial" w:hAnsi="Arial" w:cs="Arial"/>
                <w:b/>
                <w:sz w:val="18"/>
                <w:szCs w:val="16"/>
              </w:rPr>
            </w:pPr>
            <w:r>
              <w:rPr>
                <w:rFonts w:ascii="Arial" w:hAnsi="Arial" w:cs="Arial"/>
                <w:b/>
                <w:sz w:val="18"/>
                <w:szCs w:val="16"/>
              </w:rPr>
              <w:t xml:space="preserve">Anteil internationaler Investoren </w:t>
            </w:r>
            <w:r w:rsidRPr="00CF57DD">
              <w:rPr>
                <w:rFonts w:ascii="Arial" w:hAnsi="Arial" w:cs="Arial"/>
                <w:sz w:val="18"/>
                <w:szCs w:val="16"/>
              </w:rPr>
              <w:t>[%]</w:t>
            </w:r>
          </w:p>
        </w:tc>
        <w:tc>
          <w:tcPr>
            <w:tcW w:w="1134" w:type="dxa"/>
            <w:vAlign w:val="center"/>
          </w:tcPr>
          <w:p w14:paraId="7264C863" w14:textId="7E4AD1C7" w:rsidR="00797E4F" w:rsidRPr="000B7D28" w:rsidRDefault="000B7D28" w:rsidP="000B7D28">
            <w:pPr>
              <w:widowControl w:val="0"/>
              <w:spacing w:before="40" w:after="40"/>
              <w:jc w:val="right"/>
              <w:rPr>
                <w:rFonts w:ascii="Arial" w:hAnsi="Arial" w:cs="Arial"/>
                <w:sz w:val="18"/>
                <w:szCs w:val="16"/>
              </w:rPr>
            </w:pPr>
            <w:r w:rsidRPr="000B7D28">
              <w:rPr>
                <w:rFonts w:ascii="Arial" w:hAnsi="Arial" w:cs="Arial"/>
                <w:sz w:val="18"/>
                <w:szCs w:val="16"/>
              </w:rPr>
              <w:t>19</w:t>
            </w:r>
          </w:p>
        </w:tc>
      </w:tr>
      <w:tr w:rsidR="00797E4F" w:rsidRPr="006F49D0" w14:paraId="16A9EFD5" w14:textId="77777777" w:rsidTr="00365AF8">
        <w:trPr>
          <w:trHeight w:val="283"/>
        </w:trPr>
        <w:tc>
          <w:tcPr>
            <w:tcW w:w="3823" w:type="dxa"/>
          </w:tcPr>
          <w:p w14:paraId="776A8B5E" w14:textId="77777777" w:rsidR="00797E4F" w:rsidRPr="004712BA" w:rsidRDefault="00797E4F" w:rsidP="00797E4F">
            <w:pPr>
              <w:widowControl w:val="0"/>
              <w:spacing w:before="40" w:after="40"/>
              <w:jc w:val="both"/>
              <w:rPr>
                <w:rFonts w:ascii="Arial" w:hAnsi="Arial" w:cs="Arial"/>
                <w:b/>
                <w:sz w:val="18"/>
                <w:szCs w:val="16"/>
              </w:rPr>
            </w:pPr>
            <w:r w:rsidRPr="00A7575D">
              <w:rPr>
                <w:rFonts w:ascii="Arial" w:hAnsi="Arial" w:cs="Arial"/>
                <w:b/>
                <w:sz w:val="18"/>
                <w:szCs w:val="16"/>
              </w:rPr>
              <w:t xml:space="preserve">Netto-Spitzenrendite Büro </w:t>
            </w:r>
            <w:r w:rsidRPr="00CF57DD">
              <w:rPr>
                <w:rFonts w:ascii="Arial" w:hAnsi="Arial" w:cs="Arial"/>
                <w:sz w:val="18"/>
                <w:szCs w:val="16"/>
              </w:rPr>
              <w:t>[%]</w:t>
            </w:r>
          </w:p>
        </w:tc>
        <w:tc>
          <w:tcPr>
            <w:tcW w:w="1134" w:type="dxa"/>
            <w:vAlign w:val="center"/>
          </w:tcPr>
          <w:p w14:paraId="4D71828B" w14:textId="717A48C3" w:rsidR="00797E4F" w:rsidRPr="000B7D28" w:rsidRDefault="00277361" w:rsidP="000B7D28">
            <w:pPr>
              <w:widowControl w:val="0"/>
              <w:spacing w:before="40" w:after="40"/>
              <w:jc w:val="right"/>
              <w:rPr>
                <w:rFonts w:ascii="Arial" w:hAnsi="Arial" w:cs="Arial"/>
                <w:sz w:val="18"/>
                <w:szCs w:val="16"/>
              </w:rPr>
            </w:pPr>
            <w:r w:rsidRPr="000B7D28">
              <w:rPr>
                <w:rFonts w:ascii="Arial" w:hAnsi="Arial" w:cs="Arial"/>
                <w:sz w:val="18"/>
                <w:szCs w:val="16"/>
              </w:rPr>
              <w:t>2,80</w:t>
            </w:r>
          </w:p>
        </w:tc>
      </w:tr>
      <w:tr w:rsidR="00797E4F" w14:paraId="55B3498E" w14:textId="77777777" w:rsidTr="00365AF8">
        <w:trPr>
          <w:trHeight w:val="283"/>
        </w:trPr>
        <w:tc>
          <w:tcPr>
            <w:tcW w:w="3823" w:type="dxa"/>
          </w:tcPr>
          <w:p w14:paraId="10626FFC" w14:textId="3379598B" w:rsidR="00797E4F" w:rsidRPr="00A7575D" w:rsidRDefault="00797E4F" w:rsidP="0057685F">
            <w:pPr>
              <w:widowControl w:val="0"/>
              <w:spacing w:before="40" w:after="40"/>
              <w:jc w:val="both"/>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Pr>
                <w:rFonts w:ascii="Arial" w:hAnsi="Arial" w:cs="Arial"/>
                <w:sz w:val="18"/>
                <w:szCs w:val="16"/>
              </w:rPr>
              <w:t>[</w:t>
            </w:r>
            <w:r w:rsidRPr="00A7575D">
              <w:rPr>
                <w:rFonts w:ascii="Arial" w:hAnsi="Arial" w:cs="Arial"/>
                <w:sz w:val="18"/>
                <w:szCs w:val="16"/>
              </w:rPr>
              <w:t>%-Pkt.</w:t>
            </w:r>
            <w:r>
              <w:rPr>
                <w:rFonts w:ascii="Arial" w:hAnsi="Arial" w:cs="Arial"/>
                <w:sz w:val="18"/>
                <w:szCs w:val="16"/>
              </w:rPr>
              <w:t>]</w:t>
            </w:r>
          </w:p>
        </w:tc>
        <w:tc>
          <w:tcPr>
            <w:tcW w:w="1134" w:type="dxa"/>
            <w:vAlign w:val="center"/>
          </w:tcPr>
          <w:p w14:paraId="2B6ED377" w14:textId="3DE00338" w:rsidR="00797E4F" w:rsidRPr="000B7D28" w:rsidRDefault="00277361" w:rsidP="000B7D28">
            <w:pPr>
              <w:widowControl w:val="0"/>
              <w:spacing w:before="40" w:after="40"/>
              <w:jc w:val="right"/>
              <w:rPr>
                <w:rFonts w:ascii="Arial" w:hAnsi="Arial" w:cs="Arial"/>
                <w:sz w:val="18"/>
                <w:szCs w:val="16"/>
              </w:rPr>
            </w:pPr>
            <w:r w:rsidRPr="000B7D28">
              <w:rPr>
                <w:rFonts w:ascii="Arial" w:hAnsi="Arial" w:cs="Arial"/>
                <w:sz w:val="18"/>
                <w:szCs w:val="16"/>
              </w:rPr>
              <w:t>±0,00</w:t>
            </w:r>
          </w:p>
        </w:tc>
      </w:tr>
      <w:tr w:rsidR="00797E4F" w:rsidRPr="006F49D0" w14:paraId="3FF9A817" w14:textId="77777777" w:rsidTr="00365AF8">
        <w:trPr>
          <w:trHeight w:val="283"/>
        </w:trPr>
        <w:tc>
          <w:tcPr>
            <w:tcW w:w="3823" w:type="dxa"/>
          </w:tcPr>
          <w:p w14:paraId="5A19B7CF" w14:textId="77777777" w:rsidR="00797E4F" w:rsidRPr="004712BA" w:rsidRDefault="00797E4F" w:rsidP="00797E4F">
            <w:pPr>
              <w:widowControl w:val="0"/>
              <w:spacing w:before="40" w:after="40"/>
              <w:jc w:val="both"/>
              <w:rPr>
                <w:rFonts w:ascii="Arial" w:hAnsi="Arial" w:cs="Arial"/>
                <w:b/>
                <w:sz w:val="18"/>
                <w:szCs w:val="16"/>
              </w:rPr>
            </w:pPr>
            <w:r w:rsidRPr="00A7575D">
              <w:rPr>
                <w:rFonts w:ascii="Arial" w:hAnsi="Arial" w:cs="Arial"/>
                <w:b/>
                <w:sz w:val="18"/>
                <w:szCs w:val="16"/>
              </w:rPr>
              <w:t xml:space="preserve">Netto-Spitzenrendite Geschäftshäuser </w:t>
            </w:r>
            <w:r w:rsidRPr="00CF57DD">
              <w:rPr>
                <w:rFonts w:ascii="Arial" w:hAnsi="Arial" w:cs="Arial"/>
                <w:sz w:val="18"/>
                <w:szCs w:val="16"/>
              </w:rPr>
              <w:t>[%]</w:t>
            </w:r>
          </w:p>
        </w:tc>
        <w:tc>
          <w:tcPr>
            <w:tcW w:w="1134" w:type="dxa"/>
            <w:vAlign w:val="center"/>
          </w:tcPr>
          <w:p w14:paraId="27AD5745" w14:textId="50D777AC" w:rsidR="00797E4F" w:rsidRPr="000B7D28" w:rsidRDefault="00277361" w:rsidP="000B7D28">
            <w:pPr>
              <w:widowControl w:val="0"/>
              <w:spacing w:before="40" w:after="40"/>
              <w:jc w:val="right"/>
              <w:rPr>
                <w:rFonts w:ascii="Arial" w:hAnsi="Arial" w:cs="Arial"/>
                <w:sz w:val="18"/>
                <w:szCs w:val="16"/>
              </w:rPr>
            </w:pPr>
            <w:r w:rsidRPr="000B7D28">
              <w:rPr>
                <w:rFonts w:ascii="Arial" w:hAnsi="Arial" w:cs="Arial"/>
                <w:sz w:val="18"/>
                <w:szCs w:val="16"/>
              </w:rPr>
              <w:t>2,70</w:t>
            </w:r>
          </w:p>
        </w:tc>
      </w:tr>
      <w:tr w:rsidR="00797E4F" w14:paraId="0515B637" w14:textId="77777777" w:rsidTr="00365AF8">
        <w:trPr>
          <w:trHeight w:val="283"/>
        </w:trPr>
        <w:tc>
          <w:tcPr>
            <w:tcW w:w="3823" w:type="dxa"/>
          </w:tcPr>
          <w:p w14:paraId="67B252C5" w14:textId="516CED9B" w:rsidR="00797E4F" w:rsidRPr="00A7575D" w:rsidRDefault="00797E4F" w:rsidP="00797E4F">
            <w:pPr>
              <w:widowControl w:val="0"/>
              <w:spacing w:before="40" w:after="40"/>
              <w:jc w:val="both"/>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Pr>
                <w:rFonts w:ascii="Arial" w:hAnsi="Arial" w:cs="Arial"/>
                <w:sz w:val="18"/>
                <w:szCs w:val="16"/>
              </w:rPr>
              <w:t>[</w:t>
            </w:r>
            <w:r w:rsidRPr="00A7575D">
              <w:rPr>
                <w:rFonts w:ascii="Arial" w:hAnsi="Arial" w:cs="Arial"/>
                <w:sz w:val="18"/>
                <w:szCs w:val="16"/>
              </w:rPr>
              <w:t>%-Pkt.</w:t>
            </w:r>
            <w:r>
              <w:rPr>
                <w:rFonts w:ascii="Arial" w:hAnsi="Arial" w:cs="Arial"/>
                <w:sz w:val="18"/>
                <w:szCs w:val="16"/>
              </w:rPr>
              <w:t>]</w:t>
            </w:r>
          </w:p>
        </w:tc>
        <w:tc>
          <w:tcPr>
            <w:tcW w:w="1134" w:type="dxa"/>
            <w:vAlign w:val="center"/>
          </w:tcPr>
          <w:p w14:paraId="3F1E364B" w14:textId="61527676" w:rsidR="00797E4F" w:rsidRPr="000B7D28" w:rsidRDefault="00277361" w:rsidP="000B7D28">
            <w:pPr>
              <w:widowControl w:val="0"/>
              <w:spacing w:before="40" w:after="40"/>
              <w:jc w:val="right"/>
              <w:rPr>
                <w:rFonts w:ascii="Arial" w:hAnsi="Arial" w:cs="Arial"/>
                <w:sz w:val="18"/>
                <w:szCs w:val="16"/>
              </w:rPr>
            </w:pPr>
            <w:r w:rsidRPr="000B7D28">
              <w:rPr>
                <w:rFonts w:ascii="Arial" w:hAnsi="Arial" w:cs="Arial"/>
                <w:sz w:val="18"/>
                <w:szCs w:val="16"/>
              </w:rPr>
              <w:t>±0,00</w:t>
            </w:r>
          </w:p>
        </w:tc>
      </w:tr>
      <w:tr w:rsidR="00797E4F" w:rsidRPr="006F49D0" w14:paraId="5FADA812" w14:textId="77777777" w:rsidTr="00365AF8">
        <w:trPr>
          <w:trHeight w:val="283"/>
        </w:trPr>
        <w:tc>
          <w:tcPr>
            <w:tcW w:w="3823" w:type="dxa"/>
          </w:tcPr>
          <w:p w14:paraId="2CFBFCBA" w14:textId="77777777" w:rsidR="00797E4F" w:rsidRPr="004712BA" w:rsidRDefault="00797E4F" w:rsidP="00797E4F">
            <w:pPr>
              <w:widowControl w:val="0"/>
              <w:spacing w:before="40" w:after="40"/>
              <w:jc w:val="both"/>
              <w:rPr>
                <w:rFonts w:ascii="Arial" w:hAnsi="Arial" w:cs="Arial"/>
                <w:b/>
                <w:sz w:val="18"/>
                <w:szCs w:val="16"/>
              </w:rPr>
            </w:pPr>
            <w:r w:rsidRPr="00A7575D">
              <w:rPr>
                <w:rFonts w:ascii="Arial" w:hAnsi="Arial" w:cs="Arial"/>
                <w:b/>
                <w:sz w:val="18"/>
                <w:szCs w:val="16"/>
              </w:rPr>
              <w:t xml:space="preserve">Netto-Spitzenrendite Logistik </w:t>
            </w:r>
            <w:r w:rsidRPr="00CF57DD">
              <w:rPr>
                <w:rFonts w:ascii="Arial" w:hAnsi="Arial" w:cs="Arial"/>
                <w:sz w:val="18"/>
                <w:szCs w:val="16"/>
              </w:rPr>
              <w:t>[%]</w:t>
            </w:r>
          </w:p>
        </w:tc>
        <w:tc>
          <w:tcPr>
            <w:tcW w:w="1134" w:type="dxa"/>
            <w:vAlign w:val="center"/>
          </w:tcPr>
          <w:p w14:paraId="5A1B2D82" w14:textId="586A16CE" w:rsidR="00797E4F" w:rsidRPr="000B7D28" w:rsidRDefault="00277361" w:rsidP="000B7D28">
            <w:pPr>
              <w:widowControl w:val="0"/>
              <w:spacing w:before="40" w:after="40"/>
              <w:jc w:val="right"/>
              <w:rPr>
                <w:rFonts w:ascii="Arial" w:hAnsi="Arial" w:cs="Arial"/>
                <w:sz w:val="18"/>
                <w:szCs w:val="16"/>
              </w:rPr>
            </w:pPr>
            <w:r w:rsidRPr="000B7D28">
              <w:rPr>
                <w:rFonts w:ascii="Arial" w:hAnsi="Arial" w:cs="Arial"/>
                <w:sz w:val="18"/>
                <w:szCs w:val="16"/>
              </w:rPr>
              <w:t>4,</w:t>
            </w:r>
            <w:r w:rsidR="000B7D28" w:rsidRPr="000B7D28">
              <w:rPr>
                <w:rFonts w:ascii="Arial" w:hAnsi="Arial" w:cs="Arial"/>
                <w:sz w:val="18"/>
                <w:szCs w:val="16"/>
              </w:rPr>
              <w:t>20</w:t>
            </w:r>
          </w:p>
        </w:tc>
      </w:tr>
      <w:tr w:rsidR="00797E4F" w14:paraId="20B8D9B7" w14:textId="77777777" w:rsidTr="00365AF8">
        <w:trPr>
          <w:trHeight w:val="283"/>
        </w:trPr>
        <w:tc>
          <w:tcPr>
            <w:tcW w:w="3823" w:type="dxa"/>
          </w:tcPr>
          <w:p w14:paraId="24159E32" w14:textId="5AE4316B" w:rsidR="00797E4F" w:rsidRPr="00A7575D" w:rsidRDefault="00797E4F" w:rsidP="00797E4F">
            <w:pPr>
              <w:widowControl w:val="0"/>
              <w:spacing w:before="40" w:after="40"/>
              <w:jc w:val="both"/>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Pr>
                <w:rFonts w:ascii="Arial" w:hAnsi="Arial" w:cs="Arial"/>
                <w:sz w:val="18"/>
                <w:szCs w:val="16"/>
              </w:rPr>
              <w:t>[</w:t>
            </w:r>
            <w:r w:rsidRPr="00A7575D">
              <w:rPr>
                <w:rFonts w:ascii="Arial" w:hAnsi="Arial" w:cs="Arial"/>
                <w:sz w:val="18"/>
                <w:szCs w:val="16"/>
              </w:rPr>
              <w:t>%-Pkt.</w:t>
            </w:r>
            <w:r>
              <w:rPr>
                <w:rFonts w:ascii="Arial" w:hAnsi="Arial" w:cs="Arial"/>
                <w:sz w:val="18"/>
                <w:szCs w:val="16"/>
              </w:rPr>
              <w:t>]</w:t>
            </w:r>
          </w:p>
        </w:tc>
        <w:tc>
          <w:tcPr>
            <w:tcW w:w="1134" w:type="dxa"/>
            <w:vAlign w:val="center"/>
          </w:tcPr>
          <w:p w14:paraId="6C62ADF7" w14:textId="06BB93D4" w:rsidR="00797E4F" w:rsidRPr="000B7D28" w:rsidRDefault="00313876" w:rsidP="000B7D28">
            <w:pPr>
              <w:widowControl w:val="0"/>
              <w:spacing w:before="40" w:after="40"/>
              <w:jc w:val="right"/>
              <w:rPr>
                <w:rFonts w:ascii="Arial" w:hAnsi="Arial" w:cs="Arial"/>
                <w:sz w:val="18"/>
                <w:szCs w:val="16"/>
              </w:rPr>
            </w:pPr>
            <w:r w:rsidRPr="000B7D28">
              <w:rPr>
                <w:rFonts w:ascii="Arial" w:hAnsi="Arial" w:cs="Arial"/>
                <w:sz w:val="18"/>
                <w:szCs w:val="16"/>
              </w:rPr>
              <w:t>-</w:t>
            </w:r>
            <w:r w:rsidR="00277361" w:rsidRPr="000B7D28">
              <w:rPr>
                <w:rFonts w:ascii="Arial" w:hAnsi="Arial" w:cs="Arial"/>
                <w:sz w:val="18"/>
                <w:szCs w:val="16"/>
              </w:rPr>
              <w:t>0,</w:t>
            </w:r>
            <w:r w:rsidR="000B7D28" w:rsidRPr="000B7D28">
              <w:rPr>
                <w:rFonts w:ascii="Arial" w:hAnsi="Arial" w:cs="Arial"/>
                <w:sz w:val="18"/>
                <w:szCs w:val="16"/>
              </w:rPr>
              <w:t>30</w:t>
            </w:r>
          </w:p>
        </w:tc>
      </w:tr>
      <w:tr w:rsidR="00797E4F" w:rsidRPr="006F49D0" w14:paraId="258FCBB3" w14:textId="77777777" w:rsidTr="00365AF8">
        <w:trPr>
          <w:trHeight w:val="283"/>
        </w:trPr>
        <w:tc>
          <w:tcPr>
            <w:tcW w:w="3823" w:type="dxa"/>
            <w:tcBorders>
              <w:bottom w:val="single" w:sz="4" w:space="0" w:color="auto"/>
            </w:tcBorders>
          </w:tcPr>
          <w:p w14:paraId="6E84F40E" w14:textId="77777777" w:rsidR="00797E4F" w:rsidRPr="004712BA" w:rsidRDefault="00797E4F" w:rsidP="00797E4F">
            <w:pPr>
              <w:widowControl w:val="0"/>
              <w:spacing w:before="40" w:after="40"/>
              <w:jc w:val="both"/>
              <w:rPr>
                <w:rFonts w:ascii="Arial" w:hAnsi="Arial" w:cs="Arial"/>
                <w:b/>
                <w:sz w:val="18"/>
                <w:szCs w:val="16"/>
              </w:rPr>
            </w:pPr>
            <w:r w:rsidRPr="004712BA">
              <w:rPr>
                <w:rFonts w:ascii="Arial" w:hAnsi="Arial" w:cs="Arial"/>
                <w:b/>
                <w:sz w:val="18"/>
                <w:szCs w:val="16"/>
              </w:rPr>
              <w:t>Stärkste</w:t>
            </w:r>
            <w:r>
              <w:rPr>
                <w:rFonts w:ascii="Arial" w:hAnsi="Arial" w:cs="Arial"/>
                <w:b/>
                <w:sz w:val="18"/>
                <w:szCs w:val="16"/>
              </w:rPr>
              <w:t xml:space="preserve"> </w:t>
            </w:r>
            <w:r w:rsidRPr="004712BA">
              <w:rPr>
                <w:rFonts w:ascii="Arial" w:hAnsi="Arial" w:cs="Arial"/>
                <w:b/>
                <w:sz w:val="18"/>
                <w:szCs w:val="16"/>
              </w:rPr>
              <w:t>Assetklasse</w:t>
            </w:r>
          </w:p>
        </w:tc>
        <w:tc>
          <w:tcPr>
            <w:tcW w:w="1134" w:type="dxa"/>
            <w:tcBorders>
              <w:bottom w:val="single" w:sz="4" w:space="0" w:color="auto"/>
            </w:tcBorders>
            <w:vAlign w:val="center"/>
          </w:tcPr>
          <w:p w14:paraId="7D93AE39" w14:textId="46552263" w:rsidR="00797E4F" w:rsidRPr="000B7D28" w:rsidRDefault="000B7D28" w:rsidP="000B7D28">
            <w:pPr>
              <w:widowControl w:val="0"/>
              <w:spacing w:before="40" w:after="40"/>
              <w:jc w:val="right"/>
              <w:rPr>
                <w:rFonts w:ascii="Arial" w:hAnsi="Arial" w:cs="Arial"/>
                <w:sz w:val="18"/>
                <w:szCs w:val="16"/>
              </w:rPr>
            </w:pPr>
            <w:r w:rsidRPr="000B7D28">
              <w:rPr>
                <w:rFonts w:ascii="Arial" w:hAnsi="Arial" w:cs="Arial"/>
                <w:sz w:val="18"/>
                <w:szCs w:val="16"/>
              </w:rPr>
              <w:t>Mixed-</w:t>
            </w:r>
            <w:proofErr w:type="spellStart"/>
            <w:r w:rsidRPr="000B7D28">
              <w:rPr>
                <w:rFonts w:ascii="Arial" w:hAnsi="Arial" w:cs="Arial"/>
                <w:sz w:val="18"/>
                <w:szCs w:val="16"/>
              </w:rPr>
              <w:t>Use</w:t>
            </w:r>
            <w:proofErr w:type="spellEnd"/>
          </w:p>
        </w:tc>
      </w:tr>
      <w:tr w:rsidR="00797E4F" w:rsidRPr="006F49D0" w14:paraId="15F08F3E" w14:textId="77777777" w:rsidTr="00365AF8">
        <w:trPr>
          <w:trHeight w:val="283"/>
        </w:trPr>
        <w:tc>
          <w:tcPr>
            <w:tcW w:w="3823" w:type="dxa"/>
            <w:tcBorders>
              <w:bottom w:val="single" w:sz="4" w:space="0" w:color="auto"/>
            </w:tcBorders>
          </w:tcPr>
          <w:p w14:paraId="188669C5" w14:textId="77777777" w:rsidR="00797E4F" w:rsidRPr="004712BA" w:rsidRDefault="00797E4F" w:rsidP="00797E4F">
            <w:pPr>
              <w:widowControl w:val="0"/>
              <w:spacing w:before="40" w:after="40"/>
              <w:jc w:val="both"/>
              <w:rPr>
                <w:rFonts w:ascii="Arial" w:hAnsi="Arial" w:cs="Arial"/>
                <w:b/>
                <w:sz w:val="18"/>
                <w:szCs w:val="16"/>
              </w:rPr>
            </w:pPr>
            <w:r w:rsidRPr="004712BA">
              <w:rPr>
                <w:rFonts w:ascii="Arial" w:hAnsi="Arial" w:cs="Arial"/>
                <w:b/>
                <w:sz w:val="18"/>
                <w:szCs w:val="16"/>
              </w:rPr>
              <w:t>Stärkste</w:t>
            </w:r>
            <w:r>
              <w:rPr>
                <w:rFonts w:ascii="Arial" w:hAnsi="Arial" w:cs="Arial"/>
                <w:b/>
                <w:sz w:val="18"/>
                <w:szCs w:val="16"/>
              </w:rPr>
              <w:t xml:space="preserve"> </w:t>
            </w:r>
            <w:r w:rsidRPr="004712BA">
              <w:rPr>
                <w:rFonts w:ascii="Arial" w:hAnsi="Arial" w:cs="Arial"/>
                <w:b/>
                <w:sz w:val="18"/>
                <w:szCs w:val="16"/>
              </w:rPr>
              <w:t xml:space="preserve">Assetklasse </w:t>
            </w:r>
            <w:r w:rsidRPr="00CF57DD">
              <w:rPr>
                <w:rFonts w:ascii="Arial" w:hAnsi="Arial" w:cs="Arial"/>
                <w:sz w:val="18"/>
                <w:szCs w:val="16"/>
              </w:rPr>
              <w:t>[%]</w:t>
            </w:r>
          </w:p>
        </w:tc>
        <w:tc>
          <w:tcPr>
            <w:tcW w:w="1134" w:type="dxa"/>
            <w:tcBorders>
              <w:bottom w:val="single" w:sz="4" w:space="0" w:color="auto"/>
            </w:tcBorders>
            <w:vAlign w:val="center"/>
          </w:tcPr>
          <w:p w14:paraId="779478F0" w14:textId="2D3CFA3B" w:rsidR="00797E4F" w:rsidRPr="000B7D28" w:rsidRDefault="000B7D28" w:rsidP="000B7D28">
            <w:pPr>
              <w:widowControl w:val="0"/>
              <w:spacing w:before="40" w:after="40"/>
              <w:jc w:val="right"/>
              <w:rPr>
                <w:rFonts w:ascii="Arial" w:hAnsi="Arial" w:cs="Arial"/>
                <w:sz w:val="18"/>
                <w:szCs w:val="16"/>
              </w:rPr>
            </w:pPr>
            <w:r w:rsidRPr="000B7D28">
              <w:rPr>
                <w:rFonts w:ascii="Arial" w:hAnsi="Arial" w:cs="Arial"/>
                <w:sz w:val="18"/>
                <w:szCs w:val="16"/>
              </w:rPr>
              <w:t>40</w:t>
            </w:r>
          </w:p>
        </w:tc>
      </w:tr>
    </w:tbl>
    <w:p w14:paraId="7AFFF209" w14:textId="58136909" w:rsidR="000A5ED1" w:rsidRPr="00B26FFD" w:rsidRDefault="00027644" w:rsidP="000A5ED1">
      <w:pPr>
        <w:spacing w:after="0" w:line="360" w:lineRule="auto"/>
        <w:ind w:left="66"/>
        <w:textAlignment w:val="baseline"/>
        <w:rPr>
          <w:rFonts w:ascii="Arial" w:hAnsi="Arial" w:cs="Arial"/>
          <w:sz w:val="20"/>
          <w:szCs w:val="20"/>
        </w:rPr>
      </w:pPr>
      <w:bookmarkStart w:id="0" w:name="_GoBack"/>
      <w:bookmarkEnd w:id="0"/>
      <w:r>
        <w:rPr>
          <w:rFonts w:ascii="Arial" w:hAnsi="Arial" w:cs="Arial"/>
          <w:noProof/>
          <w:sz w:val="20"/>
          <w:szCs w:val="20"/>
          <w:lang w:eastAsia="de-DE"/>
        </w:rPr>
        <w:drawing>
          <wp:anchor distT="0" distB="0" distL="114300" distR="114300" simplePos="0" relativeHeight="251658240" behindDoc="0" locked="0" layoutInCell="1" allowOverlap="1" wp14:anchorId="70221136" wp14:editId="781391E0">
            <wp:simplePos x="0" y="0"/>
            <wp:positionH relativeFrom="column">
              <wp:posOffset>3261360</wp:posOffset>
            </wp:positionH>
            <wp:positionV relativeFrom="paragraph">
              <wp:posOffset>88900</wp:posOffset>
            </wp:positionV>
            <wp:extent cx="3028950" cy="2264410"/>
            <wp:effectExtent l="19050" t="19050" r="19050" b="215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stmentmarkt HH_1Q2020.JPG"/>
                    <pic:cNvPicPr/>
                  </pic:nvPicPr>
                  <pic:blipFill>
                    <a:blip r:embed="rId8">
                      <a:extLst>
                        <a:ext uri="{28A0092B-C50C-407E-A947-70E740481C1C}">
                          <a14:useLocalDpi xmlns:a14="http://schemas.microsoft.com/office/drawing/2010/main" val="0"/>
                        </a:ext>
                      </a:extLst>
                    </a:blip>
                    <a:stretch>
                      <a:fillRect/>
                    </a:stretch>
                  </pic:blipFill>
                  <pic:spPr>
                    <a:xfrm>
                      <a:off x="0" y="0"/>
                      <a:ext cx="3028950" cy="2264410"/>
                    </a:xfrm>
                    <a:prstGeom prst="rect">
                      <a:avLst/>
                    </a:prstGeom>
                    <a:ln w="1524">
                      <a:solidFill>
                        <a:schemeClr val="tx1"/>
                      </a:solidFill>
                    </a:ln>
                  </pic:spPr>
                </pic:pic>
              </a:graphicData>
            </a:graphic>
            <wp14:sizeRelH relativeFrom="page">
              <wp14:pctWidth>0</wp14:pctWidth>
            </wp14:sizeRelH>
            <wp14:sizeRelV relativeFrom="page">
              <wp14:pctHeight>0</wp14:pctHeight>
            </wp14:sizeRelV>
          </wp:anchor>
        </w:drawing>
      </w:r>
    </w:p>
    <w:p w14:paraId="47F53CCE" w14:textId="589E9DAA" w:rsidR="000A5ED1" w:rsidRDefault="000A5ED1" w:rsidP="000A5ED1">
      <w:pPr>
        <w:spacing w:after="0" w:line="360" w:lineRule="auto"/>
        <w:rPr>
          <w:rFonts w:ascii="Arial" w:eastAsia="Arial" w:hAnsi="Arial" w:cs="Arial"/>
          <w:b/>
          <w:color w:val="000000" w:themeColor="text1"/>
          <w:sz w:val="20"/>
          <w:szCs w:val="20"/>
        </w:rPr>
      </w:pPr>
    </w:p>
    <w:p w14:paraId="29B26E04" w14:textId="1B99E39D" w:rsidR="00A0600B" w:rsidRPr="00A0600B" w:rsidRDefault="00713D81" w:rsidP="008327E5">
      <w:pPr>
        <w:rPr>
          <w:rFonts w:ascii="Arial" w:hAnsi="Arial" w:cs="Arial"/>
          <w:b/>
          <w:sz w:val="20"/>
          <w:szCs w:val="20"/>
        </w:rPr>
      </w:pPr>
      <w:r>
        <w:rPr>
          <w:rFonts w:ascii="Arial" w:hAnsi="Arial" w:cs="Arial"/>
          <w:b/>
          <w:sz w:val="20"/>
          <w:szCs w:val="20"/>
        </w:rPr>
        <w:t xml:space="preserve">Ausgewählte </w:t>
      </w:r>
      <w:r w:rsidR="00FD39DE">
        <w:rPr>
          <w:rFonts w:ascii="Arial" w:hAnsi="Arial" w:cs="Arial"/>
          <w:b/>
          <w:sz w:val="20"/>
          <w:szCs w:val="20"/>
        </w:rPr>
        <w:t>Top-</w:t>
      </w:r>
      <w:r>
        <w:rPr>
          <w:rFonts w:ascii="Arial" w:hAnsi="Arial" w:cs="Arial"/>
          <w:b/>
          <w:sz w:val="20"/>
          <w:szCs w:val="20"/>
        </w:rPr>
        <w:t>Transaktionen</w:t>
      </w:r>
      <w:r w:rsidR="00E90673">
        <w:rPr>
          <w:rFonts w:ascii="Arial" w:hAnsi="Arial" w:cs="Arial"/>
          <w:b/>
          <w:sz w:val="20"/>
          <w:szCs w:val="20"/>
        </w:rPr>
        <w:t xml:space="preserve"> | Investmentmarkt </w:t>
      </w:r>
      <w:r w:rsidR="0054412E">
        <w:rPr>
          <w:rFonts w:ascii="Arial" w:hAnsi="Arial" w:cs="Arial"/>
          <w:b/>
          <w:sz w:val="20"/>
          <w:szCs w:val="20"/>
        </w:rPr>
        <w:t>Hamburg</w:t>
      </w:r>
      <w:r w:rsidR="00CD6BD0">
        <w:rPr>
          <w:rFonts w:ascii="Arial" w:hAnsi="Arial" w:cs="Arial"/>
          <w:b/>
          <w:sz w:val="20"/>
          <w:szCs w:val="20"/>
        </w:rPr>
        <w:t xml:space="preserve"> | 1</w:t>
      </w:r>
      <w:r>
        <w:rPr>
          <w:rFonts w:ascii="Arial" w:hAnsi="Arial" w:cs="Arial"/>
          <w:b/>
          <w:sz w:val="20"/>
          <w:szCs w:val="20"/>
        </w:rPr>
        <w:t>.</w:t>
      </w:r>
      <w:r w:rsidRPr="00EE7FCA">
        <w:rPr>
          <w:rFonts w:ascii="Arial" w:hAnsi="Arial" w:cs="Arial"/>
          <w:b/>
          <w:sz w:val="20"/>
          <w:szCs w:val="20"/>
        </w:rPr>
        <w:t xml:space="preserve"> Quartal </w:t>
      </w:r>
      <w:r w:rsidR="00CD6BD0">
        <w:rPr>
          <w:rFonts w:ascii="Arial" w:hAnsi="Arial" w:cs="Arial"/>
          <w:b/>
          <w:sz w:val="20"/>
          <w:szCs w:val="20"/>
        </w:rPr>
        <w:t>2020</w:t>
      </w:r>
    </w:p>
    <w:tbl>
      <w:tblPr>
        <w:tblStyle w:val="TableGrid1"/>
        <w:tblpPr w:leftFromText="141" w:rightFromText="141" w:vertAnchor="text" w:horzAnchor="margin" w:tblpY="61"/>
        <w:tblW w:w="10038" w:type="dxa"/>
        <w:tblLayout w:type="fixed"/>
        <w:tblLook w:val="04A0" w:firstRow="1" w:lastRow="0" w:firstColumn="1" w:lastColumn="0" w:noHBand="0" w:noVBand="1"/>
      </w:tblPr>
      <w:tblGrid>
        <w:gridCol w:w="2263"/>
        <w:gridCol w:w="1134"/>
        <w:gridCol w:w="1276"/>
        <w:gridCol w:w="2268"/>
        <w:gridCol w:w="1937"/>
        <w:gridCol w:w="1137"/>
        <w:gridCol w:w="23"/>
      </w:tblGrid>
      <w:tr w:rsidR="0057685F" w:rsidRPr="006F49D0" w14:paraId="3881C746" w14:textId="77777777" w:rsidTr="00A81626">
        <w:trPr>
          <w:gridAfter w:val="1"/>
          <w:wAfter w:w="23" w:type="dxa"/>
          <w:trHeight w:val="567"/>
        </w:trPr>
        <w:tc>
          <w:tcPr>
            <w:tcW w:w="2263" w:type="dxa"/>
            <w:shd w:val="clear" w:color="auto" w:fill="1F242B" w:themeFill="accent2"/>
            <w:vAlign w:val="center"/>
          </w:tcPr>
          <w:p w14:paraId="2D3315CD" w14:textId="71BF6E52" w:rsidR="00713D81" w:rsidRDefault="00713D81" w:rsidP="00713D81">
            <w:pPr>
              <w:spacing w:after="0"/>
              <w:rPr>
                <w:rFonts w:ascii="Arial" w:hAnsi="Arial" w:cs="Arial"/>
                <w:b/>
                <w:sz w:val="18"/>
                <w:szCs w:val="16"/>
              </w:rPr>
            </w:pPr>
            <w:r w:rsidRPr="009F10F1">
              <w:rPr>
                <w:rFonts w:ascii="Arial" w:hAnsi="Arial" w:cs="Arial"/>
                <w:b/>
                <w:sz w:val="18"/>
                <w:szCs w:val="16"/>
              </w:rPr>
              <w:t>Projekt</w:t>
            </w:r>
            <w:r w:rsidR="0057685F">
              <w:rPr>
                <w:rFonts w:ascii="Arial" w:hAnsi="Arial" w:cs="Arial"/>
                <w:b/>
                <w:sz w:val="18"/>
                <w:szCs w:val="16"/>
              </w:rPr>
              <w:t xml:space="preserve"> </w:t>
            </w:r>
            <w:r w:rsidRPr="009F10F1">
              <w:rPr>
                <w:rFonts w:ascii="Arial" w:hAnsi="Arial" w:cs="Arial"/>
                <w:b/>
                <w:sz w:val="18"/>
                <w:szCs w:val="16"/>
              </w:rPr>
              <w:t>/</w:t>
            </w:r>
            <w:r w:rsidR="0057685F">
              <w:rPr>
                <w:rFonts w:ascii="Arial" w:hAnsi="Arial" w:cs="Arial"/>
                <w:b/>
                <w:sz w:val="18"/>
                <w:szCs w:val="16"/>
              </w:rPr>
              <w:t xml:space="preserve"> </w:t>
            </w:r>
            <w:r w:rsidRPr="009F10F1">
              <w:rPr>
                <w:rFonts w:ascii="Arial" w:hAnsi="Arial" w:cs="Arial"/>
                <w:b/>
                <w:sz w:val="18"/>
                <w:szCs w:val="16"/>
              </w:rPr>
              <w:t>Objekt</w:t>
            </w:r>
          </w:p>
          <w:p w14:paraId="1BD8284D" w14:textId="77777777" w:rsidR="00713D81" w:rsidRPr="00C626E7" w:rsidRDefault="00713D81" w:rsidP="00713D81">
            <w:pPr>
              <w:spacing w:after="0"/>
              <w:rPr>
                <w:rFonts w:ascii="Arial" w:hAnsi="Arial" w:cs="Arial"/>
                <w:b/>
                <w:sz w:val="18"/>
                <w:szCs w:val="16"/>
              </w:rPr>
            </w:pPr>
            <w:r>
              <w:rPr>
                <w:rFonts w:ascii="Arial" w:hAnsi="Arial" w:cs="Arial"/>
                <w:b/>
                <w:sz w:val="18"/>
                <w:szCs w:val="16"/>
              </w:rPr>
              <w:t xml:space="preserve">Straße Nr. </w:t>
            </w:r>
          </w:p>
        </w:tc>
        <w:tc>
          <w:tcPr>
            <w:tcW w:w="1134" w:type="dxa"/>
            <w:shd w:val="clear" w:color="auto" w:fill="1F242B" w:themeFill="accent2"/>
          </w:tcPr>
          <w:p w14:paraId="4E8EC8BF" w14:textId="6417BD91" w:rsidR="00713D81" w:rsidRPr="009F10F1" w:rsidRDefault="00713D81" w:rsidP="00713D81">
            <w:pPr>
              <w:widowControl w:val="0"/>
              <w:spacing w:before="60" w:afterLines="60" w:after="144"/>
              <w:rPr>
                <w:rFonts w:ascii="Arial" w:hAnsi="Arial" w:cs="Arial"/>
                <w:b/>
                <w:sz w:val="18"/>
                <w:szCs w:val="16"/>
              </w:rPr>
            </w:pPr>
            <w:r>
              <w:rPr>
                <w:rFonts w:ascii="Arial" w:hAnsi="Arial" w:cs="Arial"/>
                <w:b/>
                <w:sz w:val="18"/>
                <w:szCs w:val="16"/>
              </w:rPr>
              <w:t>Teilmarkt</w:t>
            </w:r>
          </w:p>
        </w:tc>
        <w:tc>
          <w:tcPr>
            <w:tcW w:w="1276" w:type="dxa"/>
            <w:shd w:val="clear" w:color="auto" w:fill="1F242B" w:themeFill="accent2"/>
          </w:tcPr>
          <w:p w14:paraId="56B818C2" w14:textId="77777777" w:rsidR="00713D81" w:rsidRPr="009F10F1" w:rsidRDefault="00713D81" w:rsidP="00713D81">
            <w:pPr>
              <w:widowControl w:val="0"/>
              <w:spacing w:before="60" w:afterLines="60" w:after="144"/>
              <w:rPr>
                <w:rFonts w:ascii="Arial" w:hAnsi="Arial" w:cs="Arial"/>
                <w:b/>
                <w:sz w:val="18"/>
                <w:szCs w:val="16"/>
              </w:rPr>
            </w:pPr>
            <w:r>
              <w:rPr>
                <w:rFonts w:ascii="Arial" w:hAnsi="Arial" w:cs="Arial"/>
                <w:b/>
                <w:sz w:val="18"/>
                <w:szCs w:val="16"/>
              </w:rPr>
              <w:t>Asset-klasse</w:t>
            </w:r>
          </w:p>
        </w:tc>
        <w:tc>
          <w:tcPr>
            <w:tcW w:w="2268" w:type="dxa"/>
            <w:shd w:val="clear" w:color="auto" w:fill="1F242B" w:themeFill="accent2"/>
            <w:vAlign w:val="center"/>
          </w:tcPr>
          <w:p w14:paraId="6F9AAE5A" w14:textId="136E624C" w:rsidR="00713D81" w:rsidRPr="009F10F1" w:rsidRDefault="00D0004A" w:rsidP="00713D81">
            <w:pPr>
              <w:widowControl w:val="0"/>
              <w:spacing w:before="60" w:afterLines="60" w:after="144"/>
              <w:rPr>
                <w:rFonts w:ascii="Arial" w:hAnsi="Arial" w:cs="Arial"/>
                <w:b/>
                <w:sz w:val="18"/>
                <w:szCs w:val="16"/>
              </w:rPr>
            </w:pPr>
            <w:r>
              <w:rPr>
                <w:rFonts w:ascii="Arial" w:hAnsi="Arial" w:cs="Arial"/>
                <w:b/>
                <w:sz w:val="18"/>
                <w:szCs w:val="16"/>
              </w:rPr>
              <w:t>Käufer</w:t>
            </w:r>
          </w:p>
        </w:tc>
        <w:tc>
          <w:tcPr>
            <w:tcW w:w="1937" w:type="dxa"/>
            <w:shd w:val="clear" w:color="auto" w:fill="1F242B" w:themeFill="accent2"/>
            <w:vAlign w:val="center"/>
          </w:tcPr>
          <w:p w14:paraId="1C1FB7C5" w14:textId="2F527DBC" w:rsidR="00713D81" w:rsidRPr="009F10F1" w:rsidRDefault="00713D81" w:rsidP="00713D81">
            <w:pPr>
              <w:widowControl w:val="0"/>
              <w:spacing w:before="60" w:afterLines="60" w:after="144"/>
              <w:rPr>
                <w:rFonts w:ascii="Arial" w:hAnsi="Arial" w:cs="Arial"/>
                <w:b/>
                <w:sz w:val="18"/>
                <w:szCs w:val="16"/>
              </w:rPr>
            </w:pPr>
            <w:r w:rsidRPr="009F10F1">
              <w:rPr>
                <w:rFonts w:ascii="Arial" w:hAnsi="Arial" w:cs="Arial"/>
                <w:b/>
                <w:sz w:val="18"/>
                <w:szCs w:val="16"/>
              </w:rPr>
              <w:t>Verkäufer</w:t>
            </w:r>
          </w:p>
        </w:tc>
        <w:tc>
          <w:tcPr>
            <w:tcW w:w="1137" w:type="dxa"/>
            <w:shd w:val="clear" w:color="auto" w:fill="1F242B" w:themeFill="accent2"/>
            <w:vAlign w:val="center"/>
          </w:tcPr>
          <w:p w14:paraId="07D9CAD3" w14:textId="77777777" w:rsidR="00713D81" w:rsidRPr="009F10F1" w:rsidRDefault="00713D81" w:rsidP="00713D81">
            <w:pPr>
              <w:widowControl w:val="0"/>
              <w:spacing w:before="60" w:after="0"/>
              <w:jc w:val="right"/>
              <w:rPr>
                <w:rFonts w:ascii="Arial" w:hAnsi="Arial" w:cs="Arial"/>
                <w:b/>
                <w:sz w:val="18"/>
                <w:szCs w:val="16"/>
              </w:rPr>
            </w:pPr>
            <w:r>
              <w:rPr>
                <w:rFonts w:ascii="Arial" w:hAnsi="Arial" w:cs="Arial"/>
                <w:b/>
                <w:sz w:val="18"/>
                <w:szCs w:val="16"/>
              </w:rPr>
              <w:t>Kaufpreis*</w:t>
            </w:r>
          </w:p>
          <w:p w14:paraId="4946B45A" w14:textId="1E52F7FD" w:rsidR="00713D81" w:rsidRPr="009F10F1" w:rsidRDefault="00713D81" w:rsidP="00713D81">
            <w:pPr>
              <w:widowControl w:val="0"/>
              <w:spacing w:before="60" w:after="0"/>
              <w:jc w:val="right"/>
              <w:rPr>
                <w:rFonts w:ascii="Arial" w:hAnsi="Arial" w:cs="Arial"/>
                <w:b/>
                <w:sz w:val="18"/>
                <w:szCs w:val="16"/>
              </w:rPr>
            </w:pPr>
            <w:r>
              <w:rPr>
                <w:rFonts w:ascii="Arial" w:hAnsi="Arial" w:cs="Arial"/>
                <w:sz w:val="18"/>
                <w:szCs w:val="16"/>
              </w:rPr>
              <w:t>[ca. Mio. €]</w:t>
            </w:r>
          </w:p>
        </w:tc>
      </w:tr>
      <w:tr w:rsidR="00F2414C" w:rsidRPr="00F2414C" w14:paraId="536A5B8F" w14:textId="77777777" w:rsidTr="00A81626">
        <w:trPr>
          <w:gridAfter w:val="1"/>
          <w:wAfter w:w="23" w:type="dxa"/>
          <w:trHeight w:val="567"/>
        </w:trPr>
        <w:tc>
          <w:tcPr>
            <w:tcW w:w="2263" w:type="dxa"/>
            <w:shd w:val="clear" w:color="auto" w:fill="auto"/>
            <w:vAlign w:val="center"/>
          </w:tcPr>
          <w:p w14:paraId="61881AA3" w14:textId="596B855B" w:rsidR="006321DC" w:rsidRPr="000B7D28" w:rsidRDefault="000623C0" w:rsidP="00CF2E86">
            <w:pPr>
              <w:widowControl w:val="0"/>
              <w:spacing w:after="0"/>
              <w:rPr>
                <w:rFonts w:ascii="Arial" w:hAnsi="Arial" w:cs="Arial"/>
                <w:color w:val="000000" w:themeColor="text1"/>
                <w:sz w:val="18"/>
                <w:szCs w:val="18"/>
                <w:lang w:val="en-GB"/>
              </w:rPr>
            </w:pPr>
            <w:r w:rsidRPr="000B7D28">
              <w:rPr>
                <w:rFonts w:ascii="Arial" w:hAnsi="Arial" w:cs="Arial"/>
                <w:color w:val="000000" w:themeColor="text1"/>
                <w:sz w:val="18"/>
                <w:szCs w:val="18"/>
                <w:lang w:val="en-GB"/>
              </w:rPr>
              <w:t xml:space="preserve">„Johann </w:t>
            </w:r>
            <w:proofErr w:type="spellStart"/>
            <w:r w:rsidRPr="000B7D28">
              <w:rPr>
                <w:rFonts w:ascii="Arial" w:hAnsi="Arial" w:cs="Arial"/>
                <w:color w:val="000000" w:themeColor="text1"/>
                <w:sz w:val="18"/>
                <w:szCs w:val="18"/>
                <w:lang w:val="en-GB"/>
              </w:rPr>
              <w:t>Kontor</w:t>
            </w:r>
            <w:proofErr w:type="spellEnd"/>
            <w:r w:rsidRPr="000B7D28">
              <w:rPr>
                <w:rFonts w:ascii="Arial" w:hAnsi="Arial" w:cs="Arial"/>
                <w:color w:val="000000" w:themeColor="text1"/>
                <w:sz w:val="18"/>
                <w:szCs w:val="18"/>
                <w:lang w:val="en-GB"/>
              </w:rPr>
              <w:t xml:space="preserve">”, </w:t>
            </w:r>
            <w:proofErr w:type="spellStart"/>
            <w:r w:rsidRPr="000B7D28">
              <w:rPr>
                <w:rFonts w:ascii="Arial" w:hAnsi="Arial" w:cs="Arial"/>
                <w:color w:val="000000" w:themeColor="text1"/>
                <w:sz w:val="18"/>
                <w:szCs w:val="18"/>
                <w:lang w:val="en-GB"/>
              </w:rPr>
              <w:t>Klosterwall</w:t>
            </w:r>
            <w:proofErr w:type="spellEnd"/>
            <w:r w:rsidRPr="000B7D28">
              <w:rPr>
                <w:rFonts w:ascii="Arial" w:hAnsi="Arial" w:cs="Arial"/>
                <w:color w:val="000000" w:themeColor="text1"/>
                <w:sz w:val="18"/>
                <w:szCs w:val="18"/>
                <w:lang w:val="en-GB"/>
              </w:rPr>
              <w:t xml:space="preserve"> 6-8 </w:t>
            </w:r>
          </w:p>
        </w:tc>
        <w:tc>
          <w:tcPr>
            <w:tcW w:w="1134" w:type="dxa"/>
            <w:shd w:val="clear" w:color="auto" w:fill="auto"/>
            <w:vAlign w:val="center"/>
          </w:tcPr>
          <w:p w14:paraId="3D72BEE6" w14:textId="5F0353D5" w:rsidR="006321DC" w:rsidRPr="000B7D28" w:rsidRDefault="000623C0" w:rsidP="00797E4F">
            <w:pPr>
              <w:widowControl w:val="0"/>
              <w:spacing w:after="0"/>
              <w:rPr>
                <w:rFonts w:ascii="Arial" w:hAnsi="Arial" w:cs="Arial"/>
                <w:color w:val="000000" w:themeColor="text1"/>
                <w:sz w:val="18"/>
                <w:szCs w:val="18"/>
                <w:lang w:val="en-GB"/>
              </w:rPr>
            </w:pPr>
            <w:r w:rsidRPr="000B7D28">
              <w:rPr>
                <w:rFonts w:ascii="Arial" w:hAnsi="Arial" w:cs="Arial"/>
                <w:color w:val="000000" w:themeColor="text1"/>
                <w:sz w:val="18"/>
                <w:szCs w:val="18"/>
                <w:lang w:val="en-GB"/>
              </w:rPr>
              <w:t>City</w:t>
            </w:r>
          </w:p>
        </w:tc>
        <w:tc>
          <w:tcPr>
            <w:tcW w:w="1276" w:type="dxa"/>
            <w:shd w:val="clear" w:color="auto" w:fill="auto"/>
            <w:vAlign w:val="center"/>
          </w:tcPr>
          <w:p w14:paraId="761255AB" w14:textId="32A9A9F6" w:rsidR="006321DC" w:rsidRPr="000B7D28" w:rsidRDefault="000623C0" w:rsidP="00797E4F">
            <w:pPr>
              <w:widowControl w:val="0"/>
              <w:spacing w:after="0"/>
              <w:rPr>
                <w:rFonts w:ascii="Arial" w:hAnsi="Arial" w:cs="Arial"/>
                <w:color w:val="000000" w:themeColor="text1"/>
                <w:sz w:val="18"/>
                <w:szCs w:val="18"/>
                <w:lang w:val="en-US"/>
              </w:rPr>
            </w:pPr>
            <w:r w:rsidRPr="000B7D28">
              <w:rPr>
                <w:rFonts w:ascii="Arial" w:hAnsi="Arial" w:cs="Arial"/>
                <w:color w:val="000000" w:themeColor="text1"/>
                <w:sz w:val="18"/>
                <w:szCs w:val="18"/>
                <w:lang w:val="en-US"/>
              </w:rPr>
              <w:t>Mixed-Use</w:t>
            </w:r>
          </w:p>
        </w:tc>
        <w:tc>
          <w:tcPr>
            <w:tcW w:w="2268" w:type="dxa"/>
            <w:shd w:val="clear" w:color="auto" w:fill="auto"/>
            <w:vAlign w:val="center"/>
          </w:tcPr>
          <w:p w14:paraId="386D7257" w14:textId="1E52B92B" w:rsidR="006321DC" w:rsidRPr="000B7D28" w:rsidRDefault="00A81626" w:rsidP="008652FA">
            <w:pPr>
              <w:widowControl w:val="0"/>
              <w:spacing w:after="0"/>
              <w:rPr>
                <w:rFonts w:ascii="Arial" w:hAnsi="Arial" w:cs="Arial"/>
                <w:color w:val="000000" w:themeColor="text1"/>
                <w:sz w:val="18"/>
                <w:szCs w:val="18"/>
                <w:lang w:val="en-US"/>
              </w:rPr>
            </w:pPr>
            <w:r>
              <w:rPr>
                <w:rFonts w:ascii="Arial" w:hAnsi="Arial" w:cs="Arial"/>
                <w:sz w:val="18"/>
                <w:szCs w:val="18"/>
                <w:lang w:val="en-US"/>
              </w:rPr>
              <w:t xml:space="preserve">Captiva / </w:t>
            </w:r>
            <w:proofErr w:type="spellStart"/>
            <w:r w:rsidR="00A975B1" w:rsidRPr="00BB6626">
              <w:rPr>
                <w:rFonts w:ascii="Arial" w:hAnsi="Arial" w:cs="Arial"/>
                <w:sz w:val="18"/>
                <w:szCs w:val="18"/>
                <w:lang w:val="en-US"/>
              </w:rPr>
              <w:t>HanseMerkur</w:t>
            </w:r>
            <w:proofErr w:type="spellEnd"/>
            <w:r w:rsidR="008652FA" w:rsidRPr="00BB6626">
              <w:rPr>
                <w:rFonts w:ascii="Arial" w:hAnsi="Arial" w:cs="Arial"/>
                <w:sz w:val="18"/>
                <w:szCs w:val="18"/>
                <w:lang w:val="en-US"/>
              </w:rPr>
              <w:t xml:space="preserve"> / </w:t>
            </w:r>
            <w:r w:rsidR="008652FA" w:rsidRPr="00BB6626">
              <w:rPr>
                <w:rFonts w:ascii="Arial" w:hAnsi="Arial" w:cs="Arial"/>
                <w:bCs/>
                <w:sz w:val="18"/>
                <w:szCs w:val="18"/>
                <w:lang w:val="en-GB"/>
              </w:rPr>
              <w:t xml:space="preserve">Aug. </w:t>
            </w:r>
            <w:proofErr w:type="spellStart"/>
            <w:r w:rsidR="008652FA" w:rsidRPr="00BB6626">
              <w:rPr>
                <w:rFonts w:ascii="Arial" w:hAnsi="Arial" w:cs="Arial"/>
                <w:bCs/>
                <w:sz w:val="18"/>
                <w:szCs w:val="18"/>
                <w:lang w:val="en-GB"/>
              </w:rPr>
              <w:t>Prien</w:t>
            </w:r>
            <w:proofErr w:type="spellEnd"/>
            <w:r w:rsidR="008652FA" w:rsidRPr="00BB6626">
              <w:rPr>
                <w:rFonts w:ascii="Arial" w:hAnsi="Arial" w:cs="Arial"/>
                <w:bCs/>
                <w:sz w:val="18"/>
                <w:szCs w:val="18"/>
                <w:lang w:val="en-GB"/>
              </w:rPr>
              <w:t xml:space="preserve"> Family Office</w:t>
            </w:r>
          </w:p>
        </w:tc>
        <w:tc>
          <w:tcPr>
            <w:tcW w:w="1937" w:type="dxa"/>
            <w:shd w:val="clear" w:color="auto" w:fill="auto"/>
            <w:vAlign w:val="center"/>
          </w:tcPr>
          <w:p w14:paraId="59C838C3" w14:textId="5D90A751" w:rsidR="006321DC" w:rsidRPr="000B7D28" w:rsidRDefault="000623C0" w:rsidP="00CF2E86">
            <w:pPr>
              <w:widowControl w:val="0"/>
              <w:spacing w:after="0"/>
              <w:rPr>
                <w:rFonts w:ascii="Arial" w:hAnsi="Arial" w:cs="Arial"/>
                <w:color w:val="000000" w:themeColor="text1"/>
                <w:sz w:val="18"/>
                <w:szCs w:val="18"/>
              </w:rPr>
            </w:pPr>
            <w:r w:rsidRPr="000B7D28">
              <w:rPr>
                <w:rFonts w:ascii="Arial" w:hAnsi="Arial" w:cs="Arial"/>
                <w:color w:val="000000" w:themeColor="text1"/>
                <w:sz w:val="18"/>
                <w:szCs w:val="18"/>
              </w:rPr>
              <w:t xml:space="preserve">Aug. Prien </w:t>
            </w:r>
          </w:p>
        </w:tc>
        <w:tc>
          <w:tcPr>
            <w:tcW w:w="1137" w:type="dxa"/>
            <w:shd w:val="clear" w:color="auto" w:fill="auto"/>
            <w:vAlign w:val="center"/>
          </w:tcPr>
          <w:p w14:paraId="713683C7" w14:textId="4D963A82" w:rsidR="006321DC" w:rsidRPr="000B7D28" w:rsidRDefault="0061138B" w:rsidP="00346814">
            <w:pPr>
              <w:widowControl w:val="0"/>
              <w:spacing w:after="0"/>
              <w:jc w:val="right"/>
              <w:rPr>
                <w:rFonts w:ascii="Arial" w:hAnsi="Arial" w:cs="Arial"/>
                <w:color w:val="000000" w:themeColor="text1"/>
                <w:sz w:val="18"/>
                <w:szCs w:val="18"/>
              </w:rPr>
            </w:pPr>
            <w:r>
              <w:rPr>
                <w:rFonts w:ascii="Arial" w:hAnsi="Arial" w:cs="Arial"/>
                <w:color w:val="000000" w:themeColor="text1"/>
                <w:sz w:val="18"/>
                <w:szCs w:val="18"/>
              </w:rPr>
              <w:t>&gt;300</w:t>
            </w:r>
          </w:p>
        </w:tc>
      </w:tr>
      <w:tr w:rsidR="00E007DD" w:rsidRPr="006F49D0" w14:paraId="7ED75F87" w14:textId="77777777" w:rsidTr="00A81626">
        <w:trPr>
          <w:gridAfter w:val="1"/>
          <w:wAfter w:w="23" w:type="dxa"/>
          <w:trHeight w:val="567"/>
        </w:trPr>
        <w:tc>
          <w:tcPr>
            <w:tcW w:w="2263" w:type="dxa"/>
            <w:shd w:val="clear" w:color="auto" w:fill="auto"/>
            <w:vAlign w:val="center"/>
          </w:tcPr>
          <w:p w14:paraId="23C7E9E3" w14:textId="34903378" w:rsidR="00E007DD" w:rsidRPr="0061138B" w:rsidRDefault="00346814" w:rsidP="00CC6FB9">
            <w:pPr>
              <w:widowControl w:val="0"/>
              <w:spacing w:after="0"/>
              <w:rPr>
                <w:rFonts w:ascii="Arial" w:hAnsi="Arial" w:cs="Arial"/>
                <w:sz w:val="18"/>
                <w:szCs w:val="18"/>
              </w:rPr>
            </w:pPr>
            <w:r w:rsidRPr="0061138B">
              <w:rPr>
                <w:rFonts w:ascii="Arial" w:hAnsi="Arial" w:cs="Arial"/>
                <w:sz w:val="18"/>
                <w:szCs w:val="18"/>
              </w:rPr>
              <w:t xml:space="preserve">„Eppendorfer Zentrum“, </w:t>
            </w:r>
            <w:r w:rsidRPr="0061138B">
              <w:rPr>
                <w:sz w:val="18"/>
                <w:szCs w:val="18"/>
              </w:rPr>
              <w:t xml:space="preserve"> </w:t>
            </w:r>
            <w:r w:rsidRPr="0061138B">
              <w:rPr>
                <w:rFonts w:ascii="Arial" w:hAnsi="Arial" w:cs="Arial"/>
                <w:sz w:val="18"/>
                <w:szCs w:val="18"/>
              </w:rPr>
              <w:t>Eppendorfer Landstraße 77</w:t>
            </w:r>
          </w:p>
        </w:tc>
        <w:tc>
          <w:tcPr>
            <w:tcW w:w="1134" w:type="dxa"/>
            <w:shd w:val="clear" w:color="auto" w:fill="auto"/>
            <w:vAlign w:val="center"/>
          </w:tcPr>
          <w:p w14:paraId="476473DE" w14:textId="45ABDD72" w:rsidR="00E007DD" w:rsidRPr="0061138B" w:rsidRDefault="00346814" w:rsidP="00797E4F">
            <w:pPr>
              <w:widowControl w:val="0"/>
              <w:spacing w:after="0"/>
              <w:rPr>
                <w:rFonts w:ascii="Arial" w:hAnsi="Arial" w:cs="Arial"/>
                <w:sz w:val="18"/>
                <w:szCs w:val="18"/>
              </w:rPr>
            </w:pPr>
            <w:r w:rsidRPr="0061138B">
              <w:rPr>
                <w:rFonts w:ascii="Arial" w:hAnsi="Arial" w:cs="Arial"/>
                <w:sz w:val="18"/>
                <w:szCs w:val="18"/>
              </w:rPr>
              <w:t>Eppendorf</w:t>
            </w:r>
          </w:p>
        </w:tc>
        <w:tc>
          <w:tcPr>
            <w:tcW w:w="1276" w:type="dxa"/>
            <w:shd w:val="clear" w:color="auto" w:fill="auto"/>
            <w:vAlign w:val="center"/>
          </w:tcPr>
          <w:p w14:paraId="73BDF3A5" w14:textId="730869DC" w:rsidR="00E007DD" w:rsidRPr="0061138B" w:rsidRDefault="000B7D28" w:rsidP="00CC6FB9">
            <w:pPr>
              <w:widowControl w:val="0"/>
              <w:spacing w:after="0"/>
              <w:rPr>
                <w:rFonts w:ascii="Arial" w:hAnsi="Arial" w:cs="Arial"/>
                <w:sz w:val="18"/>
                <w:szCs w:val="18"/>
              </w:rPr>
            </w:pPr>
            <w:r w:rsidRPr="0061138B">
              <w:rPr>
                <w:rFonts w:ascii="Arial" w:hAnsi="Arial" w:cs="Arial"/>
                <w:sz w:val="18"/>
                <w:szCs w:val="18"/>
              </w:rPr>
              <w:t>Einzelhandel</w:t>
            </w:r>
          </w:p>
        </w:tc>
        <w:tc>
          <w:tcPr>
            <w:tcW w:w="2268" w:type="dxa"/>
            <w:shd w:val="clear" w:color="auto" w:fill="auto"/>
            <w:vAlign w:val="center"/>
          </w:tcPr>
          <w:p w14:paraId="593905A3" w14:textId="539039B2" w:rsidR="00E007DD" w:rsidRPr="0061138B" w:rsidRDefault="000B7D28" w:rsidP="00405D59">
            <w:pPr>
              <w:widowControl w:val="0"/>
              <w:spacing w:after="0"/>
              <w:rPr>
                <w:rFonts w:ascii="Arial" w:hAnsi="Arial" w:cs="Arial"/>
                <w:sz w:val="18"/>
                <w:szCs w:val="18"/>
              </w:rPr>
            </w:pPr>
            <w:r w:rsidRPr="0061138B">
              <w:rPr>
                <w:rFonts w:ascii="Arial" w:hAnsi="Arial" w:cs="Arial"/>
                <w:sz w:val="18"/>
                <w:szCs w:val="18"/>
              </w:rPr>
              <w:t xml:space="preserve">Hahn Gruppe </w:t>
            </w:r>
          </w:p>
        </w:tc>
        <w:tc>
          <w:tcPr>
            <w:tcW w:w="1937" w:type="dxa"/>
            <w:shd w:val="clear" w:color="auto" w:fill="auto"/>
            <w:vAlign w:val="center"/>
          </w:tcPr>
          <w:p w14:paraId="7B9A326D" w14:textId="212984A8" w:rsidR="00E007DD" w:rsidRPr="0061138B" w:rsidRDefault="000B7D28" w:rsidP="000B7D28">
            <w:pPr>
              <w:widowControl w:val="0"/>
              <w:spacing w:after="0"/>
              <w:rPr>
                <w:rFonts w:ascii="Arial" w:hAnsi="Arial" w:cs="Arial"/>
                <w:sz w:val="18"/>
                <w:szCs w:val="18"/>
              </w:rPr>
            </w:pPr>
            <w:r w:rsidRPr="0061138B">
              <w:rPr>
                <w:rFonts w:ascii="Arial" w:hAnsi="Arial" w:cs="Arial"/>
                <w:sz w:val="18"/>
                <w:szCs w:val="18"/>
              </w:rPr>
              <w:t>Würt</w:t>
            </w:r>
            <w:r w:rsidR="00396CE0" w:rsidRPr="0061138B">
              <w:rPr>
                <w:rFonts w:ascii="Arial" w:hAnsi="Arial" w:cs="Arial"/>
                <w:sz w:val="18"/>
                <w:szCs w:val="18"/>
              </w:rPr>
              <w:t>t</w:t>
            </w:r>
            <w:r w:rsidRPr="0061138B">
              <w:rPr>
                <w:rFonts w:ascii="Arial" w:hAnsi="Arial" w:cs="Arial"/>
                <w:sz w:val="18"/>
                <w:szCs w:val="18"/>
              </w:rPr>
              <w:t>embergische Versicherung</w:t>
            </w:r>
          </w:p>
        </w:tc>
        <w:tc>
          <w:tcPr>
            <w:tcW w:w="1137" w:type="dxa"/>
            <w:shd w:val="clear" w:color="auto" w:fill="auto"/>
            <w:vAlign w:val="center"/>
          </w:tcPr>
          <w:p w14:paraId="658D753C" w14:textId="18FF47EB" w:rsidR="00E007DD" w:rsidRPr="0061138B" w:rsidRDefault="00A975B1" w:rsidP="00E007DD">
            <w:pPr>
              <w:widowControl w:val="0"/>
              <w:spacing w:after="0"/>
              <w:jc w:val="right"/>
              <w:rPr>
                <w:rFonts w:ascii="Arial" w:hAnsi="Arial" w:cs="Arial"/>
                <w:sz w:val="18"/>
                <w:szCs w:val="18"/>
              </w:rPr>
            </w:pPr>
            <w:r>
              <w:rPr>
                <w:rFonts w:ascii="Arial" w:hAnsi="Arial" w:cs="Arial"/>
                <w:sz w:val="18"/>
                <w:szCs w:val="18"/>
              </w:rPr>
              <w:t>103</w:t>
            </w:r>
          </w:p>
        </w:tc>
      </w:tr>
      <w:tr w:rsidR="00CF2E86" w:rsidRPr="006F49D0" w14:paraId="0B564638" w14:textId="77777777" w:rsidTr="00A81626">
        <w:trPr>
          <w:gridAfter w:val="1"/>
          <w:wAfter w:w="23" w:type="dxa"/>
          <w:trHeight w:val="567"/>
        </w:trPr>
        <w:tc>
          <w:tcPr>
            <w:tcW w:w="2263" w:type="dxa"/>
            <w:shd w:val="clear" w:color="auto" w:fill="auto"/>
            <w:vAlign w:val="center"/>
          </w:tcPr>
          <w:p w14:paraId="0E6078DB" w14:textId="23679907" w:rsidR="00CF2E86" w:rsidRPr="000B7D28" w:rsidRDefault="00346814" w:rsidP="00CF2E86">
            <w:pPr>
              <w:widowControl w:val="0"/>
              <w:spacing w:after="0"/>
              <w:rPr>
                <w:rFonts w:ascii="Arial" w:hAnsi="Arial" w:cs="Arial"/>
                <w:sz w:val="18"/>
                <w:szCs w:val="18"/>
              </w:rPr>
            </w:pPr>
            <w:r w:rsidRPr="000B7D28">
              <w:rPr>
                <w:rFonts w:ascii="Arial" w:hAnsi="Arial" w:cs="Arial"/>
                <w:sz w:val="18"/>
                <w:szCs w:val="18"/>
              </w:rPr>
              <w:t>„</w:t>
            </w:r>
            <w:proofErr w:type="spellStart"/>
            <w:r w:rsidRPr="000B7D28">
              <w:rPr>
                <w:rFonts w:ascii="Arial" w:hAnsi="Arial" w:cs="Arial"/>
                <w:sz w:val="18"/>
                <w:szCs w:val="18"/>
              </w:rPr>
              <w:t>Niu</w:t>
            </w:r>
            <w:proofErr w:type="spellEnd"/>
            <w:r w:rsidRPr="000B7D28">
              <w:rPr>
                <w:rFonts w:ascii="Arial" w:hAnsi="Arial" w:cs="Arial"/>
                <w:sz w:val="18"/>
                <w:szCs w:val="18"/>
              </w:rPr>
              <w:t xml:space="preserve"> Yen“, Nordkanalstraße 46</w:t>
            </w:r>
          </w:p>
        </w:tc>
        <w:tc>
          <w:tcPr>
            <w:tcW w:w="1134" w:type="dxa"/>
            <w:shd w:val="clear" w:color="auto" w:fill="auto"/>
            <w:vAlign w:val="center"/>
          </w:tcPr>
          <w:p w14:paraId="26092AC0" w14:textId="31BEAD6D" w:rsidR="00CF2E86" w:rsidRPr="000B7D28" w:rsidRDefault="00346814" w:rsidP="00CF2E86">
            <w:pPr>
              <w:widowControl w:val="0"/>
              <w:spacing w:after="0"/>
              <w:rPr>
                <w:rFonts w:ascii="Arial" w:hAnsi="Arial" w:cs="Arial"/>
                <w:sz w:val="18"/>
                <w:szCs w:val="18"/>
              </w:rPr>
            </w:pPr>
            <w:r w:rsidRPr="000B7D28">
              <w:rPr>
                <w:rFonts w:ascii="Arial" w:hAnsi="Arial" w:cs="Arial"/>
                <w:sz w:val="18"/>
                <w:szCs w:val="18"/>
              </w:rPr>
              <w:t>City Süd</w:t>
            </w:r>
          </w:p>
        </w:tc>
        <w:tc>
          <w:tcPr>
            <w:tcW w:w="1276" w:type="dxa"/>
            <w:shd w:val="clear" w:color="auto" w:fill="auto"/>
            <w:vAlign w:val="center"/>
          </w:tcPr>
          <w:p w14:paraId="48B9BC46" w14:textId="6648B5EF" w:rsidR="00CF2E86" w:rsidRPr="000B7D28" w:rsidRDefault="000B7D28" w:rsidP="00CF2E86">
            <w:pPr>
              <w:widowControl w:val="0"/>
              <w:spacing w:after="0"/>
              <w:rPr>
                <w:rFonts w:ascii="Arial" w:hAnsi="Arial" w:cs="Arial"/>
                <w:sz w:val="18"/>
                <w:szCs w:val="18"/>
              </w:rPr>
            </w:pPr>
            <w:r w:rsidRPr="000B7D28">
              <w:rPr>
                <w:rFonts w:ascii="Arial" w:hAnsi="Arial" w:cs="Arial"/>
                <w:sz w:val="18"/>
                <w:szCs w:val="18"/>
              </w:rPr>
              <w:t>Hotel</w:t>
            </w:r>
          </w:p>
        </w:tc>
        <w:tc>
          <w:tcPr>
            <w:tcW w:w="2268" w:type="dxa"/>
            <w:shd w:val="clear" w:color="auto" w:fill="auto"/>
            <w:vAlign w:val="center"/>
          </w:tcPr>
          <w:p w14:paraId="1878AFEF" w14:textId="3BCC638F" w:rsidR="00CF2E86" w:rsidRPr="000B7D28" w:rsidRDefault="000B7D28" w:rsidP="00CF2E86">
            <w:pPr>
              <w:widowControl w:val="0"/>
              <w:spacing w:after="0"/>
              <w:rPr>
                <w:rFonts w:ascii="Arial" w:hAnsi="Arial" w:cs="Arial"/>
                <w:sz w:val="18"/>
                <w:szCs w:val="18"/>
              </w:rPr>
            </w:pPr>
            <w:r>
              <w:rPr>
                <w:rFonts w:ascii="Arial" w:hAnsi="Arial" w:cs="Arial"/>
                <w:sz w:val="18"/>
                <w:szCs w:val="18"/>
              </w:rPr>
              <w:t xml:space="preserve">Bayerische </w:t>
            </w:r>
            <w:r w:rsidRPr="000B7D28">
              <w:rPr>
                <w:rFonts w:ascii="Arial" w:hAnsi="Arial" w:cs="Arial"/>
                <w:sz w:val="18"/>
                <w:szCs w:val="18"/>
              </w:rPr>
              <w:t>Versorgungskammer</w:t>
            </w:r>
          </w:p>
        </w:tc>
        <w:tc>
          <w:tcPr>
            <w:tcW w:w="1937" w:type="dxa"/>
            <w:shd w:val="clear" w:color="auto" w:fill="auto"/>
            <w:vAlign w:val="center"/>
          </w:tcPr>
          <w:p w14:paraId="690229E1" w14:textId="7CF7B508" w:rsidR="00CF2E86" w:rsidRPr="000B7D28" w:rsidRDefault="000B7D28" w:rsidP="00CF2E86">
            <w:pPr>
              <w:widowControl w:val="0"/>
              <w:spacing w:after="0"/>
              <w:rPr>
                <w:rFonts w:ascii="Arial" w:hAnsi="Arial" w:cs="Arial"/>
                <w:sz w:val="18"/>
                <w:szCs w:val="18"/>
              </w:rPr>
            </w:pPr>
            <w:r w:rsidRPr="000B7D28">
              <w:rPr>
                <w:rFonts w:ascii="Arial" w:hAnsi="Arial" w:cs="Arial"/>
                <w:sz w:val="18"/>
                <w:szCs w:val="18"/>
              </w:rPr>
              <w:t>GBI / Nord Project</w:t>
            </w:r>
          </w:p>
        </w:tc>
        <w:tc>
          <w:tcPr>
            <w:tcW w:w="1137" w:type="dxa"/>
            <w:shd w:val="clear" w:color="auto" w:fill="auto"/>
            <w:vAlign w:val="center"/>
          </w:tcPr>
          <w:p w14:paraId="130D9693" w14:textId="4C58B69B" w:rsidR="00CF2E86" w:rsidRPr="000B7D28" w:rsidRDefault="000B7D28" w:rsidP="00CF2E86">
            <w:pPr>
              <w:widowControl w:val="0"/>
              <w:spacing w:after="0"/>
              <w:jc w:val="right"/>
              <w:rPr>
                <w:rFonts w:ascii="Arial" w:hAnsi="Arial" w:cs="Arial"/>
                <w:sz w:val="18"/>
                <w:szCs w:val="18"/>
              </w:rPr>
            </w:pPr>
            <w:r w:rsidRPr="000B7D28">
              <w:rPr>
                <w:rFonts w:ascii="Arial" w:hAnsi="Arial" w:cs="Arial"/>
                <w:sz w:val="18"/>
                <w:szCs w:val="18"/>
              </w:rPr>
              <w:t>53</w:t>
            </w:r>
          </w:p>
        </w:tc>
      </w:tr>
      <w:tr w:rsidR="00CF2E86" w:rsidRPr="00F4684B" w14:paraId="451329F1" w14:textId="77777777" w:rsidTr="00A81626">
        <w:trPr>
          <w:gridAfter w:val="1"/>
          <w:wAfter w:w="23" w:type="dxa"/>
          <w:trHeight w:val="567"/>
        </w:trPr>
        <w:tc>
          <w:tcPr>
            <w:tcW w:w="2263" w:type="dxa"/>
            <w:tcBorders>
              <w:bottom w:val="single" w:sz="4" w:space="0" w:color="auto"/>
            </w:tcBorders>
            <w:shd w:val="clear" w:color="auto" w:fill="auto"/>
            <w:vAlign w:val="center"/>
          </w:tcPr>
          <w:p w14:paraId="5605083E" w14:textId="02B3FF9A" w:rsidR="00346814" w:rsidRPr="000B7D28" w:rsidRDefault="00346814" w:rsidP="00346814">
            <w:pPr>
              <w:widowControl w:val="0"/>
              <w:spacing w:after="0"/>
              <w:rPr>
                <w:rFonts w:ascii="Arial" w:hAnsi="Arial" w:cs="Arial"/>
                <w:sz w:val="18"/>
                <w:szCs w:val="18"/>
              </w:rPr>
            </w:pPr>
            <w:r w:rsidRPr="000B7D28">
              <w:rPr>
                <w:rFonts w:ascii="Arial" w:hAnsi="Arial" w:cs="Arial"/>
                <w:sz w:val="18"/>
                <w:szCs w:val="18"/>
              </w:rPr>
              <w:t xml:space="preserve">„Schlump </w:t>
            </w:r>
            <w:proofErr w:type="spellStart"/>
            <w:r w:rsidRPr="000B7D28">
              <w:rPr>
                <w:rFonts w:ascii="Arial" w:hAnsi="Arial" w:cs="Arial"/>
                <w:sz w:val="18"/>
                <w:szCs w:val="18"/>
              </w:rPr>
              <w:t>One</w:t>
            </w:r>
            <w:proofErr w:type="spellEnd"/>
            <w:r w:rsidRPr="000B7D28">
              <w:rPr>
                <w:rFonts w:ascii="Arial" w:hAnsi="Arial" w:cs="Arial"/>
                <w:sz w:val="18"/>
                <w:szCs w:val="18"/>
              </w:rPr>
              <w:t>“,</w:t>
            </w:r>
          </w:p>
          <w:p w14:paraId="6659F312" w14:textId="14DF4FCC" w:rsidR="00CF2E86" w:rsidRPr="000B7D28" w:rsidRDefault="00346814" w:rsidP="00346814">
            <w:pPr>
              <w:widowControl w:val="0"/>
              <w:spacing w:after="0"/>
              <w:rPr>
                <w:rFonts w:ascii="Arial" w:hAnsi="Arial" w:cs="Arial"/>
                <w:sz w:val="18"/>
                <w:szCs w:val="18"/>
              </w:rPr>
            </w:pPr>
            <w:proofErr w:type="spellStart"/>
            <w:r w:rsidRPr="000B7D28">
              <w:rPr>
                <w:rFonts w:ascii="Arial" w:hAnsi="Arial" w:cs="Arial"/>
                <w:sz w:val="18"/>
                <w:szCs w:val="18"/>
              </w:rPr>
              <w:t>Schäferkampsallee</w:t>
            </w:r>
            <w:proofErr w:type="spellEnd"/>
            <w:r w:rsidRPr="000B7D28">
              <w:rPr>
                <w:rFonts w:ascii="Arial" w:hAnsi="Arial" w:cs="Arial"/>
                <w:sz w:val="18"/>
                <w:szCs w:val="18"/>
              </w:rPr>
              <w:t xml:space="preserve"> 16-18</w:t>
            </w:r>
          </w:p>
        </w:tc>
        <w:tc>
          <w:tcPr>
            <w:tcW w:w="1134" w:type="dxa"/>
            <w:tcBorders>
              <w:bottom w:val="single" w:sz="4" w:space="0" w:color="auto"/>
            </w:tcBorders>
            <w:shd w:val="clear" w:color="auto" w:fill="auto"/>
            <w:vAlign w:val="center"/>
          </w:tcPr>
          <w:p w14:paraId="23CEE417" w14:textId="684F761E" w:rsidR="00CF2E86" w:rsidRPr="000B7D28" w:rsidRDefault="000B7D28" w:rsidP="00CF2E86">
            <w:pPr>
              <w:widowControl w:val="0"/>
              <w:spacing w:after="0"/>
              <w:rPr>
                <w:rFonts w:ascii="Arial" w:hAnsi="Arial" w:cs="Arial"/>
                <w:sz w:val="18"/>
                <w:szCs w:val="18"/>
              </w:rPr>
            </w:pPr>
            <w:r w:rsidRPr="000B7D28">
              <w:rPr>
                <w:rFonts w:ascii="Arial" w:hAnsi="Arial" w:cs="Arial"/>
                <w:sz w:val="18"/>
                <w:szCs w:val="18"/>
              </w:rPr>
              <w:t>Eimsbüttel</w:t>
            </w:r>
          </w:p>
        </w:tc>
        <w:tc>
          <w:tcPr>
            <w:tcW w:w="1276" w:type="dxa"/>
            <w:tcBorders>
              <w:bottom w:val="single" w:sz="4" w:space="0" w:color="auto"/>
            </w:tcBorders>
            <w:shd w:val="clear" w:color="auto" w:fill="auto"/>
            <w:vAlign w:val="center"/>
          </w:tcPr>
          <w:p w14:paraId="53110512" w14:textId="2D182579" w:rsidR="00CF2E86" w:rsidRPr="000B7D28" w:rsidRDefault="000B7D28" w:rsidP="00CF2E86">
            <w:pPr>
              <w:widowControl w:val="0"/>
              <w:spacing w:after="0"/>
              <w:rPr>
                <w:rFonts w:ascii="Arial" w:hAnsi="Arial" w:cs="Arial"/>
                <w:sz w:val="18"/>
                <w:szCs w:val="18"/>
              </w:rPr>
            </w:pPr>
            <w:r w:rsidRPr="000B7D28">
              <w:rPr>
                <w:rFonts w:ascii="Arial" w:hAnsi="Arial" w:cs="Arial"/>
                <w:sz w:val="18"/>
                <w:szCs w:val="18"/>
              </w:rPr>
              <w:t>Büro</w:t>
            </w:r>
          </w:p>
        </w:tc>
        <w:tc>
          <w:tcPr>
            <w:tcW w:w="2268" w:type="dxa"/>
            <w:tcBorders>
              <w:bottom w:val="single" w:sz="4" w:space="0" w:color="auto"/>
            </w:tcBorders>
            <w:shd w:val="clear" w:color="auto" w:fill="auto"/>
            <w:vAlign w:val="center"/>
          </w:tcPr>
          <w:p w14:paraId="4EFC5EA7" w14:textId="79D88290" w:rsidR="00CF2E86" w:rsidRPr="000B7D28" w:rsidRDefault="006F292B" w:rsidP="000B7D28">
            <w:pPr>
              <w:spacing w:after="0"/>
              <w:rPr>
                <w:rFonts w:ascii="Arial" w:hAnsi="Arial" w:cs="Arial"/>
                <w:color w:val="000000"/>
                <w:sz w:val="18"/>
                <w:szCs w:val="18"/>
                <w:lang w:eastAsia="de-DE"/>
              </w:rPr>
            </w:pPr>
            <w:proofErr w:type="spellStart"/>
            <w:r w:rsidRPr="006F292B">
              <w:rPr>
                <w:rFonts w:ascii="Arial" w:hAnsi="Arial" w:cs="Arial"/>
                <w:color w:val="000000"/>
                <w:sz w:val="18"/>
                <w:szCs w:val="18"/>
              </w:rPr>
              <w:t>Berenberg</w:t>
            </w:r>
            <w:proofErr w:type="spellEnd"/>
            <w:r w:rsidRPr="006F292B">
              <w:rPr>
                <w:rFonts w:ascii="Arial" w:hAnsi="Arial" w:cs="Arial"/>
                <w:color w:val="000000"/>
                <w:sz w:val="18"/>
                <w:szCs w:val="18"/>
              </w:rPr>
              <w:t>-Fonds</w:t>
            </w:r>
            <w:r>
              <w:rPr>
                <w:rFonts w:ascii="Arial" w:hAnsi="Arial" w:cs="Arial"/>
                <w:color w:val="000000"/>
                <w:sz w:val="18"/>
                <w:szCs w:val="18"/>
              </w:rPr>
              <w:t xml:space="preserve"> </w:t>
            </w:r>
          </w:p>
        </w:tc>
        <w:tc>
          <w:tcPr>
            <w:tcW w:w="1937" w:type="dxa"/>
            <w:tcBorders>
              <w:bottom w:val="single" w:sz="4" w:space="0" w:color="auto"/>
            </w:tcBorders>
            <w:shd w:val="clear" w:color="auto" w:fill="auto"/>
            <w:vAlign w:val="center"/>
          </w:tcPr>
          <w:p w14:paraId="42C801B6" w14:textId="3BF79AE6" w:rsidR="00CF2E86" w:rsidRPr="000B7D28" w:rsidRDefault="000B7D28" w:rsidP="000B7D28">
            <w:pPr>
              <w:widowControl w:val="0"/>
              <w:spacing w:after="0"/>
              <w:rPr>
                <w:rFonts w:ascii="Arial" w:hAnsi="Arial" w:cs="Arial"/>
                <w:sz w:val="18"/>
                <w:szCs w:val="18"/>
              </w:rPr>
            </w:pPr>
            <w:r w:rsidRPr="000B7D28">
              <w:rPr>
                <w:rFonts w:ascii="Arial" w:hAnsi="Arial" w:cs="Arial"/>
                <w:sz w:val="18"/>
                <w:szCs w:val="18"/>
              </w:rPr>
              <w:t xml:space="preserve">Warburg-HIH </w:t>
            </w:r>
            <w:proofErr w:type="spellStart"/>
            <w:r w:rsidRPr="000B7D28">
              <w:rPr>
                <w:rFonts w:ascii="Arial" w:hAnsi="Arial" w:cs="Arial"/>
                <w:sz w:val="18"/>
                <w:szCs w:val="18"/>
              </w:rPr>
              <w:t>Invest</w:t>
            </w:r>
            <w:proofErr w:type="spellEnd"/>
            <w:r w:rsidRPr="000B7D28">
              <w:rPr>
                <w:rFonts w:ascii="Arial" w:hAnsi="Arial" w:cs="Arial"/>
                <w:sz w:val="18"/>
                <w:szCs w:val="18"/>
              </w:rPr>
              <w:t xml:space="preserve"> </w:t>
            </w:r>
          </w:p>
        </w:tc>
        <w:tc>
          <w:tcPr>
            <w:tcW w:w="1137" w:type="dxa"/>
            <w:tcBorders>
              <w:bottom w:val="single" w:sz="4" w:space="0" w:color="auto"/>
            </w:tcBorders>
            <w:shd w:val="clear" w:color="auto" w:fill="auto"/>
            <w:vAlign w:val="center"/>
          </w:tcPr>
          <w:p w14:paraId="0DF6832E" w14:textId="74A91D37" w:rsidR="00CF2E86" w:rsidRPr="000B7D28" w:rsidRDefault="000B7D28" w:rsidP="00CF2E86">
            <w:pPr>
              <w:widowControl w:val="0"/>
              <w:spacing w:after="0"/>
              <w:jc w:val="right"/>
              <w:rPr>
                <w:rFonts w:ascii="Arial" w:hAnsi="Arial" w:cs="Arial"/>
                <w:sz w:val="18"/>
                <w:szCs w:val="18"/>
              </w:rPr>
            </w:pPr>
            <w:r w:rsidRPr="000B7D28">
              <w:rPr>
                <w:rFonts w:ascii="Arial" w:hAnsi="Arial" w:cs="Arial"/>
                <w:sz w:val="18"/>
                <w:szCs w:val="18"/>
              </w:rPr>
              <w:t>45</w:t>
            </w:r>
          </w:p>
        </w:tc>
      </w:tr>
      <w:tr w:rsidR="00713D81" w:rsidRPr="00797E2F" w14:paraId="03C1DF19" w14:textId="77777777" w:rsidTr="00E007DD">
        <w:trPr>
          <w:trHeight w:val="455"/>
        </w:trPr>
        <w:tc>
          <w:tcPr>
            <w:tcW w:w="10038" w:type="dxa"/>
            <w:gridSpan w:val="7"/>
            <w:tcBorders>
              <w:top w:val="single" w:sz="4" w:space="0" w:color="auto"/>
              <w:left w:val="nil"/>
              <w:bottom w:val="nil"/>
              <w:right w:val="nil"/>
            </w:tcBorders>
            <w:shd w:val="clear" w:color="auto" w:fill="FFFFFF" w:themeFill="background1"/>
          </w:tcPr>
          <w:p w14:paraId="1976F5D6" w14:textId="15082846" w:rsidR="00713D81" w:rsidRPr="001871BC" w:rsidRDefault="00713D81" w:rsidP="00E04392">
            <w:pPr>
              <w:widowControl w:val="0"/>
              <w:spacing w:after="0"/>
              <w:rPr>
                <w:rFonts w:ascii="Arial" w:hAnsi="Arial" w:cs="Arial"/>
                <w:sz w:val="16"/>
                <w:szCs w:val="16"/>
              </w:rPr>
            </w:pPr>
            <w:r w:rsidRPr="00D474C5">
              <w:rPr>
                <w:rFonts w:ascii="Arial" w:hAnsi="Arial" w:cs="Arial"/>
                <w:sz w:val="16"/>
                <w:szCs w:val="16"/>
              </w:rPr>
              <w:t>*</w:t>
            </w:r>
            <w:r>
              <w:rPr>
                <w:rFonts w:ascii="Arial" w:hAnsi="Arial" w:cs="Arial"/>
                <w:sz w:val="16"/>
                <w:szCs w:val="16"/>
              </w:rPr>
              <w:t xml:space="preserve"> </w:t>
            </w:r>
            <w:r w:rsidRPr="00B4679D">
              <w:rPr>
                <w:rFonts w:ascii="Arial" w:hAnsi="Arial" w:cs="Arial"/>
                <w:sz w:val="16"/>
                <w:szCs w:val="16"/>
              </w:rPr>
              <w:t>Die aufgeführten Kaufpreise ba</w:t>
            </w:r>
            <w:r>
              <w:rPr>
                <w:rFonts w:ascii="Arial" w:hAnsi="Arial" w:cs="Arial"/>
                <w:sz w:val="16"/>
                <w:szCs w:val="16"/>
              </w:rPr>
              <w:t xml:space="preserve">sieren auf öffentlich verfügbaren Angaben; </w:t>
            </w:r>
            <w:r w:rsidRPr="00B4679D">
              <w:rPr>
                <w:rFonts w:ascii="Arial" w:hAnsi="Arial" w:cs="Arial"/>
                <w:sz w:val="16"/>
                <w:szCs w:val="16"/>
              </w:rPr>
              <w:t xml:space="preserve">wo solche fehlen, sind </w:t>
            </w:r>
            <w:r>
              <w:rPr>
                <w:rFonts w:ascii="Arial" w:hAnsi="Arial" w:cs="Arial"/>
                <w:sz w:val="16"/>
                <w:szCs w:val="16"/>
              </w:rPr>
              <w:t xml:space="preserve">die </w:t>
            </w:r>
            <w:r w:rsidRPr="00B4679D">
              <w:rPr>
                <w:rFonts w:ascii="Arial" w:hAnsi="Arial" w:cs="Arial"/>
                <w:sz w:val="16"/>
                <w:szCs w:val="16"/>
              </w:rPr>
              <w:t>Kaufpreise geschätzt</w:t>
            </w:r>
            <w:r>
              <w:rPr>
                <w:rFonts w:ascii="Arial" w:hAnsi="Arial" w:cs="Arial"/>
                <w:sz w:val="16"/>
                <w:szCs w:val="16"/>
              </w:rPr>
              <w:t xml:space="preserve">; </w:t>
            </w:r>
          </w:p>
        </w:tc>
      </w:tr>
    </w:tbl>
    <w:p w14:paraId="06A84312" w14:textId="77777777" w:rsidR="00713D81" w:rsidRDefault="00713D81" w:rsidP="000A5ED1">
      <w:pPr>
        <w:spacing w:after="0"/>
        <w:rPr>
          <w:rFonts w:ascii="Arial" w:eastAsia="Arial" w:hAnsi="Arial" w:cs="Arial"/>
          <w:color w:val="000000" w:themeColor="text1"/>
          <w:sz w:val="20"/>
          <w:szCs w:val="20"/>
        </w:rPr>
      </w:pPr>
    </w:p>
    <w:p w14:paraId="1CB225B7" w14:textId="6EE00BE0" w:rsidR="00897DBE" w:rsidRPr="00897DBE" w:rsidRDefault="00FC40F0" w:rsidP="00CE4A15">
      <w:pPr>
        <w:spacing w:after="0" w:line="360" w:lineRule="auto"/>
        <w:rPr>
          <w:rFonts w:ascii="Arial" w:hAnsi="Arial" w:cs="Arial"/>
          <w:sz w:val="20"/>
          <w:szCs w:val="20"/>
        </w:rPr>
      </w:pPr>
      <w:r>
        <w:rPr>
          <w:rFonts w:ascii="Arial" w:eastAsia="Arial" w:hAnsi="Arial" w:cs="Arial"/>
          <w:color w:val="000000" w:themeColor="text1"/>
          <w:sz w:val="20"/>
          <w:szCs w:val="20"/>
        </w:rPr>
        <w:t xml:space="preserve">Der ausführliche </w:t>
      </w:r>
      <w:r w:rsidRPr="008327E5">
        <w:rPr>
          <w:rFonts w:ascii="Arial" w:eastAsia="Arial" w:hAnsi="Arial" w:cs="Arial"/>
          <w:sz w:val="20"/>
          <w:szCs w:val="20"/>
        </w:rPr>
        <w:t>Marktbericht</w:t>
      </w:r>
      <w:r>
        <w:rPr>
          <w:rFonts w:ascii="Arial" w:eastAsia="Arial" w:hAnsi="Arial" w:cs="Arial"/>
          <w:color w:val="000000" w:themeColor="text1"/>
          <w:sz w:val="20"/>
          <w:szCs w:val="20"/>
        </w:rPr>
        <w:t xml:space="preserve"> steht in Kürze auf unserer </w:t>
      </w:r>
      <w:hyperlink r:id="rId9" w:history="1">
        <w:r w:rsidRPr="00FC40F0">
          <w:rPr>
            <w:rStyle w:val="Hyperlink"/>
            <w:rFonts w:ascii="Arial" w:eastAsia="Arial" w:hAnsi="Arial" w:cs="Arial"/>
            <w:sz w:val="20"/>
            <w:szCs w:val="20"/>
          </w:rPr>
          <w:t>Website</w:t>
        </w:r>
      </w:hyperlink>
      <w:r>
        <w:rPr>
          <w:rFonts w:ascii="Arial" w:eastAsia="Arial" w:hAnsi="Arial" w:cs="Arial"/>
          <w:color w:val="000000" w:themeColor="text1"/>
          <w:sz w:val="20"/>
          <w:szCs w:val="20"/>
        </w:rPr>
        <w:t xml:space="preserve"> zum Download bereit</w:t>
      </w:r>
      <w:r w:rsidR="002B14F6">
        <w:rPr>
          <w:rFonts w:ascii="Arial" w:eastAsia="Arial" w:hAnsi="Arial" w:cs="Arial"/>
          <w:color w:val="000000" w:themeColor="text1"/>
          <w:sz w:val="20"/>
          <w:szCs w:val="20"/>
        </w:rPr>
        <w:t>.</w:t>
      </w:r>
    </w:p>
    <w:p w14:paraId="000E86FB" w14:textId="77777777" w:rsidR="000A72C3" w:rsidRDefault="000A72C3" w:rsidP="00CE4A15">
      <w:pPr>
        <w:spacing w:after="0" w:line="360" w:lineRule="auto"/>
        <w:rPr>
          <w:rFonts w:ascii="Arial" w:hAnsi="Arial" w:cs="Arial"/>
          <w:b/>
          <w:sz w:val="16"/>
          <w:szCs w:val="16"/>
        </w:rPr>
      </w:pPr>
    </w:p>
    <w:p w14:paraId="3FEA6432" w14:textId="628E16D3" w:rsidR="0090748B" w:rsidRPr="0090748B" w:rsidRDefault="0090748B" w:rsidP="00CE4A15">
      <w:pPr>
        <w:spacing w:after="0" w:line="360" w:lineRule="auto"/>
        <w:rPr>
          <w:rFonts w:ascii="Arial" w:hAnsi="Arial" w:cs="Arial"/>
          <w:b/>
          <w:sz w:val="16"/>
          <w:szCs w:val="16"/>
        </w:rPr>
      </w:pPr>
      <w:r w:rsidRPr="0090748B">
        <w:rPr>
          <w:rFonts w:ascii="Arial" w:hAnsi="Arial" w:cs="Arial"/>
          <w:b/>
          <w:sz w:val="16"/>
          <w:szCs w:val="16"/>
        </w:rPr>
        <w:t>Über Grossmann &amp; Berger</w:t>
      </w:r>
    </w:p>
    <w:p w14:paraId="4B9A2857" w14:textId="1FE26472" w:rsidR="0090748B" w:rsidRDefault="008C0BD9" w:rsidP="008C0BD9">
      <w:pPr>
        <w:spacing w:after="0" w:line="360" w:lineRule="auto"/>
        <w:rPr>
          <w:rFonts w:ascii="Arial" w:hAnsi="Arial" w:cs="Arial"/>
          <w:snapToGrid w:val="0"/>
          <w:sz w:val="16"/>
          <w:szCs w:val="16"/>
        </w:rPr>
      </w:pPr>
      <w:r w:rsidRPr="008C0BD9">
        <w:rPr>
          <w:rFonts w:ascii="Arial" w:hAnsi="Arial" w:cs="Arial"/>
          <w:snapToGrid w:val="0"/>
          <w:sz w:val="16"/>
          <w:szCs w:val="16"/>
        </w:rPr>
        <w:t xml:space="preserve">Die </w:t>
      </w:r>
      <w:hyperlink r:id="rId10" w:history="1">
        <w:r w:rsidRPr="00D50EC4">
          <w:rPr>
            <w:rStyle w:val="Hyperlink"/>
            <w:rFonts w:ascii="Arial" w:hAnsi="Arial" w:cs="Arial"/>
            <w:snapToGrid w:val="0"/>
            <w:sz w:val="16"/>
            <w:szCs w:val="16"/>
          </w:rPr>
          <w:t>Grossmann &amp; Berger GmbH</w:t>
        </w:r>
      </w:hyperlink>
      <w:r w:rsidRPr="008C0BD9">
        <w:rPr>
          <w:rFonts w:ascii="Arial" w:hAnsi="Arial" w:cs="Arial"/>
          <w:snapToGrid w:val="0"/>
          <w:sz w:val="16"/>
          <w:szCs w:val="16"/>
        </w:rPr>
        <w:t xml:space="preserve"> ist einer der führenden Immobiliendienstleister für den Verkauf und die Vermietung von Gewerbe- und Wohn-Immobilien in Norddeutschland. Mit Hauptsitz in Hamburg, einer Niederlassung in Berlin und insgesamt dreizehn Immobilienshops ist das Unternehmen mit über 190 Mitarbeitern flächendeckend im norddeutschen Markt präsent. Dank seiner über 85-jährigen Erfahrung verfügt Grossmann &amp; Berger über </w:t>
      </w:r>
      <w:r>
        <w:rPr>
          <w:rFonts w:ascii="Arial" w:hAnsi="Arial" w:cs="Arial"/>
          <w:snapToGrid w:val="0"/>
          <w:sz w:val="16"/>
          <w:szCs w:val="16"/>
        </w:rPr>
        <w:t xml:space="preserve">umfassende Immobilienkompetenz. </w:t>
      </w:r>
      <w:r w:rsidRPr="008C0BD9">
        <w:rPr>
          <w:rFonts w:ascii="Arial" w:hAnsi="Arial" w:cs="Arial"/>
          <w:snapToGrid w:val="0"/>
          <w:sz w:val="16"/>
          <w:szCs w:val="16"/>
        </w:rPr>
        <w:t xml:space="preserve">Grossmann &amp; Berger ist ein Beteiligungsunternehmen der HASPA-Gruppe, zu der mit der Hamburger Sparkasse (Haspa) auch Deutschlands größte Sparkasse gehört. Zudem ist das Unternehmen Gründungsmitglied des deutschlandweiten Gewerbeimmobiliennetzwerks </w:t>
      </w:r>
      <w:hyperlink r:id="rId11" w:history="1">
        <w:r w:rsidRPr="008C0BD9">
          <w:rPr>
            <w:rStyle w:val="Hyperlink"/>
            <w:rFonts w:ascii="Arial" w:hAnsi="Arial" w:cs="Arial"/>
            <w:snapToGrid w:val="0"/>
            <w:sz w:val="16"/>
            <w:szCs w:val="16"/>
          </w:rPr>
          <w:t>German Property Partners</w:t>
        </w:r>
      </w:hyperlink>
      <w:r w:rsidRPr="008C0BD9">
        <w:rPr>
          <w:rFonts w:ascii="Arial" w:hAnsi="Arial" w:cs="Arial"/>
          <w:snapToGrid w:val="0"/>
          <w:sz w:val="16"/>
          <w:szCs w:val="16"/>
        </w:rPr>
        <w:t xml:space="preserve"> (GPP) und der Arbeitsgemeinschaft Immobilien</w:t>
      </w:r>
      <w:r w:rsidR="00E2356E">
        <w:rPr>
          <w:rFonts w:ascii="Arial" w:hAnsi="Arial" w:cs="Arial"/>
          <w:snapToGrid w:val="0"/>
          <w:sz w:val="16"/>
          <w:szCs w:val="16"/>
        </w:rPr>
        <w:t xml:space="preserve"> </w:t>
      </w:r>
      <w:r w:rsidRPr="008C0BD9">
        <w:rPr>
          <w:rFonts w:ascii="Arial" w:hAnsi="Arial" w:cs="Arial"/>
          <w:snapToGrid w:val="0"/>
          <w:sz w:val="16"/>
          <w:szCs w:val="16"/>
        </w:rPr>
        <w:t>Vermittler Banken Bausparkassen e.V. (IVBB).</w:t>
      </w:r>
    </w:p>
    <w:p w14:paraId="00331BC1" w14:textId="77777777" w:rsidR="008C0BD9" w:rsidRPr="008C0BD9" w:rsidRDefault="008C0BD9" w:rsidP="008C0BD9">
      <w:pPr>
        <w:spacing w:after="0" w:line="360" w:lineRule="auto"/>
        <w:rPr>
          <w:rFonts w:ascii="Arial" w:hAnsi="Arial" w:cs="Arial"/>
          <w:snapToGrid w:val="0"/>
          <w:sz w:val="16"/>
          <w:szCs w:val="16"/>
        </w:rPr>
      </w:pPr>
    </w:p>
    <w:p w14:paraId="51C1AA4D" w14:textId="520CEAFE" w:rsidR="00046FEC" w:rsidRPr="00A73C12" w:rsidRDefault="003C6AB4" w:rsidP="00A73C12">
      <w:pPr>
        <w:spacing w:after="0" w:line="360" w:lineRule="auto"/>
        <w:rPr>
          <w:rFonts w:ascii="Arial" w:hAnsi="Arial" w:cs="Arial"/>
          <w:sz w:val="16"/>
          <w:szCs w:val="16"/>
        </w:rPr>
      </w:pPr>
      <w:r w:rsidRPr="003C6AB4">
        <w:rPr>
          <w:rFonts w:ascii="Arial" w:hAnsi="Arial" w:cs="Arial"/>
          <w:sz w:val="16"/>
          <w:szCs w:val="16"/>
        </w:rPr>
        <w:t xml:space="preserve">Die </w:t>
      </w:r>
      <w:hyperlink r:id="rId12" w:history="1">
        <w:r w:rsidRPr="003C6AB4">
          <w:rPr>
            <w:rStyle w:val="Hyperlink"/>
            <w:rFonts w:ascii="Arial" w:hAnsi="Arial" w:cs="Arial"/>
            <w:sz w:val="16"/>
            <w:szCs w:val="16"/>
          </w:rPr>
          <w:t>Datenschutzrichtlinie</w:t>
        </w:r>
      </w:hyperlink>
      <w:r w:rsidRPr="003C6AB4">
        <w:rPr>
          <w:rFonts w:ascii="Arial" w:hAnsi="Arial" w:cs="Arial"/>
          <w:sz w:val="16"/>
          <w:szCs w:val="16"/>
        </w:rPr>
        <w:t xml:space="preserve"> von Grossmann &amp; Berger finden Sie auf unserer Website. Hier finden Sie auch unsere </w:t>
      </w:r>
      <w:hyperlink r:id="rId13" w:history="1">
        <w:r w:rsidRPr="003C6AB4">
          <w:rPr>
            <w:rStyle w:val="Hyperlink"/>
            <w:rFonts w:ascii="Arial" w:hAnsi="Arial" w:cs="Arial"/>
            <w:sz w:val="16"/>
            <w:szCs w:val="16"/>
          </w:rPr>
          <w:t>Pressemappe</w:t>
        </w:r>
      </w:hyperlink>
      <w:r w:rsidRPr="003C6AB4">
        <w:rPr>
          <w:rFonts w:ascii="Arial" w:hAnsi="Arial" w:cs="Arial"/>
          <w:sz w:val="16"/>
          <w:szCs w:val="16"/>
        </w:rPr>
        <w:t xml:space="preserve"> sowie die dazugehörigen </w:t>
      </w:r>
      <w:hyperlink r:id="rId14" w:history="1">
        <w:r w:rsidRPr="003C6AB4">
          <w:rPr>
            <w:rStyle w:val="Hyperlink"/>
            <w:rFonts w:ascii="Arial" w:hAnsi="Arial" w:cs="Arial"/>
            <w:sz w:val="16"/>
            <w:szCs w:val="16"/>
          </w:rPr>
          <w:t>Nutzungsbedingungen</w:t>
        </w:r>
      </w:hyperlink>
      <w:r w:rsidRPr="003C6AB4">
        <w:rPr>
          <w:rFonts w:ascii="Arial" w:hAnsi="Arial" w:cs="Arial"/>
          <w:sz w:val="16"/>
          <w:szCs w:val="16"/>
        </w:rPr>
        <w:t xml:space="preserve">. Wenn Sie zukünftig keine Informationen unserer Pressestelle mehr erhalten möchten, senden Sie bitte eine E-Mail an </w:t>
      </w:r>
      <w:hyperlink r:id="rId15" w:history="1">
        <w:r w:rsidRPr="003C6AB4">
          <w:rPr>
            <w:rStyle w:val="Hyperlink"/>
            <w:rFonts w:ascii="Arial" w:hAnsi="Arial" w:cs="Arial"/>
            <w:sz w:val="16"/>
            <w:szCs w:val="16"/>
          </w:rPr>
          <w:t>presse@grossmann-berger.de</w:t>
        </w:r>
      </w:hyperlink>
      <w:r w:rsidRPr="003C6AB4">
        <w:rPr>
          <w:rFonts w:ascii="Arial" w:hAnsi="Arial" w:cs="Arial"/>
          <w:sz w:val="16"/>
          <w:szCs w:val="16"/>
        </w:rPr>
        <w:t xml:space="preserve"> mit dem Betreff "</w:t>
      </w:r>
      <w:r w:rsidR="0022086D">
        <w:rPr>
          <w:rFonts w:ascii="Arial" w:hAnsi="Arial" w:cs="Arial"/>
          <w:sz w:val="16"/>
          <w:szCs w:val="16"/>
        </w:rPr>
        <w:t>Abmeldung aus Presseverteiler".</w:t>
      </w:r>
    </w:p>
    <w:sectPr w:rsidR="00046FEC" w:rsidRPr="00A73C12"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4C78B" w14:textId="77777777" w:rsidR="006261DF" w:rsidRDefault="006261DF">
      <w:r>
        <w:separator/>
      </w:r>
    </w:p>
  </w:endnote>
  <w:endnote w:type="continuationSeparator" w:id="0">
    <w:p w14:paraId="4B4AB812" w14:textId="77777777" w:rsidR="006261DF" w:rsidRDefault="006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Pr="00D83CB7">
      <w:rPr>
        <w:rFonts w:ascii="Arial" w:hAnsi="Arial" w:cs="Arial"/>
        <w:color w:val="918F90"/>
        <w:sz w:val="18"/>
        <w:szCs w:val="18"/>
      </w:rPr>
      <w:t xml:space="preserve">| </w:t>
    </w:r>
    <w:proofErr w:type="spellStart"/>
    <w:r w:rsidRPr="00D83CB7">
      <w:rPr>
        <w:rFonts w:ascii="Arial" w:hAnsi="Arial" w:cs="Arial"/>
        <w:color w:val="918F90"/>
        <w:sz w:val="18"/>
        <w:szCs w:val="18"/>
      </w:rPr>
      <w:t>Bleichenbrücke</w:t>
    </w:r>
    <w:proofErr w:type="spellEnd"/>
    <w:r w:rsidRPr="00D83CB7">
      <w:rPr>
        <w:rFonts w:ascii="Arial" w:hAnsi="Arial" w:cs="Arial"/>
        <w:color w:val="918F90"/>
        <w:sz w:val="18"/>
        <w:szCs w:val="18"/>
      </w:rPr>
      <w:t xml:space="preserve"> 9 | D-20354 Hamburg | Tel. +49 (0)40/350 80 2-0 | www.grossmann-berger.de</w:t>
    </w:r>
  </w:p>
  <w:p w14:paraId="5440A7EF" w14:textId="225ED529"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D0004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D0004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AC64" w14:textId="77777777" w:rsidR="006261DF" w:rsidRDefault="006261DF">
      <w:r>
        <w:separator/>
      </w:r>
    </w:p>
  </w:footnote>
  <w:footnote w:type="continuationSeparator" w:id="0">
    <w:p w14:paraId="36C151B1" w14:textId="77777777" w:rsidR="006261DF" w:rsidRDefault="0062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eastAsia="de-DE"/>
      </w:rPr>
      <mc:AlternateContent>
        <mc:Choice Requires="wps">
          <w:drawing>
            <wp:anchor distT="0" distB="0" distL="114300" distR="114300" simplePos="0" relativeHeight="251667456" behindDoc="0" locked="0" layoutInCell="1" allowOverlap="1" wp14:anchorId="12F1C8E7" wp14:editId="565DED62">
              <wp:simplePos x="0" y="0"/>
              <wp:positionH relativeFrom="margin">
                <wp:posOffset>-74930</wp:posOffset>
              </wp:positionH>
              <wp:positionV relativeFrom="paragraph">
                <wp:posOffset>42530</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706D40CF" w:rsidR="003E27B4" w:rsidRDefault="003E27B4" w:rsidP="003E27B4">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Corinna Fühner | Telefon: +49 (0)40/350 80 2-</w:t>
                          </w:r>
                          <w:r w:rsidR="00D24AF1">
                            <w:rPr>
                              <w:rFonts w:ascii="Arial" w:hAnsi="Arial" w:cs="Arial"/>
                              <w:sz w:val="16"/>
                              <w:szCs w:val="16"/>
                            </w:rPr>
                            <w:t>588</w:t>
                          </w:r>
                          <w:r>
                            <w:rPr>
                              <w:rFonts w:ascii="Arial" w:hAnsi="Arial" w:cs="Arial"/>
                              <w:sz w:val="16"/>
                              <w:szCs w:val="16"/>
                            </w:rPr>
                            <w:t xml:space="preserve"> |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5.9pt;margin-top:3.35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" filled="f" stroked="f">
              <v:textbox>
                <w:txbxContent>
                  <w:p w14:paraId="49DF3728" w14:textId="706D40CF" w:rsidR="003E27B4" w:rsidRDefault="003E27B4" w:rsidP="003E27B4">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Corinna Fühner | Telefon: +49 (0)40/350 80 2-</w:t>
                    </w:r>
                    <w:r w:rsidR="00D24AF1">
                      <w:rPr>
                        <w:rFonts w:ascii="Arial" w:hAnsi="Arial" w:cs="Arial"/>
                        <w:sz w:val="16"/>
                        <w:szCs w:val="16"/>
                      </w:rPr>
                      <w:t>588</w:t>
                    </w:r>
                    <w:r>
                      <w:rPr>
                        <w:rFonts w:ascii="Arial" w:hAnsi="Arial" w:cs="Arial"/>
                        <w:sz w:val="16"/>
                        <w:szCs w:val="16"/>
                      </w:rPr>
                      <w:t xml:space="preserve"> | c.fuehner@grossmann-berger.de</w:t>
                    </w:r>
                  </w:p>
                </w:txbxContent>
              </v:textbox>
              <w10:wrap anchorx="margin"/>
            </v:shape>
          </w:pict>
        </mc:Fallback>
      </mc:AlternateContent>
    </w:r>
    <w:r w:rsidR="00D04BA2">
      <w:rPr>
        <w:rFonts w:ascii="Arial" w:hAnsi="Arial" w:cs="Arial"/>
        <w:color w:val="918F90"/>
        <w:sz w:val="28"/>
        <w:szCs w:val="28"/>
      </w:rPr>
      <w:t>Pressemitteilung</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eastAsia="de-DE"/>
      </w:rPr>
      <mc:AlternateContent>
        <mc:Choice Requires="wps">
          <w:drawing>
            <wp:anchor distT="0" distB="0" distL="114300" distR="114300" simplePos="0" relativeHeight="251665408" behindDoc="0" locked="0" layoutInCell="1" allowOverlap="1" wp14:anchorId="452EA495" wp14:editId="55D8E217">
              <wp:simplePos x="0" y="0"/>
              <wp:positionH relativeFrom="margin">
                <wp:posOffset>-92267</wp:posOffset>
              </wp:positionH>
              <wp:positionV relativeFrom="paragraph">
                <wp:posOffset>9525</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30564BAE" w:rsidR="00CE7D16" w:rsidRDefault="00CE7D16" w:rsidP="00CE7D16">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3E27B4">
                            <w:rPr>
                              <w:rFonts w:ascii="Arial" w:hAnsi="Arial" w:cs="Arial"/>
                              <w:sz w:val="16"/>
                              <w:szCs w:val="16"/>
                            </w:rPr>
                            <w:t>Corinna Fühner</w:t>
                          </w:r>
                          <w:r>
                            <w:rPr>
                              <w:rFonts w:ascii="Arial" w:hAnsi="Arial" w:cs="Arial"/>
                              <w:sz w:val="16"/>
                              <w:szCs w:val="16"/>
                            </w:rPr>
                            <w:t xml:space="preserve"> | Telefon: +49 (0)40/350 80 2-</w:t>
                          </w:r>
                          <w:r w:rsidR="00D24AF1">
                            <w:rPr>
                              <w:rFonts w:ascii="Arial" w:hAnsi="Arial" w:cs="Arial"/>
                              <w:sz w:val="16"/>
                              <w:szCs w:val="16"/>
                            </w:rPr>
                            <w:t>588</w:t>
                          </w:r>
                          <w:r>
                            <w:rPr>
                              <w:rFonts w:ascii="Arial" w:hAnsi="Arial" w:cs="Arial"/>
                              <w:sz w:val="16"/>
                              <w:szCs w:val="16"/>
                            </w:rPr>
                            <w:t xml:space="preserve"> | </w:t>
                          </w:r>
                          <w:r w:rsidR="003E27B4">
                            <w:rPr>
                              <w:rFonts w:ascii="Arial" w:hAnsi="Arial" w:cs="Arial"/>
                              <w:sz w:val="16"/>
                              <w:szCs w:val="16"/>
                            </w:rPr>
                            <w:t>c</w:t>
                          </w:r>
                          <w:r>
                            <w:rPr>
                              <w:rFonts w:ascii="Arial" w:hAnsi="Arial" w:cs="Arial"/>
                              <w:sz w:val="16"/>
                              <w:szCs w:val="16"/>
                            </w:rPr>
                            <w:t>.f</w:t>
                          </w:r>
                          <w:r w:rsidR="003E27B4">
                            <w:rPr>
                              <w:rFonts w:ascii="Arial" w:hAnsi="Arial" w:cs="Arial"/>
                              <w:sz w:val="16"/>
                              <w:szCs w:val="16"/>
                            </w:rPr>
                            <w:t>uehner</w:t>
                          </w:r>
                          <w:r>
                            <w:rPr>
                              <w:rFonts w:ascii="Arial" w:hAnsi="Arial" w:cs="Arial"/>
                              <w:sz w:val="16"/>
                              <w:szCs w:val="16"/>
                            </w:rPr>
                            <w:t>@grossmann-berger.de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75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" filled="f" stroked="f">
              <v:textbox>
                <w:txbxContent>
                  <w:p w14:paraId="296CAEDD" w14:textId="30564BAE" w:rsidR="00CE7D16" w:rsidRDefault="00CE7D16" w:rsidP="00CE7D16">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3E27B4">
                      <w:rPr>
                        <w:rFonts w:ascii="Arial" w:hAnsi="Arial" w:cs="Arial"/>
                        <w:sz w:val="16"/>
                        <w:szCs w:val="16"/>
                      </w:rPr>
                      <w:t>Corinna Fühner</w:t>
                    </w:r>
                    <w:r>
                      <w:rPr>
                        <w:rFonts w:ascii="Arial" w:hAnsi="Arial" w:cs="Arial"/>
                        <w:sz w:val="16"/>
                        <w:szCs w:val="16"/>
                      </w:rPr>
                      <w:t xml:space="preserve"> | Telefon: +49 (0)40/350 80 2-</w:t>
                    </w:r>
                    <w:r w:rsidR="00D24AF1">
                      <w:rPr>
                        <w:rFonts w:ascii="Arial" w:hAnsi="Arial" w:cs="Arial"/>
                        <w:sz w:val="16"/>
                        <w:szCs w:val="16"/>
                      </w:rPr>
                      <w:t>588</w:t>
                    </w:r>
                    <w:r>
                      <w:rPr>
                        <w:rFonts w:ascii="Arial" w:hAnsi="Arial" w:cs="Arial"/>
                        <w:sz w:val="16"/>
                        <w:szCs w:val="16"/>
                      </w:rPr>
                      <w:t xml:space="preserve"> | </w:t>
                    </w:r>
                    <w:r w:rsidR="003E27B4">
                      <w:rPr>
                        <w:rFonts w:ascii="Arial" w:hAnsi="Arial" w:cs="Arial"/>
                        <w:sz w:val="16"/>
                        <w:szCs w:val="16"/>
                      </w:rPr>
                      <w:t>c</w:t>
                    </w:r>
                    <w:r>
                      <w:rPr>
                        <w:rFonts w:ascii="Arial" w:hAnsi="Arial" w:cs="Arial"/>
                        <w:sz w:val="16"/>
                        <w:szCs w:val="16"/>
                      </w:rPr>
                      <w:t>.f</w:t>
                    </w:r>
                    <w:r w:rsidR="003E27B4">
                      <w:rPr>
                        <w:rFonts w:ascii="Arial" w:hAnsi="Arial" w:cs="Arial"/>
                        <w:sz w:val="16"/>
                        <w:szCs w:val="16"/>
                      </w:rPr>
                      <w:t>uehner</w:t>
                    </w:r>
                    <w:r>
                      <w:rPr>
                        <w:rFonts w:ascii="Arial" w:hAnsi="Arial" w:cs="Arial"/>
                        <w:sz w:val="16"/>
                        <w:szCs w:val="16"/>
                      </w:rPr>
                      <w:t>@grossmann-berger.de</w:t>
                    </w:r>
                  </w:p>
                </w:txbxContent>
              </v:textbox>
              <w10:wrap anchorx="margin"/>
            </v:shape>
          </w:pict>
        </mc:Fallback>
      </mc:AlternateContent>
    </w:r>
    <w:r w:rsidR="00D04BA2">
      <w:rPr>
        <w:rFonts w:ascii="Arial" w:hAnsi="Arial" w:cs="Arial"/>
        <w:color w:val="918F90"/>
        <w:sz w:val="28"/>
        <w:szCs w:val="28"/>
      </w:rPr>
      <w:t>Pressemitteilung</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5"/>
  </w:num>
  <w:num w:numId="16">
    <w:abstractNumId w:val="11"/>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92D"/>
    <w:rsid w:val="000159FE"/>
    <w:rsid w:val="00022F16"/>
    <w:rsid w:val="00023D78"/>
    <w:rsid w:val="00027644"/>
    <w:rsid w:val="0003075C"/>
    <w:rsid w:val="000418C7"/>
    <w:rsid w:val="00046FEC"/>
    <w:rsid w:val="00060743"/>
    <w:rsid w:val="000615E2"/>
    <w:rsid w:val="000623C0"/>
    <w:rsid w:val="00064A03"/>
    <w:rsid w:val="00066796"/>
    <w:rsid w:val="00075002"/>
    <w:rsid w:val="000766D7"/>
    <w:rsid w:val="0007670A"/>
    <w:rsid w:val="00080F27"/>
    <w:rsid w:val="000834E2"/>
    <w:rsid w:val="000A517C"/>
    <w:rsid w:val="000A5ED1"/>
    <w:rsid w:val="000A72C3"/>
    <w:rsid w:val="000B0335"/>
    <w:rsid w:val="000B1606"/>
    <w:rsid w:val="000B3315"/>
    <w:rsid w:val="000B3A6C"/>
    <w:rsid w:val="000B7D28"/>
    <w:rsid w:val="000C74B2"/>
    <w:rsid w:val="000C770D"/>
    <w:rsid w:val="000D48D4"/>
    <w:rsid w:val="000E03F3"/>
    <w:rsid w:val="000E49CB"/>
    <w:rsid w:val="000E7BC7"/>
    <w:rsid w:val="000F5742"/>
    <w:rsid w:val="001029C4"/>
    <w:rsid w:val="0011486D"/>
    <w:rsid w:val="00117D5D"/>
    <w:rsid w:val="00117EF7"/>
    <w:rsid w:val="00121E33"/>
    <w:rsid w:val="00126550"/>
    <w:rsid w:val="001324D6"/>
    <w:rsid w:val="00132522"/>
    <w:rsid w:val="00135BD2"/>
    <w:rsid w:val="00135E09"/>
    <w:rsid w:val="00154825"/>
    <w:rsid w:val="0017364E"/>
    <w:rsid w:val="0017516B"/>
    <w:rsid w:val="00176F1D"/>
    <w:rsid w:val="0018068D"/>
    <w:rsid w:val="00180801"/>
    <w:rsid w:val="001871BC"/>
    <w:rsid w:val="001A2ABE"/>
    <w:rsid w:val="001A360C"/>
    <w:rsid w:val="001B577C"/>
    <w:rsid w:val="001D14DA"/>
    <w:rsid w:val="001D43BB"/>
    <w:rsid w:val="001D645F"/>
    <w:rsid w:val="001D64B8"/>
    <w:rsid w:val="001E1172"/>
    <w:rsid w:val="001E6995"/>
    <w:rsid w:val="001F1513"/>
    <w:rsid w:val="001F3C3A"/>
    <w:rsid w:val="0020062D"/>
    <w:rsid w:val="00201E4A"/>
    <w:rsid w:val="00205769"/>
    <w:rsid w:val="00212FEC"/>
    <w:rsid w:val="002131BB"/>
    <w:rsid w:val="00213F07"/>
    <w:rsid w:val="00214952"/>
    <w:rsid w:val="0022086D"/>
    <w:rsid w:val="00227E31"/>
    <w:rsid w:val="00230F81"/>
    <w:rsid w:val="002341EE"/>
    <w:rsid w:val="002353AA"/>
    <w:rsid w:val="00237341"/>
    <w:rsid w:val="002462B6"/>
    <w:rsid w:val="00251FC5"/>
    <w:rsid w:val="00252F40"/>
    <w:rsid w:val="00253412"/>
    <w:rsid w:val="00254C6F"/>
    <w:rsid w:val="002550BA"/>
    <w:rsid w:val="00255679"/>
    <w:rsid w:val="0027266B"/>
    <w:rsid w:val="00274734"/>
    <w:rsid w:val="00277361"/>
    <w:rsid w:val="00281E80"/>
    <w:rsid w:val="002834B0"/>
    <w:rsid w:val="00283671"/>
    <w:rsid w:val="00284A5D"/>
    <w:rsid w:val="00284E27"/>
    <w:rsid w:val="00294B7D"/>
    <w:rsid w:val="002A1973"/>
    <w:rsid w:val="002B14F6"/>
    <w:rsid w:val="002B7C7F"/>
    <w:rsid w:val="002C055A"/>
    <w:rsid w:val="002C2392"/>
    <w:rsid w:val="002C450A"/>
    <w:rsid w:val="002D1C5C"/>
    <w:rsid w:val="002D1E20"/>
    <w:rsid w:val="002E2A92"/>
    <w:rsid w:val="002E6860"/>
    <w:rsid w:val="002F0411"/>
    <w:rsid w:val="002F767E"/>
    <w:rsid w:val="00301F3A"/>
    <w:rsid w:val="00304D7A"/>
    <w:rsid w:val="00313876"/>
    <w:rsid w:val="003246F0"/>
    <w:rsid w:val="00325E2A"/>
    <w:rsid w:val="00326066"/>
    <w:rsid w:val="003272F3"/>
    <w:rsid w:val="0034064A"/>
    <w:rsid w:val="00345716"/>
    <w:rsid w:val="00346814"/>
    <w:rsid w:val="0034786C"/>
    <w:rsid w:val="00347A18"/>
    <w:rsid w:val="00350D85"/>
    <w:rsid w:val="00351477"/>
    <w:rsid w:val="003517C9"/>
    <w:rsid w:val="00351DCD"/>
    <w:rsid w:val="00357EC4"/>
    <w:rsid w:val="003627E1"/>
    <w:rsid w:val="00365AF8"/>
    <w:rsid w:val="00370000"/>
    <w:rsid w:val="00373507"/>
    <w:rsid w:val="0038230E"/>
    <w:rsid w:val="00382529"/>
    <w:rsid w:val="0038350F"/>
    <w:rsid w:val="00396CE0"/>
    <w:rsid w:val="003A00C9"/>
    <w:rsid w:val="003A25A4"/>
    <w:rsid w:val="003B19F4"/>
    <w:rsid w:val="003B49E4"/>
    <w:rsid w:val="003B4CCF"/>
    <w:rsid w:val="003B6CD4"/>
    <w:rsid w:val="003C1693"/>
    <w:rsid w:val="003C5218"/>
    <w:rsid w:val="003C6AB4"/>
    <w:rsid w:val="003E099F"/>
    <w:rsid w:val="003E27B4"/>
    <w:rsid w:val="003E4DF9"/>
    <w:rsid w:val="003F665D"/>
    <w:rsid w:val="0040086D"/>
    <w:rsid w:val="004017D8"/>
    <w:rsid w:val="00405D59"/>
    <w:rsid w:val="00411E03"/>
    <w:rsid w:val="004123B1"/>
    <w:rsid w:val="00417F4D"/>
    <w:rsid w:val="004269AC"/>
    <w:rsid w:val="00426E13"/>
    <w:rsid w:val="004303A1"/>
    <w:rsid w:val="00440DC9"/>
    <w:rsid w:val="004450C4"/>
    <w:rsid w:val="00445DF9"/>
    <w:rsid w:val="004506D2"/>
    <w:rsid w:val="00456F40"/>
    <w:rsid w:val="004609BD"/>
    <w:rsid w:val="004661EE"/>
    <w:rsid w:val="00466741"/>
    <w:rsid w:val="00470064"/>
    <w:rsid w:val="0047198B"/>
    <w:rsid w:val="004818CE"/>
    <w:rsid w:val="004966E3"/>
    <w:rsid w:val="004A2BEA"/>
    <w:rsid w:val="004A3C64"/>
    <w:rsid w:val="004A5AEA"/>
    <w:rsid w:val="004B2694"/>
    <w:rsid w:val="004B2FDA"/>
    <w:rsid w:val="004B480A"/>
    <w:rsid w:val="004B5A6D"/>
    <w:rsid w:val="004C0CA2"/>
    <w:rsid w:val="004D50C0"/>
    <w:rsid w:val="004D772A"/>
    <w:rsid w:val="004E339B"/>
    <w:rsid w:val="004E4273"/>
    <w:rsid w:val="004E4562"/>
    <w:rsid w:val="004F077F"/>
    <w:rsid w:val="004F78B4"/>
    <w:rsid w:val="005023DD"/>
    <w:rsid w:val="00503D8C"/>
    <w:rsid w:val="0051485A"/>
    <w:rsid w:val="00522B84"/>
    <w:rsid w:val="00531A7F"/>
    <w:rsid w:val="00534BAD"/>
    <w:rsid w:val="005360E8"/>
    <w:rsid w:val="005412D0"/>
    <w:rsid w:val="005428C5"/>
    <w:rsid w:val="00543C55"/>
    <w:rsid w:val="0054412E"/>
    <w:rsid w:val="0055393B"/>
    <w:rsid w:val="005554C7"/>
    <w:rsid w:val="00556F58"/>
    <w:rsid w:val="00567D57"/>
    <w:rsid w:val="00571004"/>
    <w:rsid w:val="0057685F"/>
    <w:rsid w:val="00577B63"/>
    <w:rsid w:val="00582B99"/>
    <w:rsid w:val="00590903"/>
    <w:rsid w:val="005A617A"/>
    <w:rsid w:val="005B0FC9"/>
    <w:rsid w:val="005B24B2"/>
    <w:rsid w:val="005B66D3"/>
    <w:rsid w:val="005B7D91"/>
    <w:rsid w:val="005C4556"/>
    <w:rsid w:val="005C5302"/>
    <w:rsid w:val="005D307B"/>
    <w:rsid w:val="005E362E"/>
    <w:rsid w:val="005E43B3"/>
    <w:rsid w:val="005F69D4"/>
    <w:rsid w:val="005F7593"/>
    <w:rsid w:val="006029D7"/>
    <w:rsid w:val="00606BFF"/>
    <w:rsid w:val="00606E35"/>
    <w:rsid w:val="0061109D"/>
    <w:rsid w:val="0061138B"/>
    <w:rsid w:val="00612AA0"/>
    <w:rsid w:val="006138CB"/>
    <w:rsid w:val="006224C4"/>
    <w:rsid w:val="006225EA"/>
    <w:rsid w:val="006261DF"/>
    <w:rsid w:val="00631936"/>
    <w:rsid w:val="006321DC"/>
    <w:rsid w:val="00641270"/>
    <w:rsid w:val="00642074"/>
    <w:rsid w:val="006424F8"/>
    <w:rsid w:val="00656049"/>
    <w:rsid w:val="00672C84"/>
    <w:rsid w:val="00681CAB"/>
    <w:rsid w:val="00682CFC"/>
    <w:rsid w:val="006842EF"/>
    <w:rsid w:val="00692D4F"/>
    <w:rsid w:val="00693E35"/>
    <w:rsid w:val="00695E58"/>
    <w:rsid w:val="0069757D"/>
    <w:rsid w:val="006A1329"/>
    <w:rsid w:val="006A66F9"/>
    <w:rsid w:val="006B4303"/>
    <w:rsid w:val="006D024C"/>
    <w:rsid w:val="006E5C9C"/>
    <w:rsid w:val="006F1774"/>
    <w:rsid w:val="006F292B"/>
    <w:rsid w:val="00713D81"/>
    <w:rsid w:val="00717A20"/>
    <w:rsid w:val="00720DFF"/>
    <w:rsid w:val="007265F3"/>
    <w:rsid w:val="00730E23"/>
    <w:rsid w:val="00753311"/>
    <w:rsid w:val="00754513"/>
    <w:rsid w:val="00762CC5"/>
    <w:rsid w:val="00767063"/>
    <w:rsid w:val="007906B4"/>
    <w:rsid w:val="007970A0"/>
    <w:rsid w:val="00797E4F"/>
    <w:rsid w:val="007A314C"/>
    <w:rsid w:val="007B215B"/>
    <w:rsid w:val="007B4617"/>
    <w:rsid w:val="007C26B6"/>
    <w:rsid w:val="007C2D96"/>
    <w:rsid w:val="007E759D"/>
    <w:rsid w:val="007F2DBE"/>
    <w:rsid w:val="007F33B6"/>
    <w:rsid w:val="007F642D"/>
    <w:rsid w:val="007F756A"/>
    <w:rsid w:val="00800E2C"/>
    <w:rsid w:val="0080214D"/>
    <w:rsid w:val="00812471"/>
    <w:rsid w:val="008261A5"/>
    <w:rsid w:val="008327E5"/>
    <w:rsid w:val="0083382E"/>
    <w:rsid w:val="00844AAC"/>
    <w:rsid w:val="0085354A"/>
    <w:rsid w:val="00855325"/>
    <w:rsid w:val="00862E34"/>
    <w:rsid w:val="008634F3"/>
    <w:rsid w:val="008652FA"/>
    <w:rsid w:val="00865915"/>
    <w:rsid w:val="008661AA"/>
    <w:rsid w:val="00871832"/>
    <w:rsid w:val="00875E9B"/>
    <w:rsid w:val="00876FCA"/>
    <w:rsid w:val="00886CCE"/>
    <w:rsid w:val="008942C6"/>
    <w:rsid w:val="00896B33"/>
    <w:rsid w:val="00897DBE"/>
    <w:rsid w:val="008A2995"/>
    <w:rsid w:val="008A2BA4"/>
    <w:rsid w:val="008A62FB"/>
    <w:rsid w:val="008A77B7"/>
    <w:rsid w:val="008B0F67"/>
    <w:rsid w:val="008B297B"/>
    <w:rsid w:val="008B3833"/>
    <w:rsid w:val="008C0535"/>
    <w:rsid w:val="008C0BCD"/>
    <w:rsid w:val="008C0BD9"/>
    <w:rsid w:val="008C608D"/>
    <w:rsid w:val="008D1F37"/>
    <w:rsid w:val="008E14BE"/>
    <w:rsid w:val="008E461D"/>
    <w:rsid w:val="008E5520"/>
    <w:rsid w:val="008F08E5"/>
    <w:rsid w:val="008F097F"/>
    <w:rsid w:val="008F0EA4"/>
    <w:rsid w:val="008F10B9"/>
    <w:rsid w:val="008F38F6"/>
    <w:rsid w:val="008F5213"/>
    <w:rsid w:val="008F67E7"/>
    <w:rsid w:val="008F6B2D"/>
    <w:rsid w:val="009000CF"/>
    <w:rsid w:val="009050B3"/>
    <w:rsid w:val="00906FC5"/>
    <w:rsid w:val="0090748B"/>
    <w:rsid w:val="00920C9C"/>
    <w:rsid w:val="00922754"/>
    <w:rsid w:val="00925781"/>
    <w:rsid w:val="009258D0"/>
    <w:rsid w:val="00934D87"/>
    <w:rsid w:val="00935AB3"/>
    <w:rsid w:val="009635CF"/>
    <w:rsid w:val="009646C4"/>
    <w:rsid w:val="009668BB"/>
    <w:rsid w:val="009734CE"/>
    <w:rsid w:val="00974CB0"/>
    <w:rsid w:val="00975085"/>
    <w:rsid w:val="0098460C"/>
    <w:rsid w:val="0099413E"/>
    <w:rsid w:val="00996E1A"/>
    <w:rsid w:val="009B1E02"/>
    <w:rsid w:val="009B4392"/>
    <w:rsid w:val="009B7D09"/>
    <w:rsid w:val="009C0784"/>
    <w:rsid w:val="009D24DA"/>
    <w:rsid w:val="009D5D75"/>
    <w:rsid w:val="009E0C0B"/>
    <w:rsid w:val="009E572D"/>
    <w:rsid w:val="009F32A2"/>
    <w:rsid w:val="009F54CE"/>
    <w:rsid w:val="009F70FE"/>
    <w:rsid w:val="00A0600B"/>
    <w:rsid w:val="00A06264"/>
    <w:rsid w:val="00A1639A"/>
    <w:rsid w:val="00A215C9"/>
    <w:rsid w:val="00A25474"/>
    <w:rsid w:val="00A5364B"/>
    <w:rsid w:val="00A615E0"/>
    <w:rsid w:val="00A65E2B"/>
    <w:rsid w:val="00A70878"/>
    <w:rsid w:val="00A73C12"/>
    <w:rsid w:val="00A74AA0"/>
    <w:rsid w:val="00A7546D"/>
    <w:rsid w:val="00A7613D"/>
    <w:rsid w:val="00A77100"/>
    <w:rsid w:val="00A81626"/>
    <w:rsid w:val="00A848FC"/>
    <w:rsid w:val="00A975B1"/>
    <w:rsid w:val="00AA4D97"/>
    <w:rsid w:val="00AB424B"/>
    <w:rsid w:val="00AD17B7"/>
    <w:rsid w:val="00AF08D2"/>
    <w:rsid w:val="00B01A1B"/>
    <w:rsid w:val="00B02242"/>
    <w:rsid w:val="00B069C5"/>
    <w:rsid w:val="00B06D1B"/>
    <w:rsid w:val="00B077D5"/>
    <w:rsid w:val="00B16A78"/>
    <w:rsid w:val="00B200E4"/>
    <w:rsid w:val="00B26FFD"/>
    <w:rsid w:val="00B31E12"/>
    <w:rsid w:val="00B31F77"/>
    <w:rsid w:val="00B35B6D"/>
    <w:rsid w:val="00B35DC6"/>
    <w:rsid w:val="00B51699"/>
    <w:rsid w:val="00B53FAF"/>
    <w:rsid w:val="00B55D98"/>
    <w:rsid w:val="00B63153"/>
    <w:rsid w:val="00B6527D"/>
    <w:rsid w:val="00B73B3A"/>
    <w:rsid w:val="00B74507"/>
    <w:rsid w:val="00B75718"/>
    <w:rsid w:val="00B75E7E"/>
    <w:rsid w:val="00B81257"/>
    <w:rsid w:val="00B9324B"/>
    <w:rsid w:val="00B93817"/>
    <w:rsid w:val="00B9391B"/>
    <w:rsid w:val="00B9682D"/>
    <w:rsid w:val="00BA0B96"/>
    <w:rsid w:val="00BA52C9"/>
    <w:rsid w:val="00BB15DA"/>
    <w:rsid w:val="00BB340D"/>
    <w:rsid w:val="00BB6626"/>
    <w:rsid w:val="00BC2A3A"/>
    <w:rsid w:val="00BC64EC"/>
    <w:rsid w:val="00BC7971"/>
    <w:rsid w:val="00BC7BF3"/>
    <w:rsid w:val="00BD073D"/>
    <w:rsid w:val="00BD6001"/>
    <w:rsid w:val="00BD75E0"/>
    <w:rsid w:val="00BE10CC"/>
    <w:rsid w:val="00BE4198"/>
    <w:rsid w:val="00BF029A"/>
    <w:rsid w:val="00BF3AFD"/>
    <w:rsid w:val="00C1606C"/>
    <w:rsid w:val="00C16E16"/>
    <w:rsid w:val="00C23180"/>
    <w:rsid w:val="00C26F94"/>
    <w:rsid w:val="00C41492"/>
    <w:rsid w:val="00C502EC"/>
    <w:rsid w:val="00C50874"/>
    <w:rsid w:val="00C702B5"/>
    <w:rsid w:val="00C70389"/>
    <w:rsid w:val="00C904B6"/>
    <w:rsid w:val="00C90A75"/>
    <w:rsid w:val="00C96DF4"/>
    <w:rsid w:val="00CA0F2C"/>
    <w:rsid w:val="00CA6A66"/>
    <w:rsid w:val="00CC1337"/>
    <w:rsid w:val="00CC2514"/>
    <w:rsid w:val="00CC48DF"/>
    <w:rsid w:val="00CC6FB9"/>
    <w:rsid w:val="00CD4A91"/>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D0004A"/>
    <w:rsid w:val="00D04BA2"/>
    <w:rsid w:val="00D077B0"/>
    <w:rsid w:val="00D157A0"/>
    <w:rsid w:val="00D22D42"/>
    <w:rsid w:val="00D24AF1"/>
    <w:rsid w:val="00D31447"/>
    <w:rsid w:val="00D35A6D"/>
    <w:rsid w:val="00D36D8D"/>
    <w:rsid w:val="00D45711"/>
    <w:rsid w:val="00D47190"/>
    <w:rsid w:val="00D500FC"/>
    <w:rsid w:val="00D50EC4"/>
    <w:rsid w:val="00D51597"/>
    <w:rsid w:val="00D5326E"/>
    <w:rsid w:val="00D55867"/>
    <w:rsid w:val="00D57410"/>
    <w:rsid w:val="00D634A3"/>
    <w:rsid w:val="00D72339"/>
    <w:rsid w:val="00D73E47"/>
    <w:rsid w:val="00D74ABB"/>
    <w:rsid w:val="00D83CB7"/>
    <w:rsid w:val="00D976B3"/>
    <w:rsid w:val="00D97FA8"/>
    <w:rsid w:val="00DB4363"/>
    <w:rsid w:val="00DB66BD"/>
    <w:rsid w:val="00DC7B25"/>
    <w:rsid w:val="00DD340F"/>
    <w:rsid w:val="00DD39EA"/>
    <w:rsid w:val="00DD6B73"/>
    <w:rsid w:val="00DE23F8"/>
    <w:rsid w:val="00DE7CC2"/>
    <w:rsid w:val="00E007DD"/>
    <w:rsid w:val="00E04392"/>
    <w:rsid w:val="00E05CF6"/>
    <w:rsid w:val="00E112C9"/>
    <w:rsid w:val="00E1314C"/>
    <w:rsid w:val="00E158F7"/>
    <w:rsid w:val="00E16ABE"/>
    <w:rsid w:val="00E2087E"/>
    <w:rsid w:val="00E2356E"/>
    <w:rsid w:val="00E2636D"/>
    <w:rsid w:val="00E34976"/>
    <w:rsid w:val="00E36818"/>
    <w:rsid w:val="00E47B97"/>
    <w:rsid w:val="00E5203C"/>
    <w:rsid w:val="00E634CC"/>
    <w:rsid w:val="00E81727"/>
    <w:rsid w:val="00E82F0E"/>
    <w:rsid w:val="00E90673"/>
    <w:rsid w:val="00E95F89"/>
    <w:rsid w:val="00E96FAC"/>
    <w:rsid w:val="00EA0382"/>
    <w:rsid w:val="00EA129F"/>
    <w:rsid w:val="00EB7A31"/>
    <w:rsid w:val="00EC08DC"/>
    <w:rsid w:val="00ED0582"/>
    <w:rsid w:val="00ED1262"/>
    <w:rsid w:val="00ED7374"/>
    <w:rsid w:val="00EE31F6"/>
    <w:rsid w:val="00EE36DC"/>
    <w:rsid w:val="00EE6896"/>
    <w:rsid w:val="00EF06B5"/>
    <w:rsid w:val="00F044EE"/>
    <w:rsid w:val="00F20069"/>
    <w:rsid w:val="00F21201"/>
    <w:rsid w:val="00F2414C"/>
    <w:rsid w:val="00F3320B"/>
    <w:rsid w:val="00F40E92"/>
    <w:rsid w:val="00F41947"/>
    <w:rsid w:val="00F435AA"/>
    <w:rsid w:val="00F45370"/>
    <w:rsid w:val="00F511B7"/>
    <w:rsid w:val="00F60A04"/>
    <w:rsid w:val="00F63C5D"/>
    <w:rsid w:val="00F72E52"/>
    <w:rsid w:val="00F76C6A"/>
    <w:rsid w:val="00F83BF1"/>
    <w:rsid w:val="00F90CB9"/>
    <w:rsid w:val="00F91D23"/>
    <w:rsid w:val="00F91DD8"/>
    <w:rsid w:val="00F97373"/>
    <w:rsid w:val="00FA0254"/>
    <w:rsid w:val="00FA59F1"/>
    <w:rsid w:val="00FA6854"/>
    <w:rsid w:val="00FB064F"/>
    <w:rsid w:val="00FB0F6B"/>
    <w:rsid w:val="00FB144F"/>
    <w:rsid w:val="00FB159A"/>
    <w:rsid w:val="00FB4D77"/>
    <w:rsid w:val="00FC40F0"/>
    <w:rsid w:val="00FC497D"/>
    <w:rsid w:val="00FD076B"/>
    <w:rsid w:val="00FD39DE"/>
    <w:rsid w:val="00FE4B61"/>
    <w:rsid w:val="00FF3782"/>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1"/>
    <o:shapelayout v:ext="edit">
      <o:idmap v:ext="edit" data="1"/>
    </o:shapelayout>
  </w:shapeDefaults>
  <w:decimalSymbol w:val=","/>
  <w:listSeparator w:val=";"/>
  <w14:docId w14:val="5CF9775E"/>
  <w15:docId w15:val="{42C1A1D1-9BB6-4C62-A4E2-63B31A0B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de/marktbericht/gewerbe/hamburg-investment/" TargetMode="External"/><Relationship Id="rId14" Type="http://schemas.openxmlformats.org/officeDocument/2006/relationships/hyperlink" Target="file:///\\file01\Marketing\Presse\Vorlagen\BFR\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29F8-8A94-45B5-81D8-E64EB301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Corinna Fühner</cp:lastModifiedBy>
  <cp:revision>51</cp:revision>
  <cp:lastPrinted>2020-01-08T13:10:00Z</cp:lastPrinted>
  <dcterms:created xsi:type="dcterms:W3CDTF">2020-03-30T13:57:00Z</dcterms:created>
  <dcterms:modified xsi:type="dcterms:W3CDTF">2020-04-01T14:24:00Z</dcterms:modified>
</cp:coreProperties>
</file>