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034" w14:textId="47107A29" w:rsidR="000D48D4" w:rsidRDefault="00D157A0" w:rsidP="00365AF8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>Hamburg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1.-4</w:t>
      </w:r>
      <w:r w:rsidR="00B9324B" w:rsidRPr="00B9324B">
        <w:rPr>
          <w:rFonts w:ascii="Arial" w:hAnsi="Arial" w:cs="Arial"/>
          <w:b/>
        </w:rPr>
        <w:t>. Quartal 2019</w:t>
      </w:r>
      <w:r w:rsidR="0054412E">
        <w:rPr>
          <w:rFonts w:ascii="Arial" w:hAnsi="Arial" w:cs="Arial"/>
          <w:b/>
        </w:rPr>
        <w:br/>
      </w:r>
      <w:r w:rsidR="009050B3">
        <w:rPr>
          <w:rFonts w:ascii="Arial" w:hAnsi="Arial" w:cs="Arial"/>
          <w:b/>
        </w:rPr>
        <w:t xml:space="preserve">Portfolio-Deals </w:t>
      </w:r>
      <w:r w:rsidR="00445DF9">
        <w:rPr>
          <w:rFonts w:ascii="Arial" w:hAnsi="Arial" w:cs="Arial"/>
          <w:b/>
        </w:rPr>
        <w:t>halten Hamburg</w:t>
      </w:r>
      <w:r w:rsidR="00347A18">
        <w:rPr>
          <w:rFonts w:ascii="Arial" w:hAnsi="Arial" w:cs="Arial"/>
          <w:b/>
        </w:rPr>
        <w:t>s</w:t>
      </w:r>
      <w:r w:rsidR="00445DF9">
        <w:rPr>
          <w:rFonts w:ascii="Arial" w:hAnsi="Arial" w:cs="Arial"/>
          <w:b/>
        </w:rPr>
        <w:t xml:space="preserve"> Investmentmarkt über Wasser 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5FE212BF" w14:textId="4CA3EF94" w:rsidR="000A5ED1" w:rsidRDefault="00E90673" w:rsidP="00906F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47A18">
        <w:rPr>
          <w:rFonts w:ascii="Arial" w:hAnsi="Arial" w:cs="Arial"/>
          <w:b/>
          <w:sz w:val="20"/>
          <w:szCs w:val="20"/>
        </w:rPr>
        <w:t xml:space="preserve">Hamburg, </w:t>
      </w:r>
      <w:r w:rsidR="009F70FE">
        <w:rPr>
          <w:rFonts w:ascii="Arial" w:hAnsi="Arial" w:cs="Arial"/>
          <w:b/>
          <w:sz w:val="20"/>
          <w:szCs w:val="20"/>
        </w:rPr>
        <w:t>7</w:t>
      </w:r>
      <w:r w:rsidR="00D157A0" w:rsidRPr="00347A18">
        <w:rPr>
          <w:rFonts w:ascii="Arial" w:hAnsi="Arial" w:cs="Arial"/>
          <w:b/>
          <w:sz w:val="20"/>
          <w:szCs w:val="20"/>
        </w:rPr>
        <w:t xml:space="preserve">. </w:t>
      </w:r>
      <w:r w:rsidR="009F70FE">
        <w:rPr>
          <w:rFonts w:ascii="Arial" w:hAnsi="Arial" w:cs="Arial"/>
          <w:b/>
          <w:sz w:val="20"/>
          <w:szCs w:val="20"/>
        </w:rPr>
        <w:t>Januar</w:t>
      </w:r>
      <w:r w:rsidR="00132522" w:rsidRPr="00347A18">
        <w:rPr>
          <w:rFonts w:ascii="Arial" w:hAnsi="Arial" w:cs="Arial"/>
          <w:b/>
          <w:sz w:val="20"/>
          <w:szCs w:val="20"/>
        </w:rPr>
        <w:t xml:space="preserve"> </w:t>
      </w:r>
      <w:r w:rsidR="00D157A0" w:rsidRPr="00347A18">
        <w:rPr>
          <w:rFonts w:ascii="Arial" w:hAnsi="Arial" w:cs="Arial"/>
          <w:b/>
          <w:sz w:val="20"/>
          <w:szCs w:val="20"/>
        </w:rPr>
        <w:t>20</w:t>
      </w:r>
      <w:r w:rsidR="009F70FE">
        <w:rPr>
          <w:rFonts w:ascii="Arial" w:hAnsi="Arial" w:cs="Arial"/>
          <w:b/>
          <w:sz w:val="20"/>
          <w:szCs w:val="20"/>
        </w:rPr>
        <w:t>20</w:t>
      </w:r>
      <w:r w:rsidR="00D157A0" w:rsidRPr="00347A18">
        <w:rPr>
          <w:rFonts w:ascii="Arial" w:hAnsi="Arial" w:cs="Arial"/>
          <w:b/>
          <w:sz w:val="20"/>
          <w:szCs w:val="20"/>
        </w:rPr>
        <w:t xml:space="preserve"> </w:t>
      </w:r>
      <w:r w:rsidR="00D157A0" w:rsidRPr="00347A18">
        <w:rPr>
          <w:rFonts w:ascii="Arial" w:hAnsi="Arial" w:cs="Arial"/>
          <w:sz w:val="20"/>
          <w:szCs w:val="20"/>
        </w:rPr>
        <w:t>–</w:t>
      </w:r>
      <w:r w:rsidR="00797E4F" w:rsidRPr="00347A18">
        <w:rPr>
          <w:rFonts w:ascii="Arial" w:hAnsi="Arial" w:cs="Arial"/>
          <w:b/>
          <w:sz w:val="20"/>
          <w:szCs w:val="20"/>
        </w:rPr>
        <w:t xml:space="preserve"> </w:t>
      </w:r>
      <w:r w:rsidR="009050B3" w:rsidRPr="00347A18">
        <w:rPr>
          <w:rFonts w:ascii="Arial" w:hAnsi="Arial" w:cs="Arial"/>
          <w:sz w:val="20"/>
          <w:szCs w:val="20"/>
        </w:rPr>
        <w:t xml:space="preserve">So träge </w:t>
      </w:r>
      <w:r w:rsidR="007C26B6" w:rsidRPr="00347A18">
        <w:rPr>
          <w:rFonts w:ascii="Arial" w:hAnsi="Arial" w:cs="Arial"/>
          <w:sz w:val="20"/>
          <w:szCs w:val="20"/>
        </w:rPr>
        <w:t xml:space="preserve">die </w:t>
      </w:r>
      <w:r w:rsidR="00B55D98">
        <w:rPr>
          <w:rFonts w:ascii="Arial" w:hAnsi="Arial" w:cs="Arial"/>
          <w:sz w:val="20"/>
          <w:szCs w:val="20"/>
        </w:rPr>
        <w:t>1.</w:t>
      </w:r>
      <w:r w:rsidR="00B55D98" w:rsidRPr="00347A18">
        <w:rPr>
          <w:rFonts w:ascii="Arial" w:hAnsi="Arial" w:cs="Arial"/>
          <w:sz w:val="20"/>
          <w:szCs w:val="20"/>
        </w:rPr>
        <w:t xml:space="preserve"> </w:t>
      </w:r>
      <w:r w:rsidR="007C26B6" w:rsidRPr="00347A18">
        <w:rPr>
          <w:rFonts w:ascii="Arial" w:hAnsi="Arial" w:cs="Arial"/>
          <w:sz w:val="20"/>
          <w:szCs w:val="20"/>
        </w:rPr>
        <w:t>Jahreshälfte</w:t>
      </w:r>
      <w:r w:rsidR="009050B3" w:rsidRPr="00347A18">
        <w:rPr>
          <w:rFonts w:ascii="Arial" w:hAnsi="Arial" w:cs="Arial"/>
          <w:sz w:val="20"/>
          <w:szCs w:val="20"/>
        </w:rPr>
        <w:t xml:space="preserve"> 2019 </w:t>
      </w:r>
      <w:r w:rsidR="00B55D98">
        <w:rPr>
          <w:rFonts w:ascii="Arial" w:hAnsi="Arial" w:cs="Arial"/>
          <w:sz w:val="20"/>
          <w:szCs w:val="20"/>
        </w:rPr>
        <w:t>auf dem</w:t>
      </w:r>
      <w:r w:rsidR="009050B3" w:rsidRPr="00347A18">
        <w:rPr>
          <w:rFonts w:ascii="Arial" w:hAnsi="Arial" w:cs="Arial"/>
          <w:sz w:val="20"/>
          <w:szCs w:val="20"/>
        </w:rPr>
        <w:t xml:space="preserve"> Investmentmarkt für gewerbliche Immobilien in Hamburg </w:t>
      </w:r>
      <w:r w:rsidR="003E27B4">
        <w:rPr>
          <w:rFonts w:ascii="Arial" w:hAnsi="Arial" w:cs="Arial"/>
          <w:sz w:val="20"/>
          <w:szCs w:val="20"/>
        </w:rPr>
        <w:t>war</w:t>
      </w:r>
      <w:r w:rsidR="009050B3" w:rsidRPr="00347A18">
        <w:rPr>
          <w:rFonts w:ascii="Arial" w:hAnsi="Arial" w:cs="Arial"/>
          <w:sz w:val="20"/>
          <w:szCs w:val="20"/>
        </w:rPr>
        <w:t xml:space="preserve">, so dynamisch </w:t>
      </w:r>
      <w:r w:rsidR="007C26B6" w:rsidRPr="00347A18">
        <w:rPr>
          <w:rFonts w:ascii="Arial" w:hAnsi="Arial" w:cs="Arial"/>
          <w:sz w:val="20"/>
          <w:szCs w:val="20"/>
        </w:rPr>
        <w:t>verlief die zweite</w:t>
      </w:r>
      <w:r w:rsidR="009050B3" w:rsidRPr="00347A18">
        <w:rPr>
          <w:rFonts w:ascii="Arial" w:hAnsi="Arial" w:cs="Arial"/>
          <w:sz w:val="20"/>
          <w:szCs w:val="20"/>
        </w:rPr>
        <w:t>. Mit einem Jahresergebnis von rund 4,3 Mrd</w:t>
      </w:r>
      <w:r w:rsidR="00B55D98">
        <w:rPr>
          <w:rFonts w:ascii="Arial" w:hAnsi="Arial" w:cs="Arial"/>
          <w:sz w:val="20"/>
          <w:szCs w:val="20"/>
        </w:rPr>
        <w:t>.</w:t>
      </w:r>
      <w:r w:rsidR="009050B3" w:rsidRPr="00347A18">
        <w:rPr>
          <w:rFonts w:ascii="Arial" w:hAnsi="Arial" w:cs="Arial"/>
          <w:sz w:val="20"/>
          <w:szCs w:val="20"/>
        </w:rPr>
        <w:t xml:space="preserve"> € bei etwa </w:t>
      </w:r>
      <w:r w:rsidR="00347A18" w:rsidRPr="00347A18">
        <w:rPr>
          <w:rFonts w:ascii="Arial" w:hAnsi="Arial" w:cs="Arial"/>
          <w:sz w:val="20"/>
          <w:szCs w:val="20"/>
        </w:rPr>
        <w:t>120</w:t>
      </w:r>
      <w:r w:rsidR="009050B3" w:rsidRPr="00347A18">
        <w:rPr>
          <w:rFonts w:ascii="Arial" w:hAnsi="Arial" w:cs="Arial"/>
          <w:sz w:val="20"/>
          <w:szCs w:val="20"/>
        </w:rPr>
        <w:t xml:space="preserve"> Transaktionen verfehlte der Investmentmarkt das Vorjahresergebnis </w:t>
      </w:r>
      <w:r w:rsidR="00B81257" w:rsidRPr="00347A18">
        <w:rPr>
          <w:rFonts w:ascii="Arial" w:hAnsi="Arial" w:cs="Arial"/>
          <w:sz w:val="20"/>
          <w:szCs w:val="20"/>
        </w:rPr>
        <w:t>zwar</w:t>
      </w:r>
      <w:r w:rsidR="00CF2E86" w:rsidRPr="00347A18">
        <w:rPr>
          <w:rFonts w:ascii="Arial" w:hAnsi="Arial" w:cs="Arial"/>
          <w:sz w:val="20"/>
          <w:szCs w:val="20"/>
        </w:rPr>
        <w:t xml:space="preserve"> deutlich </w:t>
      </w:r>
      <w:r w:rsidR="009050B3" w:rsidRPr="00347A18">
        <w:rPr>
          <w:rFonts w:ascii="Arial" w:hAnsi="Arial" w:cs="Arial"/>
          <w:sz w:val="20"/>
          <w:szCs w:val="20"/>
        </w:rPr>
        <w:t xml:space="preserve">um </w:t>
      </w:r>
      <w:r w:rsidR="00A70878" w:rsidRPr="00347A18">
        <w:rPr>
          <w:rFonts w:ascii="Arial" w:hAnsi="Arial" w:cs="Arial"/>
          <w:sz w:val="20"/>
          <w:szCs w:val="20"/>
        </w:rPr>
        <w:t>27</w:t>
      </w:r>
      <w:r w:rsidR="00CF2E86" w:rsidRPr="00347A18">
        <w:rPr>
          <w:rFonts w:ascii="Arial" w:hAnsi="Arial" w:cs="Arial"/>
          <w:sz w:val="20"/>
          <w:szCs w:val="20"/>
        </w:rPr>
        <w:t> %</w:t>
      </w:r>
      <w:r w:rsidR="00B81257" w:rsidRPr="00347A18">
        <w:rPr>
          <w:rFonts w:ascii="Arial" w:hAnsi="Arial" w:cs="Arial"/>
          <w:sz w:val="20"/>
          <w:szCs w:val="20"/>
        </w:rPr>
        <w:t xml:space="preserve">, </w:t>
      </w:r>
      <w:r w:rsidR="007C26B6" w:rsidRPr="00347A18">
        <w:rPr>
          <w:rFonts w:ascii="Arial" w:hAnsi="Arial" w:cs="Arial"/>
          <w:sz w:val="20"/>
          <w:szCs w:val="20"/>
        </w:rPr>
        <w:t>das</w:t>
      </w:r>
      <w:r w:rsidR="00B81257" w:rsidRPr="00347A18">
        <w:rPr>
          <w:rFonts w:ascii="Arial" w:hAnsi="Arial" w:cs="Arial"/>
          <w:sz w:val="20"/>
          <w:szCs w:val="20"/>
        </w:rPr>
        <w:t xml:space="preserve"> </w:t>
      </w:r>
      <w:r w:rsidR="00B55D98">
        <w:rPr>
          <w:rFonts w:ascii="Arial" w:hAnsi="Arial" w:cs="Arial"/>
          <w:sz w:val="20"/>
          <w:szCs w:val="20"/>
        </w:rPr>
        <w:t>2.</w:t>
      </w:r>
      <w:r w:rsidR="00B55D98" w:rsidRPr="00347A18">
        <w:rPr>
          <w:rFonts w:ascii="Arial" w:hAnsi="Arial" w:cs="Arial"/>
          <w:sz w:val="20"/>
          <w:szCs w:val="20"/>
        </w:rPr>
        <w:t xml:space="preserve"> </w:t>
      </w:r>
      <w:r w:rsidR="00B81257" w:rsidRPr="00347A18">
        <w:rPr>
          <w:rFonts w:ascii="Arial" w:hAnsi="Arial" w:cs="Arial"/>
          <w:sz w:val="20"/>
          <w:szCs w:val="20"/>
        </w:rPr>
        <w:t>Halbjahr</w:t>
      </w:r>
      <w:r w:rsidR="00CC6FB9">
        <w:rPr>
          <w:rFonts w:ascii="Arial" w:hAnsi="Arial" w:cs="Arial"/>
          <w:sz w:val="20"/>
          <w:szCs w:val="20"/>
        </w:rPr>
        <w:t xml:space="preserve"> lag</w:t>
      </w:r>
      <w:r w:rsidR="007C26B6" w:rsidRPr="00347A18">
        <w:rPr>
          <w:rFonts w:ascii="Arial" w:hAnsi="Arial" w:cs="Arial"/>
          <w:sz w:val="20"/>
          <w:szCs w:val="20"/>
        </w:rPr>
        <w:t xml:space="preserve"> mit einem Volumen von </w:t>
      </w:r>
      <w:r w:rsidR="003E27B4">
        <w:rPr>
          <w:rFonts w:ascii="Arial" w:hAnsi="Arial" w:cs="Arial"/>
          <w:sz w:val="20"/>
          <w:szCs w:val="20"/>
        </w:rPr>
        <w:t xml:space="preserve">rund </w:t>
      </w:r>
      <w:r w:rsidR="007C26B6" w:rsidRPr="00347A18">
        <w:rPr>
          <w:rFonts w:ascii="Arial" w:hAnsi="Arial" w:cs="Arial"/>
          <w:sz w:val="20"/>
          <w:szCs w:val="20"/>
        </w:rPr>
        <w:t>3,</w:t>
      </w:r>
      <w:r w:rsidR="00347A18" w:rsidRPr="00347A18">
        <w:rPr>
          <w:rFonts w:ascii="Arial" w:hAnsi="Arial" w:cs="Arial"/>
          <w:sz w:val="20"/>
          <w:szCs w:val="20"/>
        </w:rPr>
        <w:t>2</w:t>
      </w:r>
      <w:r w:rsidR="007C26B6" w:rsidRPr="00347A18">
        <w:rPr>
          <w:rFonts w:ascii="Arial" w:hAnsi="Arial" w:cs="Arial"/>
          <w:sz w:val="20"/>
          <w:szCs w:val="20"/>
        </w:rPr>
        <w:t xml:space="preserve"> Mrd. € </w:t>
      </w:r>
      <w:r w:rsidR="003E27B4">
        <w:rPr>
          <w:rFonts w:ascii="Arial" w:hAnsi="Arial" w:cs="Arial"/>
          <w:sz w:val="20"/>
          <w:szCs w:val="20"/>
        </w:rPr>
        <w:t xml:space="preserve">allerdings </w:t>
      </w:r>
      <w:r w:rsidR="00CC6FB9">
        <w:rPr>
          <w:rFonts w:ascii="Arial" w:hAnsi="Arial" w:cs="Arial"/>
          <w:sz w:val="20"/>
          <w:szCs w:val="20"/>
        </w:rPr>
        <w:t xml:space="preserve">nur knapp </w:t>
      </w:r>
      <w:r w:rsidR="00B55D98">
        <w:rPr>
          <w:rFonts w:ascii="Arial" w:hAnsi="Arial" w:cs="Arial"/>
          <w:sz w:val="20"/>
          <w:szCs w:val="20"/>
        </w:rPr>
        <w:t>unter</w:t>
      </w:r>
      <w:r w:rsidR="00CC6FB9">
        <w:rPr>
          <w:rFonts w:ascii="Arial" w:hAnsi="Arial" w:cs="Arial"/>
          <w:sz w:val="20"/>
          <w:szCs w:val="20"/>
        </w:rPr>
        <w:t xml:space="preserve"> dem Höchstwert aus </w:t>
      </w:r>
      <w:r w:rsidR="004F78B4">
        <w:rPr>
          <w:rFonts w:ascii="Arial" w:hAnsi="Arial" w:cs="Arial"/>
          <w:sz w:val="20"/>
          <w:szCs w:val="20"/>
        </w:rPr>
        <w:t>dem Vorjahreszeitraum</w:t>
      </w:r>
      <w:r w:rsidR="007C26B6" w:rsidRPr="00347A18">
        <w:rPr>
          <w:rFonts w:ascii="Arial" w:hAnsi="Arial" w:cs="Arial"/>
          <w:sz w:val="20"/>
          <w:szCs w:val="20"/>
        </w:rPr>
        <w:t xml:space="preserve">. </w:t>
      </w:r>
      <w:r w:rsidR="009050B3" w:rsidRPr="00347A18">
        <w:rPr>
          <w:rFonts w:ascii="Arial" w:hAnsi="Arial" w:cs="Arial"/>
          <w:i/>
          <w:sz w:val="20"/>
          <w:szCs w:val="20"/>
        </w:rPr>
        <w:t>„Das vorangegangene Rekordjahr</w:t>
      </w:r>
      <w:r w:rsidR="00B55D98">
        <w:rPr>
          <w:rFonts w:ascii="Arial" w:hAnsi="Arial" w:cs="Arial"/>
          <w:i/>
          <w:sz w:val="20"/>
          <w:szCs w:val="20"/>
        </w:rPr>
        <w:t xml:space="preserve"> </w:t>
      </w:r>
      <w:r w:rsidR="009050B3" w:rsidRPr="00347A18">
        <w:rPr>
          <w:rFonts w:ascii="Arial" w:hAnsi="Arial" w:cs="Arial"/>
          <w:i/>
          <w:sz w:val="20"/>
          <w:szCs w:val="20"/>
        </w:rPr>
        <w:t xml:space="preserve">hinterließ 2019 einen ausgetrockneten Investmentmarkt. Erst </w:t>
      </w:r>
      <w:r w:rsidR="00B55D98">
        <w:rPr>
          <w:rFonts w:ascii="Arial" w:hAnsi="Arial" w:cs="Arial"/>
          <w:i/>
          <w:sz w:val="20"/>
          <w:szCs w:val="20"/>
        </w:rPr>
        <w:t>ab Juli</w:t>
      </w:r>
      <w:r w:rsidR="009050B3" w:rsidRPr="00347A18">
        <w:rPr>
          <w:rFonts w:ascii="Arial" w:hAnsi="Arial" w:cs="Arial"/>
          <w:i/>
          <w:sz w:val="20"/>
          <w:szCs w:val="20"/>
        </w:rPr>
        <w:t xml:space="preserve"> gewann der Markt </w:t>
      </w:r>
      <w:r w:rsidR="003E27B4">
        <w:rPr>
          <w:rFonts w:ascii="Arial" w:hAnsi="Arial" w:cs="Arial"/>
          <w:i/>
          <w:sz w:val="20"/>
          <w:szCs w:val="20"/>
        </w:rPr>
        <w:t>d</w:t>
      </w:r>
      <w:r w:rsidR="00CF2E86" w:rsidRPr="00347A18">
        <w:rPr>
          <w:rFonts w:ascii="Arial" w:hAnsi="Arial" w:cs="Arial"/>
          <w:i/>
          <w:sz w:val="20"/>
          <w:szCs w:val="20"/>
        </w:rPr>
        <w:t xml:space="preserve">ank mehrerer großvolumiger Portfolioverkäufe </w:t>
      </w:r>
      <w:r w:rsidR="009050B3" w:rsidRPr="00347A18">
        <w:rPr>
          <w:rFonts w:ascii="Arial" w:hAnsi="Arial" w:cs="Arial"/>
          <w:i/>
          <w:sz w:val="20"/>
          <w:szCs w:val="20"/>
        </w:rPr>
        <w:t>an Dynamik</w:t>
      </w:r>
      <w:r w:rsidR="003E27B4">
        <w:rPr>
          <w:rFonts w:ascii="Arial" w:hAnsi="Arial" w:cs="Arial"/>
          <w:i/>
          <w:sz w:val="20"/>
          <w:szCs w:val="20"/>
        </w:rPr>
        <w:t>. So endete</w:t>
      </w:r>
      <w:r w:rsidR="009050B3" w:rsidRPr="00347A18">
        <w:rPr>
          <w:rFonts w:ascii="Arial" w:hAnsi="Arial" w:cs="Arial"/>
          <w:i/>
          <w:sz w:val="20"/>
          <w:szCs w:val="20"/>
        </w:rPr>
        <w:t xml:space="preserve"> das Jahr nach einer </w:t>
      </w:r>
      <w:r w:rsidR="00CF2E86" w:rsidRPr="00347A18">
        <w:rPr>
          <w:rFonts w:ascii="Arial" w:hAnsi="Arial" w:cs="Arial"/>
          <w:i/>
          <w:sz w:val="20"/>
          <w:szCs w:val="20"/>
        </w:rPr>
        <w:t>starken</w:t>
      </w:r>
      <w:r w:rsidR="009050B3" w:rsidRPr="00347A18">
        <w:rPr>
          <w:rFonts w:ascii="Arial" w:hAnsi="Arial" w:cs="Arial"/>
          <w:i/>
          <w:sz w:val="20"/>
          <w:szCs w:val="20"/>
        </w:rPr>
        <w:t xml:space="preserve"> Aufholjagd mit einem ordentlichen Ergebnis</w:t>
      </w:r>
      <w:r w:rsidR="003E27B4">
        <w:rPr>
          <w:rFonts w:ascii="Arial" w:hAnsi="Arial" w:cs="Arial"/>
          <w:i/>
          <w:sz w:val="20"/>
          <w:szCs w:val="20"/>
        </w:rPr>
        <w:t>“</w:t>
      </w:r>
      <w:r w:rsidR="00046FEC" w:rsidRPr="00347A18">
        <w:rPr>
          <w:rFonts w:ascii="Arial" w:hAnsi="Arial" w:cs="Arial"/>
          <w:i/>
          <w:sz w:val="20"/>
          <w:szCs w:val="20"/>
        </w:rPr>
        <w:t xml:space="preserve">, </w:t>
      </w:r>
      <w:r w:rsidR="00D157A0" w:rsidRPr="00347A18">
        <w:rPr>
          <w:rFonts w:ascii="Arial" w:hAnsi="Arial" w:cs="Arial"/>
          <w:sz w:val="20"/>
          <w:szCs w:val="20"/>
        </w:rPr>
        <w:t xml:space="preserve">erläutert </w:t>
      </w:r>
      <w:r w:rsidR="00D157A0" w:rsidRPr="00347A18">
        <w:rPr>
          <w:rFonts w:ascii="Arial" w:hAnsi="Arial" w:cs="Arial"/>
          <w:b/>
          <w:sz w:val="20"/>
          <w:szCs w:val="20"/>
        </w:rPr>
        <w:t xml:space="preserve">Axel </w:t>
      </w:r>
      <w:proofErr w:type="spellStart"/>
      <w:r w:rsidR="00D157A0" w:rsidRPr="00347A18">
        <w:rPr>
          <w:rFonts w:ascii="Arial" w:hAnsi="Arial" w:cs="Arial"/>
          <w:b/>
          <w:sz w:val="20"/>
          <w:szCs w:val="20"/>
        </w:rPr>
        <w:t>Steinbrinker</w:t>
      </w:r>
      <w:proofErr w:type="spellEnd"/>
      <w:r w:rsidR="00D157A0" w:rsidRPr="00347A18">
        <w:rPr>
          <w:rFonts w:ascii="Arial" w:hAnsi="Arial" w:cs="Arial"/>
          <w:sz w:val="20"/>
          <w:szCs w:val="20"/>
        </w:rPr>
        <w:t>, Geschäftsführer von Grossmann &amp; Berger, Mitglied von German</w:t>
      </w:r>
      <w:r w:rsidR="005E43B3" w:rsidRPr="00347A18">
        <w:rPr>
          <w:rFonts w:ascii="Arial" w:hAnsi="Arial" w:cs="Arial"/>
          <w:sz w:val="20"/>
          <w:szCs w:val="20"/>
        </w:rPr>
        <w:t xml:space="preserve"> Property Partners (GPP). </w:t>
      </w:r>
      <w:r w:rsidR="00906FC5" w:rsidRPr="00347A18">
        <w:rPr>
          <w:rFonts w:ascii="Arial" w:hAnsi="Arial" w:cs="Arial"/>
          <w:sz w:val="20"/>
          <w:szCs w:val="20"/>
        </w:rPr>
        <w:t xml:space="preserve">Während die Fortsetzung der Nullzinsära für </w:t>
      </w:r>
      <w:r w:rsidR="00906FC5">
        <w:rPr>
          <w:rFonts w:ascii="Arial" w:hAnsi="Arial" w:cs="Arial"/>
          <w:sz w:val="20"/>
          <w:szCs w:val="20"/>
        </w:rPr>
        <w:t>eine anhaltend hohe Nachfrage nach</w:t>
      </w:r>
      <w:r w:rsidR="00906FC5" w:rsidRPr="00347A18">
        <w:rPr>
          <w:rFonts w:ascii="Arial" w:hAnsi="Arial" w:cs="Arial"/>
          <w:sz w:val="20"/>
          <w:szCs w:val="20"/>
        </w:rPr>
        <w:t xml:space="preserve"> </w:t>
      </w:r>
      <w:r w:rsidR="00274734">
        <w:rPr>
          <w:rFonts w:ascii="Arial" w:hAnsi="Arial" w:cs="Arial"/>
          <w:sz w:val="20"/>
          <w:szCs w:val="20"/>
        </w:rPr>
        <w:t>Anlage-</w:t>
      </w:r>
      <w:r w:rsidR="00906FC5" w:rsidRPr="00347A18">
        <w:rPr>
          <w:rFonts w:ascii="Arial" w:hAnsi="Arial" w:cs="Arial"/>
          <w:sz w:val="20"/>
          <w:szCs w:val="20"/>
        </w:rPr>
        <w:t>Immobilien in Hamburg sorgte, bremste das limitierte Angebot an großvolumigen Einzel</w:t>
      </w:r>
      <w:r w:rsidR="00B55D98">
        <w:rPr>
          <w:rFonts w:ascii="Arial" w:hAnsi="Arial" w:cs="Arial"/>
          <w:sz w:val="20"/>
          <w:szCs w:val="20"/>
        </w:rPr>
        <w:t>-O</w:t>
      </w:r>
      <w:r w:rsidR="00906FC5" w:rsidRPr="00347A18">
        <w:rPr>
          <w:rFonts w:ascii="Arial" w:hAnsi="Arial" w:cs="Arial"/>
          <w:sz w:val="20"/>
          <w:szCs w:val="20"/>
        </w:rPr>
        <w:t>bjekten das Ergebnis.</w:t>
      </w:r>
      <w:r w:rsidR="00906FC5">
        <w:rPr>
          <w:rFonts w:ascii="Arial" w:hAnsi="Arial" w:cs="Arial"/>
          <w:sz w:val="20"/>
          <w:szCs w:val="20"/>
        </w:rPr>
        <w:t xml:space="preserve"> </w:t>
      </w:r>
      <w:r w:rsidR="003E27B4">
        <w:rPr>
          <w:rFonts w:ascii="Arial" w:hAnsi="Arial" w:cs="Arial"/>
          <w:sz w:val="20"/>
          <w:szCs w:val="20"/>
        </w:rPr>
        <w:t>Insbesondere</w:t>
      </w:r>
      <w:r w:rsidR="00906FC5">
        <w:rPr>
          <w:rFonts w:ascii="Arial" w:hAnsi="Arial" w:cs="Arial"/>
          <w:sz w:val="20"/>
          <w:szCs w:val="20"/>
        </w:rPr>
        <w:t xml:space="preserve"> bei Core-Objekten </w:t>
      </w:r>
      <w:r w:rsidR="003E27B4">
        <w:rPr>
          <w:rFonts w:ascii="Arial" w:hAnsi="Arial" w:cs="Arial"/>
          <w:sz w:val="20"/>
          <w:szCs w:val="20"/>
        </w:rPr>
        <w:t>sank die Verkaufsbereitschaft</w:t>
      </w:r>
      <w:r w:rsidR="00906FC5">
        <w:rPr>
          <w:rFonts w:ascii="Arial" w:hAnsi="Arial" w:cs="Arial"/>
          <w:sz w:val="20"/>
          <w:szCs w:val="20"/>
        </w:rPr>
        <w:t xml:space="preserve">. </w:t>
      </w:r>
      <w:r w:rsidR="00906FC5" w:rsidRPr="00906FC5">
        <w:rPr>
          <w:rFonts w:ascii="Arial" w:hAnsi="Arial" w:cs="Arial"/>
          <w:i/>
          <w:sz w:val="20"/>
          <w:szCs w:val="20"/>
        </w:rPr>
        <w:t xml:space="preserve">„Zwar </w:t>
      </w:r>
      <w:r w:rsidR="00274734">
        <w:rPr>
          <w:rFonts w:ascii="Arial" w:hAnsi="Arial" w:cs="Arial"/>
          <w:i/>
          <w:sz w:val="20"/>
          <w:szCs w:val="20"/>
        </w:rPr>
        <w:t>blieb</w:t>
      </w:r>
      <w:r w:rsidR="00274734" w:rsidRPr="00906FC5">
        <w:rPr>
          <w:rFonts w:ascii="Arial" w:hAnsi="Arial" w:cs="Arial"/>
          <w:i/>
          <w:sz w:val="20"/>
          <w:szCs w:val="20"/>
        </w:rPr>
        <w:t xml:space="preserve"> </w:t>
      </w:r>
      <w:r w:rsidR="00906FC5" w:rsidRPr="00906FC5">
        <w:rPr>
          <w:rFonts w:ascii="Arial" w:hAnsi="Arial" w:cs="Arial"/>
          <w:i/>
          <w:sz w:val="20"/>
          <w:szCs w:val="20"/>
        </w:rPr>
        <w:t>der Immobilienrun in Hamburg enorm, die Zahl der Transaktionen mit Volumina über 100 Mi</w:t>
      </w:r>
      <w:r w:rsidR="00B55D98">
        <w:rPr>
          <w:rFonts w:ascii="Arial" w:hAnsi="Arial" w:cs="Arial"/>
          <w:i/>
          <w:sz w:val="20"/>
          <w:szCs w:val="20"/>
        </w:rPr>
        <w:t>llionen Euro</w:t>
      </w:r>
      <w:r w:rsidR="00906FC5" w:rsidRPr="00906FC5">
        <w:rPr>
          <w:rFonts w:ascii="Arial" w:hAnsi="Arial" w:cs="Arial"/>
          <w:i/>
          <w:sz w:val="20"/>
          <w:szCs w:val="20"/>
        </w:rPr>
        <w:t xml:space="preserve"> hat sich 2019 </w:t>
      </w:r>
      <w:r w:rsidR="00313876">
        <w:rPr>
          <w:rFonts w:ascii="Arial" w:hAnsi="Arial" w:cs="Arial"/>
          <w:i/>
          <w:sz w:val="20"/>
          <w:szCs w:val="20"/>
        </w:rPr>
        <w:t xml:space="preserve">im Vergleich zum Vorjahr </w:t>
      </w:r>
      <w:r w:rsidR="00B55D98" w:rsidRPr="00906FC5">
        <w:rPr>
          <w:rFonts w:ascii="Arial" w:hAnsi="Arial" w:cs="Arial"/>
          <w:i/>
          <w:sz w:val="20"/>
          <w:szCs w:val="20"/>
        </w:rPr>
        <w:t xml:space="preserve">dennoch </w:t>
      </w:r>
      <w:r w:rsidR="00906FC5" w:rsidRPr="00906FC5">
        <w:rPr>
          <w:rFonts w:ascii="Arial" w:hAnsi="Arial" w:cs="Arial"/>
          <w:i/>
          <w:sz w:val="20"/>
          <w:szCs w:val="20"/>
        </w:rPr>
        <w:t>fast halbiert“</w:t>
      </w:r>
      <w:r w:rsidR="00906FC5">
        <w:rPr>
          <w:rFonts w:ascii="Arial" w:hAnsi="Arial" w:cs="Arial"/>
          <w:sz w:val="20"/>
          <w:szCs w:val="20"/>
        </w:rPr>
        <w:t>, so</w:t>
      </w:r>
      <w:r w:rsidR="00906FC5" w:rsidRPr="00FB0F6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6FC5" w:rsidRPr="00347A18">
        <w:rPr>
          <w:rFonts w:ascii="Arial" w:hAnsi="Arial" w:cs="Arial"/>
          <w:b/>
          <w:sz w:val="20"/>
          <w:szCs w:val="20"/>
        </w:rPr>
        <w:t>Steinbrinker</w:t>
      </w:r>
      <w:proofErr w:type="spellEnd"/>
      <w:r w:rsidR="00906FC5">
        <w:rPr>
          <w:rFonts w:ascii="Arial" w:hAnsi="Arial" w:cs="Arial"/>
          <w:sz w:val="20"/>
          <w:szCs w:val="20"/>
        </w:rPr>
        <w:t xml:space="preserve"> weiter. </w:t>
      </w:r>
    </w:p>
    <w:p w14:paraId="2CE8AC6A" w14:textId="77777777" w:rsidR="00906FC5" w:rsidRPr="00D35A6D" w:rsidRDefault="00906FC5" w:rsidP="00906FC5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79CA357A" w14:textId="58F908D1" w:rsidR="000A5ED1" w:rsidRPr="00D35A6D" w:rsidRDefault="00365AF8" w:rsidP="00365AF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5DF551F7" w14:textId="5764EA94" w:rsidR="00F45370" w:rsidRPr="00D35A6D" w:rsidRDefault="000B0335" w:rsidP="00F45370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Portfolio-Transaktionen hatten mit </w:t>
      </w:r>
      <w:r w:rsidR="00117EF7">
        <w:rPr>
          <w:rFonts w:ascii="Arial" w:hAnsi="Arial" w:cs="Arial"/>
          <w:sz w:val="20"/>
          <w:szCs w:val="20"/>
        </w:rPr>
        <w:t xml:space="preserve">rund </w:t>
      </w:r>
      <w:r>
        <w:rPr>
          <w:rFonts w:ascii="Arial" w:hAnsi="Arial" w:cs="Arial"/>
          <w:sz w:val="20"/>
          <w:szCs w:val="20"/>
        </w:rPr>
        <w:t xml:space="preserve">1,8 Mrd. € einen </w:t>
      </w:r>
      <w:r w:rsidR="00117EF7">
        <w:rPr>
          <w:rFonts w:ascii="Arial" w:hAnsi="Arial" w:cs="Arial"/>
          <w:sz w:val="20"/>
          <w:szCs w:val="20"/>
        </w:rPr>
        <w:t xml:space="preserve">im Vergleich zum Vorjahr deutlich höheren </w:t>
      </w:r>
      <w:r>
        <w:rPr>
          <w:rFonts w:ascii="Arial" w:hAnsi="Arial" w:cs="Arial"/>
          <w:sz w:val="20"/>
          <w:szCs w:val="20"/>
        </w:rPr>
        <w:t>Anteil von rund 40 % am Transaktionsvolumen (2018: 27 %).</w:t>
      </w:r>
      <w:r w:rsidR="00F45370" w:rsidRPr="00D35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Dies ist u.a. auf </w:t>
      </w:r>
      <w:r w:rsidR="00274734" w:rsidRPr="00D35A6D">
        <w:rPr>
          <w:rFonts w:ascii="Arial" w:hAnsi="Arial" w:cs="Arial"/>
          <w:sz w:val="20"/>
          <w:szCs w:val="20"/>
        </w:rPr>
        <w:t>d</w:t>
      </w:r>
      <w:r w:rsidR="00274734">
        <w:rPr>
          <w:rFonts w:ascii="Arial" w:hAnsi="Arial" w:cs="Arial"/>
          <w:sz w:val="20"/>
          <w:szCs w:val="20"/>
        </w:rPr>
        <w:t>ie</w:t>
      </w:r>
      <w:r w:rsidR="00274734" w:rsidRPr="00D35A6D">
        <w:rPr>
          <w:rFonts w:ascii="Arial" w:hAnsi="Arial" w:cs="Arial"/>
          <w:sz w:val="20"/>
          <w:szCs w:val="20"/>
        </w:rPr>
        <w:t xml:space="preserve"> </w:t>
      </w:r>
      <w:r w:rsidR="00F45370" w:rsidRPr="00D35A6D">
        <w:rPr>
          <w:rFonts w:ascii="Arial" w:hAnsi="Arial" w:cs="Arial"/>
          <w:sz w:val="20"/>
          <w:szCs w:val="20"/>
        </w:rPr>
        <w:t xml:space="preserve">Verkäufe des Millennium-, des </w:t>
      </w:r>
      <w:proofErr w:type="spellStart"/>
      <w:r w:rsidR="00F45370" w:rsidRPr="00D35A6D">
        <w:rPr>
          <w:rFonts w:ascii="Arial" w:hAnsi="Arial" w:cs="Arial"/>
          <w:sz w:val="20"/>
          <w:szCs w:val="20"/>
        </w:rPr>
        <w:t>Dream</w:t>
      </w:r>
      <w:proofErr w:type="spellEnd"/>
      <w:r w:rsidR="00F45370" w:rsidRPr="00D35A6D">
        <w:rPr>
          <w:rFonts w:ascii="Arial" w:hAnsi="Arial" w:cs="Arial"/>
          <w:sz w:val="20"/>
          <w:szCs w:val="20"/>
        </w:rPr>
        <w:t>-Global- und des Omega-Portfolios</w:t>
      </w:r>
      <w:r>
        <w:rPr>
          <w:rFonts w:ascii="Arial" w:hAnsi="Arial" w:cs="Arial"/>
          <w:sz w:val="20"/>
          <w:szCs w:val="20"/>
        </w:rPr>
        <w:t xml:space="preserve"> zurückzuführen</w:t>
      </w:r>
      <w:r w:rsidR="0080214D" w:rsidRPr="00D35A6D">
        <w:rPr>
          <w:rFonts w:ascii="Arial" w:hAnsi="Arial" w:cs="Arial"/>
          <w:sz w:val="20"/>
          <w:szCs w:val="20"/>
        </w:rPr>
        <w:t>, die einige Objekte in Hamburg beinhalteten</w:t>
      </w:r>
      <w:r w:rsidR="00F45370" w:rsidRPr="00D35A6D">
        <w:rPr>
          <w:rFonts w:ascii="Arial" w:hAnsi="Arial" w:cs="Arial"/>
          <w:sz w:val="20"/>
          <w:szCs w:val="20"/>
        </w:rPr>
        <w:t xml:space="preserve">. </w:t>
      </w:r>
    </w:p>
    <w:p w14:paraId="16B50113" w14:textId="4162B0D6" w:rsidR="00D35A6D" w:rsidRPr="00D35A6D" w:rsidRDefault="00046FEC" w:rsidP="00D35A6D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D35A6D">
        <w:rPr>
          <w:rFonts w:ascii="Arial" w:hAnsi="Arial" w:cs="Arial"/>
          <w:sz w:val="20"/>
          <w:szCs w:val="20"/>
        </w:rPr>
        <w:t>Büro</w:t>
      </w:r>
      <w:r w:rsidR="003C1693" w:rsidRPr="00D35A6D">
        <w:rPr>
          <w:rFonts w:ascii="Arial" w:hAnsi="Arial" w:cs="Arial"/>
          <w:sz w:val="20"/>
          <w:szCs w:val="20"/>
        </w:rPr>
        <w:t>-I</w:t>
      </w:r>
      <w:r w:rsidRPr="00D35A6D">
        <w:rPr>
          <w:rFonts w:ascii="Arial" w:hAnsi="Arial" w:cs="Arial"/>
          <w:sz w:val="20"/>
          <w:szCs w:val="20"/>
        </w:rPr>
        <w:t xml:space="preserve">mmobilien </w:t>
      </w:r>
      <w:r w:rsidR="009B1E02">
        <w:rPr>
          <w:rFonts w:ascii="Arial" w:hAnsi="Arial" w:cs="Arial"/>
          <w:sz w:val="20"/>
          <w:szCs w:val="20"/>
        </w:rPr>
        <w:t>hielten</w:t>
      </w:r>
      <w:r w:rsidR="00274734">
        <w:rPr>
          <w:rFonts w:ascii="Arial" w:hAnsi="Arial" w:cs="Arial"/>
          <w:sz w:val="20"/>
          <w:szCs w:val="20"/>
        </w:rPr>
        <w:t xml:space="preserve"> sich </w:t>
      </w:r>
      <w:r w:rsidRPr="00D35A6D">
        <w:rPr>
          <w:rFonts w:ascii="Arial" w:hAnsi="Arial" w:cs="Arial"/>
          <w:sz w:val="20"/>
          <w:szCs w:val="20"/>
        </w:rPr>
        <w:t xml:space="preserve">mit einem Anteil von rund </w:t>
      </w:r>
      <w:r w:rsidR="00347A18" w:rsidRPr="00D35A6D">
        <w:rPr>
          <w:rFonts w:ascii="Arial" w:hAnsi="Arial" w:cs="Arial"/>
          <w:sz w:val="20"/>
          <w:szCs w:val="20"/>
        </w:rPr>
        <w:t>75</w:t>
      </w:r>
      <w:r w:rsidR="003C5218" w:rsidRPr="00D35A6D">
        <w:rPr>
          <w:rFonts w:ascii="Arial" w:hAnsi="Arial" w:cs="Arial"/>
          <w:sz w:val="20"/>
          <w:szCs w:val="20"/>
        </w:rPr>
        <w:t> </w:t>
      </w:r>
      <w:r w:rsidRPr="00D35A6D">
        <w:rPr>
          <w:rFonts w:ascii="Arial" w:hAnsi="Arial" w:cs="Arial"/>
          <w:sz w:val="20"/>
          <w:szCs w:val="20"/>
        </w:rPr>
        <w:t xml:space="preserve">% </w:t>
      </w:r>
      <w:r w:rsidR="003C1693" w:rsidRPr="00D35A6D">
        <w:rPr>
          <w:rFonts w:ascii="Arial" w:hAnsi="Arial" w:cs="Arial"/>
          <w:sz w:val="20"/>
          <w:szCs w:val="20"/>
        </w:rPr>
        <w:t xml:space="preserve">(2018: 55 %) </w:t>
      </w:r>
      <w:r w:rsidR="00347A18" w:rsidRPr="00D35A6D">
        <w:rPr>
          <w:rFonts w:ascii="Arial" w:hAnsi="Arial" w:cs="Arial"/>
          <w:sz w:val="20"/>
          <w:szCs w:val="20"/>
        </w:rPr>
        <w:t xml:space="preserve">unangefochten an der Spitze. </w:t>
      </w:r>
      <w:r w:rsidR="00F45370" w:rsidRPr="00D35A6D">
        <w:rPr>
          <w:rFonts w:ascii="Arial" w:hAnsi="Arial" w:cs="Arial"/>
          <w:sz w:val="20"/>
          <w:szCs w:val="20"/>
        </w:rPr>
        <w:t xml:space="preserve">Auch 2019 waren Objekte in der City </w:t>
      </w:r>
      <w:r w:rsidR="00277361" w:rsidRPr="00D35A6D">
        <w:rPr>
          <w:rFonts w:ascii="Arial" w:hAnsi="Arial" w:cs="Arial"/>
          <w:sz w:val="20"/>
          <w:szCs w:val="20"/>
        </w:rPr>
        <w:t xml:space="preserve">mit einem Anteil von 42 % </w:t>
      </w:r>
      <w:r w:rsidR="003C1693" w:rsidRPr="00D35A6D">
        <w:rPr>
          <w:rFonts w:ascii="Arial" w:hAnsi="Arial" w:cs="Arial"/>
          <w:sz w:val="20"/>
          <w:szCs w:val="20"/>
        </w:rPr>
        <w:t>(2018: 2</w:t>
      </w:r>
      <w:r w:rsidR="00274734">
        <w:rPr>
          <w:rFonts w:ascii="Arial" w:hAnsi="Arial" w:cs="Arial"/>
          <w:sz w:val="20"/>
          <w:szCs w:val="20"/>
        </w:rPr>
        <w:t>9</w:t>
      </w:r>
      <w:r w:rsidR="003C1693" w:rsidRPr="00D35A6D">
        <w:rPr>
          <w:rFonts w:ascii="Arial" w:hAnsi="Arial" w:cs="Arial"/>
          <w:sz w:val="20"/>
          <w:szCs w:val="20"/>
        </w:rPr>
        <w:t xml:space="preserve"> %) </w:t>
      </w:r>
      <w:r w:rsidR="00277361" w:rsidRPr="00D35A6D">
        <w:rPr>
          <w:rFonts w:ascii="Arial" w:hAnsi="Arial" w:cs="Arial"/>
          <w:sz w:val="20"/>
          <w:szCs w:val="20"/>
        </w:rPr>
        <w:t xml:space="preserve">bei den Investoren </w:t>
      </w:r>
      <w:r w:rsidR="009B1E02">
        <w:rPr>
          <w:rFonts w:ascii="Arial" w:hAnsi="Arial" w:cs="Arial"/>
          <w:sz w:val="20"/>
          <w:szCs w:val="20"/>
        </w:rPr>
        <w:t xml:space="preserve">am </w:t>
      </w:r>
      <w:r w:rsidR="00D35A6D" w:rsidRPr="00D35A6D">
        <w:rPr>
          <w:rFonts w:ascii="Arial" w:hAnsi="Arial" w:cs="Arial"/>
          <w:sz w:val="20"/>
          <w:szCs w:val="20"/>
        </w:rPr>
        <w:t>begehrt</w:t>
      </w:r>
      <w:r w:rsidR="009B1E02">
        <w:rPr>
          <w:rFonts w:ascii="Arial" w:hAnsi="Arial" w:cs="Arial"/>
          <w:sz w:val="20"/>
          <w:szCs w:val="20"/>
        </w:rPr>
        <w:t>esten</w:t>
      </w:r>
      <w:r w:rsidR="00D35A6D" w:rsidRPr="00D35A6D">
        <w:rPr>
          <w:rFonts w:ascii="Arial" w:hAnsi="Arial" w:cs="Arial"/>
          <w:sz w:val="20"/>
          <w:szCs w:val="20"/>
        </w:rPr>
        <w:t>.</w:t>
      </w:r>
      <w:r w:rsidR="00277361" w:rsidRPr="00D35A6D">
        <w:rPr>
          <w:rFonts w:ascii="Arial" w:hAnsi="Arial" w:cs="Arial"/>
          <w:sz w:val="20"/>
          <w:szCs w:val="20"/>
        </w:rPr>
        <w:t xml:space="preserve"> </w:t>
      </w:r>
    </w:p>
    <w:p w14:paraId="33B74864" w14:textId="64ADABFE" w:rsidR="00F45370" w:rsidRPr="00D35A6D" w:rsidRDefault="00844AAC" w:rsidP="00D35A6D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D35A6D">
        <w:rPr>
          <w:rFonts w:ascii="Arial" w:hAnsi="Arial" w:cs="Arial"/>
          <w:sz w:val="20"/>
          <w:szCs w:val="20"/>
        </w:rPr>
        <w:t xml:space="preserve">Börsennotierte Immobilieninvestment-AG/REIT </w:t>
      </w:r>
      <w:r w:rsidR="00274734">
        <w:rPr>
          <w:rFonts w:ascii="Arial" w:hAnsi="Arial" w:cs="Arial"/>
          <w:sz w:val="20"/>
          <w:szCs w:val="20"/>
        </w:rPr>
        <w:t xml:space="preserve">waren mit </w:t>
      </w:r>
      <w:r w:rsidRPr="00D35A6D">
        <w:rPr>
          <w:rFonts w:ascii="Arial" w:hAnsi="Arial" w:cs="Arial"/>
          <w:sz w:val="20"/>
          <w:szCs w:val="20"/>
        </w:rPr>
        <w:t>einem Anteil von rund 23 %</w:t>
      </w:r>
      <w:r w:rsidR="00274734">
        <w:rPr>
          <w:rFonts w:ascii="Arial" w:hAnsi="Arial" w:cs="Arial"/>
          <w:sz w:val="20"/>
          <w:szCs w:val="20"/>
        </w:rPr>
        <w:t xml:space="preserve"> </w:t>
      </w:r>
      <w:r w:rsidR="004B5A6D">
        <w:rPr>
          <w:rFonts w:ascii="Arial" w:hAnsi="Arial" w:cs="Arial"/>
          <w:sz w:val="20"/>
          <w:szCs w:val="20"/>
        </w:rPr>
        <w:t xml:space="preserve">die </w:t>
      </w:r>
      <w:r w:rsidR="00274734">
        <w:rPr>
          <w:rFonts w:ascii="Arial" w:hAnsi="Arial" w:cs="Arial"/>
          <w:sz w:val="20"/>
          <w:szCs w:val="20"/>
        </w:rPr>
        <w:t>stärkste Verkäufergruppe. Dies</w:t>
      </w:r>
      <w:r w:rsidR="004B5A6D">
        <w:rPr>
          <w:rFonts w:ascii="Arial" w:hAnsi="Arial" w:cs="Arial"/>
          <w:sz w:val="20"/>
          <w:szCs w:val="20"/>
        </w:rPr>
        <w:t>es Ergebnis</w:t>
      </w:r>
      <w:r w:rsidR="00274734">
        <w:rPr>
          <w:rFonts w:ascii="Arial" w:hAnsi="Arial" w:cs="Arial"/>
          <w:sz w:val="20"/>
          <w:szCs w:val="20"/>
        </w:rPr>
        <w:t xml:space="preserve"> ist insbesondere auf </w:t>
      </w:r>
      <w:r w:rsidR="00274734" w:rsidRPr="00D35A6D">
        <w:rPr>
          <w:rFonts w:ascii="Arial" w:hAnsi="Arial" w:cs="Arial"/>
          <w:sz w:val="20"/>
          <w:szCs w:val="20"/>
        </w:rPr>
        <w:t xml:space="preserve">die Übernahme des kanadischen REIT </w:t>
      </w:r>
      <w:proofErr w:type="spellStart"/>
      <w:r w:rsidR="00274734" w:rsidRPr="00D35A6D">
        <w:rPr>
          <w:rFonts w:ascii="Arial" w:hAnsi="Arial" w:cs="Arial"/>
          <w:sz w:val="20"/>
          <w:szCs w:val="20"/>
        </w:rPr>
        <w:t>Dream</w:t>
      </w:r>
      <w:proofErr w:type="spellEnd"/>
      <w:r w:rsidR="00274734" w:rsidRPr="00D35A6D">
        <w:rPr>
          <w:rFonts w:ascii="Arial" w:hAnsi="Arial" w:cs="Arial"/>
          <w:sz w:val="20"/>
          <w:szCs w:val="20"/>
        </w:rPr>
        <w:t>-Global durch Blackstone</w:t>
      </w:r>
      <w:r w:rsidR="00274734">
        <w:rPr>
          <w:rFonts w:ascii="Arial" w:hAnsi="Arial" w:cs="Arial"/>
          <w:sz w:val="20"/>
          <w:szCs w:val="20"/>
        </w:rPr>
        <w:t xml:space="preserve"> zurückzuführen. Platz zwei beleg</w:t>
      </w:r>
      <w:r w:rsidR="004B5A6D">
        <w:rPr>
          <w:rFonts w:ascii="Arial" w:hAnsi="Arial" w:cs="Arial"/>
          <w:sz w:val="20"/>
          <w:szCs w:val="20"/>
        </w:rPr>
        <w:t>t</w:t>
      </w:r>
      <w:r w:rsidR="00274734">
        <w:rPr>
          <w:rFonts w:ascii="Arial" w:hAnsi="Arial" w:cs="Arial"/>
          <w:sz w:val="20"/>
          <w:szCs w:val="20"/>
        </w:rPr>
        <w:t>en</w:t>
      </w:r>
      <w:r w:rsidRPr="00D35A6D">
        <w:rPr>
          <w:rFonts w:ascii="Arial" w:hAnsi="Arial" w:cs="Arial"/>
          <w:sz w:val="20"/>
          <w:szCs w:val="20"/>
        </w:rPr>
        <w:t xml:space="preserve"> Projektentwickler mit rund 20 %. Bei Letzteren trugen </w:t>
      </w:r>
      <w:r w:rsidR="00D35A6D" w:rsidRPr="00D35A6D">
        <w:rPr>
          <w:rFonts w:ascii="Arial" w:hAnsi="Arial" w:cs="Arial"/>
          <w:sz w:val="20"/>
          <w:szCs w:val="20"/>
        </w:rPr>
        <w:t>insbesondere</w:t>
      </w:r>
      <w:r w:rsidRPr="00D35A6D">
        <w:rPr>
          <w:rFonts w:ascii="Arial" w:hAnsi="Arial" w:cs="Arial"/>
          <w:sz w:val="20"/>
          <w:szCs w:val="20"/>
        </w:rPr>
        <w:t xml:space="preserve"> Forward-Deals in Höhe von rund 474 Mio. € </w:t>
      </w:r>
      <w:r w:rsidR="009E572D">
        <w:rPr>
          <w:rFonts w:ascii="Arial" w:hAnsi="Arial" w:cs="Arial"/>
          <w:sz w:val="20"/>
          <w:szCs w:val="20"/>
        </w:rPr>
        <w:t>zum Ergebnis</w:t>
      </w:r>
      <w:r w:rsidRPr="00D35A6D">
        <w:rPr>
          <w:rFonts w:ascii="Arial" w:hAnsi="Arial" w:cs="Arial"/>
          <w:sz w:val="20"/>
          <w:szCs w:val="20"/>
        </w:rPr>
        <w:t xml:space="preserve"> bei. </w:t>
      </w:r>
      <w:r w:rsidR="00D35A6D" w:rsidRPr="00D35A6D">
        <w:rPr>
          <w:rFonts w:ascii="Arial" w:hAnsi="Arial" w:cs="Arial"/>
          <w:sz w:val="20"/>
          <w:szCs w:val="20"/>
        </w:rPr>
        <w:t xml:space="preserve">Bei den Käufern erreichten Offene Immobilienpublikumsfonds mit </w:t>
      </w:r>
      <w:r w:rsidR="00B55D98">
        <w:rPr>
          <w:rFonts w:ascii="Arial" w:hAnsi="Arial" w:cs="Arial"/>
          <w:sz w:val="20"/>
          <w:szCs w:val="20"/>
        </w:rPr>
        <w:t>rund</w:t>
      </w:r>
      <w:r w:rsidR="00D35A6D" w:rsidRPr="00D35A6D">
        <w:rPr>
          <w:rFonts w:ascii="Arial" w:hAnsi="Arial" w:cs="Arial"/>
          <w:sz w:val="20"/>
          <w:szCs w:val="20"/>
        </w:rPr>
        <w:t xml:space="preserve"> 26 % den höchsten Anteil. </w:t>
      </w:r>
    </w:p>
    <w:p w14:paraId="5F12FD4C" w14:textId="64340BB7" w:rsidR="0080214D" w:rsidRPr="00D35A6D" w:rsidRDefault="00D35A6D" w:rsidP="00D35A6D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D35A6D">
        <w:rPr>
          <w:rFonts w:ascii="Arial" w:hAnsi="Arial" w:cs="Arial"/>
          <w:sz w:val="20"/>
          <w:szCs w:val="20"/>
        </w:rPr>
        <w:t xml:space="preserve">Die Verteilung nach Größenklassen </w:t>
      </w:r>
      <w:r w:rsidR="004B5A6D">
        <w:rPr>
          <w:rFonts w:ascii="Arial" w:hAnsi="Arial" w:cs="Arial"/>
          <w:sz w:val="20"/>
          <w:szCs w:val="20"/>
        </w:rPr>
        <w:t>war</w:t>
      </w:r>
      <w:r w:rsidR="004B5A6D" w:rsidRPr="00D35A6D">
        <w:rPr>
          <w:rFonts w:ascii="Arial" w:hAnsi="Arial" w:cs="Arial"/>
          <w:sz w:val="20"/>
          <w:szCs w:val="20"/>
        </w:rPr>
        <w:t xml:space="preserve"> </w:t>
      </w:r>
      <w:r w:rsidRPr="00D35A6D">
        <w:rPr>
          <w:rFonts w:ascii="Arial" w:hAnsi="Arial" w:cs="Arial"/>
          <w:sz w:val="20"/>
          <w:szCs w:val="20"/>
        </w:rPr>
        <w:t xml:space="preserve">zum Jahresende ausgeglichen. Jeweils ein Drittel des Volumens entfiel auf Transaktionen ab 51 bzw. ab 100 Mio. €. Im gesamten Jahr 2019 wurde jedoch keine </w:t>
      </w:r>
      <w:r w:rsidR="009B1E02">
        <w:rPr>
          <w:rFonts w:ascii="Arial" w:hAnsi="Arial" w:cs="Arial"/>
          <w:sz w:val="20"/>
          <w:szCs w:val="20"/>
        </w:rPr>
        <w:t>Anlage-</w:t>
      </w:r>
      <w:r w:rsidR="00CE3191" w:rsidRPr="00D35A6D">
        <w:rPr>
          <w:rFonts w:ascii="Arial" w:hAnsi="Arial" w:cs="Arial"/>
          <w:sz w:val="20"/>
          <w:szCs w:val="20"/>
        </w:rPr>
        <w:t xml:space="preserve">Immobilie über 200 Mio. € verkauft. </w:t>
      </w:r>
    </w:p>
    <w:p w14:paraId="408E5518" w14:textId="32F1E48C" w:rsidR="004B5A6D" w:rsidRPr="00E2359E" w:rsidRDefault="004B5A6D" w:rsidP="004B5A6D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E2359E">
        <w:rPr>
          <w:rFonts w:ascii="Arial" w:hAnsi="Arial" w:cs="Arial"/>
          <w:sz w:val="20"/>
          <w:szCs w:val="20"/>
        </w:rPr>
        <w:t xml:space="preserve">Die Spitzenrenditen </w:t>
      </w:r>
      <w:r w:rsidR="00CC6FB9">
        <w:rPr>
          <w:rFonts w:ascii="Arial" w:hAnsi="Arial" w:cs="Arial"/>
          <w:sz w:val="20"/>
          <w:szCs w:val="20"/>
        </w:rPr>
        <w:t>für</w:t>
      </w:r>
      <w:r>
        <w:rPr>
          <w:rFonts w:ascii="Arial" w:hAnsi="Arial" w:cs="Arial"/>
          <w:sz w:val="20"/>
          <w:szCs w:val="20"/>
        </w:rPr>
        <w:t xml:space="preserve"> Büro- </w:t>
      </w:r>
      <w:r w:rsidR="00CC6FB9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Geschäftshäuser </w:t>
      </w:r>
      <w:r w:rsidR="00CC6FB9">
        <w:rPr>
          <w:rFonts w:ascii="Arial" w:hAnsi="Arial" w:cs="Arial"/>
          <w:sz w:val="20"/>
          <w:szCs w:val="20"/>
        </w:rPr>
        <w:t xml:space="preserve">sowie für </w:t>
      </w:r>
      <w:r>
        <w:rPr>
          <w:rFonts w:ascii="Arial" w:hAnsi="Arial" w:cs="Arial"/>
          <w:sz w:val="20"/>
          <w:szCs w:val="20"/>
        </w:rPr>
        <w:t xml:space="preserve">Logistik-Objekte </w:t>
      </w:r>
      <w:r w:rsidR="00CC6FB9">
        <w:rPr>
          <w:rFonts w:ascii="Arial" w:hAnsi="Arial" w:cs="Arial"/>
          <w:sz w:val="20"/>
          <w:szCs w:val="20"/>
        </w:rPr>
        <w:t xml:space="preserve">verweilten nahezu unverändert auf dem niedrigen Stand </w:t>
      </w:r>
      <w:r w:rsidRPr="00E2359E">
        <w:rPr>
          <w:rFonts w:ascii="Arial" w:hAnsi="Arial" w:cs="Arial"/>
          <w:sz w:val="20"/>
          <w:szCs w:val="20"/>
        </w:rPr>
        <w:t xml:space="preserve">des Vorjahresendes. </w:t>
      </w:r>
    </w:p>
    <w:p w14:paraId="58406F60" w14:textId="3BB248C4" w:rsidR="00F45370" w:rsidRPr="00D35A6D" w:rsidRDefault="0080214D" w:rsidP="0080214D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D35A6D">
        <w:rPr>
          <w:rFonts w:ascii="Arial" w:hAnsi="Arial" w:cs="Arial"/>
          <w:sz w:val="20"/>
          <w:szCs w:val="20"/>
        </w:rPr>
        <w:t xml:space="preserve">Durch den Fortbestand des Nullzinses, </w:t>
      </w:r>
      <w:r w:rsidR="00F45370" w:rsidRPr="00D35A6D">
        <w:rPr>
          <w:rFonts w:ascii="Arial" w:hAnsi="Arial" w:cs="Arial"/>
          <w:sz w:val="20"/>
          <w:szCs w:val="20"/>
        </w:rPr>
        <w:t>fehlende Anlagealternativen</w:t>
      </w:r>
      <w:r w:rsidRPr="00D35A6D">
        <w:rPr>
          <w:rFonts w:ascii="Arial" w:hAnsi="Arial" w:cs="Arial"/>
          <w:sz w:val="20"/>
          <w:szCs w:val="20"/>
        </w:rPr>
        <w:t xml:space="preserve"> und auslaufende Staatsanleihen</w:t>
      </w:r>
      <w:r w:rsidR="00F45370" w:rsidRPr="00D35A6D">
        <w:rPr>
          <w:rFonts w:ascii="Arial" w:hAnsi="Arial" w:cs="Arial"/>
          <w:sz w:val="20"/>
          <w:szCs w:val="20"/>
        </w:rPr>
        <w:t xml:space="preserve"> </w:t>
      </w:r>
      <w:r w:rsidRPr="00D35A6D">
        <w:rPr>
          <w:rFonts w:ascii="Arial" w:hAnsi="Arial" w:cs="Arial"/>
          <w:sz w:val="20"/>
          <w:szCs w:val="20"/>
        </w:rPr>
        <w:t xml:space="preserve">steht auch dem Hamburger Investmentmarkt eine Kapitalflut bevor, die in Zeiten eines geringen </w:t>
      </w:r>
      <w:r w:rsidRPr="00D35A6D">
        <w:rPr>
          <w:rFonts w:ascii="Arial" w:hAnsi="Arial" w:cs="Arial"/>
          <w:sz w:val="20"/>
          <w:szCs w:val="20"/>
        </w:rPr>
        <w:lastRenderedPageBreak/>
        <w:t xml:space="preserve">Angebotes zu weiter steigenden Kaufpreisen führen wird. Ein Nachgeben der Renditen im neuen Jahr </w:t>
      </w:r>
      <w:r w:rsidR="004B5A6D">
        <w:rPr>
          <w:rFonts w:ascii="Arial" w:hAnsi="Arial" w:cs="Arial"/>
          <w:sz w:val="20"/>
          <w:szCs w:val="20"/>
        </w:rPr>
        <w:t>ist</w:t>
      </w:r>
      <w:r w:rsidRPr="00D35A6D">
        <w:rPr>
          <w:rFonts w:ascii="Arial" w:hAnsi="Arial" w:cs="Arial"/>
          <w:sz w:val="20"/>
          <w:szCs w:val="20"/>
        </w:rPr>
        <w:t xml:space="preserve"> wahrscheinlich. </w:t>
      </w:r>
    </w:p>
    <w:p w14:paraId="3A6BB63F" w14:textId="3E2465FE" w:rsidR="000A5ED1" w:rsidRPr="00D35A6D" w:rsidRDefault="00906FC5" w:rsidP="00D35A6D">
      <w:pPr>
        <w:spacing w:after="0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6FC5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B7C7195" wp14:editId="103FD17B">
            <wp:simplePos x="0" y="0"/>
            <wp:positionH relativeFrom="margin">
              <wp:align>right</wp:align>
            </wp:positionH>
            <wp:positionV relativeFrom="paragraph">
              <wp:posOffset>224619</wp:posOffset>
            </wp:positionV>
            <wp:extent cx="2804160" cy="2044065"/>
            <wp:effectExtent l="19050" t="19050" r="15240" b="13335"/>
            <wp:wrapSquare wrapText="bothSides"/>
            <wp:docPr id="5" name="Grafik 5" descr="N:\Presse\5_PresseMITTEILUNGEN\Marktbericht Investment\2019\2019_Q4\Grafiken\Investmentmarkt HH_4Q2019_TAV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resse\5_PresseMITTEILUNGEN\Marktbericht Investment\2019\2019_Q4\Grafiken\Investmentmarkt HH_4Q2019_TAV_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44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2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0A5ED1" w:rsidRPr="006F49D0" w14:paraId="2928D7C9" w14:textId="77777777" w:rsidTr="00365AF8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513B5E89" w14:textId="136172B9" w:rsidR="000A5ED1" w:rsidRPr="004712BA" w:rsidRDefault="000A5ED1" w:rsidP="0054412E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Investmentmarkt</w:t>
            </w:r>
            <w:r w:rsidR="00800E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0E2C"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412E">
              <w:rPr>
                <w:rFonts w:ascii="Arial" w:hAnsi="Arial" w:cs="Arial"/>
                <w:b/>
                <w:sz w:val="20"/>
                <w:szCs w:val="20"/>
              </w:rPr>
              <w:t>Hamburg</w:t>
            </w:r>
            <w:r w:rsidR="00800E2C">
              <w:t xml:space="preserve"> </w:t>
            </w:r>
            <w:r w:rsidR="00800E2C"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="00800E2C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shd w:val="clear" w:color="auto" w:fill="1F242B" w:themeFill="accent2"/>
          </w:tcPr>
          <w:p w14:paraId="6DA68AD4" w14:textId="0D6A3F54" w:rsidR="000A5ED1" w:rsidRPr="004712BA" w:rsidRDefault="000A5ED1" w:rsidP="00465B0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 w:rsidR="00797E4F">
              <w:rPr>
                <w:rFonts w:ascii="Arial" w:hAnsi="Arial" w:cs="Arial"/>
                <w:b/>
                <w:sz w:val="18"/>
                <w:szCs w:val="16"/>
              </w:rPr>
              <w:t>1</w:t>
            </w: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="00CF2E86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</w:tr>
      <w:tr w:rsidR="00797E4F" w:rsidRPr="006F49D0" w14:paraId="12A35FD1" w14:textId="77777777" w:rsidTr="00365AF8">
        <w:trPr>
          <w:trHeight w:val="283"/>
        </w:trPr>
        <w:tc>
          <w:tcPr>
            <w:tcW w:w="3823" w:type="dxa"/>
          </w:tcPr>
          <w:p w14:paraId="1EEAFBBC" w14:textId="421C87C5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7C81A3D" w14:textId="0256EEC3" w:rsidR="00797E4F" w:rsidRPr="0080214D" w:rsidRDefault="0080214D" w:rsidP="0080214D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4</w:t>
            </w:r>
            <w:r w:rsidR="00277361" w:rsidRPr="0080214D">
              <w:rPr>
                <w:rFonts w:ascii="Arial" w:hAnsi="Arial" w:cs="Arial"/>
                <w:sz w:val="18"/>
                <w:szCs w:val="16"/>
              </w:rPr>
              <w:t>.</w:t>
            </w:r>
            <w:r w:rsidRPr="0080214D">
              <w:rPr>
                <w:rFonts w:ascii="Arial" w:hAnsi="Arial" w:cs="Arial"/>
                <w:sz w:val="18"/>
                <w:szCs w:val="16"/>
              </w:rPr>
              <w:t>340</w:t>
            </w:r>
          </w:p>
        </w:tc>
      </w:tr>
      <w:tr w:rsidR="00797E4F" w:rsidRPr="006F49D0" w14:paraId="6A7ABFCD" w14:textId="77777777" w:rsidTr="00365AF8">
        <w:trPr>
          <w:trHeight w:val="283"/>
        </w:trPr>
        <w:tc>
          <w:tcPr>
            <w:tcW w:w="3823" w:type="dxa"/>
          </w:tcPr>
          <w:p w14:paraId="209F9D9C" w14:textId="77777777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66E247E" w14:textId="2A49DBB8" w:rsidR="00797E4F" w:rsidRPr="0080214D" w:rsidRDefault="0080214D" w:rsidP="0080214D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-27</w:t>
            </w:r>
          </w:p>
        </w:tc>
      </w:tr>
      <w:tr w:rsidR="00797E4F" w:rsidRPr="006F49D0" w14:paraId="1F46D6E3" w14:textId="77777777" w:rsidTr="00365AF8">
        <w:trPr>
          <w:trHeight w:val="283"/>
        </w:trPr>
        <w:tc>
          <w:tcPr>
            <w:tcW w:w="3823" w:type="dxa"/>
          </w:tcPr>
          <w:p w14:paraId="021D0700" w14:textId="77777777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2EA23137" w14:textId="474BF33E" w:rsidR="00797E4F" w:rsidRPr="0080214D" w:rsidRDefault="00277361" w:rsidP="00797E4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42</w:t>
            </w:r>
          </w:p>
        </w:tc>
      </w:tr>
      <w:tr w:rsidR="00797E4F" w:rsidRPr="006F49D0" w14:paraId="1F687A93" w14:textId="77777777" w:rsidTr="00365AF8">
        <w:trPr>
          <w:trHeight w:val="283"/>
        </w:trPr>
        <w:tc>
          <w:tcPr>
            <w:tcW w:w="3823" w:type="dxa"/>
          </w:tcPr>
          <w:p w14:paraId="7BAE8D04" w14:textId="77777777" w:rsidR="00797E4F" w:rsidRPr="00CF57D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7264C863" w14:textId="733BC109" w:rsidR="00797E4F" w:rsidRPr="0080214D" w:rsidRDefault="0080214D" w:rsidP="00682CFC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3</w:t>
            </w:r>
            <w:r w:rsidR="00682CFC">
              <w:rPr>
                <w:rFonts w:ascii="Arial" w:hAnsi="Arial" w:cs="Arial"/>
                <w:sz w:val="18"/>
                <w:szCs w:val="16"/>
              </w:rPr>
              <w:t>7</w:t>
            </w:r>
          </w:p>
        </w:tc>
      </w:tr>
      <w:tr w:rsidR="00797E4F" w:rsidRPr="006F49D0" w14:paraId="16A9EFD5" w14:textId="77777777" w:rsidTr="00365AF8">
        <w:trPr>
          <w:trHeight w:val="283"/>
        </w:trPr>
        <w:tc>
          <w:tcPr>
            <w:tcW w:w="3823" w:type="dxa"/>
          </w:tcPr>
          <w:p w14:paraId="776A8B5E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D71828B" w14:textId="717A48C3" w:rsidR="00797E4F" w:rsidRPr="0080214D" w:rsidRDefault="00277361" w:rsidP="00797E4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2,80</w:t>
            </w:r>
          </w:p>
        </w:tc>
      </w:tr>
      <w:tr w:rsidR="00797E4F" w14:paraId="55B3498E" w14:textId="77777777" w:rsidTr="00365AF8">
        <w:trPr>
          <w:trHeight w:val="283"/>
        </w:trPr>
        <w:tc>
          <w:tcPr>
            <w:tcW w:w="3823" w:type="dxa"/>
          </w:tcPr>
          <w:p w14:paraId="10626FFC" w14:textId="3379598B" w:rsidR="00797E4F" w:rsidRPr="00A7575D" w:rsidRDefault="00797E4F" w:rsidP="0057685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2B6ED377" w14:textId="3DE00338" w:rsidR="00797E4F" w:rsidRPr="0080214D" w:rsidRDefault="00277361" w:rsidP="00797E4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797E4F" w:rsidRPr="006F49D0" w14:paraId="3FF9A817" w14:textId="77777777" w:rsidTr="00365AF8">
        <w:trPr>
          <w:trHeight w:val="283"/>
        </w:trPr>
        <w:tc>
          <w:tcPr>
            <w:tcW w:w="3823" w:type="dxa"/>
          </w:tcPr>
          <w:p w14:paraId="5A19B7CF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7AD5745" w14:textId="50D777AC" w:rsidR="00797E4F" w:rsidRPr="0080214D" w:rsidRDefault="00277361" w:rsidP="00797E4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2,70</w:t>
            </w:r>
          </w:p>
        </w:tc>
      </w:tr>
      <w:tr w:rsidR="00797E4F" w14:paraId="0515B637" w14:textId="77777777" w:rsidTr="00365AF8">
        <w:trPr>
          <w:trHeight w:val="283"/>
        </w:trPr>
        <w:tc>
          <w:tcPr>
            <w:tcW w:w="3823" w:type="dxa"/>
          </w:tcPr>
          <w:p w14:paraId="67B252C5" w14:textId="516CED9B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F1E364B" w14:textId="61527676" w:rsidR="00797E4F" w:rsidRPr="0080214D" w:rsidRDefault="00277361" w:rsidP="00797E4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797E4F" w:rsidRPr="006F49D0" w14:paraId="5FADA812" w14:textId="77777777" w:rsidTr="00365AF8">
        <w:trPr>
          <w:trHeight w:val="283"/>
        </w:trPr>
        <w:tc>
          <w:tcPr>
            <w:tcW w:w="3823" w:type="dxa"/>
          </w:tcPr>
          <w:p w14:paraId="2CFBFCBA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5A1B2D82" w14:textId="444293A3" w:rsidR="00797E4F" w:rsidRPr="0080214D" w:rsidRDefault="00277361" w:rsidP="0080214D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4,</w:t>
            </w:r>
            <w:r w:rsidR="0080214D" w:rsidRPr="0080214D">
              <w:rPr>
                <w:rFonts w:ascii="Arial" w:hAnsi="Arial" w:cs="Arial"/>
                <w:sz w:val="18"/>
                <w:szCs w:val="16"/>
              </w:rPr>
              <w:t>25</w:t>
            </w:r>
          </w:p>
        </w:tc>
      </w:tr>
      <w:tr w:rsidR="00797E4F" w14:paraId="20B8D9B7" w14:textId="77777777" w:rsidTr="00365AF8">
        <w:trPr>
          <w:trHeight w:val="283"/>
        </w:trPr>
        <w:tc>
          <w:tcPr>
            <w:tcW w:w="3823" w:type="dxa"/>
          </w:tcPr>
          <w:p w14:paraId="24159E32" w14:textId="5AE4316B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C62ADF7" w14:textId="6F39268C" w:rsidR="00797E4F" w:rsidRPr="0080214D" w:rsidRDefault="00313876" w:rsidP="0031387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277361" w:rsidRPr="0080214D">
              <w:rPr>
                <w:rFonts w:ascii="Arial" w:hAnsi="Arial" w:cs="Arial"/>
                <w:sz w:val="18"/>
                <w:szCs w:val="16"/>
              </w:rPr>
              <w:t>0,</w:t>
            </w: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</w:tr>
      <w:tr w:rsidR="00797E4F" w:rsidRPr="006F49D0" w14:paraId="258FCBB3" w14:textId="77777777" w:rsidTr="00365AF8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6E84F40E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93AE39" w14:textId="2423E7B8" w:rsidR="00797E4F" w:rsidRPr="0080214D" w:rsidRDefault="00277361" w:rsidP="00797E4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797E4F" w:rsidRPr="006F49D0" w14:paraId="15F08F3E" w14:textId="77777777" w:rsidTr="00365AF8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88669C5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9478F0" w14:textId="74A48D73" w:rsidR="00797E4F" w:rsidRPr="0080214D" w:rsidRDefault="0080214D" w:rsidP="00797E4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0214D">
              <w:rPr>
                <w:rFonts w:ascii="Arial" w:hAnsi="Arial" w:cs="Arial"/>
                <w:sz w:val="18"/>
                <w:szCs w:val="16"/>
              </w:rPr>
              <w:t>75</w:t>
            </w:r>
          </w:p>
        </w:tc>
      </w:tr>
    </w:tbl>
    <w:p w14:paraId="7AFFF209" w14:textId="44F282F4" w:rsidR="000A5ED1" w:rsidRPr="00B26FFD" w:rsidRDefault="000A5ED1" w:rsidP="000A5ED1">
      <w:pPr>
        <w:spacing w:after="0" w:line="360" w:lineRule="auto"/>
        <w:ind w:left="66"/>
        <w:textAlignment w:val="baseline"/>
        <w:rPr>
          <w:rFonts w:ascii="Arial" w:hAnsi="Arial" w:cs="Arial"/>
          <w:sz w:val="20"/>
          <w:szCs w:val="20"/>
        </w:rPr>
      </w:pPr>
    </w:p>
    <w:p w14:paraId="47F53CCE" w14:textId="79434B93" w:rsidR="000A5ED1" w:rsidRDefault="000A5ED1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5B74AE1" w14:textId="77777777" w:rsidR="00906FC5" w:rsidRDefault="00906FC5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E677D4E" w14:textId="5602AF2E" w:rsidR="001871BC" w:rsidRDefault="00713D81" w:rsidP="008327E5">
      <w:p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</w:t>
      </w:r>
      <w:r w:rsidR="00FD39DE">
        <w:rPr>
          <w:rFonts w:ascii="Arial" w:hAnsi="Arial" w:cs="Arial"/>
          <w:b/>
          <w:sz w:val="20"/>
          <w:szCs w:val="20"/>
        </w:rPr>
        <w:t>Top-</w:t>
      </w:r>
      <w:r>
        <w:rPr>
          <w:rFonts w:ascii="Arial" w:hAnsi="Arial" w:cs="Arial"/>
          <w:b/>
          <w:sz w:val="20"/>
          <w:szCs w:val="20"/>
        </w:rPr>
        <w:t>Transaktionen</w:t>
      </w:r>
      <w:r w:rsidR="00E90673">
        <w:rPr>
          <w:rFonts w:ascii="Arial" w:hAnsi="Arial" w:cs="Arial"/>
          <w:b/>
          <w:sz w:val="20"/>
          <w:szCs w:val="20"/>
        </w:rPr>
        <w:t xml:space="preserve"> | Investmentmarkt </w:t>
      </w:r>
      <w:r w:rsidR="0054412E">
        <w:rPr>
          <w:rFonts w:ascii="Arial" w:hAnsi="Arial" w:cs="Arial"/>
          <w:b/>
          <w:sz w:val="20"/>
          <w:szCs w:val="20"/>
        </w:rPr>
        <w:t>Hamburg</w:t>
      </w:r>
      <w:r w:rsidR="00132522">
        <w:rPr>
          <w:rFonts w:ascii="Arial" w:hAnsi="Arial" w:cs="Arial"/>
          <w:b/>
          <w:sz w:val="20"/>
          <w:szCs w:val="20"/>
        </w:rPr>
        <w:t xml:space="preserve"> | 1.-</w:t>
      </w:r>
      <w:r w:rsidR="00CF2E8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201</w:t>
      </w:r>
      <w:r w:rsidR="00E90673">
        <w:rPr>
          <w:rFonts w:ascii="Arial" w:hAnsi="Arial" w:cs="Arial"/>
          <w:b/>
          <w:sz w:val="20"/>
          <w:szCs w:val="20"/>
        </w:rPr>
        <w:t>9</w:t>
      </w:r>
    </w:p>
    <w:tbl>
      <w:tblPr>
        <w:tblStyle w:val="TableGrid1"/>
        <w:tblpPr w:leftFromText="141" w:rightFromText="141" w:vertAnchor="text" w:horzAnchor="margin" w:tblpY="61"/>
        <w:tblW w:w="10038" w:type="dxa"/>
        <w:tblLayout w:type="fixed"/>
        <w:tblLook w:val="04A0" w:firstRow="1" w:lastRow="0" w:firstColumn="1" w:lastColumn="0" w:noHBand="0" w:noVBand="1"/>
      </w:tblPr>
      <w:tblGrid>
        <w:gridCol w:w="2151"/>
        <w:gridCol w:w="1106"/>
        <w:gridCol w:w="1275"/>
        <w:gridCol w:w="2173"/>
        <w:gridCol w:w="2173"/>
        <w:gridCol w:w="1137"/>
        <w:gridCol w:w="23"/>
      </w:tblGrid>
      <w:tr w:rsidR="0057685F" w:rsidRPr="006F49D0" w14:paraId="3881C746" w14:textId="77777777" w:rsidTr="008F6B2D">
        <w:trPr>
          <w:gridAfter w:val="1"/>
          <w:wAfter w:w="23" w:type="dxa"/>
          <w:trHeight w:val="567"/>
        </w:trPr>
        <w:tc>
          <w:tcPr>
            <w:tcW w:w="2151" w:type="dxa"/>
            <w:shd w:val="clear" w:color="auto" w:fill="1F242B" w:themeFill="accent2"/>
            <w:vAlign w:val="center"/>
          </w:tcPr>
          <w:p w14:paraId="2D3315CD" w14:textId="71BF6E52" w:rsidR="00713D81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 w:rsidR="0057685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57685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1BD8284D" w14:textId="77777777" w:rsidR="00713D81" w:rsidRPr="00C626E7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106" w:type="dxa"/>
            <w:shd w:val="clear" w:color="auto" w:fill="1F242B" w:themeFill="accent2"/>
          </w:tcPr>
          <w:p w14:paraId="4E8EC8BF" w14:textId="6417BD91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275" w:type="dxa"/>
            <w:shd w:val="clear" w:color="auto" w:fill="1F242B" w:themeFill="accent2"/>
          </w:tcPr>
          <w:p w14:paraId="56B818C2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2173" w:type="dxa"/>
            <w:shd w:val="clear" w:color="auto" w:fill="1F242B" w:themeFill="accent2"/>
            <w:vAlign w:val="center"/>
          </w:tcPr>
          <w:p w14:paraId="6F9AAE5A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2173" w:type="dxa"/>
            <w:shd w:val="clear" w:color="auto" w:fill="1F242B" w:themeFill="accent2"/>
            <w:vAlign w:val="center"/>
          </w:tcPr>
          <w:p w14:paraId="1C1FB7C5" w14:textId="2F527DBC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137" w:type="dxa"/>
            <w:shd w:val="clear" w:color="auto" w:fill="1F242B" w:themeFill="accent2"/>
            <w:vAlign w:val="center"/>
          </w:tcPr>
          <w:p w14:paraId="07D9CAD3" w14:textId="77777777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4946B45A" w14:textId="1E52F7FD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F2414C" w:rsidRPr="00F2414C" w14:paraId="536A5B8F" w14:textId="77777777" w:rsidTr="008F6B2D">
        <w:trPr>
          <w:gridAfter w:val="1"/>
          <w:wAfter w:w="23" w:type="dxa"/>
          <w:trHeight w:val="567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61881AA3" w14:textId="63F129A5" w:rsidR="006321DC" w:rsidRPr="00A73C12" w:rsidRDefault="00CF2E86" w:rsidP="00CF2E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 xml:space="preserve">“Euler Hermes Campus”, </w:t>
            </w:r>
            <w:proofErr w:type="spellStart"/>
            <w:r w:rsidRPr="00CF2E86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>Gasstraße</w:t>
            </w:r>
            <w:proofErr w:type="spellEnd"/>
            <w:r w:rsidRPr="00CF2E86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 xml:space="preserve"> 25+29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D72BEE6" w14:textId="337C090E" w:rsidR="006321DC" w:rsidRPr="00A73C12" w:rsidRDefault="00CF2E86" w:rsidP="00797E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</w:pPr>
            <w:proofErr w:type="spellStart"/>
            <w:r w:rsidRPr="00CF2E86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>Bahrenfeld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61255AB" w14:textId="716C2751" w:rsidR="006321DC" w:rsidRPr="00A73C12" w:rsidRDefault="00CF2E86" w:rsidP="00797E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Büro</w:t>
            </w:r>
            <w:proofErr w:type="spellEnd"/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386D7257" w14:textId="6BC74919" w:rsidR="006321DC" w:rsidRPr="00A73C12" w:rsidRDefault="00CF2E86" w:rsidP="003C1693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proofErr w:type="spellStart"/>
            <w:r w:rsidRPr="00CF2E86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HanseMerkur</w:t>
            </w:r>
            <w:proofErr w:type="spellEnd"/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59C838C3" w14:textId="71D32CEB" w:rsidR="006321DC" w:rsidRPr="00A73C12" w:rsidRDefault="00CF2E86" w:rsidP="00CF2E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</w:pPr>
            <w:r w:rsidRPr="00CF2E86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 xml:space="preserve">Quantum </w:t>
            </w:r>
            <w:proofErr w:type="spellStart"/>
            <w:r w:rsidRPr="00CF2E86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>Immobilien</w:t>
            </w:r>
            <w:proofErr w:type="spellEnd"/>
            <w:r w:rsidRPr="00CF2E86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713683C7" w14:textId="5FAA33E7" w:rsidR="006321DC" w:rsidRPr="00A73C12" w:rsidRDefault="00CF2E86" w:rsidP="00E007DD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166</w:t>
            </w:r>
          </w:p>
        </w:tc>
      </w:tr>
      <w:tr w:rsidR="00E007DD" w:rsidRPr="006F49D0" w14:paraId="7ED75F87" w14:textId="77777777" w:rsidTr="008F6B2D">
        <w:trPr>
          <w:gridAfter w:val="1"/>
          <w:wAfter w:w="23" w:type="dxa"/>
          <w:trHeight w:val="567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23C7E9E3" w14:textId="5C94157D" w:rsidR="00E007DD" w:rsidRPr="00A73C12" w:rsidRDefault="00CF2E86" w:rsidP="00CC6FB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Bleichenhof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“,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Bleichenb</w:t>
            </w:r>
            <w:r w:rsidR="00CC6FB9">
              <w:rPr>
                <w:rFonts w:ascii="Arial" w:hAnsi="Arial" w:cs="Arial"/>
                <w:color w:val="000000" w:themeColor="text1"/>
                <w:sz w:val="18"/>
                <w:szCs w:val="16"/>
              </w:rPr>
              <w:t>rü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cke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9-11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76473DE" w14:textId="3CC0D256" w:rsidR="00E007DD" w:rsidRPr="00A73C12" w:rsidRDefault="00CF2E86" w:rsidP="00797E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City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3BDF3A5" w14:textId="7006CD14" w:rsidR="00E007DD" w:rsidRPr="00A73C12" w:rsidRDefault="00CF2E86" w:rsidP="00CC6FB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Mixed-</w:t>
            </w:r>
            <w:r w:rsidR="00CC6FB9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u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se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593905A3" w14:textId="6C299021" w:rsidR="00E007DD" w:rsidRPr="00A73C12" w:rsidRDefault="00CF2E86" w:rsidP="00405D5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F2E86">
              <w:rPr>
                <w:rFonts w:ascii="Arial" w:hAnsi="Arial" w:cs="Arial"/>
                <w:color w:val="000000" w:themeColor="text1"/>
                <w:sz w:val="18"/>
                <w:szCs w:val="16"/>
              </w:rPr>
              <w:t>Niedersächsische Ärzte</w:t>
            </w:r>
            <w:r w:rsidR="00405D59">
              <w:rPr>
                <w:rFonts w:ascii="Arial" w:hAnsi="Arial" w:cs="Arial"/>
                <w:color w:val="000000" w:themeColor="text1"/>
                <w:sz w:val="18"/>
                <w:szCs w:val="16"/>
              </w:rPr>
              <w:t>versorgung</w:t>
            </w:r>
            <w:bookmarkStart w:id="0" w:name="_GoBack"/>
            <w:bookmarkEnd w:id="0"/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7B9A326D" w14:textId="4949FDE9" w:rsidR="00E007DD" w:rsidRPr="00A73C12" w:rsidRDefault="00CF2E86" w:rsidP="00797E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proofErr w:type="spellStart"/>
            <w:r w:rsidRPr="00CF2E86">
              <w:rPr>
                <w:rFonts w:ascii="Arial" w:hAnsi="Arial" w:cs="Arial"/>
                <w:color w:val="000000" w:themeColor="text1"/>
                <w:sz w:val="18"/>
                <w:szCs w:val="16"/>
              </w:rPr>
              <w:t>Stenprop</w:t>
            </w:r>
            <w:proofErr w:type="spellEnd"/>
            <w:r w:rsidRPr="00CF2E86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Limited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658D753C" w14:textId="72C89494" w:rsidR="00E007DD" w:rsidRPr="00A73C12" w:rsidRDefault="00CF2E86" w:rsidP="00E007DD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160</w:t>
            </w:r>
          </w:p>
        </w:tc>
      </w:tr>
      <w:tr w:rsidR="00CF2E86" w:rsidRPr="006F49D0" w14:paraId="0B564638" w14:textId="77777777" w:rsidTr="008F6B2D">
        <w:trPr>
          <w:gridAfter w:val="1"/>
          <w:wAfter w:w="23" w:type="dxa"/>
          <w:trHeight w:val="567"/>
        </w:trPr>
        <w:tc>
          <w:tcPr>
            <w:tcW w:w="2151" w:type="dxa"/>
            <w:shd w:val="clear" w:color="auto" w:fill="auto"/>
            <w:vAlign w:val="center"/>
          </w:tcPr>
          <w:p w14:paraId="0E6078DB" w14:textId="2FE6F2E4" w:rsidR="00CF2E86" w:rsidRPr="00CF2E86" w:rsidRDefault="00CF2E8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8327E5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>„</w:t>
            </w:r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 xml:space="preserve">Edge HafenCity”, </w:t>
            </w:r>
            <w:proofErr w:type="spellStart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>Amerigo</w:t>
            </w:r>
            <w:proofErr w:type="spellEnd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>-Vespucci-</w:t>
            </w:r>
            <w:proofErr w:type="spellStart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>Platz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14:paraId="26092AC0" w14:textId="4A00E9CD" w:rsidR="00CF2E86" w:rsidRPr="00F2414C" w:rsidRDefault="00CF2E8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>HafenCity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B9BC46" w14:textId="20162734" w:rsidR="00CF2E86" w:rsidRPr="00F2414C" w:rsidRDefault="00CF2E8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Büro</w:t>
            </w:r>
            <w:proofErr w:type="spellEnd"/>
          </w:p>
        </w:tc>
        <w:tc>
          <w:tcPr>
            <w:tcW w:w="2173" w:type="dxa"/>
            <w:shd w:val="clear" w:color="auto" w:fill="auto"/>
            <w:vAlign w:val="center"/>
          </w:tcPr>
          <w:p w14:paraId="1878AFEF" w14:textId="0CEAC58B" w:rsidR="00CF2E86" w:rsidRPr="00F2414C" w:rsidRDefault="00CF2E8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 xml:space="preserve">Allianz Real Estate Germany 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690229E1" w14:textId="4F3FA773" w:rsidR="00CF2E86" w:rsidRPr="00F2414C" w:rsidRDefault="00CF2E8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GB"/>
              </w:rPr>
              <w:t>Edge Technologies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30D9693" w14:textId="63AB7491" w:rsidR="00CF2E86" w:rsidRPr="00F2414C" w:rsidRDefault="00CF2E86" w:rsidP="00CF2E8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160</w:t>
            </w:r>
          </w:p>
        </w:tc>
      </w:tr>
      <w:tr w:rsidR="00CF2E86" w:rsidRPr="00F4684B" w14:paraId="451329F1" w14:textId="77777777" w:rsidTr="008F6B2D">
        <w:trPr>
          <w:gridAfter w:val="1"/>
          <w:wAfter w:w="23" w:type="dxa"/>
          <w:trHeight w:val="567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9F312" w14:textId="43A3C6AD" w:rsidR="00CF2E86" w:rsidRPr="009F10F1" w:rsidRDefault="00CF2E8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</w:rPr>
              <w:t>„</w:t>
            </w:r>
            <w:proofErr w:type="spellStart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</w:rPr>
              <w:t>Economic</w:t>
            </w:r>
            <w:proofErr w:type="spellEnd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</w:rPr>
              <w:t>Quarter</w:t>
            </w:r>
            <w:proofErr w:type="spellEnd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</w:rPr>
              <w:t>“,</w:t>
            </w:r>
            <w:r w:rsidRPr="00A73C12">
              <w:rPr>
                <w:color w:val="000000" w:themeColor="text1"/>
              </w:rPr>
              <w:t xml:space="preserve"> </w:t>
            </w:r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</w:rPr>
              <w:t>Heidenkampsweg 96+98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EE417" w14:textId="7D09B92E" w:rsidR="00CF2E86" w:rsidRPr="009F10F1" w:rsidRDefault="00CF2E8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 xml:space="preserve">City </w:t>
            </w:r>
            <w:proofErr w:type="spellStart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Süd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10512" w14:textId="79120DD9" w:rsidR="00CF2E86" w:rsidRPr="009F10F1" w:rsidRDefault="00CF2E8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Büro</w:t>
            </w:r>
            <w:proofErr w:type="spellEnd"/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C5EA7" w14:textId="44AA2CA7" w:rsidR="00CF2E86" w:rsidRPr="009F10F1" w:rsidRDefault="00CF2E8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LaSalle Investment Management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801B6" w14:textId="4F7FCF05" w:rsidR="00CF2E86" w:rsidRPr="00797E4F" w:rsidRDefault="00CF2E8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</w:rPr>
              <w:t>Blackrock</w:t>
            </w:r>
            <w:proofErr w:type="spellEnd"/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Investment Management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6832E" w14:textId="7535D02D" w:rsidR="00CF2E86" w:rsidRPr="009F10F1" w:rsidRDefault="00CF2E86" w:rsidP="00CF2E8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A73C1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140</w:t>
            </w:r>
          </w:p>
        </w:tc>
      </w:tr>
      <w:tr w:rsidR="00713D81" w:rsidRPr="00797E2F" w14:paraId="03C1DF19" w14:textId="77777777" w:rsidTr="00E007DD">
        <w:trPr>
          <w:trHeight w:val="455"/>
        </w:trPr>
        <w:tc>
          <w:tcPr>
            <w:tcW w:w="100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6F5D6" w14:textId="790D8814" w:rsidR="00713D81" w:rsidRPr="001871BC" w:rsidRDefault="00713D81" w:rsidP="009C0784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474C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679D">
              <w:rPr>
                <w:rFonts w:ascii="Arial" w:hAnsi="Arial" w:cs="Arial"/>
                <w:sz w:val="16"/>
                <w:szCs w:val="16"/>
              </w:rPr>
              <w:t>Die aufgeführten Kaufpreise ba</w:t>
            </w:r>
            <w:r>
              <w:rPr>
                <w:rFonts w:ascii="Arial" w:hAnsi="Arial" w:cs="Arial"/>
                <w:sz w:val="16"/>
                <w:szCs w:val="16"/>
              </w:rPr>
              <w:t xml:space="preserve">sieren auf öffentlich verfügbaren Angaben; </w:t>
            </w:r>
            <w:r w:rsidRPr="00B4679D">
              <w:rPr>
                <w:rFonts w:ascii="Arial" w:hAnsi="Arial" w:cs="Arial"/>
                <w:sz w:val="16"/>
                <w:szCs w:val="16"/>
              </w:rPr>
              <w:t xml:space="preserve">wo solche fehlen, sind </w:t>
            </w: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B4679D">
              <w:rPr>
                <w:rFonts w:ascii="Arial" w:hAnsi="Arial" w:cs="Arial"/>
                <w:sz w:val="16"/>
                <w:szCs w:val="16"/>
              </w:rPr>
              <w:t>Kaufpreise geschätzt</w:t>
            </w:r>
            <w:r>
              <w:rPr>
                <w:rFonts w:ascii="Arial" w:hAnsi="Arial" w:cs="Arial"/>
                <w:sz w:val="16"/>
                <w:szCs w:val="16"/>
              </w:rPr>
              <w:t>; neue Deals/Deals aus jeweiligem Berich</w:t>
            </w:r>
            <w:r w:rsidR="00797E4F">
              <w:rPr>
                <w:rFonts w:ascii="Arial" w:hAnsi="Arial" w:cs="Arial"/>
                <w:sz w:val="16"/>
                <w:szCs w:val="16"/>
              </w:rPr>
              <w:t>tsquartal sind grau hinterlegt</w:t>
            </w:r>
          </w:p>
        </w:tc>
      </w:tr>
    </w:tbl>
    <w:p w14:paraId="06A84312" w14:textId="77777777" w:rsidR="00713D81" w:rsidRDefault="00713D81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CB225B7" w14:textId="6EE00BE0" w:rsidR="00897DBE" w:rsidRPr="00897DBE" w:rsidRDefault="00FC40F0" w:rsidP="00CE4A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r w:rsidRPr="008327E5">
        <w:rPr>
          <w:rFonts w:ascii="Arial" w:eastAsia="Arial" w:hAnsi="Arial" w:cs="Arial"/>
          <w:sz w:val="20"/>
          <w:szCs w:val="20"/>
        </w:rPr>
        <w:t>Marktbericht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hyperlink r:id="rId9" w:history="1">
        <w:r w:rsidRPr="00FC40F0">
          <w:rPr>
            <w:rStyle w:val="Hyperlink"/>
            <w:rFonts w:ascii="Arial" w:eastAsia="Arial" w:hAnsi="Arial" w:cs="Arial"/>
            <w:sz w:val="20"/>
            <w:szCs w:val="20"/>
          </w:rPr>
          <w:t>Website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</w:t>
      </w:r>
      <w:r w:rsidR="002B14F6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000E86FB" w14:textId="77777777" w:rsidR="000A72C3" w:rsidRDefault="000A72C3" w:rsidP="00CE4A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FEA6432" w14:textId="628E16D3" w:rsidR="0090748B" w:rsidRPr="0090748B" w:rsidRDefault="0090748B" w:rsidP="00CE4A15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1E12A03E" w14:textId="6DBFA14A" w:rsidR="0090748B" w:rsidRPr="0090748B" w:rsidRDefault="0090748B" w:rsidP="0090748B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90748B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A7546D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90748B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zehn Standorten in Hamburg sowie je einem in Berlin, Ahrensburg, Lüneburg</w:t>
      </w:r>
      <w:r w:rsidR="0054412E">
        <w:rPr>
          <w:rFonts w:ascii="Arial" w:hAnsi="Arial" w:cs="Arial"/>
          <w:snapToGrid w:val="0"/>
          <w:sz w:val="16"/>
          <w:szCs w:val="16"/>
        </w:rPr>
        <w:t>, Norderstedt</w:t>
      </w:r>
      <w:r w:rsidRPr="0090748B">
        <w:rPr>
          <w:rFonts w:ascii="Arial" w:hAnsi="Arial" w:cs="Arial"/>
          <w:snapToGrid w:val="0"/>
          <w:sz w:val="16"/>
          <w:szCs w:val="16"/>
        </w:rPr>
        <w:t xml:space="preserve"> und auf Sylt ist das Unternehmen flächendeckend im norddeutschen</w:t>
      </w:r>
      <w:r w:rsidR="005360E8">
        <w:rPr>
          <w:rFonts w:ascii="Arial" w:hAnsi="Arial" w:cs="Arial"/>
          <w:snapToGrid w:val="0"/>
          <w:sz w:val="16"/>
          <w:szCs w:val="16"/>
        </w:rPr>
        <w:t xml:space="preserve"> Markt präsent. Dank der über 85</w:t>
      </w:r>
      <w:r w:rsidRPr="0090748B">
        <w:rPr>
          <w:rFonts w:ascii="Arial" w:hAnsi="Arial" w:cs="Arial"/>
          <w:snapToGrid w:val="0"/>
          <w:sz w:val="16"/>
          <w:szCs w:val="16"/>
        </w:rPr>
        <w:t xml:space="preserve">-jährigen Erfahrung verfügt das Unternehmen über umfassende Immobilienkompetenz. Grossmann &amp; Berger ist ein Beteiligungsunternehmen der HASPA-Gruppe und Gründungsmitglied des deutschlandweiten Gewerbeimmobiliennetzwerks </w:t>
      </w:r>
      <w:hyperlink r:id="rId11" w:history="1">
        <w:r w:rsidRPr="00A7546D">
          <w:rPr>
            <w:rStyle w:val="Hyperlink"/>
            <w:rFonts w:ascii="Arial" w:hAnsi="Arial" w:cs="Arial"/>
            <w:snapToGrid w:val="0"/>
            <w:sz w:val="16"/>
            <w:szCs w:val="16"/>
          </w:rPr>
          <w:t>German Property Partners</w:t>
        </w:r>
      </w:hyperlink>
      <w:r w:rsidRPr="0090748B">
        <w:rPr>
          <w:rFonts w:ascii="Arial" w:hAnsi="Arial" w:cs="Arial"/>
          <w:snapToGrid w:val="0"/>
          <w:sz w:val="16"/>
          <w:szCs w:val="16"/>
        </w:rPr>
        <w:t xml:space="preserve"> (GPP).</w:t>
      </w:r>
      <w:r w:rsidR="00A7546D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4B9A2857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C1AA4D" w14:textId="520CEAFE" w:rsidR="00046FEC" w:rsidRPr="00A73C12" w:rsidRDefault="003C6AB4" w:rsidP="00A73C1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 w:rsidR="0022086D">
        <w:rPr>
          <w:rFonts w:ascii="Arial" w:hAnsi="Arial" w:cs="Arial"/>
          <w:sz w:val="16"/>
          <w:szCs w:val="16"/>
        </w:rPr>
        <w:t>Abmeldung aus Presseverteiler".</w:t>
      </w:r>
    </w:p>
    <w:sectPr w:rsidR="00046FEC" w:rsidRPr="00A73C12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5440A7EF" w14:textId="52F25414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405D5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405D5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68B49657">
              <wp:simplePos x="0" y="0"/>
              <wp:positionH relativeFrom="margin">
                <wp:posOffset>-75062</wp:posOffset>
              </wp:positionH>
              <wp:positionV relativeFrom="paragraph">
                <wp:posOffset>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706D40CF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Corinna Fühner | Telefon: +49 (0)40/350 80 2-</w:t>
                          </w:r>
                          <w:r w:rsidR="00D24A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c.fuehner@grossmann-berger.de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0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" filled="f" stroked="f">
              <v:textbox>
                <w:txbxContent>
                  <w:p w14:paraId="49DF3728" w14:textId="706D40CF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Corinna Fühner | Telefon: +49 (0)40/350 80 2-</w:t>
                    </w:r>
                    <w:r w:rsidR="00D24AF1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c.fuehner@grossmann-berger.de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30564BAE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27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D24A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27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3E27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30564BAE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27B4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D24AF1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E27B4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3E27B4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92D"/>
    <w:rsid w:val="000159FE"/>
    <w:rsid w:val="00022F16"/>
    <w:rsid w:val="00023D78"/>
    <w:rsid w:val="0003075C"/>
    <w:rsid w:val="00046FEC"/>
    <w:rsid w:val="00060743"/>
    <w:rsid w:val="00066796"/>
    <w:rsid w:val="00075002"/>
    <w:rsid w:val="000766D7"/>
    <w:rsid w:val="0007670A"/>
    <w:rsid w:val="000834E2"/>
    <w:rsid w:val="000A5ED1"/>
    <w:rsid w:val="000A72C3"/>
    <w:rsid w:val="000B0335"/>
    <w:rsid w:val="000B1606"/>
    <w:rsid w:val="000B3315"/>
    <w:rsid w:val="000B3A6C"/>
    <w:rsid w:val="000C74B2"/>
    <w:rsid w:val="000C770D"/>
    <w:rsid w:val="000D48D4"/>
    <w:rsid w:val="000E03F3"/>
    <w:rsid w:val="000E7BC7"/>
    <w:rsid w:val="001029C4"/>
    <w:rsid w:val="0011486D"/>
    <w:rsid w:val="00117EF7"/>
    <w:rsid w:val="00121E33"/>
    <w:rsid w:val="00126550"/>
    <w:rsid w:val="001324D6"/>
    <w:rsid w:val="00132522"/>
    <w:rsid w:val="00135BD2"/>
    <w:rsid w:val="00135E09"/>
    <w:rsid w:val="00154825"/>
    <w:rsid w:val="0017364E"/>
    <w:rsid w:val="0017516B"/>
    <w:rsid w:val="00176F1D"/>
    <w:rsid w:val="0018068D"/>
    <w:rsid w:val="00180801"/>
    <w:rsid w:val="001871BC"/>
    <w:rsid w:val="001A2ABE"/>
    <w:rsid w:val="001A360C"/>
    <w:rsid w:val="001B577C"/>
    <w:rsid w:val="001D14DA"/>
    <w:rsid w:val="001D43BB"/>
    <w:rsid w:val="001D64B8"/>
    <w:rsid w:val="001E1172"/>
    <w:rsid w:val="001E6995"/>
    <w:rsid w:val="001F1513"/>
    <w:rsid w:val="00201E4A"/>
    <w:rsid w:val="00205769"/>
    <w:rsid w:val="00212FEC"/>
    <w:rsid w:val="002131BB"/>
    <w:rsid w:val="00213F07"/>
    <w:rsid w:val="00214952"/>
    <w:rsid w:val="0022086D"/>
    <w:rsid w:val="00227E31"/>
    <w:rsid w:val="00230F81"/>
    <w:rsid w:val="002341EE"/>
    <w:rsid w:val="00237341"/>
    <w:rsid w:val="00251FC5"/>
    <w:rsid w:val="00252F40"/>
    <w:rsid w:val="00253412"/>
    <w:rsid w:val="00254C6F"/>
    <w:rsid w:val="002550BA"/>
    <w:rsid w:val="00255679"/>
    <w:rsid w:val="0027266B"/>
    <w:rsid w:val="00274734"/>
    <w:rsid w:val="00277361"/>
    <w:rsid w:val="00281E80"/>
    <w:rsid w:val="002834B0"/>
    <w:rsid w:val="00283671"/>
    <w:rsid w:val="00284A5D"/>
    <w:rsid w:val="00284E27"/>
    <w:rsid w:val="00294B7D"/>
    <w:rsid w:val="002A1973"/>
    <w:rsid w:val="002B14F6"/>
    <w:rsid w:val="002C055A"/>
    <w:rsid w:val="002C2392"/>
    <w:rsid w:val="002D1C5C"/>
    <w:rsid w:val="002D1E20"/>
    <w:rsid w:val="002E2A92"/>
    <w:rsid w:val="002E6860"/>
    <w:rsid w:val="002F0411"/>
    <w:rsid w:val="002F767E"/>
    <w:rsid w:val="00301F3A"/>
    <w:rsid w:val="00313876"/>
    <w:rsid w:val="003246F0"/>
    <w:rsid w:val="00325E2A"/>
    <w:rsid w:val="003272F3"/>
    <w:rsid w:val="0034064A"/>
    <w:rsid w:val="00345716"/>
    <w:rsid w:val="0034786C"/>
    <w:rsid w:val="00347A18"/>
    <w:rsid w:val="003517C9"/>
    <w:rsid w:val="00357EC4"/>
    <w:rsid w:val="003627E1"/>
    <w:rsid w:val="00365AF8"/>
    <w:rsid w:val="00370000"/>
    <w:rsid w:val="00373507"/>
    <w:rsid w:val="0038230E"/>
    <w:rsid w:val="00382529"/>
    <w:rsid w:val="003A00C9"/>
    <w:rsid w:val="003A25A4"/>
    <w:rsid w:val="003B49E4"/>
    <w:rsid w:val="003B4CCF"/>
    <w:rsid w:val="003B6CD4"/>
    <w:rsid w:val="003C1693"/>
    <w:rsid w:val="003C5218"/>
    <w:rsid w:val="003C6AB4"/>
    <w:rsid w:val="003E099F"/>
    <w:rsid w:val="003E27B4"/>
    <w:rsid w:val="003E4DF9"/>
    <w:rsid w:val="003F665D"/>
    <w:rsid w:val="0040086D"/>
    <w:rsid w:val="004017D8"/>
    <w:rsid w:val="00405D59"/>
    <w:rsid w:val="00411E03"/>
    <w:rsid w:val="004123B1"/>
    <w:rsid w:val="00417F4D"/>
    <w:rsid w:val="004269AC"/>
    <w:rsid w:val="00426E13"/>
    <w:rsid w:val="004303A1"/>
    <w:rsid w:val="00440DC9"/>
    <w:rsid w:val="004450C4"/>
    <w:rsid w:val="00445DF9"/>
    <w:rsid w:val="004506D2"/>
    <w:rsid w:val="00456F40"/>
    <w:rsid w:val="004609BD"/>
    <w:rsid w:val="004661EE"/>
    <w:rsid w:val="00466741"/>
    <w:rsid w:val="00470064"/>
    <w:rsid w:val="004818CE"/>
    <w:rsid w:val="004966E3"/>
    <w:rsid w:val="004A2BEA"/>
    <w:rsid w:val="004A3C64"/>
    <w:rsid w:val="004A5AEA"/>
    <w:rsid w:val="004B2FDA"/>
    <w:rsid w:val="004B480A"/>
    <w:rsid w:val="004B5A6D"/>
    <w:rsid w:val="004C0CA2"/>
    <w:rsid w:val="004D50C0"/>
    <w:rsid w:val="004D772A"/>
    <w:rsid w:val="004E339B"/>
    <w:rsid w:val="004E4273"/>
    <w:rsid w:val="004E4562"/>
    <w:rsid w:val="004F077F"/>
    <w:rsid w:val="004F78B4"/>
    <w:rsid w:val="005023DD"/>
    <w:rsid w:val="00503D8C"/>
    <w:rsid w:val="00522B84"/>
    <w:rsid w:val="00531A7F"/>
    <w:rsid w:val="00534BAD"/>
    <w:rsid w:val="005360E8"/>
    <w:rsid w:val="005428C5"/>
    <w:rsid w:val="00543C55"/>
    <w:rsid w:val="0054412E"/>
    <w:rsid w:val="0055393B"/>
    <w:rsid w:val="005554C7"/>
    <w:rsid w:val="00556F58"/>
    <w:rsid w:val="00567D57"/>
    <w:rsid w:val="00571004"/>
    <w:rsid w:val="0057685F"/>
    <w:rsid w:val="00577B63"/>
    <w:rsid w:val="00582B99"/>
    <w:rsid w:val="00590903"/>
    <w:rsid w:val="005A617A"/>
    <w:rsid w:val="005B0FC9"/>
    <w:rsid w:val="005B24B2"/>
    <w:rsid w:val="005B66D3"/>
    <w:rsid w:val="005C4556"/>
    <w:rsid w:val="005C5302"/>
    <w:rsid w:val="005D307B"/>
    <w:rsid w:val="005E362E"/>
    <w:rsid w:val="005E43B3"/>
    <w:rsid w:val="005F7593"/>
    <w:rsid w:val="006029D7"/>
    <w:rsid w:val="00606E35"/>
    <w:rsid w:val="0061109D"/>
    <w:rsid w:val="00612AA0"/>
    <w:rsid w:val="006138CB"/>
    <w:rsid w:val="006224C4"/>
    <w:rsid w:val="006225EA"/>
    <w:rsid w:val="006261DF"/>
    <w:rsid w:val="006321DC"/>
    <w:rsid w:val="00641270"/>
    <w:rsid w:val="00642074"/>
    <w:rsid w:val="006424F8"/>
    <w:rsid w:val="00672C84"/>
    <w:rsid w:val="00681CAB"/>
    <w:rsid w:val="00682CFC"/>
    <w:rsid w:val="006842EF"/>
    <w:rsid w:val="00693E35"/>
    <w:rsid w:val="00695E58"/>
    <w:rsid w:val="0069757D"/>
    <w:rsid w:val="006A1329"/>
    <w:rsid w:val="006A66F9"/>
    <w:rsid w:val="006D024C"/>
    <w:rsid w:val="006E5C9C"/>
    <w:rsid w:val="006F1774"/>
    <w:rsid w:val="00713D81"/>
    <w:rsid w:val="00717A20"/>
    <w:rsid w:val="00720DFF"/>
    <w:rsid w:val="00730E23"/>
    <w:rsid w:val="00762CC5"/>
    <w:rsid w:val="007906B4"/>
    <w:rsid w:val="007970A0"/>
    <w:rsid w:val="00797E4F"/>
    <w:rsid w:val="007B215B"/>
    <w:rsid w:val="007B4617"/>
    <w:rsid w:val="007C26B6"/>
    <w:rsid w:val="007C2D96"/>
    <w:rsid w:val="007E759D"/>
    <w:rsid w:val="007F2DBE"/>
    <w:rsid w:val="007F33B6"/>
    <w:rsid w:val="007F642D"/>
    <w:rsid w:val="007F756A"/>
    <w:rsid w:val="00800E2C"/>
    <w:rsid w:val="0080214D"/>
    <w:rsid w:val="00812471"/>
    <w:rsid w:val="008261A5"/>
    <w:rsid w:val="008327E5"/>
    <w:rsid w:val="0083382E"/>
    <w:rsid w:val="00844AAC"/>
    <w:rsid w:val="00855325"/>
    <w:rsid w:val="00862E34"/>
    <w:rsid w:val="00865915"/>
    <w:rsid w:val="008661AA"/>
    <w:rsid w:val="00871832"/>
    <w:rsid w:val="00875E9B"/>
    <w:rsid w:val="00886CCE"/>
    <w:rsid w:val="008942C6"/>
    <w:rsid w:val="00896B33"/>
    <w:rsid w:val="00897DBE"/>
    <w:rsid w:val="008A2995"/>
    <w:rsid w:val="008A62FB"/>
    <w:rsid w:val="008A77B7"/>
    <w:rsid w:val="008B0F67"/>
    <w:rsid w:val="008B297B"/>
    <w:rsid w:val="008B3833"/>
    <w:rsid w:val="008C0535"/>
    <w:rsid w:val="008C608D"/>
    <w:rsid w:val="008E461D"/>
    <w:rsid w:val="008F08E5"/>
    <w:rsid w:val="008F0EA4"/>
    <w:rsid w:val="008F38F6"/>
    <w:rsid w:val="008F5213"/>
    <w:rsid w:val="008F67E7"/>
    <w:rsid w:val="008F6B2D"/>
    <w:rsid w:val="009000CF"/>
    <w:rsid w:val="009050B3"/>
    <w:rsid w:val="00906FC5"/>
    <w:rsid w:val="0090748B"/>
    <w:rsid w:val="00920C9C"/>
    <w:rsid w:val="00922754"/>
    <w:rsid w:val="00925781"/>
    <w:rsid w:val="009258D0"/>
    <w:rsid w:val="00935AB3"/>
    <w:rsid w:val="009635CF"/>
    <w:rsid w:val="009646C4"/>
    <w:rsid w:val="009734CE"/>
    <w:rsid w:val="00974CB0"/>
    <w:rsid w:val="0098460C"/>
    <w:rsid w:val="0099413E"/>
    <w:rsid w:val="00996E1A"/>
    <w:rsid w:val="009B1E02"/>
    <w:rsid w:val="009B4392"/>
    <w:rsid w:val="009B7D09"/>
    <w:rsid w:val="009C0784"/>
    <w:rsid w:val="009D24DA"/>
    <w:rsid w:val="009D5D75"/>
    <w:rsid w:val="009E0C0B"/>
    <w:rsid w:val="009E572D"/>
    <w:rsid w:val="009F32A2"/>
    <w:rsid w:val="009F54CE"/>
    <w:rsid w:val="009F70FE"/>
    <w:rsid w:val="00A06264"/>
    <w:rsid w:val="00A1639A"/>
    <w:rsid w:val="00A215C9"/>
    <w:rsid w:val="00A5364B"/>
    <w:rsid w:val="00A615E0"/>
    <w:rsid w:val="00A65E2B"/>
    <w:rsid w:val="00A70878"/>
    <w:rsid w:val="00A73C12"/>
    <w:rsid w:val="00A74AA0"/>
    <w:rsid w:val="00A7546D"/>
    <w:rsid w:val="00A7613D"/>
    <w:rsid w:val="00A77100"/>
    <w:rsid w:val="00AA4D97"/>
    <w:rsid w:val="00AD17B7"/>
    <w:rsid w:val="00AF08D2"/>
    <w:rsid w:val="00B01A1B"/>
    <w:rsid w:val="00B02242"/>
    <w:rsid w:val="00B069C5"/>
    <w:rsid w:val="00B06D1B"/>
    <w:rsid w:val="00B077D5"/>
    <w:rsid w:val="00B16A78"/>
    <w:rsid w:val="00B200E4"/>
    <w:rsid w:val="00B26FFD"/>
    <w:rsid w:val="00B35B6D"/>
    <w:rsid w:val="00B35DC6"/>
    <w:rsid w:val="00B51699"/>
    <w:rsid w:val="00B53FAF"/>
    <w:rsid w:val="00B55D98"/>
    <w:rsid w:val="00B63153"/>
    <w:rsid w:val="00B6527D"/>
    <w:rsid w:val="00B73B3A"/>
    <w:rsid w:val="00B74507"/>
    <w:rsid w:val="00B75718"/>
    <w:rsid w:val="00B75E7E"/>
    <w:rsid w:val="00B81257"/>
    <w:rsid w:val="00B9324B"/>
    <w:rsid w:val="00B93817"/>
    <w:rsid w:val="00B9391B"/>
    <w:rsid w:val="00B9682D"/>
    <w:rsid w:val="00BA0B96"/>
    <w:rsid w:val="00BA52C9"/>
    <w:rsid w:val="00BB15DA"/>
    <w:rsid w:val="00BB340D"/>
    <w:rsid w:val="00BC2A3A"/>
    <w:rsid w:val="00BC64EC"/>
    <w:rsid w:val="00BC7BF3"/>
    <w:rsid w:val="00BD073D"/>
    <w:rsid w:val="00BD75E0"/>
    <w:rsid w:val="00BE4198"/>
    <w:rsid w:val="00BF029A"/>
    <w:rsid w:val="00BF3AFD"/>
    <w:rsid w:val="00C1606C"/>
    <w:rsid w:val="00C16E16"/>
    <w:rsid w:val="00C23180"/>
    <w:rsid w:val="00C26F94"/>
    <w:rsid w:val="00C41492"/>
    <w:rsid w:val="00C502EC"/>
    <w:rsid w:val="00C50874"/>
    <w:rsid w:val="00C702B5"/>
    <w:rsid w:val="00C70389"/>
    <w:rsid w:val="00C904B6"/>
    <w:rsid w:val="00C90A75"/>
    <w:rsid w:val="00C96DF4"/>
    <w:rsid w:val="00CA0F2C"/>
    <w:rsid w:val="00CA6A66"/>
    <w:rsid w:val="00CC1337"/>
    <w:rsid w:val="00CC2514"/>
    <w:rsid w:val="00CC48DF"/>
    <w:rsid w:val="00CC6FB9"/>
    <w:rsid w:val="00CD4A91"/>
    <w:rsid w:val="00CD70E7"/>
    <w:rsid w:val="00CD7363"/>
    <w:rsid w:val="00CE0964"/>
    <w:rsid w:val="00CE0C1F"/>
    <w:rsid w:val="00CE3191"/>
    <w:rsid w:val="00CE455F"/>
    <w:rsid w:val="00CE4A15"/>
    <w:rsid w:val="00CE74B4"/>
    <w:rsid w:val="00CE7D16"/>
    <w:rsid w:val="00CF0BF9"/>
    <w:rsid w:val="00CF2E86"/>
    <w:rsid w:val="00CF5957"/>
    <w:rsid w:val="00D04BA2"/>
    <w:rsid w:val="00D077B0"/>
    <w:rsid w:val="00D157A0"/>
    <w:rsid w:val="00D22D42"/>
    <w:rsid w:val="00D24AF1"/>
    <w:rsid w:val="00D35A6D"/>
    <w:rsid w:val="00D36D8D"/>
    <w:rsid w:val="00D45711"/>
    <w:rsid w:val="00D500FC"/>
    <w:rsid w:val="00D51597"/>
    <w:rsid w:val="00D5326E"/>
    <w:rsid w:val="00D55867"/>
    <w:rsid w:val="00D57410"/>
    <w:rsid w:val="00D634A3"/>
    <w:rsid w:val="00D72339"/>
    <w:rsid w:val="00D73E47"/>
    <w:rsid w:val="00D74ABB"/>
    <w:rsid w:val="00D83CB7"/>
    <w:rsid w:val="00D97FA8"/>
    <w:rsid w:val="00DB4363"/>
    <w:rsid w:val="00DB66BD"/>
    <w:rsid w:val="00DC7B25"/>
    <w:rsid w:val="00DD340F"/>
    <w:rsid w:val="00DD6B73"/>
    <w:rsid w:val="00DE23F8"/>
    <w:rsid w:val="00DE7CC2"/>
    <w:rsid w:val="00E007DD"/>
    <w:rsid w:val="00E05CF6"/>
    <w:rsid w:val="00E112C9"/>
    <w:rsid w:val="00E1314C"/>
    <w:rsid w:val="00E158F7"/>
    <w:rsid w:val="00E16ABE"/>
    <w:rsid w:val="00E2087E"/>
    <w:rsid w:val="00E2636D"/>
    <w:rsid w:val="00E34976"/>
    <w:rsid w:val="00E36818"/>
    <w:rsid w:val="00E47B97"/>
    <w:rsid w:val="00E5203C"/>
    <w:rsid w:val="00E634CC"/>
    <w:rsid w:val="00E81727"/>
    <w:rsid w:val="00E82F0E"/>
    <w:rsid w:val="00E90673"/>
    <w:rsid w:val="00E95F89"/>
    <w:rsid w:val="00E96FAC"/>
    <w:rsid w:val="00EA129F"/>
    <w:rsid w:val="00EB7A31"/>
    <w:rsid w:val="00EC08DC"/>
    <w:rsid w:val="00ED0582"/>
    <w:rsid w:val="00ED1262"/>
    <w:rsid w:val="00ED7374"/>
    <w:rsid w:val="00EE31F6"/>
    <w:rsid w:val="00EE36DC"/>
    <w:rsid w:val="00F044EE"/>
    <w:rsid w:val="00F21201"/>
    <w:rsid w:val="00F2414C"/>
    <w:rsid w:val="00F3320B"/>
    <w:rsid w:val="00F40E92"/>
    <w:rsid w:val="00F41947"/>
    <w:rsid w:val="00F435AA"/>
    <w:rsid w:val="00F45370"/>
    <w:rsid w:val="00F60A04"/>
    <w:rsid w:val="00F76C6A"/>
    <w:rsid w:val="00F83BF1"/>
    <w:rsid w:val="00F90CB9"/>
    <w:rsid w:val="00F97373"/>
    <w:rsid w:val="00FA0254"/>
    <w:rsid w:val="00FA6854"/>
    <w:rsid w:val="00FB064F"/>
    <w:rsid w:val="00FB0F6B"/>
    <w:rsid w:val="00FB144F"/>
    <w:rsid w:val="00FB159A"/>
    <w:rsid w:val="00FB4D77"/>
    <w:rsid w:val="00FC40F0"/>
    <w:rsid w:val="00FC497D"/>
    <w:rsid w:val="00FD076B"/>
    <w:rsid w:val="00FD39DE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investment/" TargetMode="External"/><Relationship Id="rId14" Type="http://schemas.openxmlformats.org/officeDocument/2006/relationships/hyperlink" Target="file:///\\file01\Marketing\Presse\Vorlagen\BFR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C2C3-6771-46B0-BF68-32EA668D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8</cp:revision>
  <cp:lastPrinted>2020-01-08T13:10:00Z</cp:lastPrinted>
  <dcterms:created xsi:type="dcterms:W3CDTF">2020-01-03T14:36:00Z</dcterms:created>
  <dcterms:modified xsi:type="dcterms:W3CDTF">2020-01-08T14:33:00Z</dcterms:modified>
</cp:coreProperties>
</file>