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A26D" w14:textId="11059156" w:rsidR="000334E4" w:rsidRDefault="00D157A0" w:rsidP="00E44FA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60752">
        <w:rPr>
          <w:rFonts w:ascii="Arial" w:hAnsi="Arial" w:cs="Arial"/>
          <w:b/>
        </w:rPr>
        <w:t>Hamburg</w:t>
      </w:r>
      <w:r w:rsidR="00E90673" w:rsidRPr="00060752">
        <w:rPr>
          <w:rFonts w:ascii="Arial" w:hAnsi="Arial" w:cs="Arial"/>
          <w:b/>
        </w:rPr>
        <w:t xml:space="preserve">: </w:t>
      </w:r>
      <w:r w:rsidR="009050B3" w:rsidRPr="00060752">
        <w:rPr>
          <w:rFonts w:ascii="Arial" w:hAnsi="Arial" w:cs="Arial"/>
          <w:b/>
        </w:rPr>
        <w:t>Investmentmarkt 1</w:t>
      </w:r>
      <w:r w:rsidR="005D3366" w:rsidRPr="00060752">
        <w:rPr>
          <w:rFonts w:ascii="Arial" w:hAnsi="Arial" w:cs="Arial"/>
          <w:b/>
        </w:rPr>
        <w:t>.-</w:t>
      </w:r>
      <w:r w:rsidR="00E44FA3" w:rsidRPr="00060752">
        <w:rPr>
          <w:rFonts w:ascii="Arial" w:hAnsi="Arial" w:cs="Arial"/>
          <w:b/>
        </w:rPr>
        <w:t>4</w:t>
      </w:r>
      <w:r w:rsidR="009050B3" w:rsidRPr="00060752">
        <w:rPr>
          <w:rFonts w:ascii="Arial" w:hAnsi="Arial" w:cs="Arial"/>
          <w:b/>
        </w:rPr>
        <w:t>.</w:t>
      </w:r>
      <w:r w:rsidR="00B9324B" w:rsidRPr="00060752">
        <w:rPr>
          <w:rFonts w:ascii="Arial" w:hAnsi="Arial" w:cs="Arial"/>
          <w:b/>
        </w:rPr>
        <w:t xml:space="preserve"> Quartal 20</w:t>
      </w:r>
      <w:r w:rsidR="00BC7971" w:rsidRPr="00060752">
        <w:rPr>
          <w:rFonts w:ascii="Arial" w:hAnsi="Arial" w:cs="Arial"/>
          <w:b/>
        </w:rPr>
        <w:t>20</w:t>
      </w:r>
      <w:r w:rsidR="0054412E" w:rsidRPr="00060752">
        <w:rPr>
          <w:rFonts w:ascii="Arial" w:hAnsi="Arial" w:cs="Arial"/>
          <w:b/>
        </w:rPr>
        <w:br/>
      </w:r>
      <w:r w:rsidR="000334E4">
        <w:rPr>
          <w:rFonts w:ascii="Arial" w:hAnsi="Arial" w:cs="Arial"/>
          <w:b/>
          <w:sz w:val="28"/>
          <w:szCs w:val="28"/>
        </w:rPr>
        <w:t>Kapitalflucht in Core-Objekte sorgt für zweitbestes Jahresergebnis</w:t>
      </w:r>
    </w:p>
    <w:p w14:paraId="5DC3EAC5" w14:textId="5A13ADF7" w:rsidR="00590903" w:rsidRDefault="00590903" w:rsidP="00365AF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72041BD" w14:textId="4E96D2A2" w:rsidR="00523E82" w:rsidRDefault="00E90673" w:rsidP="00674B9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52B8F">
        <w:rPr>
          <w:rFonts w:ascii="Arial" w:hAnsi="Arial" w:cs="Arial"/>
          <w:b/>
          <w:sz w:val="20"/>
          <w:szCs w:val="20"/>
        </w:rPr>
        <w:t xml:space="preserve">Hamburg, </w:t>
      </w:r>
      <w:r w:rsidR="0060010D">
        <w:rPr>
          <w:rFonts w:ascii="Arial" w:hAnsi="Arial" w:cs="Arial"/>
          <w:b/>
          <w:sz w:val="20"/>
          <w:szCs w:val="20"/>
        </w:rPr>
        <w:t>5</w:t>
      </w:r>
      <w:r w:rsidR="00B31F77" w:rsidRPr="00152B8F">
        <w:rPr>
          <w:rFonts w:ascii="Arial" w:hAnsi="Arial" w:cs="Arial"/>
          <w:b/>
          <w:sz w:val="20"/>
          <w:szCs w:val="20"/>
        </w:rPr>
        <w:t>.</w:t>
      </w:r>
      <w:r w:rsidR="00D157A0" w:rsidRPr="00152B8F">
        <w:rPr>
          <w:rFonts w:ascii="Arial" w:hAnsi="Arial" w:cs="Arial"/>
          <w:b/>
          <w:sz w:val="20"/>
          <w:szCs w:val="20"/>
        </w:rPr>
        <w:t xml:space="preserve"> </w:t>
      </w:r>
      <w:r w:rsidR="00803AC5" w:rsidRPr="00152B8F">
        <w:rPr>
          <w:rFonts w:ascii="Arial" w:hAnsi="Arial" w:cs="Arial"/>
          <w:b/>
          <w:sz w:val="20"/>
          <w:szCs w:val="20"/>
        </w:rPr>
        <w:t>Januar</w:t>
      </w:r>
      <w:r w:rsidR="00132522" w:rsidRPr="00152B8F">
        <w:rPr>
          <w:rFonts w:ascii="Arial" w:hAnsi="Arial" w:cs="Arial"/>
          <w:b/>
          <w:sz w:val="20"/>
          <w:szCs w:val="20"/>
        </w:rPr>
        <w:t xml:space="preserve"> </w:t>
      </w:r>
      <w:r w:rsidR="00D157A0" w:rsidRPr="00152B8F">
        <w:rPr>
          <w:rFonts w:ascii="Arial" w:hAnsi="Arial" w:cs="Arial"/>
          <w:b/>
          <w:sz w:val="20"/>
          <w:szCs w:val="20"/>
        </w:rPr>
        <w:t>20</w:t>
      </w:r>
      <w:r w:rsidR="009F70FE" w:rsidRPr="00152B8F">
        <w:rPr>
          <w:rFonts w:ascii="Arial" w:hAnsi="Arial" w:cs="Arial"/>
          <w:b/>
          <w:sz w:val="20"/>
          <w:szCs w:val="20"/>
        </w:rPr>
        <w:t>2</w:t>
      </w:r>
      <w:r w:rsidR="00803AC5" w:rsidRPr="00152B8F">
        <w:rPr>
          <w:rFonts w:ascii="Arial" w:hAnsi="Arial" w:cs="Arial"/>
          <w:b/>
          <w:sz w:val="20"/>
          <w:szCs w:val="20"/>
        </w:rPr>
        <w:t>1</w:t>
      </w:r>
      <w:r w:rsidR="00D157A0" w:rsidRPr="00152B8F">
        <w:rPr>
          <w:rFonts w:ascii="Arial" w:hAnsi="Arial" w:cs="Arial"/>
          <w:b/>
          <w:sz w:val="20"/>
          <w:szCs w:val="20"/>
        </w:rPr>
        <w:t xml:space="preserve"> </w:t>
      </w:r>
      <w:r w:rsidR="00D157A0" w:rsidRPr="00152B8F">
        <w:rPr>
          <w:rFonts w:ascii="Arial" w:hAnsi="Arial" w:cs="Arial"/>
          <w:sz w:val="20"/>
          <w:szCs w:val="20"/>
        </w:rPr>
        <w:t>–</w:t>
      </w:r>
      <w:r w:rsidR="008E1E1D" w:rsidRPr="00152B8F">
        <w:rPr>
          <w:rFonts w:ascii="Arial" w:hAnsi="Arial" w:cs="Arial"/>
          <w:sz w:val="20"/>
          <w:szCs w:val="20"/>
        </w:rPr>
        <w:t xml:space="preserve"> </w:t>
      </w:r>
      <w:r w:rsidR="00E44FA3" w:rsidRPr="00152B8F">
        <w:rPr>
          <w:rFonts w:ascii="Arial" w:hAnsi="Arial" w:cs="Arial"/>
          <w:sz w:val="20"/>
          <w:szCs w:val="20"/>
        </w:rPr>
        <w:t>Was sich</w:t>
      </w:r>
      <w:r w:rsidR="00176075" w:rsidRPr="00152B8F">
        <w:rPr>
          <w:rFonts w:ascii="Arial" w:hAnsi="Arial" w:cs="Arial"/>
          <w:sz w:val="20"/>
          <w:szCs w:val="20"/>
        </w:rPr>
        <w:t xml:space="preserve"> </w:t>
      </w:r>
      <w:r w:rsidR="00AA70E5" w:rsidRPr="00152B8F">
        <w:rPr>
          <w:rFonts w:ascii="Arial" w:hAnsi="Arial" w:cs="Arial"/>
          <w:sz w:val="20"/>
          <w:szCs w:val="20"/>
        </w:rPr>
        <w:t xml:space="preserve">in den ersten drei Quartalen </w:t>
      </w:r>
      <w:r w:rsidR="00176075" w:rsidRPr="00152B8F">
        <w:rPr>
          <w:rFonts w:ascii="Arial" w:hAnsi="Arial" w:cs="Arial"/>
          <w:sz w:val="20"/>
          <w:szCs w:val="20"/>
        </w:rPr>
        <w:t>für den Hamburger Investmentmarkt für gewerbliche Immobilien</w:t>
      </w:r>
      <w:r w:rsidR="00E44FA3" w:rsidRPr="00152B8F">
        <w:rPr>
          <w:rFonts w:ascii="Arial" w:hAnsi="Arial" w:cs="Arial"/>
          <w:sz w:val="20"/>
          <w:szCs w:val="20"/>
        </w:rPr>
        <w:t xml:space="preserve"> andeutete, wurde </w:t>
      </w:r>
      <w:r w:rsidR="00176075" w:rsidRPr="00152B8F">
        <w:rPr>
          <w:rFonts w:ascii="Arial" w:hAnsi="Arial" w:cs="Arial"/>
          <w:sz w:val="20"/>
          <w:szCs w:val="20"/>
        </w:rPr>
        <w:t>zum Jahresende 2020 Gewissheit:</w:t>
      </w:r>
      <w:r w:rsidR="00E44FA3" w:rsidRPr="00152B8F">
        <w:rPr>
          <w:rFonts w:ascii="Arial" w:hAnsi="Arial" w:cs="Arial"/>
          <w:sz w:val="20"/>
          <w:szCs w:val="20"/>
        </w:rPr>
        <w:t xml:space="preserve"> </w:t>
      </w:r>
      <w:r w:rsidR="00176075" w:rsidRPr="00152B8F">
        <w:rPr>
          <w:rFonts w:ascii="Arial" w:hAnsi="Arial" w:cs="Arial"/>
          <w:sz w:val="20"/>
          <w:szCs w:val="20"/>
        </w:rPr>
        <w:t>Die Marktdynamik zeigt</w:t>
      </w:r>
      <w:r w:rsidR="00061A84" w:rsidRPr="00152B8F">
        <w:rPr>
          <w:rFonts w:ascii="Arial" w:hAnsi="Arial" w:cs="Arial"/>
          <w:sz w:val="20"/>
          <w:szCs w:val="20"/>
        </w:rPr>
        <w:t>e</w:t>
      </w:r>
      <w:r w:rsidR="00176075" w:rsidRPr="00152B8F">
        <w:rPr>
          <w:rFonts w:ascii="Arial" w:hAnsi="Arial" w:cs="Arial"/>
          <w:sz w:val="20"/>
          <w:szCs w:val="20"/>
        </w:rPr>
        <w:t xml:space="preserve"> sich </w:t>
      </w:r>
      <w:r w:rsidR="00E44FA3" w:rsidRPr="00152B8F">
        <w:rPr>
          <w:rFonts w:ascii="Arial" w:hAnsi="Arial" w:cs="Arial"/>
          <w:sz w:val="20"/>
          <w:szCs w:val="20"/>
        </w:rPr>
        <w:t>mit einem Transaktionsvolumen</w:t>
      </w:r>
      <w:r w:rsidR="00D25B48">
        <w:rPr>
          <w:rFonts w:ascii="Arial" w:hAnsi="Arial" w:cs="Arial"/>
          <w:sz w:val="20"/>
          <w:szCs w:val="20"/>
        </w:rPr>
        <w:t xml:space="preserve"> von</w:t>
      </w:r>
      <w:r w:rsidR="00061A84" w:rsidRPr="00152B8F">
        <w:rPr>
          <w:rFonts w:ascii="Arial" w:hAnsi="Arial" w:cs="Arial"/>
          <w:sz w:val="20"/>
          <w:szCs w:val="20"/>
        </w:rPr>
        <w:t> </w:t>
      </w:r>
      <w:r w:rsidR="00792145" w:rsidRPr="00152B8F">
        <w:rPr>
          <w:rFonts w:ascii="Arial" w:hAnsi="Arial" w:cs="Arial"/>
          <w:sz w:val="20"/>
          <w:szCs w:val="20"/>
        </w:rPr>
        <w:t>5,</w:t>
      </w:r>
      <w:r w:rsidR="00D25B48">
        <w:rPr>
          <w:rFonts w:ascii="Arial" w:hAnsi="Arial" w:cs="Arial"/>
          <w:sz w:val="20"/>
          <w:szCs w:val="20"/>
        </w:rPr>
        <w:t>37</w:t>
      </w:r>
      <w:r w:rsidR="002E3440" w:rsidRPr="00D25B48">
        <w:rPr>
          <w:rFonts w:ascii="Arial" w:hAnsi="Arial" w:cs="Arial"/>
          <w:sz w:val="20"/>
          <w:szCs w:val="20"/>
        </w:rPr>
        <w:t> </w:t>
      </w:r>
      <w:r w:rsidR="00060752">
        <w:rPr>
          <w:rFonts w:ascii="Arial" w:hAnsi="Arial" w:cs="Arial"/>
          <w:sz w:val="20"/>
          <w:szCs w:val="20"/>
        </w:rPr>
        <w:t>Mrd. € bei rund</w:t>
      </w:r>
      <w:r w:rsidR="00E44FA3" w:rsidRPr="00152B8F">
        <w:rPr>
          <w:rFonts w:ascii="Arial" w:hAnsi="Arial" w:cs="Arial"/>
          <w:sz w:val="20"/>
          <w:szCs w:val="20"/>
        </w:rPr>
        <w:t xml:space="preserve"> </w:t>
      </w:r>
      <w:r w:rsidR="000C087C">
        <w:rPr>
          <w:rFonts w:ascii="Arial" w:hAnsi="Arial" w:cs="Arial"/>
          <w:sz w:val="20"/>
          <w:szCs w:val="20"/>
        </w:rPr>
        <w:t>111</w:t>
      </w:r>
      <w:r w:rsidR="00E44FA3" w:rsidRPr="00152B8F">
        <w:rPr>
          <w:rFonts w:ascii="Arial" w:hAnsi="Arial" w:cs="Arial"/>
          <w:sz w:val="20"/>
          <w:szCs w:val="20"/>
        </w:rPr>
        <w:t xml:space="preserve"> Transaktionen</w:t>
      </w:r>
      <w:r w:rsidR="00061A84" w:rsidRPr="00152B8F">
        <w:rPr>
          <w:rFonts w:ascii="Arial" w:hAnsi="Arial" w:cs="Arial"/>
          <w:sz w:val="20"/>
          <w:szCs w:val="20"/>
        </w:rPr>
        <w:t xml:space="preserve"> unbeeindruckt von der allgegenwärtigen Corona-Krise</w:t>
      </w:r>
      <w:r w:rsidR="00375C0F" w:rsidRPr="00152B8F">
        <w:rPr>
          <w:rFonts w:ascii="Arial" w:hAnsi="Arial" w:cs="Arial"/>
          <w:sz w:val="20"/>
          <w:szCs w:val="20"/>
        </w:rPr>
        <w:t>.</w:t>
      </w:r>
      <w:r w:rsidR="00E44FA3" w:rsidRPr="00152B8F">
        <w:rPr>
          <w:rFonts w:ascii="Arial" w:hAnsi="Arial" w:cs="Arial"/>
          <w:sz w:val="20"/>
          <w:szCs w:val="20"/>
        </w:rPr>
        <w:t xml:space="preserve"> </w:t>
      </w:r>
      <w:r w:rsidR="000334E4" w:rsidRPr="00152B8F">
        <w:rPr>
          <w:rFonts w:ascii="Arial" w:hAnsi="Arial" w:cs="Arial"/>
          <w:sz w:val="20"/>
          <w:szCs w:val="20"/>
        </w:rPr>
        <w:t>D</w:t>
      </w:r>
      <w:r w:rsidR="00375C0F" w:rsidRPr="00152B8F">
        <w:rPr>
          <w:rFonts w:ascii="Arial" w:hAnsi="Arial" w:cs="Arial"/>
          <w:sz w:val="20"/>
          <w:szCs w:val="20"/>
        </w:rPr>
        <w:t xml:space="preserve">er </w:t>
      </w:r>
      <w:r w:rsidR="00E63654" w:rsidRPr="00152B8F">
        <w:rPr>
          <w:rFonts w:ascii="Arial" w:hAnsi="Arial" w:cs="Arial"/>
          <w:sz w:val="20"/>
          <w:szCs w:val="20"/>
        </w:rPr>
        <w:t xml:space="preserve">Hamburger Investmentmarkt </w:t>
      </w:r>
      <w:r w:rsidR="000334E4" w:rsidRPr="00152B8F">
        <w:rPr>
          <w:rFonts w:ascii="Arial" w:hAnsi="Arial" w:cs="Arial"/>
          <w:sz w:val="20"/>
          <w:szCs w:val="20"/>
        </w:rPr>
        <w:t xml:space="preserve">übertraf </w:t>
      </w:r>
      <w:r w:rsidR="00E63654" w:rsidRPr="00152B8F">
        <w:rPr>
          <w:rFonts w:ascii="Arial" w:hAnsi="Arial" w:cs="Arial"/>
          <w:sz w:val="20"/>
          <w:szCs w:val="20"/>
        </w:rPr>
        <w:t>das Vorjahresergebnis um</w:t>
      </w:r>
      <w:r w:rsidR="00375C0F" w:rsidRPr="00152B8F">
        <w:rPr>
          <w:rFonts w:ascii="Arial" w:hAnsi="Arial" w:cs="Arial"/>
          <w:sz w:val="20"/>
          <w:szCs w:val="20"/>
        </w:rPr>
        <w:t xml:space="preserve"> </w:t>
      </w:r>
      <w:r w:rsidR="00792145" w:rsidRPr="00152B8F">
        <w:rPr>
          <w:rFonts w:ascii="Arial" w:hAnsi="Arial" w:cs="Arial"/>
          <w:sz w:val="20"/>
          <w:szCs w:val="20"/>
        </w:rPr>
        <w:t>2</w:t>
      </w:r>
      <w:r w:rsidR="002E3440" w:rsidRPr="00D25B48">
        <w:rPr>
          <w:rFonts w:ascii="Arial" w:hAnsi="Arial" w:cs="Arial"/>
          <w:sz w:val="20"/>
          <w:szCs w:val="20"/>
        </w:rPr>
        <w:t>4</w:t>
      </w:r>
      <w:r w:rsidR="00152B8F">
        <w:rPr>
          <w:rFonts w:ascii="Arial" w:hAnsi="Arial" w:cs="Arial"/>
          <w:sz w:val="20"/>
          <w:szCs w:val="20"/>
        </w:rPr>
        <w:t> </w:t>
      </w:r>
      <w:r w:rsidR="00375C0F" w:rsidRPr="00152B8F">
        <w:rPr>
          <w:rFonts w:ascii="Arial" w:hAnsi="Arial" w:cs="Arial"/>
          <w:sz w:val="20"/>
          <w:szCs w:val="20"/>
        </w:rPr>
        <w:t xml:space="preserve">% (2019: 4,34 Mrd. €) </w:t>
      </w:r>
      <w:r w:rsidR="00E63654" w:rsidRPr="00152B8F">
        <w:rPr>
          <w:rFonts w:ascii="Arial" w:hAnsi="Arial" w:cs="Arial"/>
          <w:sz w:val="20"/>
          <w:szCs w:val="20"/>
        </w:rPr>
        <w:t xml:space="preserve">und erzielte das zweitbeste Ergebnis </w:t>
      </w:r>
      <w:r w:rsidR="000334E4" w:rsidRPr="00152B8F">
        <w:rPr>
          <w:rFonts w:ascii="Arial" w:hAnsi="Arial" w:cs="Arial"/>
          <w:sz w:val="20"/>
          <w:szCs w:val="20"/>
        </w:rPr>
        <w:t xml:space="preserve">seit Aufzeichnungsbeginn </w:t>
      </w:r>
      <w:r w:rsidR="00061A84" w:rsidRPr="00152B8F">
        <w:rPr>
          <w:rFonts w:ascii="Arial" w:hAnsi="Arial" w:cs="Arial"/>
          <w:sz w:val="20"/>
          <w:szCs w:val="20"/>
        </w:rPr>
        <w:t>nach 2018 (5,95 Mrd. </w:t>
      </w:r>
      <w:r w:rsidR="00E44FA3" w:rsidRPr="00152B8F">
        <w:rPr>
          <w:rFonts w:ascii="Arial" w:hAnsi="Arial" w:cs="Arial"/>
          <w:sz w:val="20"/>
          <w:szCs w:val="20"/>
        </w:rPr>
        <w:t xml:space="preserve">€). </w:t>
      </w:r>
      <w:r w:rsidR="00072265" w:rsidRPr="00152B8F">
        <w:rPr>
          <w:rFonts w:ascii="Arial" w:hAnsi="Arial" w:cs="Arial"/>
          <w:sz w:val="20"/>
          <w:szCs w:val="20"/>
        </w:rPr>
        <w:t xml:space="preserve">Im 3. und 4. Quartal belebte sich das Marktgeschehen </w:t>
      </w:r>
      <w:r w:rsidR="009E0A01" w:rsidRPr="00152B8F">
        <w:rPr>
          <w:rFonts w:ascii="Arial" w:hAnsi="Arial" w:cs="Arial"/>
          <w:sz w:val="20"/>
          <w:szCs w:val="20"/>
        </w:rPr>
        <w:t>nach dem Frühjahrs-</w:t>
      </w:r>
      <w:proofErr w:type="spellStart"/>
      <w:r w:rsidR="009E0A01" w:rsidRPr="00152B8F">
        <w:rPr>
          <w:rFonts w:ascii="Arial" w:hAnsi="Arial" w:cs="Arial"/>
          <w:sz w:val="20"/>
          <w:szCs w:val="20"/>
        </w:rPr>
        <w:t>Lockdown</w:t>
      </w:r>
      <w:proofErr w:type="spellEnd"/>
      <w:r w:rsidR="009E0A01" w:rsidRPr="00152B8F">
        <w:rPr>
          <w:rFonts w:ascii="Arial" w:hAnsi="Arial" w:cs="Arial"/>
          <w:sz w:val="20"/>
          <w:szCs w:val="20"/>
        </w:rPr>
        <w:t xml:space="preserve"> </w:t>
      </w:r>
      <w:r w:rsidR="00072265" w:rsidRPr="00152B8F">
        <w:rPr>
          <w:rFonts w:ascii="Arial" w:hAnsi="Arial" w:cs="Arial"/>
          <w:sz w:val="20"/>
          <w:szCs w:val="20"/>
        </w:rPr>
        <w:t xml:space="preserve">äußerst stark und konnte die abwartende Haltung im 2. Quartal sehr gut ausgleichen. </w:t>
      </w:r>
      <w:r w:rsidR="00674B95" w:rsidRPr="00152B8F">
        <w:rPr>
          <w:rFonts w:ascii="Arial" w:hAnsi="Arial" w:cs="Arial"/>
          <w:sz w:val="20"/>
          <w:szCs w:val="20"/>
        </w:rPr>
        <w:t>„</w:t>
      </w:r>
      <w:r w:rsidR="00674B95" w:rsidRPr="00152B8F">
        <w:rPr>
          <w:rFonts w:ascii="Arial" w:hAnsi="Arial" w:cs="Arial"/>
          <w:i/>
          <w:sz w:val="20"/>
          <w:szCs w:val="20"/>
        </w:rPr>
        <w:t xml:space="preserve">Der Anlagedruck der Investoren </w:t>
      </w:r>
      <w:r w:rsidR="000334E4" w:rsidRPr="00152B8F">
        <w:rPr>
          <w:rFonts w:ascii="Arial" w:hAnsi="Arial" w:cs="Arial"/>
          <w:i/>
          <w:sz w:val="20"/>
          <w:szCs w:val="20"/>
        </w:rPr>
        <w:t xml:space="preserve">war 2020 </w:t>
      </w:r>
      <w:r w:rsidR="00674B95" w:rsidRPr="00152B8F">
        <w:rPr>
          <w:rFonts w:ascii="Arial" w:hAnsi="Arial" w:cs="Arial"/>
          <w:i/>
          <w:sz w:val="20"/>
          <w:szCs w:val="20"/>
        </w:rPr>
        <w:t xml:space="preserve">aufgrund </w:t>
      </w:r>
      <w:r w:rsidR="00A21AF6" w:rsidRPr="00152B8F">
        <w:rPr>
          <w:rFonts w:ascii="Arial" w:hAnsi="Arial" w:cs="Arial"/>
          <w:i/>
          <w:sz w:val="20"/>
          <w:szCs w:val="20"/>
        </w:rPr>
        <w:t>volatiler Kapitalmärkte</w:t>
      </w:r>
      <w:r w:rsidR="00674B95" w:rsidRPr="00152B8F">
        <w:rPr>
          <w:rFonts w:ascii="Arial" w:hAnsi="Arial" w:cs="Arial"/>
          <w:i/>
          <w:sz w:val="20"/>
          <w:szCs w:val="20"/>
        </w:rPr>
        <w:t xml:space="preserve"> </w:t>
      </w:r>
      <w:r w:rsidR="00B517F5" w:rsidRPr="00152B8F">
        <w:rPr>
          <w:rFonts w:ascii="Arial" w:hAnsi="Arial" w:cs="Arial"/>
          <w:i/>
          <w:sz w:val="20"/>
          <w:szCs w:val="20"/>
        </w:rPr>
        <w:t xml:space="preserve">und </w:t>
      </w:r>
      <w:r w:rsidR="00A21AF6" w:rsidRPr="00152B8F">
        <w:rPr>
          <w:rFonts w:ascii="Arial" w:hAnsi="Arial" w:cs="Arial"/>
          <w:i/>
          <w:sz w:val="20"/>
          <w:szCs w:val="20"/>
        </w:rPr>
        <w:t xml:space="preserve">Niedrigzins </w:t>
      </w:r>
      <w:r w:rsidR="0056775C" w:rsidRPr="00152B8F">
        <w:rPr>
          <w:rFonts w:ascii="Arial" w:hAnsi="Arial" w:cs="Arial"/>
          <w:i/>
          <w:sz w:val="20"/>
          <w:szCs w:val="20"/>
        </w:rPr>
        <w:t xml:space="preserve">deutlich </w:t>
      </w:r>
      <w:r w:rsidR="00674B95" w:rsidRPr="00152B8F">
        <w:rPr>
          <w:rFonts w:ascii="Arial" w:hAnsi="Arial" w:cs="Arial"/>
          <w:i/>
          <w:sz w:val="20"/>
          <w:szCs w:val="20"/>
        </w:rPr>
        <w:t xml:space="preserve">größer als die Angst vor möglichen Corona-Auswirkungen. </w:t>
      </w:r>
      <w:r w:rsidR="009E0A01" w:rsidRPr="00152B8F">
        <w:rPr>
          <w:rFonts w:ascii="Arial" w:hAnsi="Arial" w:cs="Arial"/>
          <w:i/>
          <w:sz w:val="20"/>
          <w:szCs w:val="20"/>
        </w:rPr>
        <w:t xml:space="preserve">Zahlreiche Anleger entschieden sich für Objekte in der Hansestadt Hamburg mit ihrer robusten Wirtschaft und </w:t>
      </w:r>
      <w:r w:rsidR="000334E4" w:rsidRPr="00152B8F">
        <w:rPr>
          <w:rFonts w:ascii="Arial" w:hAnsi="Arial" w:cs="Arial"/>
          <w:i/>
          <w:sz w:val="20"/>
          <w:szCs w:val="20"/>
        </w:rPr>
        <w:t xml:space="preserve">ihrer </w:t>
      </w:r>
      <w:r w:rsidR="009E0A01" w:rsidRPr="00152B8F">
        <w:rPr>
          <w:rFonts w:ascii="Arial" w:hAnsi="Arial" w:cs="Arial"/>
          <w:i/>
          <w:sz w:val="20"/>
          <w:szCs w:val="20"/>
        </w:rPr>
        <w:t xml:space="preserve">diversifizierten Unternehmenslandschaft“, </w:t>
      </w:r>
      <w:r w:rsidR="009E0A01" w:rsidRPr="00152B8F">
        <w:rPr>
          <w:rFonts w:ascii="Arial" w:hAnsi="Arial" w:cs="Arial"/>
          <w:sz w:val="20"/>
          <w:szCs w:val="20"/>
        </w:rPr>
        <w:t xml:space="preserve">erläutert </w:t>
      </w:r>
      <w:r w:rsidR="00913E52" w:rsidRPr="00152B8F">
        <w:rPr>
          <w:rFonts w:ascii="Arial" w:hAnsi="Arial" w:cs="Arial"/>
          <w:b/>
          <w:sz w:val="20"/>
          <w:szCs w:val="20"/>
        </w:rPr>
        <w:t>Sandra Ludwig</w:t>
      </w:r>
      <w:r w:rsidR="00913E52" w:rsidRPr="00152B8F">
        <w:rPr>
          <w:rFonts w:ascii="Arial" w:hAnsi="Arial" w:cs="Arial"/>
          <w:sz w:val="20"/>
          <w:szCs w:val="20"/>
        </w:rPr>
        <w:t xml:space="preserve">, neue </w:t>
      </w:r>
      <w:r w:rsidR="009E0A01" w:rsidRPr="00152B8F">
        <w:rPr>
          <w:rFonts w:ascii="Arial" w:hAnsi="Arial" w:cs="Arial"/>
          <w:sz w:val="20"/>
          <w:szCs w:val="20"/>
        </w:rPr>
        <w:t>Geschäftsführer</w:t>
      </w:r>
      <w:r w:rsidR="00913E52" w:rsidRPr="00152B8F">
        <w:rPr>
          <w:rFonts w:ascii="Arial" w:hAnsi="Arial" w:cs="Arial"/>
          <w:sz w:val="20"/>
          <w:szCs w:val="20"/>
        </w:rPr>
        <w:t>in</w:t>
      </w:r>
      <w:r w:rsidR="00CB1725">
        <w:rPr>
          <w:rFonts w:ascii="Arial" w:hAnsi="Arial" w:cs="Arial"/>
          <w:sz w:val="20"/>
          <w:szCs w:val="20"/>
        </w:rPr>
        <w:t xml:space="preserve"> bei </w:t>
      </w:r>
      <w:r w:rsidR="009E0A01" w:rsidRPr="00152B8F">
        <w:rPr>
          <w:rFonts w:ascii="Arial" w:hAnsi="Arial" w:cs="Arial"/>
          <w:sz w:val="20"/>
          <w:szCs w:val="20"/>
        </w:rPr>
        <w:t>Grossmann &amp; Berger</w:t>
      </w:r>
      <w:r w:rsidR="00CB1725">
        <w:rPr>
          <w:rFonts w:ascii="Arial" w:hAnsi="Arial" w:cs="Arial"/>
          <w:sz w:val="20"/>
          <w:szCs w:val="20"/>
        </w:rPr>
        <w:t>, Mitglied von German Property Partners (GPP)</w:t>
      </w:r>
      <w:r w:rsidR="009E0A01" w:rsidRPr="00152B8F">
        <w:rPr>
          <w:rFonts w:ascii="Arial" w:hAnsi="Arial" w:cs="Arial"/>
          <w:sz w:val="20"/>
          <w:szCs w:val="20"/>
        </w:rPr>
        <w:t>.</w:t>
      </w:r>
      <w:r w:rsidR="00674B95" w:rsidRPr="00152B8F">
        <w:rPr>
          <w:rFonts w:ascii="Arial" w:hAnsi="Arial" w:cs="Arial"/>
          <w:sz w:val="20"/>
          <w:szCs w:val="20"/>
        </w:rPr>
        <w:t xml:space="preserve"> </w:t>
      </w:r>
      <w:r w:rsidR="00523E82" w:rsidRPr="00152B8F">
        <w:rPr>
          <w:rFonts w:ascii="Arial" w:hAnsi="Arial" w:cs="Arial"/>
          <w:sz w:val="20"/>
          <w:szCs w:val="20"/>
        </w:rPr>
        <w:t>„</w:t>
      </w:r>
      <w:r w:rsidR="00523E82" w:rsidRPr="00152B8F">
        <w:rPr>
          <w:rFonts w:ascii="Arial" w:hAnsi="Arial" w:cs="Arial"/>
          <w:i/>
          <w:sz w:val="20"/>
          <w:szCs w:val="20"/>
        </w:rPr>
        <w:t xml:space="preserve">Dabei besannen sich </w:t>
      </w:r>
      <w:r w:rsidR="00FC1ADD" w:rsidRPr="00152B8F">
        <w:rPr>
          <w:rFonts w:ascii="Arial" w:hAnsi="Arial" w:cs="Arial"/>
          <w:i/>
          <w:sz w:val="20"/>
          <w:szCs w:val="20"/>
        </w:rPr>
        <w:t xml:space="preserve">die Investoren </w:t>
      </w:r>
      <w:r w:rsidR="00B517F5" w:rsidRPr="00152B8F">
        <w:rPr>
          <w:rFonts w:ascii="Arial" w:hAnsi="Arial" w:cs="Arial"/>
          <w:i/>
          <w:sz w:val="20"/>
          <w:szCs w:val="20"/>
        </w:rPr>
        <w:t xml:space="preserve">zunehmend </w:t>
      </w:r>
      <w:r w:rsidR="00523E82" w:rsidRPr="00152B8F">
        <w:rPr>
          <w:rFonts w:ascii="Arial" w:hAnsi="Arial" w:cs="Arial"/>
          <w:i/>
          <w:sz w:val="20"/>
          <w:szCs w:val="20"/>
        </w:rPr>
        <w:t xml:space="preserve">auf die Sicherheit von </w:t>
      </w:r>
      <w:r w:rsidR="00FC1ADD" w:rsidRPr="00152B8F">
        <w:rPr>
          <w:rFonts w:ascii="Arial" w:hAnsi="Arial" w:cs="Arial"/>
          <w:i/>
          <w:sz w:val="20"/>
          <w:szCs w:val="20"/>
        </w:rPr>
        <w:t>Büro-</w:t>
      </w:r>
      <w:r w:rsidR="00523E82" w:rsidRPr="00152B8F">
        <w:rPr>
          <w:rFonts w:ascii="Arial" w:hAnsi="Arial" w:cs="Arial"/>
          <w:i/>
          <w:sz w:val="20"/>
          <w:szCs w:val="20"/>
        </w:rPr>
        <w:t xml:space="preserve">Core-Immobilien und </w:t>
      </w:r>
      <w:r w:rsidR="00EE6E3A" w:rsidRPr="00152B8F">
        <w:rPr>
          <w:rFonts w:ascii="Arial" w:hAnsi="Arial" w:cs="Arial"/>
          <w:i/>
          <w:sz w:val="20"/>
          <w:szCs w:val="20"/>
        </w:rPr>
        <w:t>mieden</w:t>
      </w:r>
      <w:r w:rsidR="00523E82" w:rsidRPr="00152B8F">
        <w:rPr>
          <w:rFonts w:ascii="Arial" w:hAnsi="Arial" w:cs="Arial"/>
          <w:i/>
          <w:sz w:val="20"/>
          <w:szCs w:val="20"/>
        </w:rPr>
        <w:t xml:space="preserve"> </w:t>
      </w:r>
      <w:r w:rsidR="00DA1E60">
        <w:rPr>
          <w:rFonts w:ascii="Arial" w:hAnsi="Arial" w:cs="Arial"/>
          <w:i/>
          <w:sz w:val="20"/>
          <w:szCs w:val="20"/>
        </w:rPr>
        <w:t xml:space="preserve">die </w:t>
      </w:r>
      <w:r w:rsidR="000739E8" w:rsidRPr="00152B8F">
        <w:rPr>
          <w:rFonts w:ascii="Arial" w:hAnsi="Arial" w:cs="Arial"/>
          <w:i/>
          <w:sz w:val="20"/>
          <w:szCs w:val="20"/>
        </w:rPr>
        <w:t xml:space="preserve">derzeit </w:t>
      </w:r>
      <w:r w:rsidR="00DA1E60">
        <w:rPr>
          <w:rFonts w:ascii="Arial" w:hAnsi="Arial" w:cs="Arial"/>
          <w:i/>
          <w:sz w:val="20"/>
          <w:szCs w:val="20"/>
        </w:rPr>
        <w:t xml:space="preserve">durch die Auswirkungen der Pandemie </w:t>
      </w:r>
      <w:r w:rsidR="00EE6E3A" w:rsidRPr="00152B8F">
        <w:rPr>
          <w:rFonts w:ascii="Arial" w:hAnsi="Arial" w:cs="Arial"/>
          <w:i/>
          <w:sz w:val="20"/>
          <w:szCs w:val="20"/>
        </w:rPr>
        <w:t>risikoreichere</w:t>
      </w:r>
      <w:r w:rsidR="00DA1E60">
        <w:rPr>
          <w:rFonts w:ascii="Arial" w:hAnsi="Arial" w:cs="Arial"/>
          <w:i/>
          <w:sz w:val="20"/>
          <w:szCs w:val="20"/>
        </w:rPr>
        <w:t>n</w:t>
      </w:r>
      <w:r w:rsidR="00523E82" w:rsidRPr="00152B8F">
        <w:rPr>
          <w:rFonts w:ascii="Arial" w:hAnsi="Arial" w:cs="Arial"/>
          <w:i/>
          <w:sz w:val="20"/>
          <w:szCs w:val="20"/>
        </w:rPr>
        <w:t xml:space="preserve"> </w:t>
      </w:r>
      <w:r w:rsidR="00FC1ADD" w:rsidRPr="00152B8F">
        <w:rPr>
          <w:rFonts w:ascii="Arial" w:hAnsi="Arial" w:cs="Arial"/>
          <w:i/>
          <w:sz w:val="20"/>
          <w:szCs w:val="20"/>
        </w:rPr>
        <w:t>Hotel- und Einzelhandels-</w:t>
      </w:r>
      <w:r w:rsidR="00EE6E3A" w:rsidRPr="00152B8F">
        <w:rPr>
          <w:rFonts w:ascii="Arial" w:hAnsi="Arial" w:cs="Arial"/>
          <w:i/>
          <w:sz w:val="20"/>
          <w:szCs w:val="20"/>
        </w:rPr>
        <w:t>Investments</w:t>
      </w:r>
      <w:r w:rsidR="00523E82" w:rsidRPr="00152B8F">
        <w:rPr>
          <w:rFonts w:ascii="Arial" w:hAnsi="Arial" w:cs="Arial"/>
          <w:i/>
          <w:sz w:val="20"/>
          <w:szCs w:val="20"/>
        </w:rPr>
        <w:t>.</w:t>
      </w:r>
      <w:r w:rsidR="00FC1ADD" w:rsidRPr="00152B8F">
        <w:rPr>
          <w:rFonts w:ascii="Arial" w:hAnsi="Arial" w:cs="Arial"/>
          <w:i/>
          <w:sz w:val="20"/>
          <w:szCs w:val="20"/>
        </w:rPr>
        <w:t xml:space="preserve"> Ein Trend, der </w:t>
      </w:r>
      <w:r w:rsidR="002C79F7" w:rsidRPr="00152B8F">
        <w:rPr>
          <w:rFonts w:ascii="Arial" w:hAnsi="Arial" w:cs="Arial"/>
          <w:i/>
          <w:sz w:val="20"/>
          <w:szCs w:val="20"/>
        </w:rPr>
        <w:t xml:space="preserve">sich </w:t>
      </w:r>
      <w:r w:rsidR="00FC1ADD" w:rsidRPr="00152B8F">
        <w:rPr>
          <w:rFonts w:ascii="Arial" w:hAnsi="Arial" w:cs="Arial"/>
          <w:i/>
          <w:sz w:val="20"/>
          <w:szCs w:val="20"/>
        </w:rPr>
        <w:t xml:space="preserve">auch </w:t>
      </w:r>
      <w:r w:rsidR="00CB1725">
        <w:rPr>
          <w:rFonts w:ascii="Arial" w:hAnsi="Arial" w:cs="Arial"/>
          <w:i/>
          <w:sz w:val="20"/>
          <w:szCs w:val="20"/>
        </w:rPr>
        <w:t>durch das Jahr 2021</w:t>
      </w:r>
      <w:r w:rsidR="002C79F7" w:rsidRPr="00152B8F">
        <w:rPr>
          <w:rFonts w:ascii="Arial" w:hAnsi="Arial" w:cs="Arial"/>
          <w:i/>
          <w:sz w:val="20"/>
          <w:szCs w:val="20"/>
        </w:rPr>
        <w:t xml:space="preserve"> ziehen dürfte.</w:t>
      </w:r>
      <w:r w:rsidR="00AA70E5" w:rsidRPr="00152B8F">
        <w:rPr>
          <w:rFonts w:ascii="Arial" w:hAnsi="Arial" w:cs="Arial"/>
          <w:i/>
          <w:sz w:val="20"/>
          <w:szCs w:val="20"/>
        </w:rPr>
        <w:t>“</w:t>
      </w:r>
      <w:r w:rsidR="00FC1ADD" w:rsidRPr="00152B8F">
        <w:rPr>
          <w:rFonts w:ascii="Arial" w:hAnsi="Arial" w:cs="Arial"/>
          <w:i/>
          <w:sz w:val="20"/>
          <w:szCs w:val="20"/>
        </w:rPr>
        <w:t xml:space="preserve"> </w:t>
      </w:r>
    </w:p>
    <w:p w14:paraId="04B89B28" w14:textId="392509B3" w:rsidR="00FC1ADD" w:rsidRPr="00D35A6D" w:rsidRDefault="00FC1ADD" w:rsidP="00906FC5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243044D2" w14:textId="125A4A20" w:rsidR="00EF7DDD" w:rsidRPr="00ED0267" w:rsidRDefault="00F4209C" w:rsidP="00061A84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248E0726" w14:textId="4B876E34" w:rsidR="007F7422" w:rsidRPr="007202BB" w:rsidRDefault="00A25F99" w:rsidP="00792145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7202BB">
        <w:rPr>
          <w:rFonts w:ascii="Arial" w:hAnsi="Arial" w:cs="Arial"/>
          <w:sz w:val="20"/>
          <w:szCs w:val="20"/>
        </w:rPr>
        <w:t xml:space="preserve">2020 lautete die </w:t>
      </w:r>
      <w:r w:rsidR="007F7422" w:rsidRPr="007202BB">
        <w:rPr>
          <w:rFonts w:ascii="Arial" w:hAnsi="Arial" w:cs="Arial"/>
          <w:sz w:val="20"/>
          <w:szCs w:val="20"/>
        </w:rPr>
        <w:t xml:space="preserve">oberste </w:t>
      </w:r>
      <w:r w:rsidRPr="007202BB">
        <w:rPr>
          <w:rFonts w:ascii="Arial" w:hAnsi="Arial" w:cs="Arial"/>
          <w:sz w:val="20"/>
          <w:szCs w:val="20"/>
        </w:rPr>
        <w:t>Maxime bei einem Großteil der Investoren</w:t>
      </w:r>
      <w:r w:rsidR="007F7422" w:rsidRPr="007202BB">
        <w:rPr>
          <w:rFonts w:ascii="Arial" w:hAnsi="Arial" w:cs="Arial"/>
          <w:sz w:val="20"/>
          <w:szCs w:val="20"/>
        </w:rPr>
        <w:t>:</w:t>
      </w:r>
      <w:r w:rsidRPr="007202BB">
        <w:rPr>
          <w:rFonts w:ascii="Arial" w:hAnsi="Arial" w:cs="Arial"/>
          <w:sz w:val="20"/>
          <w:szCs w:val="20"/>
        </w:rPr>
        <w:t xml:space="preserve"> Risikominimierung. </w:t>
      </w:r>
      <w:r w:rsidR="00440A2E" w:rsidRPr="007202BB">
        <w:rPr>
          <w:rFonts w:ascii="Arial" w:hAnsi="Arial" w:cs="Arial"/>
          <w:sz w:val="20"/>
          <w:szCs w:val="20"/>
        </w:rPr>
        <w:t xml:space="preserve">Entsprechend </w:t>
      </w:r>
      <w:r w:rsidR="00061A84" w:rsidRPr="007202BB">
        <w:rPr>
          <w:rFonts w:ascii="Arial" w:hAnsi="Arial" w:cs="Arial"/>
          <w:sz w:val="20"/>
          <w:szCs w:val="20"/>
        </w:rPr>
        <w:t xml:space="preserve">entfielen </w:t>
      </w:r>
      <w:r w:rsidR="00792145" w:rsidRPr="007202BB">
        <w:rPr>
          <w:rFonts w:ascii="Arial" w:hAnsi="Arial" w:cs="Arial"/>
          <w:sz w:val="20"/>
          <w:szCs w:val="20"/>
        </w:rPr>
        <w:t>43</w:t>
      </w:r>
      <w:r w:rsidR="00CB1725">
        <w:rPr>
          <w:rFonts w:ascii="Arial" w:hAnsi="Arial" w:cs="Arial"/>
          <w:sz w:val="20"/>
          <w:szCs w:val="20"/>
        </w:rPr>
        <w:t xml:space="preserve"> </w:t>
      </w:r>
      <w:r w:rsidR="00061A84" w:rsidRPr="007202BB">
        <w:rPr>
          <w:rFonts w:ascii="Arial" w:hAnsi="Arial" w:cs="Arial"/>
          <w:sz w:val="20"/>
          <w:szCs w:val="20"/>
        </w:rPr>
        <w:t>% (</w:t>
      </w:r>
      <w:r w:rsidR="00792145" w:rsidRPr="007202BB">
        <w:rPr>
          <w:rFonts w:ascii="Arial" w:hAnsi="Arial" w:cs="Arial"/>
          <w:sz w:val="20"/>
          <w:szCs w:val="20"/>
        </w:rPr>
        <w:t>2,29</w:t>
      </w:r>
      <w:r w:rsidR="00061A84" w:rsidRPr="007202BB">
        <w:rPr>
          <w:rFonts w:ascii="Arial" w:hAnsi="Arial" w:cs="Arial"/>
          <w:sz w:val="20"/>
          <w:szCs w:val="20"/>
        </w:rPr>
        <w:t xml:space="preserve"> Mrd. €) </w:t>
      </w:r>
      <w:r w:rsidR="00224830" w:rsidRPr="007202BB">
        <w:rPr>
          <w:rFonts w:ascii="Arial" w:hAnsi="Arial" w:cs="Arial"/>
          <w:sz w:val="20"/>
          <w:szCs w:val="20"/>
        </w:rPr>
        <w:t>des Transaktionsvolumens</w:t>
      </w:r>
      <w:r w:rsidR="00061A84" w:rsidRPr="007202BB">
        <w:rPr>
          <w:rFonts w:ascii="Arial" w:hAnsi="Arial" w:cs="Arial"/>
          <w:sz w:val="20"/>
          <w:szCs w:val="20"/>
        </w:rPr>
        <w:t xml:space="preserve"> auf Objekte in der Hamburger City. </w:t>
      </w:r>
    </w:p>
    <w:p w14:paraId="0917CAD7" w14:textId="0B1B5EDB" w:rsidR="0056775C" w:rsidRPr="007202BB" w:rsidRDefault="00440A2E" w:rsidP="00D76449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7202BB">
        <w:rPr>
          <w:rFonts w:ascii="Arial" w:hAnsi="Arial" w:cs="Arial"/>
          <w:sz w:val="20"/>
          <w:szCs w:val="20"/>
        </w:rPr>
        <w:t>Ein weiteres</w:t>
      </w:r>
      <w:r w:rsidR="00F72F96" w:rsidRPr="007202BB">
        <w:rPr>
          <w:rFonts w:ascii="Arial" w:hAnsi="Arial" w:cs="Arial"/>
          <w:sz w:val="20"/>
          <w:szCs w:val="20"/>
        </w:rPr>
        <w:t xml:space="preserve"> </w:t>
      </w:r>
      <w:r w:rsidRPr="007202BB">
        <w:rPr>
          <w:rFonts w:ascii="Arial" w:hAnsi="Arial" w:cs="Arial"/>
          <w:sz w:val="20"/>
          <w:szCs w:val="20"/>
        </w:rPr>
        <w:t xml:space="preserve">Indiz für die Core-Fokussierung </w:t>
      </w:r>
      <w:r w:rsidR="00926F6E" w:rsidRPr="007202BB">
        <w:rPr>
          <w:rFonts w:ascii="Arial" w:hAnsi="Arial" w:cs="Arial"/>
          <w:sz w:val="20"/>
          <w:szCs w:val="20"/>
        </w:rPr>
        <w:t>waren die</w:t>
      </w:r>
      <w:r w:rsidRPr="007202BB">
        <w:rPr>
          <w:rFonts w:ascii="Arial" w:hAnsi="Arial" w:cs="Arial"/>
          <w:sz w:val="20"/>
          <w:szCs w:val="20"/>
        </w:rPr>
        <w:t xml:space="preserve"> </w:t>
      </w:r>
      <w:r w:rsidR="00792145" w:rsidRPr="007202BB">
        <w:rPr>
          <w:rFonts w:ascii="Arial" w:hAnsi="Arial" w:cs="Arial"/>
          <w:sz w:val="20"/>
          <w:szCs w:val="20"/>
        </w:rPr>
        <w:t>15</w:t>
      </w:r>
      <w:r w:rsidR="00CC38AE" w:rsidRPr="007202BB">
        <w:rPr>
          <w:rFonts w:ascii="Arial" w:hAnsi="Arial" w:cs="Arial"/>
          <w:sz w:val="20"/>
          <w:szCs w:val="20"/>
        </w:rPr>
        <w:t xml:space="preserve"> </w:t>
      </w:r>
      <w:r w:rsidR="00926F6E" w:rsidRPr="007202BB">
        <w:rPr>
          <w:rFonts w:ascii="Arial" w:hAnsi="Arial" w:cs="Arial"/>
          <w:sz w:val="20"/>
          <w:szCs w:val="20"/>
        </w:rPr>
        <w:t>Deals</w:t>
      </w:r>
      <w:r w:rsidR="00CC38AE" w:rsidRPr="007202BB">
        <w:rPr>
          <w:rFonts w:ascii="Arial" w:hAnsi="Arial" w:cs="Arial"/>
          <w:sz w:val="20"/>
          <w:szCs w:val="20"/>
        </w:rPr>
        <w:t xml:space="preserve"> über 100 Mio. </w:t>
      </w:r>
      <w:r w:rsidRPr="007202BB">
        <w:rPr>
          <w:rFonts w:ascii="Arial" w:hAnsi="Arial" w:cs="Arial"/>
          <w:sz w:val="20"/>
          <w:szCs w:val="20"/>
        </w:rPr>
        <w:t xml:space="preserve">€, die </w:t>
      </w:r>
      <w:r w:rsidR="00CC38AE" w:rsidRPr="007202BB">
        <w:rPr>
          <w:rFonts w:ascii="Arial" w:hAnsi="Arial" w:cs="Arial"/>
          <w:sz w:val="20"/>
          <w:szCs w:val="20"/>
        </w:rPr>
        <w:t xml:space="preserve">mit einem Marktanteil von </w:t>
      </w:r>
      <w:r w:rsidR="00792145" w:rsidRPr="007202BB">
        <w:rPr>
          <w:rFonts w:ascii="Arial" w:hAnsi="Arial" w:cs="Arial"/>
          <w:sz w:val="20"/>
          <w:szCs w:val="20"/>
        </w:rPr>
        <w:t>5</w:t>
      </w:r>
      <w:r w:rsidR="002E3440" w:rsidRPr="00D25B48">
        <w:rPr>
          <w:rFonts w:ascii="Arial" w:hAnsi="Arial" w:cs="Arial"/>
          <w:sz w:val="20"/>
          <w:szCs w:val="20"/>
        </w:rPr>
        <w:t>2</w:t>
      </w:r>
      <w:r w:rsidR="00792145" w:rsidRPr="007202BB">
        <w:rPr>
          <w:rFonts w:ascii="Arial" w:hAnsi="Arial" w:cs="Arial"/>
          <w:sz w:val="20"/>
          <w:szCs w:val="20"/>
        </w:rPr>
        <w:t xml:space="preserve"> % (2019: 10</w:t>
      </w:r>
      <w:r w:rsidR="00CC38AE" w:rsidRPr="007202BB">
        <w:rPr>
          <w:rFonts w:ascii="Arial" w:hAnsi="Arial" w:cs="Arial"/>
          <w:sz w:val="20"/>
          <w:szCs w:val="20"/>
        </w:rPr>
        <w:t xml:space="preserve">; </w:t>
      </w:r>
      <w:r w:rsidR="00792145" w:rsidRPr="007202BB">
        <w:rPr>
          <w:rFonts w:ascii="Arial" w:hAnsi="Arial" w:cs="Arial"/>
          <w:sz w:val="20"/>
          <w:szCs w:val="20"/>
        </w:rPr>
        <w:t>33</w:t>
      </w:r>
      <w:r w:rsidR="00CC38AE" w:rsidRPr="007202BB">
        <w:rPr>
          <w:rFonts w:ascii="Arial" w:hAnsi="Arial" w:cs="Arial"/>
          <w:sz w:val="20"/>
          <w:szCs w:val="20"/>
        </w:rPr>
        <w:t xml:space="preserve"> %) </w:t>
      </w:r>
      <w:r w:rsidR="000C30AB" w:rsidRPr="007202BB">
        <w:rPr>
          <w:rFonts w:ascii="Arial" w:hAnsi="Arial" w:cs="Arial"/>
          <w:sz w:val="20"/>
          <w:szCs w:val="20"/>
        </w:rPr>
        <w:t xml:space="preserve">maßgeblich </w:t>
      </w:r>
      <w:r w:rsidR="00CC38AE" w:rsidRPr="007202BB">
        <w:rPr>
          <w:rFonts w:ascii="Arial" w:hAnsi="Arial" w:cs="Arial"/>
          <w:sz w:val="20"/>
          <w:szCs w:val="20"/>
        </w:rPr>
        <w:t>das Marktgeschehen</w:t>
      </w:r>
      <w:r w:rsidRPr="007202BB">
        <w:rPr>
          <w:rFonts w:ascii="Arial" w:hAnsi="Arial" w:cs="Arial"/>
          <w:sz w:val="20"/>
          <w:szCs w:val="20"/>
        </w:rPr>
        <w:t xml:space="preserve"> </w:t>
      </w:r>
      <w:r w:rsidR="00F72F96" w:rsidRPr="007202BB">
        <w:rPr>
          <w:rFonts w:ascii="Arial" w:hAnsi="Arial" w:cs="Arial"/>
          <w:sz w:val="20"/>
          <w:szCs w:val="20"/>
        </w:rPr>
        <w:t>prägten</w:t>
      </w:r>
      <w:r w:rsidR="00CC38AE" w:rsidRPr="007202BB">
        <w:rPr>
          <w:rFonts w:ascii="Arial" w:hAnsi="Arial" w:cs="Arial"/>
          <w:sz w:val="20"/>
          <w:szCs w:val="20"/>
        </w:rPr>
        <w:t xml:space="preserve">. </w:t>
      </w:r>
      <w:r w:rsidR="00A25F99" w:rsidRPr="007202BB">
        <w:rPr>
          <w:rFonts w:ascii="Arial" w:hAnsi="Arial" w:cs="Arial"/>
          <w:sz w:val="20"/>
          <w:szCs w:val="20"/>
        </w:rPr>
        <w:t xml:space="preserve">Der </w:t>
      </w:r>
      <w:r w:rsidR="00757304" w:rsidRPr="007202BB">
        <w:rPr>
          <w:rFonts w:ascii="Arial" w:hAnsi="Arial" w:cs="Arial"/>
          <w:sz w:val="20"/>
          <w:szCs w:val="20"/>
        </w:rPr>
        <w:t xml:space="preserve">durchschnittliche </w:t>
      </w:r>
      <w:r w:rsidR="00A25F99" w:rsidRPr="007202BB">
        <w:rPr>
          <w:rFonts w:ascii="Arial" w:hAnsi="Arial" w:cs="Arial"/>
          <w:sz w:val="20"/>
          <w:szCs w:val="20"/>
        </w:rPr>
        <w:t xml:space="preserve">Kaufpreis pro Objekt stieg </w:t>
      </w:r>
      <w:r w:rsidR="00757304" w:rsidRPr="007202BB">
        <w:rPr>
          <w:rFonts w:ascii="Arial" w:hAnsi="Arial" w:cs="Arial"/>
          <w:sz w:val="20"/>
          <w:szCs w:val="20"/>
        </w:rPr>
        <w:t xml:space="preserve">auf einen neuen </w:t>
      </w:r>
      <w:r w:rsidR="007F7422" w:rsidRPr="007202BB">
        <w:rPr>
          <w:rFonts w:ascii="Arial" w:hAnsi="Arial" w:cs="Arial"/>
          <w:sz w:val="20"/>
          <w:szCs w:val="20"/>
        </w:rPr>
        <w:t>Höchstwert</w:t>
      </w:r>
      <w:r w:rsidR="00A25F99" w:rsidRPr="007202BB">
        <w:rPr>
          <w:rFonts w:ascii="Arial" w:hAnsi="Arial" w:cs="Arial"/>
          <w:sz w:val="20"/>
          <w:szCs w:val="20"/>
        </w:rPr>
        <w:t xml:space="preserve"> </w:t>
      </w:r>
      <w:r w:rsidR="00757304" w:rsidRPr="007202BB">
        <w:rPr>
          <w:rFonts w:ascii="Arial" w:hAnsi="Arial" w:cs="Arial"/>
          <w:sz w:val="20"/>
          <w:szCs w:val="20"/>
        </w:rPr>
        <w:t xml:space="preserve">von </w:t>
      </w:r>
      <w:r w:rsidR="00CB1725">
        <w:rPr>
          <w:rFonts w:ascii="Arial" w:hAnsi="Arial" w:cs="Arial"/>
          <w:sz w:val="20"/>
          <w:szCs w:val="20"/>
        </w:rPr>
        <w:t>rund</w:t>
      </w:r>
      <w:r w:rsidR="007F7422" w:rsidRPr="007202BB">
        <w:rPr>
          <w:rFonts w:ascii="Arial" w:hAnsi="Arial" w:cs="Arial"/>
          <w:sz w:val="20"/>
          <w:szCs w:val="20"/>
        </w:rPr>
        <w:t xml:space="preserve"> </w:t>
      </w:r>
      <w:r w:rsidR="002E3440">
        <w:rPr>
          <w:rFonts w:ascii="Arial" w:hAnsi="Arial" w:cs="Arial"/>
          <w:sz w:val="20"/>
          <w:szCs w:val="20"/>
        </w:rPr>
        <w:t>48</w:t>
      </w:r>
      <w:r w:rsidR="00792145" w:rsidRPr="007202BB">
        <w:rPr>
          <w:rFonts w:ascii="Arial" w:hAnsi="Arial" w:cs="Arial"/>
          <w:sz w:val="20"/>
          <w:szCs w:val="20"/>
        </w:rPr>
        <w:t xml:space="preserve"> </w:t>
      </w:r>
      <w:r w:rsidR="007F7422" w:rsidRPr="007202BB">
        <w:rPr>
          <w:rFonts w:ascii="Arial" w:hAnsi="Arial" w:cs="Arial"/>
          <w:sz w:val="20"/>
          <w:szCs w:val="20"/>
        </w:rPr>
        <w:t xml:space="preserve">Mio. € (2019: ca. 37 Mio. €). </w:t>
      </w:r>
    </w:p>
    <w:p w14:paraId="64B30624" w14:textId="37096D4E" w:rsidR="007F7422" w:rsidRPr="007202BB" w:rsidRDefault="00D76449" w:rsidP="00061A84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7202BB">
        <w:rPr>
          <w:rFonts w:ascii="Arial" w:hAnsi="Arial" w:cs="Arial"/>
          <w:sz w:val="20"/>
          <w:szCs w:val="20"/>
        </w:rPr>
        <w:t>Trotz des omnipräsenten</w:t>
      </w:r>
      <w:r w:rsidR="005A0421" w:rsidRPr="007202BB">
        <w:rPr>
          <w:rFonts w:ascii="Arial" w:hAnsi="Arial" w:cs="Arial"/>
          <w:sz w:val="20"/>
          <w:szCs w:val="20"/>
        </w:rPr>
        <w:t xml:space="preserve"> </w:t>
      </w:r>
      <w:r w:rsidR="007F7422" w:rsidRPr="007202BB">
        <w:rPr>
          <w:rFonts w:ascii="Arial" w:hAnsi="Arial" w:cs="Arial"/>
          <w:sz w:val="20"/>
          <w:szCs w:val="20"/>
        </w:rPr>
        <w:t>Thema</w:t>
      </w:r>
      <w:r w:rsidRPr="007202BB">
        <w:rPr>
          <w:rFonts w:ascii="Arial" w:hAnsi="Arial" w:cs="Arial"/>
          <w:sz w:val="20"/>
          <w:szCs w:val="20"/>
        </w:rPr>
        <w:t>s</w:t>
      </w:r>
      <w:r w:rsidR="007F7422" w:rsidRPr="007202BB">
        <w:rPr>
          <w:rFonts w:ascii="Arial" w:hAnsi="Arial" w:cs="Arial"/>
          <w:sz w:val="20"/>
          <w:szCs w:val="20"/>
        </w:rPr>
        <w:t xml:space="preserve"> Home</w:t>
      </w:r>
      <w:r w:rsidR="0060010D">
        <w:rPr>
          <w:rFonts w:ascii="Arial" w:hAnsi="Arial" w:cs="Arial"/>
          <w:sz w:val="20"/>
          <w:szCs w:val="20"/>
        </w:rPr>
        <w:t>o</w:t>
      </w:r>
      <w:r w:rsidR="007F7422" w:rsidRPr="007202BB">
        <w:rPr>
          <w:rFonts w:ascii="Arial" w:hAnsi="Arial" w:cs="Arial"/>
          <w:sz w:val="20"/>
          <w:szCs w:val="20"/>
        </w:rPr>
        <w:t xml:space="preserve">ffice </w:t>
      </w:r>
      <w:r w:rsidR="002E2C78" w:rsidRPr="007202BB">
        <w:rPr>
          <w:rFonts w:ascii="Arial" w:hAnsi="Arial" w:cs="Arial"/>
          <w:sz w:val="20"/>
          <w:szCs w:val="20"/>
        </w:rPr>
        <w:t xml:space="preserve">setzten Investoren </w:t>
      </w:r>
      <w:r w:rsidRPr="007202BB">
        <w:rPr>
          <w:rFonts w:ascii="Arial" w:hAnsi="Arial" w:cs="Arial"/>
          <w:sz w:val="20"/>
          <w:szCs w:val="20"/>
        </w:rPr>
        <w:t xml:space="preserve">2020 </w:t>
      </w:r>
      <w:r w:rsidR="002E2C78" w:rsidRPr="007202BB">
        <w:rPr>
          <w:rFonts w:ascii="Arial" w:hAnsi="Arial" w:cs="Arial"/>
          <w:sz w:val="20"/>
          <w:szCs w:val="20"/>
        </w:rPr>
        <w:t>weiter auf Büro-Immobilien, die mit einem Anteil von</w:t>
      </w:r>
      <w:r w:rsidR="00FD24DA" w:rsidRPr="007202BB">
        <w:rPr>
          <w:rFonts w:ascii="Arial" w:hAnsi="Arial" w:cs="Arial"/>
          <w:sz w:val="20"/>
          <w:szCs w:val="20"/>
        </w:rPr>
        <w:t xml:space="preserve"> </w:t>
      </w:r>
      <w:r w:rsidR="00792145" w:rsidRPr="007202BB">
        <w:rPr>
          <w:rFonts w:ascii="Arial" w:hAnsi="Arial" w:cs="Arial"/>
          <w:sz w:val="20"/>
          <w:szCs w:val="20"/>
        </w:rPr>
        <w:t>5</w:t>
      </w:r>
      <w:r w:rsidR="002E3440" w:rsidRPr="00D25B48">
        <w:rPr>
          <w:rFonts w:ascii="Arial" w:hAnsi="Arial" w:cs="Arial"/>
          <w:sz w:val="20"/>
          <w:szCs w:val="20"/>
        </w:rPr>
        <w:t>3</w:t>
      </w:r>
      <w:r w:rsidR="007202BB" w:rsidRPr="007202BB">
        <w:rPr>
          <w:rFonts w:ascii="Arial" w:hAnsi="Arial" w:cs="Arial"/>
          <w:sz w:val="20"/>
          <w:szCs w:val="20"/>
        </w:rPr>
        <w:t> </w:t>
      </w:r>
      <w:r w:rsidR="00FD24DA" w:rsidRPr="007202BB">
        <w:rPr>
          <w:rFonts w:ascii="Arial" w:hAnsi="Arial" w:cs="Arial"/>
          <w:sz w:val="20"/>
          <w:szCs w:val="20"/>
        </w:rPr>
        <w:t xml:space="preserve">% </w:t>
      </w:r>
      <w:r w:rsidR="002E2C78" w:rsidRPr="007202BB">
        <w:rPr>
          <w:rFonts w:ascii="Arial" w:hAnsi="Arial" w:cs="Arial"/>
          <w:sz w:val="20"/>
          <w:szCs w:val="20"/>
        </w:rPr>
        <w:t>das begehrteste Anlage-Objekt blieben</w:t>
      </w:r>
      <w:r w:rsidR="00FD24DA" w:rsidRPr="007202BB">
        <w:rPr>
          <w:rFonts w:ascii="Arial" w:hAnsi="Arial" w:cs="Arial"/>
          <w:sz w:val="20"/>
          <w:szCs w:val="20"/>
        </w:rPr>
        <w:t xml:space="preserve">. </w:t>
      </w:r>
      <w:r w:rsidR="00AA70E5" w:rsidRPr="007202BB">
        <w:rPr>
          <w:rFonts w:ascii="Arial" w:hAnsi="Arial" w:cs="Arial"/>
          <w:sz w:val="20"/>
          <w:szCs w:val="20"/>
        </w:rPr>
        <w:t xml:space="preserve">Die vom </w:t>
      </w:r>
      <w:proofErr w:type="spellStart"/>
      <w:r w:rsidR="00AA70E5" w:rsidRPr="007202BB">
        <w:rPr>
          <w:rFonts w:ascii="Arial" w:hAnsi="Arial" w:cs="Arial"/>
          <w:sz w:val="20"/>
          <w:szCs w:val="20"/>
        </w:rPr>
        <w:t>Lockdown</w:t>
      </w:r>
      <w:proofErr w:type="spellEnd"/>
      <w:r w:rsidR="00AA70E5" w:rsidRPr="007202BB">
        <w:rPr>
          <w:rFonts w:ascii="Arial" w:hAnsi="Arial" w:cs="Arial"/>
          <w:sz w:val="20"/>
          <w:szCs w:val="20"/>
        </w:rPr>
        <w:t xml:space="preserve"> gebeutelte</w:t>
      </w:r>
      <w:r w:rsidR="00F72F96" w:rsidRPr="007202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F96" w:rsidRPr="007202BB">
        <w:rPr>
          <w:rFonts w:ascii="Arial" w:hAnsi="Arial" w:cs="Arial"/>
          <w:sz w:val="20"/>
          <w:szCs w:val="20"/>
        </w:rPr>
        <w:t>Assetklasse</w:t>
      </w:r>
      <w:proofErr w:type="spellEnd"/>
      <w:r w:rsidR="00F72F96" w:rsidRPr="007202BB">
        <w:rPr>
          <w:rFonts w:ascii="Arial" w:hAnsi="Arial" w:cs="Arial"/>
          <w:sz w:val="20"/>
          <w:szCs w:val="20"/>
        </w:rPr>
        <w:t xml:space="preserve"> Retail kam auf </w:t>
      </w:r>
      <w:r w:rsidR="00792145" w:rsidRPr="007202BB">
        <w:rPr>
          <w:rFonts w:ascii="Arial" w:hAnsi="Arial" w:cs="Arial"/>
          <w:sz w:val="20"/>
          <w:szCs w:val="20"/>
        </w:rPr>
        <w:t>15</w:t>
      </w:r>
      <w:r w:rsidR="007202BB" w:rsidRPr="007202BB">
        <w:rPr>
          <w:rFonts w:ascii="Arial" w:hAnsi="Arial" w:cs="Arial"/>
          <w:sz w:val="20"/>
          <w:szCs w:val="20"/>
        </w:rPr>
        <w:t> </w:t>
      </w:r>
      <w:r w:rsidR="00F72F96" w:rsidRPr="007202BB">
        <w:rPr>
          <w:rFonts w:ascii="Arial" w:hAnsi="Arial" w:cs="Arial"/>
          <w:sz w:val="20"/>
          <w:szCs w:val="20"/>
        </w:rPr>
        <w:t xml:space="preserve">%. </w:t>
      </w:r>
      <w:r w:rsidR="00440A2E" w:rsidRPr="007202BB">
        <w:rPr>
          <w:rFonts w:ascii="Arial" w:hAnsi="Arial" w:cs="Arial"/>
          <w:sz w:val="20"/>
          <w:szCs w:val="20"/>
        </w:rPr>
        <w:t>Um Hotels wurde dagegen mehrheitlich ein Bogen gemacht (</w:t>
      </w:r>
      <w:r w:rsidR="00792145" w:rsidRPr="007202BB">
        <w:rPr>
          <w:rFonts w:ascii="Arial" w:hAnsi="Arial" w:cs="Arial"/>
          <w:sz w:val="20"/>
          <w:szCs w:val="20"/>
        </w:rPr>
        <w:t>2</w:t>
      </w:r>
      <w:r w:rsidR="007202BB" w:rsidRPr="007202BB">
        <w:rPr>
          <w:rFonts w:ascii="Arial" w:hAnsi="Arial" w:cs="Arial"/>
          <w:sz w:val="20"/>
          <w:szCs w:val="20"/>
        </w:rPr>
        <w:t> </w:t>
      </w:r>
      <w:r w:rsidR="00F72F96" w:rsidRPr="007202BB">
        <w:rPr>
          <w:rFonts w:ascii="Arial" w:hAnsi="Arial" w:cs="Arial"/>
          <w:sz w:val="20"/>
          <w:szCs w:val="20"/>
        </w:rPr>
        <w:t>%</w:t>
      </w:r>
      <w:r w:rsidR="00440A2E" w:rsidRPr="007202BB">
        <w:rPr>
          <w:rFonts w:ascii="Arial" w:hAnsi="Arial" w:cs="Arial"/>
          <w:sz w:val="20"/>
          <w:szCs w:val="20"/>
        </w:rPr>
        <w:t>)</w:t>
      </w:r>
      <w:r w:rsidR="00F72F96" w:rsidRPr="007202BB">
        <w:rPr>
          <w:rFonts w:ascii="Arial" w:hAnsi="Arial" w:cs="Arial"/>
          <w:sz w:val="20"/>
          <w:szCs w:val="20"/>
        </w:rPr>
        <w:t xml:space="preserve">. </w:t>
      </w:r>
    </w:p>
    <w:p w14:paraId="4A391FE3" w14:textId="27540947" w:rsidR="000C30AB" w:rsidRPr="007202BB" w:rsidRDefault="000C30AB" w:rsidP="00061A84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7202BB">
        <w:rPr>
          <w:rFonts w:ascii="Arial" w:hAnsi="Arial" w:cs="Arial"/>
          <w:sz w:val="20"/>
          <w:szCs w:val="20"/>
        </w:rPr>
        <w:t xml:space="preserve">Puschten Paketverkäufe zur Jahresmitte noch das Transaktionsvolumen, spielten sie zum Jahresende nur noch eine untergeordnete Rolle. </w:t>
      </w:r>
      <w:r w:rsidR="00785AC4" w:rsidRPr="007202BB">
        <w:rPr>
          <w:rFonts w:ascii="Arial" w:hAnsi="Arial" w:cs="Arial"/>
          <w:sz w:val="20"/>
          <w:szCs w:val="20"/>
        </w:rPr>
        <w:t xml:space="preserve">Ihr Anteil </w:t>
      </w:r>
      <w:r w:rsidRPr="007202BB">
        <w:rPr>
          <w:rFonts w:ascii="Arial" w:hAnsi="Arial" w:cs="Arial"/>
          <w:sz w:val="20"/>
          <w:szCs w:val="20"/>
        </w:rPr>
        <w:t>sank</w:t>
      </w:r>
      <w:r w:rsidR="00A77745" w:rsidRPr="007202BB">
        <w:rPr>
          <w:rFonts w:ascii="Arial" w:hAnsi="Arial" w:cs="Arial"/>
          <w:sz w:val="20"/>
          <w:szCs w:val="20"/>
        </w:rPr>
        <w:t xml:space="preserve"> mit </w:t>
      </w:r>
      <w:r w:rsidR="00792145" w:rsidRPr="007202BB">
        <w:rPr>
          <w:rFonts w:ascii="Arial" w:hAnsi="Arial" w:cs="Arial"/>
          <w:sz w:val="20"/>
          <w:szCs w:val="20"/>
        </w:rPr>
        <w:t>2</w:t>
      </w:r>
      <w:r w:rsidR="002E3440">
        <w:rPr>
          <w:rFonts w:ascii="Arial" w:hAnsi="Arial" w:cs="Arial"/>
          <w:sz w:val="20"/>
          <w:szCs w:val="20"/>
        </w:rPr>
        <w:t>7</w:t>
      </w:r>
      <w:r w:rsidR="00A77745" w:rsidRPr="007202BB">
        <w:rPr>
          <w:rFonts w:ascii="Arial" w:hAnsi="Arial" w:cs="Arial"/>
          <w:sz w:val="20"/>
          <w:szCs w:val="20"/>
        </w:rPr>
        <w:t xml:space="preserve"> % </w:t>
      </w:r>
      <w:r w:rsidR="007833EB" w:rsidRPr="007202BB">
        <w:rPr>
          <w:rFonts w:ascii="Arial" w:hAnsi="Arial" w:cs="Arial"/>
          <w:sz w:val="20"/>
          <w:szCs w:val="20"/>
        </w:rPr>
        <w:t xml:space="preserve">deutlich </w:t>
      </w:r>
      <w:r w:rsidRPr="007202BB">
        <w:rPr>
          <w:rFonts w:ascii="Arial" w:hAnsi="Arial" w:cs="Arial"/>
          <w:sz w:val="20"/>
          <w:szCs w:val="20"/>
        </w:rPr>
        <w:t xml:space="preserve">unter </w:t>
      </w:r>
      <w:r w:rsidR="001C2520" w:rsidRPr="007202BB">
        <w:rPr>
          <w:rFonts w:ascii="Arial" w:hAnsi="Arial" w:cs="Arial"/>
          <w:sz w:val="20"/>
          <w:szCs w:val="20"/>
        </w:rPr>
        <w:t>den</w:t>
      </w:r>
      <w:r w:rsidRPr="007202BB">
        <w:rPr>
          <w:rFonts w:ascii="Arial" w:hAnsi="Arial" w:cs="Arial"/>
          <w:sz w:val="20"/>
          <w:szCs w:val="20"/>
        </w:rPr>
        <w:t xml:space="preserve"> Vorjahres</w:t>
      </w:r>
      <w:r w:rsidR="007833EB" w:rsidRPr="007202BB">
        <w:rPr>
          <w:rFonts w:ascii="Arial" w:hAnsi="Arial" w:cs="Arial"/>
          <w:sz w:val="20"/>
          <w:szCs w:val="20"/>
        </w:rPr>
        <w:t>wert</w:t>
      </w:r>
      <w:r w:rsidRPr="007202BB">
        <w:rPr>
          <w:rFonts w:ascii="Arial" w:hAnsi="Arial" w:cs="Arial"/>
          <w:sz w:val="20"/>
          <w:szCs w:val="20"/>
        </w:rPr>
        <w:t xml:space="preserve"> (</w:t>
      </w:r>
      <w:r w:rsidR="002E3440">
        <w:rPr>
          <w:rFonts w:ascii="Arial" w:hAnsi="Arial" w:cs="Arial"/>
          <w:sz w:val="20"/>
          <w:szCs w:val="20"/>
        </w:rPr>
        <w:t>40</w:t>
      </w:r>
      <w:r w:rsidRPr="007202BB">
        <w:rPr>
          <w:rFonts w:ascii="Arial" w:hAnsi="Arial" w:cs="Arial"/>
          <w:sz w:val="20"/>
          <w:szCs w:val="20"/>
        </w:rPr>
        <w:t xml:space="preserve"> %). </w:t>
      </w:r>
    </w:p>
    <w:p w14:paraId="36B3BB8C" w14:textId="056E91BB" w:rsidR="005B78B1" w:rsidRPr="007202BB" w:rsidRDefault="0073549D" w:rsidP="00061A84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7202BB">
        <w:rPr>
          <w:rFonts w:ascii="Arial" w:hAnsi="Arial" w:cs="Arial"/>
          <w:sz w:val="20"/>
          <w:szCs w:val="20"/>
        </w:rPr>
        <w:t>Die Spitzenrendite</w:t>
      </w:r>
      <w:r w:rsidR="00372A64" w:rsidRPr="007202BB">
        <w:rPr>
          <w:rFonts w:ascii="Arial" w:hAnsi="Arial" w:cs="Arial"/>
          <w:sz w:val="20"/>
          <w:szCs w:val="20"/>
        </w:rPr>
        <w:t xml:space="preserve"> </w:t>
      </w:r>
      <w:r w:rsidRPr="007202BB">
        <w:rPr>
          <w:rFonts w:ascii="Arial" w:hAnsi="Arial" w:cs="Arial"/>
          <w:sz w:val="20"/>
          <w:szCs w:val="20"/>
        </w:rPr>
        <w:t>für</w:t>
      </w:r>
      <w:r w:rsidR="00792145" w:rsidRPr="007202BB">
        <w:rPr>
          <w:rFonts w:ascii="Arial" w:hAnsi="Arial" w:cs="Arial"/>
          <w:sz w:val="20"/>
          <w:szCs w:val="20"/>
        </w:rPr>
        <w:t xml:space="preserve"> die krisenresistent erscheinende </w:t>
      </w:r>
      <w:proofErr w:type="spellStart"/>
      <w:r w:rsidR="00D76449" w:rsidRPr="007202BB">
        <w:rPr>
          <w:rFonts w:ascii="Arial" w:hAnsi="Arial" w:cs="Arial"/>
          <w:sz w:val="20"/>
          <w:szCs w:val="20"/>
        </w:rPr>
        <w:t>Assetklasse</w:t>
      </w:r>
      <w:proofErr w:type="spellEnd"/>
      <w:r w:rsidR="00372A64" w:rsidRPr="007202BB">
        <w:rPr>
          <w:rFonts w:ascii="Arial" w:hAnsi="Arial" w:cs="Arial"/>
          <w:sz w:val="20"/>
          <w:szCs w:val="20"/>
        </w:rPr>
        <w:t xml:space="preserve"> </w:t>
      </w:r>
      <w:r w:rsidR="00792145" w:rsidRPr="007202BB">
        <w:rPr>
          <w:rFonts w:ascii="Arial" w:hAnsi="Arial" w:cs="Arial"/>
          <w:sz w:val="20"/>
          <w:szCs w:val="20"/>
        </w:rPr>
        <w:t xml:space="preserve">der </w:t>
      </w:r>
      <w:r w:rsidR="00372A64" w:rsidRPr="007202BB">
        <w:rPr>
          <w:rFonts w:ascii="Arial" w:hAnsi="Arial" w:cs="Arial"/>
          <w:sz w:val="20"/>
          <w:szCs w:val="20"/>
        </w:rPr>
        <w:t>Logistik-Immobilie</w:t>
      </w:r>
      <w:r w:rsidR="005A0421" w:rsidRPr="007202BB">
        <w:rPr>
          <w:rFonts w:ascii="Arial" w:hAnsi="Arial" w:cs="Arial"/>
          <w:sz w:val="20"/>
          <w:szCs w:val="20"/>
        </w:rPr>
        <w:t>n</w:t>
      </w:r>
      <w:r w:rsidR="00372A64" w:rsidRPr="007202BB">
        <w:rPr>
          <w:rFonts w:ascii="Arial" w:hAnsi="Arial" w:cs="Arial"/>
          <w:sz w:val="20"/>
          <w:szCs w:val="20"/>
        </w:rPr>
        <w:t xml:space="preserve"> sank </w:t>
      </w:r>
      <w:r w:rsidRPr="007202BB">
        <w:rPr>
          <w:rFonts w:ascii="Arial" w:hAnsi="Arial" w:cs="Arial"/>
          <w:sz w:val="20"/>
          <w:szCs w:val="20"/>
        </w:rPr>
        <w:t>im Vorjahres</w:t>
      </w:r>
      <w:r w:rsidR="001C2520" w:rsidRPr="007202BB">
        <w:rPr>
          <w:rFonts w:ascii="Arial" w:hAnsi="Arial" w:cs="Arial"/>
          <w:sz w:val="20"/>
          <w:szCs w:val="20"/>
        </w:rPr>
        <w:t>vergleich auf 4,00</w:t>
      </w:r>
      <w:r w:rsidR="0060010D">
        <w:rPr>
          <w:rFonts w:ascii="Arial" w:hAnsi="Arial" w:cs="Arial"/>
          <w:sz w:val="20"/>
          <w:szCs w:val="20"/>
        </w:rPr>
        <w:t xml:space="preserve"> %</w:t>
      </w:r>
      <w:r w:rsidR="00C21138">
        <w:rPr>
          <w:rFonts w:ascii="Arial" w:hAnsi="Arial" w:cs="Arial"/>
          <w:sz w:val="20"/>
          <w:szCs w:val="20"/>
        </w:rPr>
        <w:t>. Ein weiteres Absinken der Logistik-Spitzenrendite ist wahrscheinlich, wie es schon an anderen Top-</w:t>
      </w:r>
      <w:r w:rsidR="00CB1725">
        <w:rPr>
          <w:rFonts w:ascii="Arial" w:hAnsi="Arial" w:cs="Arial"/>
          <w:sz w:val="20"/>
          <w:szCs w:val="20"/>
        </w:rPr>
        <w:t>7-</w:t>
      </w:r>
      <w:r w:rsidR="00C21138">
        <w:rPr>
          <w:rFonts w:ascii="Arial" w:hAnsi="Arial" w:cs="Arial"/>
          <w:sz w:val="20"/>
          <w:szCs w:val="20"/>
        </w:rPr>
        <w:t>Standorten der Fall ist.</w:t>
      </w:r>
      <w:r w:rsidR="0060010D">
        <w:rPr>
          <w:rFonts w:ascii="Arial" w:hAnsi="Arial" w:cs="Arial"/>
          <w:sz w:val="20"/>
          <w:szCs w:val="20"/>
        </w:rPr>
        <w:t xml:space="preserve"> </w:t>
      </w:r>
      <w:r w:rsidR="00792145" w:rsidRPr="007202BB">
        <w:rPr>
          <w:rFonts w:ascii="Arial" w:hAnsi="Arial" w:cs="Arial"/>
          <w:sz w:val="20"/>
          <w:szCs w:val="20"/>
        </w:rPr>
        <w:t xml:space="preserve">Die </w:t>
      </w:r>
      <w:r w:rsidR="00372A64" w:rsidRPr="007202BB">
        <w:rPr>
          <w:rFonts w:ascii="Arial" w:hAnsi="Arial" w:cs="Arial"/>
          <w:sz w:val="20"/>
          <w:szCs w:val="20"/>
        </w:rPr>
        <w:t>Wert</w:t>
      </w:r>
      <w:r w:rsidR="00792145" w:rsidRPr="007202BB">
        <w:rPr>
          <w:rFonts w:ascii="Arial" w:hAnsi="Arial" w:cs="Arial"/>
          <w:sz w:val="20"/>
          <w:szCs w:val="20"/>
        </w:rPr>
        <w:t>e</w:t>
      </w:r>
      <w:r w:rsidR="00372A64" w:rsidRPr="007202BB">
        <w:rPr>
          <w:rFonts w:ascii="Arial" w:hAnsi="Arial" w:cs="Arial"/>
          <w:sz w:val="20"/>
          <w:szCs w:val="20"/>
        </w:rPr>
        <w:t xml:space="preserve"> für Büro-Objekte </w:t>
      </w:r>
      <w:r w:rsidR="007202BB" w:rsidRPr="007202BB">
        <w:rPr>
          <w:rFonts w:ascii="Arial" w:hAnsi="Arial" w:cs="Arial"/>
          <w:sz w:val="20"/>
          <w:szCs w:val="20"/>
        </w:rPr>
        <w:t xml:space="preserve">sowie </w:t>
      </w:r>
      <w:r w:rsidR="00FF0F9F" w:rsidRPr="007202BB">
        <w:rPr>
          <w:rFonts w:ascii="Arial" w:hAnsi="Arial" w:cs="Arial"/>
          <w:sz w:val="20"/>
          <w:szCs w:val="20"/>
        </w:rPr>
        <w:t>für Geschäftshäuser</w:t>
      </w:r>
      <w:r w:rsidR="00372A64" w:rsidRPr="007202BB">
        <w:rPr>
          <w:rFonts w:ascii="Arial" w:hAnsi="Arial" w:cs="Arial"/>
          <w:sz w:val="20"/>
          <w:szCs w:val="20"/>
        </w:rPr>
        <w:t xml:space="preserve"> </w:t>
      </w:r>
      <w:r w:rsidR="00792145" w:rsidRPr="007202BB">
        <w:rPr>
          <w:rFonts w:ascii="Arial" w:hAnsi="Arial" w:cs="Arial"/>
          <w:sz w:val="20"/>
          <w:szCs w:val="20"/>
        </w:rPr>
        <w:t xml:space="preserve">blieben mit </w:t>
      </w:r>
      <w:r w:rsidR="007202BB" w:rsidRPr="007202BB">
        <w:rPr>
          <w:rFonts w:ascii="Arial" w:hAnsi="Arial" w:cs="Arial"/>
          <w:sz w:val="20"/>
          <w:szCs w:val="20"/>
        </w:rPr>
        <w:t>2,80 </w:t>
      </w:r>
      <w:r w:rsidR="00792145" w:rsidRPr="007202BB">
        <w:rPr>
          <w:rFonts w:ascii="Arial" w:hAnsi="Arial" w:cs="Arial"/>
          <w:sz w:val="20"/>
          <w:szCs w:val="20"/>
        </w:rPr>
        <w:t xml:space="preserve">% bzw. 2,70 % auf Vorjahresniveau. </w:t>
      </w:r>
    </w:p>
    <w:p w14:paraId="5E40163B" w14:textId="3E0B6D69" w:rsidR="008A2BA4" w:rsidRPr="005A0421" w:rsidRDefault="005B78B1" w:rsidP="005A41F6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7202BB">
        <w:rPr>
          <w:rFonts w:ascii="Arial" w:hAnsi="Arial" w:cs="Arial"/>
          <w:sz w:val="20"/>
          <w:szCs w:val="20"/>
        </w:rPr>
        <w:t xml:space="preserve">Die aktuelle Krise </w:t>
      </w:r>
      <w:r w:rsidR="00EE6E3A" w:rsidRPr="007202BB">
        <w:rPr>
          <w:rFonts w:ascii="Arial" w:hAnsi="Arial" w:cs="Arial"/>
          <w:sz w:val="20"/>
          <w:szCs w:val="20"/>
        </w:rPr>
        <w:t>führt</w:t>
      </w:r>
      <w:r w:rsidRPr="007202BB">
        <w:rPr>
          <w:rFonts w:ascii="Arial" w:hAnsi="Arial" w:cs="Arial"/>
          <w:sz w:val="20"/>
          <w:szCs w:val="20"/>
        </w:rPr>
        <w:t xml:space="preserve"> bei </w:t>
      </w:r>
      <w:r w:rsidR="007202BB" w:rsidRPr="007202BB">
        <w:rPr>
          <w:rFonts w:ascii="Arial" w:hAnsi="Arial" w:cs="Arial"/>
          <w:sz w:val="20"/>
          <w:szCs w:val="20"/>
        </w:rPr>
        <w:t>einigen</w:t>
      </w:r>
      <w:r w:rsidR="00D76449" w:rsidRPr="007202BB">
        <w:rPr>
          <w:rFonts w:ascii="Arial" w:hAnsi="Arial" w:cs="Arial"/>
          <w:sz w:val="20"/>
          <w:szCs w:val="20"/>
        </w:rPr>
        <w:t xml:space="preserve"> Anlegern</w:t>
      </w:r>
      <w:r w:rsidRPr="007202BB">
        <w:rPr>
          <w:rFonts w:ascii="Arial" w:hAnsi="Arial" w:cs="Arial"/>
          <w:sz w:val="20"/>
          <w:szCs w:val="20"/>
        </w:rPr>
        <w:t xml:space="preserve"> </w:t>
      </w:r>
      <w:r w:rsidR="00AF288C">
        <w:rPr>
          <w:rFonts w:ascii="Arial" w:hAnsi="Arial" w:cs="Arial"/>
          <w:sz w:val="20"/>
          <w:szCs w:val="20"/>
        </w:rPr>
        <w:t>zur Anpassung i</w:t>
      </w:r>
      <w:r w:rsidR="00EE6E3A" w:rsidRPr="007202BB">
        <w:rPr>
          <w:rFonts w:ascii="Arial" w:hAnsi="Arial" w:cs="Arial"/>
          <w:sz w:val="20"/>
          <w:szCs w:val="20"/>
        </w:rPr>
        <w:t>hrer</w:t>
      </w:r>
      <w:r w:rsidRPr="007202BB">
        <w:rPr>
          <w:rFonts w:ascii="Arial" w:hAnsi="Arial" w:cs="Arial"/>
          <w:sz w:val="20"/>
          <w:szCs w:val="20"/>
        </w:rPr>
        <w:t xml:space="preserve"> Investment-Strategien. </w:t>
      </w:r>
      <w:r w:rsidR="00EE6E3A" w:rsidRPr="007202BB">
        <w:rPr>
          <w:rFonts w:ascii="Arial" w:hAnsi="Arial" w:cs="Arial"/>
          <w:sz w:val="20"/>
          <w:szCs w:val="20"/>
        </w:rPr>
        <w:t>Im Fokus stehen gut vermietete Objekte in attraktiven Lagen</w:t>
      </w:r>
      <w:r w:rsidR="005A0421" w:rsidRPr="007202BB">
        <w:rPr>
          <w:rFonts w:ascii="Arial" w:hAnsi="Arial" w:cs="Arial"/>
          <w:sz w:val="20"/>
          <w:szCs w:val="20"/>
        </w:rPr>
        <w:t xml:space="preserve">. </w:t>
      </w:r>
      <w:r w:rsidR="00AA70E5" w:rsidRPr="007202BB">
        <w:rPr>
          <w:rFonts w:ascii="Arial" w:hAnsi="Arial" w:cs="Arial"/>
          <w:sz w:val="20"/>
          <w:szCs w:val="20"/>
        </w:rPr>
        <w:t>Diese</w:t>
      </w:r>
      <w:r w:rsidR="00EE6E3A" w:rsidRPr="007202BB">
        <w:rPr>
          <w:rFonts w:ascii="Arial" w:hAnsi="Arial" w:cs="Arial"/>
          <w:sz w:val="20"/>
          <w:szCs w:val="20"/>
        </w:rPr>
        <w:t>r Trend</w:t>
      </w:r>
      <w:r w:rsidR="00AA70E5" w:rsidRPr="007202BB">
        <w:rPr>
          <w:rFonts w:ascii="Arial" w:hAnsi="Arial" w:cs="Arial"/>
          <w:sz w:val="20"/>
          <w:szCs w:val="20"/>
        </w:rPr>
        <w:t xml:space="preserve"> dürfte </w:t>
      </w:r>
      <w:r w:rsidR="00EE6E3A" w:rsidRPr="007202BB">
        <w:rPr>
          <w:rFonts w:ascii="Arial" w:hAnsi="Arial" w:cs="Arial"/>
          <w:sz w:val="20"/>
          <w:szCs w:val="20"/>
        </w:rPr>
        <w:t>bis zum Ende der Krise anhalten</w:t>
      </w:r>
      <w:r w:rsidRPr="007202BB">
        <w:rPr>
          <w:rFonts w:ascii="Arial" w:hAnsi="Arial" w:cs="Arial"/>
          <w:sz w:val="20"/>
          <w:szCs w:val="20"/>
        </w:rPr>
        <w:t xml:space="preserve">. </w:t>
      </w:r>
      <w:r w:rsidR="005A0421" w:rsidRPr="007202BB">
        <w:rPr>
          <w:rFonts w:ascii="Arial" w:hAnsi="Arial" w:cs="Arial"/>
          <w:sz w:val="20"/>
          <w:szCs w:val="20"/>
        </w:rPr>
        <w:t xml:space="preserve">Eine Wiederholung des guten Ergebnisses von 2020 scheint dabei unwahrscheinlich. </w:t>
      </w:r>
      <w:r w:rsidR="00261FB3" w:rsidRPr="005A0421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2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0A5ED1" w:rsidRPr="006F49D0" w14:paraId="2928D7C9" w14:textId="77777777" w:rsidTr="00365AF8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513B5E89" w14:textId="0E2F594A" w:rsidR="000A5ED1" w:rsidRPr="00060752" w:rsidRDefault="000A5ED1" w:rsidP="00CD6BD0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0752">
              <w:rPr>
                <w:rFonts w:ascii="Arial" w:hAnsi="Arial" w:cs="Arial"/>
                <w:b/>
                <w:sz w:val="18"/>
                <w:szCs w:val="18"/>
              </w:rPr>
              <w:lastRenderedPageBreak/>
              <w:t>Investmentmarkt</w:t>
            </w:r>
            <w:r w:rsidR="00800E2C" w:rsidRPr="00060752">
              <w:rPr>
                <w:rFonts w:ascii="Arial" w:hAnsi="Arial" w:cs="Arial"/>
                <w:b/>
                <w:sz w:val="18"/>
                <w:szCs w:val="18"/>
              </w:rPr>
              <w:t xml:space="preserve"> |</w:t>
            </w:r>
            <w:r w:rsidRPr="000607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412E" w:rsidRPr="00060752">
              <w:rPr>
                <w:rFonts w:ascii="Arial" w:hAnsi="Arial" w:cs="Arial"/>
                <w:b/>
                <w:sz w:val="18"/>
                <w:szCs w:val="18"/>
              </w:rPr>
              <w:t>Hamburg</w:t>
            </w:r>
            <w:r w:rsidR="00800E2C" w:rsidRPr="00060752">
              <w:rPr>
                <w:sz w:val="18"/>
                <w:szCs w:val="18"/>
              </w:rPr>
              <w:t xml:space="preserve"> </w:t>
            </w:r>
            <w:r w:rsidR="00800E2C" w:rsidRPr="00060752">
              <w:rPr>
                <w:rFonts w:ascii="Arial" w:hAnsi="Arial" w:cs="Arial"/>
                <w:b/>
                <w:sz w:val="18"/>
                <w:szCs w:val="18"/>
              </w:rPr>
              <w:t xml:space="preserve">| </w:t>
            </w:r>
            <w:r w:rsidR="00CD6BD0" w:rsidRPr="00060752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1F242B" w:themeFill="accent2"/>
          </w:tcPr>
          <w:p w14:paraId="6DA68AD4" w14:textId="2A3E98BE" w:rsidR="000A5ED1" w:rsidRPr="00060752" w:rsidRDefault="000A5ED1" w:rsidP="00465B0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752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797E4F" w:rsidRPr="0006075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66A9" w:rsidRPr="00060752">
              <w:rPr>
                <w:rFonts w:ascii="Arial" w:hAnsi="Arial" w:cs="Arial"/>
                <w:b/>
                <w:sz w:val="18"/>
                <w:szCs w:val="18"/>
              </w:rPr>
              <w:t>-4</w:t>
            </w:r>
          </w:p>
        </w:tc>
      </w:tr>
      <w:tr w:rsidR="00797E4F" w:rsidRPr="006F49D0" w14:paraId="12A35FD1" w14:textId="77777777" w:rsidTr="00365AF8">
        <w:trPr>
          <w:trHeight w:val="283"/>
        </w:trPr>
        <w:tc>
          <w:tcPr>
            <w:tcW w:w="3823" w:type="dxa"/>
          </w:tcPr>
          <w:p w14:paraId="1EEAFBBC" w14:textId="7D79639C" w:rsidR="00797E4F" w:rsidRPr="004712BA" w:rsidRDefault="00797E4F" w:rsidP="00E17864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="00E17864">
              <w:rPr>
                <w:rFonts w:ascii="Arial" w:hAnsi="Arial" w:cs="Arial"/>
                <w:sz w:val="18"/>
                <w:szCs w:val="16"/>
              </w:rPr>
              <w:t>Mio</w:t>
            </w:r>
            <w:r w:rsidRPr="004712BA">
              <w:rPr>
                <w:rFonts w:ascii="Arial" w:hAnsi="Arial" w:cs="Arial"/>
                <w:sz w:val="18"/>
                <w:szCs w:val="16"/>
              </w:rPr>
              <w:t>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7C81A3D" w14:textId="65484BC8" w:rsidR="00797E4F" w:rsidRPr="007202BB" w:rsidRDefault="007B66A9" w:rsidP="002E3440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5</w:t>
            </w:r>
            <w:r w:rsidR="00E17864" w:rsidRPr="007202BB">
              <w:rPr>
                <w:rFonts w:ascii="Arial" w:hAnsi="Arial" w:cs="Arial"/>
                <w:sz w:val="18"/>
                <w:szCs w:val="16"/>
              </w:rPr>
              <w:t>.</w:t>
            </w:r>
            <w:r w:rsidR="007202BB" w:rsidRPr="007202BB">
              <w:rPr>
                <w:rFonts w:ascii="Arial" w:hAnsi="Arial" w:cs="Arial"/>
                <w:sz w:val="18"/>
                <w:szCs w:val="16"/>
              </w:rPr>
              <w:t>3</w:t>
            </w:r>
            <w:r w:rsidR="002E3440">
              <w:rPr>
                <w:rFonts w:ascii="Arial" w:hAnsi="Arial" w:cs="Arial"/>
                <w:sz w:val="18"/>
                <w:szCs w:val="16"/>
              </w:rPr>
              <w:t>70</w:t>
            </w:r>
          </w:p>
        </w:tc>
      </w:tr>
      <w:tr w:rsidR="00797E4F" w:rsidRPr="006F49D0" w14:paraId="6A7ABFCD" w14:textId="77777777" w:rsidTr="00365AF8">
        <w:trPr>
          <w:trHeight w:val="283"/>
        </w:trPr>
        <w:tc>
          <w:tcPr>
            <w:tcW w:w="3823" w:type="dxa"/>
          </w:tcPr>
          <w:p w14:paraId="209F9D9C" w14:textId="77777777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66E247E" w14:textId="2B15E549" w:rsidR="00797E4F" w:rsidRPr="007202BB" w:rsidRDefault="003B0F06" w:rsidP="007202B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+</w:t>
            </w:r>
            <w:r w:rsidR="002E3440">
              <w:rPr>
                <w:rFonts w:ascii="Arial" w:hAnsi="Arial" w:cs="Arial"/>
                <w:sz w:val="18"/>
                <w:szCs w:val="16"/>
              </w:rPr>
              <w:t>24</w:t>
            </w:r>
          </w:p>
        </w:tc>
      </w:tr>
      <w:tr w:rsidR="00797E4F" w:rsidRPr="006F49D0" w14:paraId="1F46D6E3" w14:textId="77777777" w:rsidTr="00365AF8">
        <w:trPr>
          <w:trHeight w:val="283"/>
        </w:trPr>
        <w:tc>
          <w:tcPr>
            <w:tcW w:w="3823" w:type="dxa"/>
          </w:tcPr>
          <w:p w14:paraId="021D0700" w14:textId="77777777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2EA23137" w14:textId="4071748A" w:rsidR="00797E4F" w:rsidRPr="007202BB" w:rsidRDefault="007202BB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43</w:t>
            </w:r>
          </w:p>
        </w:tc>
      </w:tr>
      <w:tr w:rsidR="00797E4F" w:rsidRPr="006F49D0" w14:paraId="1F687A93" w14:textId="77777777" w:rsidTr="00365AF8">
        <w:trPr>
          <w:trHeight w:val="283"/>
        </w:trPr>
        <w:tc>
          <w:tcPr>
            <w:tcW w:w="3823" w:type="dxa"/>
          </w:tcPr>
          <w:p w14:paraId="7BAE8D04" w14:textId="77777777" w:rsidR="00797E4F" w:rsidRPr="00CF57D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7264C863" w14:textId="4F4E521A" w:rsidR="00797E4F" w:rsidRPr="007202BB" w:rsidRDefault="007202BB" w:rsidP="002E3440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3</w:t>
            </w:r>
            <w:r w:rsidR="002E3440">
              <w:rPr>
                <w:rFonts w:ascii="Arial" w:hAnsi="Arial" w:cs="Arial"/>
                <w:sz w:val="18"/>
                <w:szCs w:val="16"/>
              </w:rPr>
              <w:t>8</w:t>
            </w:r>
          </w:p>
        </w:tc>
      </w:tr>
      <w:tr w:rsidR="00797E4F" w:rsidRPr="006F49D0" w14:paraId="16A9EFD5" w14:textId="77777777" w:rsidTr="00365AF8">
        <w:trPr>
          <w:trHeight w:val="283"/>
        </w:trPr>
        <w:tc>
          <w:tcPr>
            <w:tcW w:w="3823" w:type="dxa"/>
          </w:tcPr>
          <w:p w14:paraId="776A8B5E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D71828B" w14:textId="717A48C3" w:rsidR="00797E4F" w:rsidRPr="007202BB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2,80</w:t>
            </w:r>
          </w:p>
        </w:tc>
      </w:tr>
      <w:tr w:rsidR="00797E4F" w14:paraId="55B3498E" w14:textId="77777777" w:rsidTr="00365AF8">
        <w:trPr>
          <w:trHeight w:val="283"/>
        </w:trPr>
        <w:tc>
          <w:tcPr>
            <w:tcW w:w="3823" w:type="dxa"/>
          </w:tcPr>
          <w:p w14:paraId="10626FFC" w14:textId="3379598B" w:rsidR="00797E4F" w:rsidRPr="00A7575D" w:rsidRDefault="00797E4F" w:rsidP="0057685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2B6ED377" w14:textId="3DE00338" w:rsidR="00797E4F" w:rsidRPr="007202BB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797E4F" w:rsidRPr="006F49D0" w14:paraId="3FF9A817" w14:textId="77777777" w:rsidTr="00365AF8">
        <w:trPr>
          <w:trHeight w:val="283"/>
        </w:trPr>
        <w:tc>
          <w:tcPr>
            <w:tcW w:w="3823" w:type="dxa"/>
          </w:tcPr>
          <w:p w14:paraId="5A19B7CF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7AD5745" w14:textId="50D777AC" w:rsidR="00797E4F" w:rsidRPr="007202BB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2,70</w:t>
            </w:r>
          </w:p>
        </w:tc>
      </w:tr>
      <w:tr w:rsidR="00797E4F" w14:paraId="0515B637" w14:textId="77777777" w:rsidTr="00365AF8">
        <w:trPr>
          <w:trHeight w:val="283"/>
        </w:trPr>
        <w:tc>
          <w:tcPr>
            <w:tcW w:w="3823" w:type="dxa"/>
          </w:tcPr>
          <w:p w14:paraId="67B252C5" w14:textId="516CED9B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F1E364B" w14:textId="61527676" w:rsidR="00797E4F" w:rsidRPr="007202BB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797E4F" w:rsidRPr="006F49D0" w14:paraId="5FADA812" w14:textId="77777777" w:rsidTr="00365AF8">
        <w:trPr>
          <w:trHeight w:val="283"/>
        </w:trPr>
        <w:tc>
          <w:tcPr>
            <w:tcW w:w="3823" w:type="dxa"/>
          </w:tcPr>
          <w:p w14:paraId="2CFBFCBA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A1B2D82" w14:textId="31EAE06C" w:rsidR="00797E4F" w:rsidRPr="007202BB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4,</w:t>
            </w:r>
            <w:r w:rsidR="007202BB" w:rsidRPr="007202BB">
              <w:rPr>
                <w:rFonts w:ascii="Arial" w:hAnsi="Arial" w:cs="Arial"/>
                <w:sz w:val="18"/>
                <w:szCs w:val="16"/>
              </w:rPr>
              <w:t>0</w:t>
            </w:r>
            <w:r w:rsidR="002E3440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797E4F" w14:paraId="20B8D9B7" w14:textId="77777777" w:rsidTr="00365AF8">
        <w:trPr>
          <w:trHeight w:val="283"/>
        </w:trPr>
        <w:tc>
          <w:tcPr>
            <w:tcW w:w="3823" w:type="dxa"/>
          </w:tcPr>
          <w:p w14:paraId="24159E32" w14:textId="5AE4316B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C62ADF7" w14:textId="1E4577B6" w:rsidR="00797E4F" w:rsidRPr="007202BB" w:rsidRDefault="00313876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-</w:t>
            </w:r>
            <w:r w:rsidR="00277361" w:rsidRPr="007202BB">
              <w:rPr>
                <w:rFonts w:ascii="Arial" w:hAnsi="Arial" w:cs="Arial"/>
                <w:sz w:val="18"/>
                <w:szCs w:val="16"/>
              </w:rPr>
              <w:t>0,</w:t>
            </w:r>
            <w:r w:rsidR="00C21138">
              <w:rPr>
                <w:rFonts w:ascii="Arial" w:hAnsi="Arial" w:cs="Arial"/>
                <w:sz w:val="18"/>
                <w:szCs w:val="16"/>
              </w:rPr>
              <w:t>25</w:t>
            </w:r>
          </w:p>
        </w:tc>
      </w:tr>
      <w:tr w:rsidR="00797E4F" w:rsidRPr="006F49D0" w14:paraId="258FCBB3" w14:textId="77777777" w:rsidTr="00365AF8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6E84F40E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93AE39" w14:textId="6107A027" w:rsidR="00797E4F" w:rsidRPr="007202BB" w:rsidRDefault="004C3F94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797E4F" w:rsidRPr="006F49D0" w14:paraId="15F08F3E" w14:textId="77777777" w:rsidTr="00365AF8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88669C5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9478F0" w14:textId="32976B53" w:rsidR="00797E4F" w:rsidRPr="007202BB" w:rsidRDefault="00ED0267" w:rsidP="002E3440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5</w:t>
            </w:r>
            <w:r w:rsidR="002E3440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</w:tbl>
    <w:p w14:paraId="7AFFF209" w14:textId="1101EEE2" w:rsidR="000A5ED1" w:rsidRPr="00B26FFD" w:rsidRDefault="00F433F2" w:rsidP="000A5ED1">
      <w:pPr>
        <w:spacing w:after="0" w:line="360" w:lineRule="auto"/>
        <w:ind w:left="66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pict w14:anchorId="7F9BA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7pt;margin-top:6.1pt;width:240.1pt;height:170pt;z-index:251659264;mso-position-horizontal-relative:margin;mso-position-vertical-relative:margin" stroked="t" strokecolor="black [3213]">
            <v:imagedata r:id="rId8" o:title="Investmentmarkt Hamburg_4Q2020_TAV_de"/>
            <w10:wrap type="square" anchorx="margin" anchory="margin"/>
          </v:shape>
        </w:pict>
      </w:r>
    </w:p>
    <w:p w14:paraId="28EB66BA" w14:textId="5B79AF62" w:rsidR="00FA0BF4" w:rsidRDefault="00FA0BF4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664A1698" w14:textId="77777777" w:rsidR="007C0ABB" w:rsidRDefault="007C0ABB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9B26E04" w14:textId="515175DB" w:rsidR="00A0600B" w:rsidRPr="00A0600B" w:rsidRDefault="00713D81" w:rsidP="008327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</w:t>
      </w:r>
      <w:r w:rsidR="00FD39DE">
        <w:rPr>
          <w:rFonts w:ascii="Arial" w:hAnsi="Arial" w:cs="Arial"/>
          <w:b/>
          <w:sz w:val="20"/>
          <w:szCs w:val="20"/>
        </w:rPr>
        <w:t>Top-</w:t>
      </w:r>
      <w:r>
        <w:rPr>
          <w:rFonts w:ascii="Arial" w:hAnsi="Arial" w:cs="Arial"/>
          <w:b/>
          <w:sz w:val="20"/>
          <w:szCs w:val="20"/>
        </w:rPr>
        <w:t>Transaktionen</w:t>
      </w:r>
      <w:r w:rsidR="00E90673">
        <w:rPr>
          <w:rFonts w:ascii="Arial" w:hAnsi="Arial" w:cs="Arial"/>
          <w:b/>
          <w:sz w:val="20"/>
          <w:szCs w:val="20"/>
        </w:rPr>
        <w:t xml:space="preserve"> | Investmentmarkt </w:t>
      </w:r>
      <w:r w:rsidR="0054412E">
        <w:rPr>
          <w:rFonts w:ascii="Arial" w:hAnsi="Arial" w:cs="Arial"/>
          <w:b/>
          <w:sz w:val="20"/>
          <w:szCs w:val="20"/>
        </w:rPr>
        <w:t>Hamburg</w:t>
      </w:r>
      <w:r w:rsidR="00CD6BD0">
        <w:rPr>
          <w:rFonts w:ascii="Arial" w:hAnsi="Arial" w:cs="Arial"/>
          <w:b/>
          <w:sz w:val="20"/>
          <w:szCs w:val="20"/>
        </w:rPr>
        <w:t xml:space="preserve"> | 1</w:t>
      </w:r>
      <w:r w:rsidR="00567E49">
        <w:rPr>
          <w:rFonts w:ascii="Arial" w:hAnsi="Arial" w:cs="Arial"/>
          <w:b/>
          <w:sz w:val="20"/>
          <w:szCs w:val="20"/>
        </w:rPr>
        <w:t>.-</w:t>
      </w:r>
      <w:r w:rsidR="007B66A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 w:rsidR="00CD6BD0">
        <w:rPr>
          <w:rFonts w:ascii="Arial" w:hAnsi="Arial" w:cs="Arial"/>
          <w:b/>
          <w:sz w:val="20"/>
          <w:szCs w:val="20"/>
        </w:rPr>
        <w:t>2020</w:t>
      </w:r>
    </w:p>
    <w:tbl>
      <w:tblPr>
        <w:tblStyle w:val="TableGrid1"/>
        <w:tblpPr w:leftFromText="141" w:rightFromText="141" w:vertAnchor="text" w:horzAnchor="margin" w:tblpY="61"/>
        <w:tblW w:w="10015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2268"/>
        <w:gridCol w:w="1937"/>
        <w:gridCol w:w="1137"/>
      </w:tblGrid>
      <w:tr w:rsidR="0057685F" w:rsidRPr="00CB1725" w14:paraId="3881C746" w14:textId="77777777" w:rsidTr="00CB1725">
        <w:trPr>
          <w:trHeight w:val="567"/>
        </w:trPr>
        <w:tc>
          <w:tcPr>
            <w:tcW w:w="2263" w:type="dxa"/>
            <w:shd w:val="clear" w:color="auto" w:fill="1F242B" w:themeFill="accent2"/>
          </w:tcPr>
          <w:p w14:paraId="14016470" w14:textId="77777777" w:rsidR="00CB1725" w:rsidRDefault="00CB1725" w:rsidP="00CB172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D3315CD" w14:textId="686F61A2" w:rsidR="00713D81" w:rsidRDefault="00713D81" w:rsidP="00CB172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 w:rsidR="0057685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57685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1BD8284D" w14:textId="7DD96B21" w:rsidR="00713D81" w:rsidRPr="00C626E7" w:rsidRDefault="00713D81" w:rsidP="00CB172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Straße Nr.</w:t>
            </w:r>
          </w:p>
        </w:tc>
        <w:tc>
          <w:tcPr>
            <w:tcW w:w="1134" w:type="dxa"/>
            <w:shd w:val="clear" w:color="auto" w:fill="1F242B" w:themeFill="accent2"/>
          </w:tcPr>
          <w:p w14:paraId="4E8EC8BF" w14:textId="3464C5E7" w:rsidR="00713D81" w:rsidRPr="009F10F1" w:rsidRDefault="00CB1725" w:rsidP="00CB1725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713D81"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276" w:type="dxa"/>
            <w:shd w:val="clear" w:color="auto" w:fill="1F242B" w:themeFill="accent2"/>
          </w:tcPr>
          <w:p w14:paraId="56B818C2" w14:textId="66BC2E36" w:rsidR="00713D81" w:rsidRPr="009F10F1" w:rsidRDefault="00CB1725" w:rsidP="00CB1725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713D81"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2268" w:type="dxa"/>
            <w:shd w:val="clear" w:color="auto" w:fill="1F242B" w:themeFill="accent2"/>
          </w:tcPr>
          <w:p w14:paraId="6F9AAE5A" w14:textId="19E10EB5" w:rsidR="00713D81" w:rsidRPr="009F10F1" w:rsidRDefault="00CB1725" w:rsidP="00CB1725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D0004A"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1937" w:type="dxa"/>
            <w:shd w:val="clear" w:color="auto" w:fill="1F242B" w:themeFill="accent2"/>
          </w:tcPr>
          <w:p w14:paraId="1C1FB7C5" w14:textId="3760F187" w:rsidR="00713D81" w:rsidRPr="00CB1725" w:rsidRDefault="00CB1725" w:rsidP="00CB1725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B1725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713D81" w:rsidRPr="00CB1725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7" w:type="dxa"/>
            <w:shd w:val="clear" w:color="auto" w:fill="1F242B" w:themeFill="accent2"/>
          </w:tcPr>
          <w:p w14:paraId="07D9CAD3" w14:textId="678A9FB3" w:rsidR="00713D81" w:rsidRPr="00CB1725" w:rsidRDefault="00713D81" w:rsidP="00CB1725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B1725"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265919DA" w14:textId="77777777" w:rsidR="00CB1725" w:rsidRPr="00CB1725" w:rsidRDefault="00713D81" w:rsidP="00CB1725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1725">
              <w:rPr>
                <w:rFonts w:ascii="Arial" w:hAnsi="Arial" w:cs="Arial"/>
                <w:sz w:val="18"/>
                <w:szCs w:val="16"/>
              </w:rPr>
              <w:t>[ca.</w:t>
            </w:r>
          </w:p>
          <w:p w14:paraId="4946B45A" w14:textId="3412AE68" w:rsidR="00713D81" w:rsidRPr="00CB1725" w:rsidRDefault="00713D81" w:rsidP="00CB1725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B1725">
              <w:rPr>
                <w:rFonts w:ascii="Arial" w:hAnsi="Arial" w:cs="Arial"/>
                <w:sz w:val="18"/>
                <w:szCs w:val="16"/>
              </w:rPr>
              <w:t>Mio. €]</w:t>
            </w:r>
          </w:p>
        </w:tc>
      </w:tr>
      <w:tr w:rsidR="00F2414C" w:rsidRPr="00F2414C" w14:paraId="536A5B8F" w14:textId="77777777" w:rsidTr="00CB1725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1881AA3" w14:textId="596B855B" w:rsidR="006321DC" w:rsidRPr="00CB1725" w:rsidRDefault="000623C0" w:rsidP="00CF2E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7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„Johann Kontor”, Klosterwall 6-8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2BEE6" w14:textId="5F0353D5" w:rsidR="006321DC" w:rsidRPr="00CB1725" w:rsidRDefault="000623C0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725">
              <w:rPr>
                <w:rFonts w:ascii="Arial" w:hAnsi="Arial" w:cs="Arial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255AB" w14:textId="32A9A9F6" w:rsidR="006321DC" w:rsidRPr="00CB1725" w:rsidRDefault="000623C0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725">
              <w:rPr>
                <w:rFonts w:ascii="Arial" w:hAnsi="Arial" w:cs="Arial"/>
                <w:color w:val="000000" w:themeColor="text1"/>
                <w:sz w:val="18"/>
                <w:szCs w:val="18"/>
              </w:rPr>
              <w:t>Mixed-</w:t>
            </w:r>
            <w:proofErr w:type="spellStart"/>
            <w:r w:rsidRPr="00CB1725">
              <w:rPr>
                <w:rFonts w:ascii="Arial" w:hAnsi="Arial" w:cs="Arial"/>
                <w:color w:val="000000" w:themeColor="text1"/>
                <w:sz w:val="18"/>
                <w:szCs w:val="18"/>
              </w:rPr>
              <w:t>Use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86D7257" w14:textId="1E52B92B" w:rsidR="006321DC" w:rsidRPr="000B7D28" w:rsidRDefault="00A81626" w:rsidP="008652F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B1725">
              <w:rPr>
                <w:rFonts w:ascii="Arial" w:hAnsi="Arial" w:cs="Arial"/>
                <w:sz w:val="18"/>
                <w:szCs w:val="18"/>
              </w:rPr>
              <w:t>Captiva</w:t>
            </w:r>
            <w:proofErr w:type="spellEnd"/>
            <w:r w:rsidRPr="00CB172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A975B1" w:rsidRPr="00CB1725">
              <w:rPr>
                <w:rFonts w:ascii="Arial" w:hAnsi="Arial" w:cs="Arial"/>
                <w:sz w:val="18"/>
                <w:szCs w:val="18"/>
              </w:rPr>
              <w:t>HanseMerkur</w:t>
            </w:r>
            <w:proofErr w:type="spellEnd"/>
            <w:r w:rsidR="008652FA" w:rsidRPr="00CB172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652FA" w:rsidRPr="00CB1725">
              <w:rPr>
                <w:rFonts w:ascii="Arial" w:hAnsi="Arial" w:cs="Arial"/>
                <w:bCs/>
                <w:sz w:val="18"/>
                <w:szCs w:val="18"/>
              </w:rPr>
              <w:t xml:space="preserve">Aug. Prien Family </w:t>
            </w:r>
            <w:r w:rsidR="008652FA" w:rsidRPr="00BB6626">
              <w:rPr>
                <w:rFonts w:ascii="Arial" w:hAnsi="Arial" w:cs="Arial"/>
                <w:bCs/>
                <w:sz w:val="18"/>
                <w:szCs w:val="18"/>
                <w:lang w:val="en-GB"/>
              </w:rPr>
              <w:t>Office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9C838C3" w14:textId="03CBE3D5" w:rsidR="006321DC" w:rsidRPr="000B7D28" w:rsidRDefault="000623C0" w:rsidP="00CF2E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72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Aug</w:t>
            </w:r>
            <w:r w:rsidRPr="000B7D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Prien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13683C7" w14:textId="3C86D22D" w:rsidR="006321DC" w:rsidRPr="000B7D28" w:rsidRDefault="0061138B" w:rsidP="00346814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&gt;</w:t>
            </w:r>
            <w:r w:rsidR="007C0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</w:tr>
      <w:tr w:rsidR="00E007DD" w:rsidRPr="006F49D0" w14:paraId="7ED75F87" w14:textId="77777777" w:rsidTr="00CB1725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3C7E9E3" w14:textId="42BA4033" w:rsidR="00E007DD" w:rsidRPr="0061138B" w:rsidRDefault="00346814" w:rsidP="00FA44C3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8B">
              <w:rPr>
                <w:rFonts w:ascii="Arial" w:hAnsi="Arial" w:cs="Arial"/>
                <w:sz w:val="18"/>
                <w:szCs w:val="18"/>
              </w:rPr>
              <w:t>„</w:t>
            </w:r>
            <w:r w:rsidR="007C0ABB">
              <w:rPr>
                <w:rFonts w:ascii="Arial" w:hAnsi="Arial" w:cs="Arial"/>
                <w:sz w:val="18"/>
                <w:szCs w:val="18"/>
              </w:rPr>
              <w:t>Gruner + Jahr-</w:t>
            </w:r>
            <w:r w:rsidR="00FA44C3" w:rsidRPr="00FA44C3">
              <w:rPr>
                <w:rFonts w:ascii="Arial" w:hAnsi="Arial" w:cs="Arial"/>
                <w:sz w:val="18"/>
                <w:szCs w:val="18"/>
              </w:rPr>
              <w:t>Verlagshaus</w:t>
            </w:r>
            <w:r w:rsidR="00FA44C3">
              <w:rPr>
                <w:rFonts w:ascii="Arial" w:hAnsi="Arial" w:cs="Arial"/>
                <w:sz w:val="18"/>
                <w:szCs w:val="18"/>
              </w:rPr>
              <w:t>“,</w:t>
            </w:r>
            <w:r w:rsidR="00FA44C3">
              <w:rPr>
                <w:rFonts w:ascii="Arial" w:hAnsi="Arial" w:cs="Arial"/>
                <w:sz w:val="18"/>
                <w:szCs w:val="18"/>
              </w:rPr>
              <w:br/>
            </w:r>
            <w:r w:rsidR="00FA44C3" w:rsidRPr="00FA44C3">
              <w:rPr>
                <w:rFonts w:ascii="Arial" w:hAnsi="Arial" w:cs="Arial"/>
                <w:sz w:val="18"/>
                <w:szCs w:val="18"/>
              </w:rPr>
              <w:t>Am Baumwall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473DE" w14:textId="1615B41A" w:rsidR="00E007DD" w:rsidRPr="0061138B" w:rsidRDefault="005D3366" w:rsidP="00797E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336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DF3A5" w14:textId="3FC186D9" w:rsidR="00E007DD" w:rsidRPr="0061138B" w:rsidRDefault="005D3366" w:rsidP="00CC6FB9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7D28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3905A3" w14:textId="37E4FF1C" w:rsidR="00E007DD" w:rsidRPr="0061138B" w:rsidRDefault="00FA44C3" w:rsidP="00FA44C3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44C3">
              <w:rPr>
                <w:rFonts w:ascii="Arial" w:hAnsi="Arial" w:cs="Arial"/>
                <w:sz w:val="18"/>
                <w:szCs w:val="18"/>
              </w:rPr>
              <w:t>Tishman</w:t>
            </w:r>
            <w:proofErr w:type="spellEnd"/>
            <w:r w:rsidRPr="00FA44C3">
              <w:rPr>
                <w:rFonts w:ascii="Arial" w:hAnsi="Arial" w:cs="Arial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sz w:val="18"/>
                <w:szCs w:val="18"/>
              </w:rPr>
              <w:t xml:space="preserve">eyer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B9A326D" w14:textId="05635854" w:rsidR="00E007DD" w:rsidRPr="0061138B" w:rsidRDefault="00FA44C3" w:rsidP="00FA44C3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44C3">
              <w:rPr>
                <w:rFonts w:ascii="Arial" w:hAnsi="Arial" w:cs="Arial"/>
                <w:sz w:val="18"/>
                <w:szCs w:val="18"/>
              </w:rPr>
              <w:t xml:space="preserve">Gruner + Jahr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8D753C" w14:textId="7439C907" w:rsidR="00E007DD" w:rsidRPr="0061138B" w:rsidRDefault="00A77745" w:rsidP="00A7774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CF2E86" w:rsidRPr="006F49D0" w14:paraId="0B564638" w14:textId="77777777" w:rsidTr="00CB1725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E6078DB" w14:textId="75AEA6D5" w:rsidR="00CF2E86" w:rsidRPr="000B7D28" w:rsidRDefault="00ED0872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ED0872">
              <w:rPr>
                <w:rFonts w:ascii="Arial" w:hAnsi="Arial" w:cs="Arial"/>
                <w:sz w:val="18"/>
                <w:szCs w:val="18"/>
              </w:rPr>
              <w:t>Karstadt</w:t>
            </w:r>
            <w:r>
              <w:rPr>
                <w:rFonts w:ascii="Arial" w:hAnsi="Arial" w:cs="Arial"/>
                <w:sz w:val="18"/>
                <w:szCs w:val="18"/>
              </w:rPr>
              <w:t xml:space="preserve">“, </w:t>
            </w:r>
            <w:r w:rsidRPr="00ED0872">
              <w:rPr>
                <w:rFonts w:ascii="Arial" w:hAnsi="Arial" w:cs="Arial"/>
                <w:sz w:val="18"/>
                <w:szCs w:val="18"/>
              </w:rPr>
              <w:t>Mönckebergstraße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92AC0" w14:textId="7C159DF9" w:rsidR="00CF2E86" w:rsidRPr="000B7D28" w:rsidRDefault="00ED0872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9BC46" w14:textId="530D23B5" w:rsidR="00CF2E86" w:rsidRPr="000B7D28" w:rsidRDefault="00ED0872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Einzelhandel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78AFEF" w14:textId="208C8B2A" w:rsidR="00CF2E86" w:rsidRPr="000B7D28" w:rsidRDefault="00ED0872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0872">
              <w:rPr>
                <w:rFonts w:ascii="Arial" w:hAnsi="Arial" w:cs="Arial"/>
                <w:sz w:val="18"/>
                <w:szCs w:val="18"/>
              </w:rPr>
              <w:t>Signa Holding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90229E1" w14:textId="3B5884EB" w:rsidR="00CF2E86" w:rsidRPr="000B7D28" w:rsidRDefault="00ED0872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0872">
              <w:rPr>
                <w:rFonts w:ascii="Arial" w:hAnsi="Arial" w:cs="Arial"/>
                <w:sz w:val="18"/>
                <w:szCs w:val="18"/>
              </w:rPr>
              <w:t xml:space="preserve">Quantum Immobilien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30D9693" w14:textId="2D3A3EA2" w:rsidR="00CF2E86" w:rsidRPr="000B7D28" w:rsidRDefault="00B4411F" w:rsidP="00CF2E8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  <w:tr w:rsidR="00ED0872" w:rsidRPr="00F4684B" w14:paraId="451329F1" w14:textId="77777777" w:rsidTr="00CB1725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659F312" w14:textId="561ECDF4" w:rsidR="00ED0872" w:rsidRPr="00060752" w:rsidRDefault="007B66A9" w:rsidP="007202BB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0752">
              <w:rPr>
                <w:rFonts w:ascii="Arial" w:hAnsi="Arial" w:cs="Arial"/>
                <w:sz w:val="18"/>
                <w:szCs w:val="18"/>
                <w:lang w:val="en-GB"/>
              </w:rPr>
              <w:t>„</w:t>
            </w:r>
            <w:r w:rsidR="00F433F2">
              <w:rPr>
                <w:rFonts w:ascii="Arial" w:hAnsi="Arial" w:cs="Arial"/>
                <w:sz w:val="18"/>
                <w:szCs w:val="18"/>
                <w:lang w:val="en-GB"/>
              </w:rPr>
              <w:t>EDGE ElbSide</w:t>
            </w:r>
            <w:bookmarkStart w:id="0" w:name="_GoBack"/>
            <w:bookmarkEnd w:id="0"/>
            <w:r w:rsidR="007202BB" w:rsidRPr="00060752">
              <w:rPr>
                <w:rFonts w:ascii="Arial" w:hAnsi="Arial" w:cs="Arial"/>
                <w:sz w:val="18"/>
                <w:szCs w:val="18"/>
                <w:lang w:val="en-GB"/>
              </w:rPr>
              <w:t>“,</w:t>
            </w:r>
            <w:r w:rsidR="007202BB" w:rsidRPr="00060752">
              <w:rPr>
                <w:lang w:val="en-GB"/>
              </w:rPr>
              <w:t xml:space="preserve"> </w:t>
            </w:r>
            <w:proofErr w:type="spellStart"/>
            <w:r w:rsidR="007202BB" w:rsidRPr="00060752">
              <w:rPr>
                <w:rFonts w:ascii="Arial" w:hAnsi="Arial" w:cs="Arial"/>
                <w:sz w:val="18"/>
                <w:szCs w:val="18"/>
                <w:lang w:val="en-GB"/>
              </w:rPr>
              <w:t>Amerigo</w:t>
            </w:r>
            <w:proofErr w:type="spellEnd"/>
            <w:r w:rsidR="007202BB" w:rsidRPr="00060752">
              <w:rPr>
                <w:rFonts w:ascii="Arial" w:hAnsi="Arial" w:cs="Arial"/>
                <w:sz w:val="18"/>
                <w:szCs w:val="18"/>
                <w:lang w:val="en-GB"/>
              </w:rPr>
              <w:t>-Vespucci-</w:t>
            </w:r>
            <w:proofErr w:type="spellStart"/>
            <w:r w:rsidR="007202BB" w:rsidRPr="00060752">
              <w:rPr>
                <w:rFonts w:ascii="Arial" w:hAnsi="Arial" w:cs="Arial"/>
                <w:sz w:val="18"/>
                <w:szCs w:val="18"/>
                <w:lang w:val="en-GB"/>
              </w:rPr>
              <w:t>Platz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CEE417" w14:textId="07269E0E" w:rsidR="00ED0872" w:rsidRPr="000B7D28" w:rsidRDefault="007202BB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Hafen</w:t>
            </w:r>
            <w:r w:rsidR="00ED0872" w:rsidRPr="005D3366">
              <w:rPr>
                <w:rFonts w:ascii="Arial" w:hAnsi="Arial" w:cs="Arial"/>
                <w:sz w:val="18"/>
                <w:szCs w:val="18"/>
              </w:rPr>
              <w:t>City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110512" w14:textId="7C0516B9" w:rsidR="00ED0872" w:rsidRPr="000B7D28" w:rsidRDefault="007202BB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FC5EA7" w14:textId="3103A7D7" w:rsidR="00ED0872" w:rsidRPr="000B7D28" w:rsidRDefault="007202BB" w:rsidP="00ED087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202BB">
              <w:rPr>
                <w:rFonts w:ascii="Arial" w:hAnsi="Arial" w:cs="Arial"/>
                <w:sz w:val="18"/>
                <w:szCs w:val="18"/>
              </w:rPr>
              <w:t>HanseMerkur</w:t>
            </w:r>
            <w:proofErr w:type="spellEnd"/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42C801B6" w14:textId="75664CCF" w:rsidR="00ED0872" w:rsidRPr="000B7D28" w:rsidRDefault="007202BB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EDGE</w:t>
            </w:r>
            <w:r w:rsidRPr="007202BB">
              <w:rPr>
                <w:rFonts w:ascii="Arial" w:hAnsi="Arial" w:cs="Arial"/>
                <w:sz w:val="18"/>
                <w:szCs w:val="18"/>
              </w:rPr>
              <w:t xml:space="preserve"> Technologies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0DF6832E" w14:textId="51757BB1" w:rsidR="00ED0872" w:rsidRPr="000B7D28" w:rsidRDefault="00B20E35" w:rsidP="007202BB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 220</w:t>
            </w:r>
          </w:p>
        </w:tc>
      </w:tr>
      <w:tr w:rsidR="003518C7" w:rsidRPr="00F4684B" w14:paraId="1D8A7DFC" w14:textId="77777777" w:rsidTr="00CB1725">
        <w:trPr>
          <w:trHeight w:val="121"/>
        </w:trPr>
        <w:tc>
          <w:tcPr>
            <w:tcW w:w="2263" w:type="dxa"/>
            <w:shd w:val="clear" w:color="auto" w:fill="7F7F7F" w:themeFill="text1" w:themeFillTint="80"/>
            <w:vAlign w:val="center"/>
          </w:tcPr>
          <w:p w14:paraId="75AE6D64" w14:textId="77777777" w:rsidR="003518C7" w:rsidRDefault="003518C7" w:rsidP="007202BB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3FA79B60" w14:textId="77777777" w:rsidR="003518C7" w:rsidRDefault="003518C7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14:paraId="1C008A11" w14:textId="77777777" w:rsidR="003518C7" w:rsidRDefault="003518C7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5BBD7FFF" w14:textId="77777777" w:rsidR="003518C7" w:rsidRPr="007202BB" w:rsidRDefault="003518C7" w:rsidP="00ED08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7F7F7F" w:themeFill="text1" w:themeFillTint="80"/>
            <w:vAlign w:val="center"/>
          </w:tcPr>
          <w:p w14:paraId="0FE440F7" w14:textId="77777777" w:rsidR="003518C7" w:rsidRDefault="003518C7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7F7F7F" w:themeFill="text1" w:themeFillTint="80"/>
            <w:vAlign w:val="center"/>
          </w:tcPr>
          <w:p w14:paraId="429D09B7" w14:textId="77777777" w:rsidR="003518C7" w:rsidRDefault="003518C7" w:rsidP="007202BB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E35" w:rsidRPr="00F4684B" w14:paraId="61230CAD" w14:textId="77777777" w:rsidTr="00CB1725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5EC0C" w14:textId="77777777" w:rsidR="00B20E35" w:rsidRDefault="00347F1C" w:rsidP="007202BB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„HCOB-Zentrale / Perle“,</w:t>
            </w:r>
          </w:p>
          <w:p w14:paraId="1589D7FC" w14:textId="4514A5E2" w:rsidR="00347F1C" w:rsidRDefault="00347F1C" w:rsidP="007202BB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Gerhart-Hauptmann-Platz 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F8EB9" w14:textId="2ECE8D3D" w:rsidR="00B20E35" w:rsidRDefault="00347F1C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478C" w14:textId="5E5C95ED" w:rsidR="00B20E35" w:rsidRDefault="00347F1C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C6E65" w14:textId="3719E3EF" w:rsidR="00B20E35" w:rsidRPr="007202BB" w:rsidRDefault="00347F1C" w:rsidP="00ED08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 Holding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3FCCD" w14:textId="0922B13B" w:rsidR="00B20E35" w:rsidRDefault="00347F1C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 Commercial Bank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5EB5C" w14:textId="7CAFCF74" w:rsidR="00B20E35" w:rsidRDefault="003E2812" w:rsidP="007202BB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47F1C">
              <w:rPr>
                <w:rFonts w:ascii="Arial" w:hAnsi="Arial" w:cs="Arial"/>
                <w:sz w:val="18"/>
                <w:szCs w:val="18"/>
              </w:rPr>
              <w:t>ertraulich</w:t>
            </w:r>
          </w:p>
        </w:tc>
      </w:tr>
    </w:tbl>
    <w:p w14:paraId="0101C8CA" w14:textId="77777777" w:rsidR="007C0ABB" w:rsidRDefault="007C0ABB" w:rsidP="007C0ABB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>
        <w:rPr>
          <w:rFonts w:ascii="Arial" w:hAnsi="Arial" w:cs="Arial"/>
          <w:sz w:val="16"/>
          <w:szCs w:val="16"/>
        </w:rPr>
        <w:t>; Deals aus jeweiligem Berichtsquartal sind grau hinterlegt</w:t>
      </w:r>
    </w:p>
    <w:p w14:paraId="06A84312" w14:textId="77777777" w:rsidR="00713D81" w:rsidRDefault="00713D81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CB225B7" w14:textId="6EE00BE0" w:rsidR="00897DBE" w:rsidRPr="00897DBE" w:rsidRDefault="00FC40F0" w:rsidP="00CE4A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r w:rsidRPr="008327E5">
        <w:rPr>
          <w:rFonts w:ascii="Arial" w:eastAsia="Arial" w:hAnsi="Arial" w:cs="Arial"/>
          <w:sz w:val="20"/>
          <w:szCs w:val="20"/>
        </w:rPr>
        <w:t>Marktbericht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hyperlink r:id="rId9" w:history="1">
        <w:r w:rsidRPr="00FC40F0">
          <w:rPr>
            <w:rStyle w:val="Hyperlink"/>
            <w:rFonts w:ascii="Arial" w:eastAsia="Arial" w:hAnsi="Arial" w:cs="Arial"/>
            <w:sz w:val="20"/>
            <w:szCs w:val="20"/>
          </w:rPr>
          <w:t>Website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</w:t>
      </w:r>
      <w:r w:rsidR="002B14F6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1C1AA4D" w14:textId="23D05B49" w:rsidR="00046FEC" w:rsidRDefault="00046FEC" w:rsidP="00A73C1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7CB0AA0" w14:textId="77777777" w:rsidR="002B0F0D" w:rsidRPr="0090748B" w:rsidRDefault="002B0F0D" w:rsidP="002B0F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4ABAC92F" w14:textId="5101FA75" w:rsidR="002B0F0D" w:rsidRPr="00583E25" w:rsidRDefault="002B0F0D" w:rsidP="002B0F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>zehn Immobilienshops ist das Unternehmen mit über 190 Mitarbeitern flächendeckend im norddeutschen Markt präsent. Dank der über 85-jährigen Erfahrung verfügt Grossmann &amp; Berger über umfassende Immobilienkompetenz.</w:t>
      </w:r>
      <w:r w:rsidR="007C0ABB">
        <w:rPr>
          <w:rFonts w:ascii="Arial" w:hAnsi="Arial" w:cs="Arial"/>
          <w:snapToGrid w:val="0"/>
          <w:sz w:val="16"/>
          <w:szCs w:val="16"/>
        </w:rPr>
        <w:t xml:space="preserve"> </w:t>
      </w: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7AC4E6FD" w14:textId="77777777" w:rsidR="002B0F0D" w:rsidRPr="00583E25" w:rsidRDefault="002B0F0D" w:rsidP="002B0F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83E5564" w14:textId="5E2E5D9B" w:rsidR="002B0F0D" w:rsidRPr="008E51AD" w:rsidRDefault="002B0F0D" w:rsidP="00A73C12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  <w:r w:rsidR="008E51AD" w:rsidRPr="008E51A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B0F0D" w:rsidRPr="008E51AD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5BBE2" w16cex:dateUtc="2020-12-29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4C3FBC" w16cid:durableId="2395BB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2B583" w14:textId="77777777" w:rsidR="00D55CB5" w:rsidRDefault="00D55CB5">
      <w:r>
        <w:separator/>
      </w:r>
    </w:p>
  </w:endnote>
  <w:endnote w:type="continuationSeparator" w:id="0">
    <w:p w14:paraId="46E6D31C" w14:textId="77777777" w:rsidR="00D55CB5" w:rsidRDefault="00D5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4480089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CB172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0A49149C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433F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433F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69E9" w14:textId="77777777" w:rsidR="00D55CB5" w:rsidRDefault="00D55CB5">
      <w:r>
        <w:separator/>
      </w:r>
    </w:p>
  </w:footnote>
  <w:footnote w:type="continuationSeparator" w:id="0">
    <w:p w14:paraId="3FB043A5" w14:textId="77777777" w:rsidR="00D55CB5" w:rsidRDefault="00D5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6DB86C90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07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0607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0607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6DB86C90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60752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060752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060752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0D1FFBD4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07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0607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0607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0D1FFBD4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60752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060752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060752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87F2D4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204E4"/>
    <w:multiLevelType w:val="multilevel"/>
    <w:tmpl w:val="7E7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59FE"/>
    <w:rsid w:val="00022F16"/>
    <w:rsid w:val="00023D78"/>
    <w:rsid w:val="00027644"/>
    <w:rsid w:val="0003075C"/>
    <w:rsid w:val="0003107F"/>
    <w:rsid w:val="00032035"/>
    <w:rsid w:val="000334E4"/>
    <w:rsid w:val="000418C7"/>
    <w:rsid w:val="00046FEC"/>
    <w:rsid w:val="00060743"/>
    <w:rsid w:val="00060752"/>
    <w:rsid w:val="000615E2"/>
    <w:rsid w:val="00061A84"/>
    <w:rsid w:val="000623C0"/>
    <w:rsid w:val="00064A03"/>
    <w:rsid w:val="00066796"/>
    <w:rsid w:val="0006754E"/>
    <w:rsid w:val="00072265"/>
    <w:rsid w:val="000739E8"/>
    <w:rsid w:val="00075002"/>
    <w:rsid w:val="000755CE"/>
    <w:rsid w:val="000766D7"/>
    <w:rsid w:val="0007670A"/>
    <w:rsid w:val="00080488"/>
    <w:rsid w:val="00080F27"/>
    <w:rsid w:val="000834E2"/>
    <w:rsid w:val="000A517C"/>
    <w:rsid w:val="000A5ED1"/>
    <w:rsid w:val="000A6314"/>
    <w:rsid w:val="000A72C3"/>
    <w:rsid w:val="000B0335"/>
    <w:rsid w:val="000B0C81"/>
    <w:rsid w:val="000B1606"/>
    <w:rsid w:val="000B3315"/>
    <w:rsid w:val="000B3A6C"/>
    <w:rsid w:val="000B7D28"/>
    <w:rsid w:val="000C087C"/>
    <w:rsid w:val="000C30AB"/>
    <w:rsid w:val="000C4EAB"/>
    <w:rsid w:val="000C655C"/>
    <w:rsid w:val="000C74B2"/>
    <w:rsid w:val="000C770D"/>
    <w:rsid w:val="000D48D4"/>
    <w:rsid w:val="000E03F3"/>
    <w:rsid w:val="000E49CB"/>
    <w:rsid w:val="000E7BC7"/>
    <w:rsid w:val="000F5742"/>
    <w:rsid w:val="00102873"/>
    <w:rsid w:val="001029C4"/>
    <w:rsid w:val="0011486D"/>
    <w:rsid w:val="0011749C"/>
    <w:rsid w:val="00117D5D"/>
    <w:rsid w:val="00117EF7"/>
    <w:rsid w:val="00121E33"/>
    <w:rsid w:val="00126550"/>
    <w:rsid w:val="001324D6"/>
    <w:rsid w:val="00132522"/>
    <w:rsid w:val="00135BD2"/>
    <w:rsid w:val="00135E09"/>
    <w:rsid w:val="00144CE4"/>
    <w:rsid w:val="00152B8F"/>
    <w:rsid w:val="00154825"/>
    <w:rsid w:val="0016387C"/>
    <w:rsid w:val="001640DA"/>
    <w:rsid w:val="0017364E"/>
    <w:rsid w:val="0017516B"/>
    <w:rsid w:val="00176075"/>
    <w:rsid w:val="00176F1D"/>
    <w:rsid w:val="0018068D"/>
    <w:rsid w:val="00180801"/>
    <w:rsid w:val="001809AE"/>
    <w:rsid w:val="00184A4E"/>
    <w:rsid w:val="001871BC"/>
    <w:rsid w:val="0019467B"/>
    <w:rsid w:val="001A199C"/>
    <w:rsid w:val="001A2ABE"/>
    <w:rsid w:val="001A360C"/>
    <w:rsid w:val="001A6817"/>
    <w:rsid w:val="001B577C"/>
    <w:rsid w:val="001C2520"/>
    <w:rsid w:val="001C2BFF"/>
    <w:rsid w:val="001C34B0"/>
    <w:rsid w:val="001D14DA"/>
    <w:rsid w:val="001D43BB"/>
    <w:rsid w:val="001D645F"/>
    <w:rsid w:val="001D64B8"/>
    <w:rsid w:val="001E1172"/>
    <w:rsid w:val="001E6995"/>
    <w:rsid w:val="001F1513"/>
    <w:rsid w:val="001F15FF"/>
    <w:rsid w:val="001F3C3A"/>
    <w:rsid w:val="001F6DFF"/>
    <w:rsid w:val="001F77D1"/>
    <w:rsid w:val="0020062D"/>
    <w:rsid w:val="00201E4A"/>
    <w:rsid w:val="00205769"/>
    <w:rsid w:val="00212FEC"/>
    <w:rsid w:val="002131BB"/>
    <w:rsid w:val="00213F07"/>
    <w:rsid w:val="00214952"/>
    <w:rsid w:val="0022086D"/>
    <w:rsid w:val="00224830"/>
    <w:rsid w:val="00226DDF"/>
    <w:rsid w:val="00227E31"/>
    <w:rsid w:val="00230F81"/>
    <w:rsid w:val="002341EE"/>
    <w:rsid w:val="002353AA"/>
    <w:rsid w:val="00237341"/>
    <w:rsid w:val="002462B6"/>
    <w:rsid w:val="00251FC5"/>
    <w:rsid w:val="00252F40"/>
    <w:rsid w:val="00253412"/>
    <w:rsid w:val="00254C6F"/>
    <w:rsid w:val="002550BA"/>
    <w:rsid w:val="00255675"/>
    <w:rsid w:val="00255679"/>
    <w:rsid w:val="002561F0"/>
    <w:rsid w:val="00261FB3"/>
    <w:rsid w:val="0027266B"/>
    <w:rsid w:val="00274734"/>
    <w:rsid w:val="00277361"/>
    <w:rsid w:val="00277C66"/>
    <w:rsid w:val="00277D9C"/>
    <w:rsid w:val="00281E80"/>
    <w:rsid w:val="002834B0"/>
    <w:rsid w:val="00283671"/>
    <w:rsid w:val="00284A5D"/>
    <w:rsid w:val="00284E27"/>
    <w:rsid w:val="00294B7D"/>
    <w:rsid w:val="0029731B"/>
    <w:rsid w:val="002A1973"/>
    <w:rsid w:val="002B0F0D"/>
    <w:rsid w:val="002B14F6"/>
    <w:rsid w:val="002B71B8"/>
    <w:rsid w:val="002B7C7F"/>
    <w:rsid w:val="002C055A"/>
    <w:rsid w:val="002C2392"/>
    <w:rsid w:val="002C450A"/>
    <w:rsid w:val="002C79F7"/>
    <w:rsid w:val="002D1C5C"/>
    <w:rsid w:val="002D1E20"/>
    <w:rsid w:val="002D3615"/>
    <w:rsid w:val="002E2A92"/>
    <w:rsid w:val="002E2C78"/>
    <w:rsid w:val="002E3440"/>
    <w:rsid w:val="002E6860"/>
    <w:rsid w:val="002F0411"/>
    <w:rsid w:val="002F767E"/>
    <w:rsid w:val="00301F3A"/>
    <w:rsid w:val="00304D7A"/>
    <w:rsid w:val="0030711D"/>
    <w:rsid w:val="0031189D"/>
    <w:rsid w:val="00313876"/>
    <w:rsid w:val="003246F0"/>
    <w:rsid w:val="00325E2A"/>
    <w:rsid w:val="00326066"/>
    <w:rsid w:val="003272F3"/>
    <w:rsid w:val="003326FA"/>
    <w:rsid w:val="00335A2C"/>
    <w:rsid w:val="0034064A"/>
    <w:rsid w:val="00345716"/>
    <w:rsid w:val="00346814"/>
    <w:rsid w:val="0034786C"/>
    <w:rsid w:val="00347A18"/>
    <w:rsid w:val="00347F1C"/>
    <w:rsid w:val="00350D85"/>
    <w:rsid w:val="00351477"/>
    <w:rsid w:val="003517C9"/>
    <w:rsid w:val="003518C7"/>
    <w:rsid w:val="00351DCD"/>
    <w:rsid w:val="00357EC4"/>
    <w:rsid w:val="003627E1"/>
    <w:rsid w:val="00365AF8"/>
    <w:rsid w:val="00370000"/>
    <w:rsid w:val="00372A64"/>
    <w:rsid w:val="00373507"/>
    <w:rsid w:val="00375C0F"/>
    <w:rsid w:val="0038230E"/>
    <w:rsid w:val="00382529"/>
    <w:rsid w:val="0038350F"/>
    <w:rsid w:val="003908D1"/>
    <w:rsid w:val="00396CE0"/>
    <w:rsid w:val="003A00C9"/>
    <w:rsid w:val="003A25A4"/>
    <w:rsid w:val="003A7528"/>
    <w:rsid w:val="003B0F06"/>
    <w:rsid w:val="003B19F4"/>
    <w:rsid w:val="003B49E4"/>
    <w:rsid w:val="003B4CCF"/>
    <w:rsid w:val="003B6CD4"/>
    <w:rsid w:val="003C1693"/>
    <w:rsid w:val="003C5218"/>
    <w:rsid w:val="003C6AB4"/>
    <w:rsid w:val="003E099F"/>
    <w:rsid w:val="003E27B4"/>
    <w:rsid w:val="003E2812"/>
    <w:rsid w:val="003E4DF9"/>
    <w:rsid w:val="003E7A1E"/>
    <w:rsid w:val="003F665D"/>
    <w:rsid w:val="0040086D"/>
    <w:rsid w:val="004017D8"/>
    <w:rsid w:val="00405D59"/>
    <w:rsid w:val="00411E03"/>
    <w:rsid w:val="004123B1"/>
    <w:rsid w:val="00412E3D"/>
    <w:rsid w:val="00417F4D"/>
    <w:rsid w:val="004269AC"/>
    <w:rsid w:val="00426E13"/>
    <w:rsid w:val="004303A1"/>
    <w:rsid w:val="00436114"/>
    <w:rsid w:val="00440A2E"/>
    <w:rsid w:val="00440DC9"/>
    <w:rsid w:val="004450C4"/>
    <w:rsid w:val="0044510C"/>
    <w:rsid w:val="00445DF9"/>
    <w:rsid w:val="004477DC"/>
    <w:rsid w:val="004506D2"/>
    <w:rsid w:val="00456F40"/>
    <w:rsid w:val="00457DE3"/>
    <w:rsid w:val="004609BD"/>
    <w:rsid w:val="00463081"/>
    <w:rsid w:val="004661EE"/>
    <w:rsid w:val="00466741"/>
    <w:rsid w:val="00466A79"/>
    <w:rsid w:val="00470064"/>
    <w:rsid w:val="0047198B"/>
    <w:rsid w:val="004739AF"/>
    <w:rsid w:val="00476B6E"/>
    <w:rsid w:val="004818CE"/>
    <w:rsid w:val="004865AE"/>
    <w:rsid w:val="004966E3"/>
    <w:rsid w:val="004A2BEA"/>
    <w:rsid w:val="004A3C64"/>
    <w:rsid w:val="004A5AEA"/>
    <w:rsid w:val="004B2694"/>
    <w:rsid w:val="004B2FDA"/>
    <w:rsid w:val="004B3391"/>
    <w:rsid w:val="004B480A"/>
    <w:rsid w:val="004B5A6D"/>
    <w:rsid w:val="004C0CA2"/>
    <w:rsid w:val="004C3F94"/>
    <w:rsid w:val="004D50C0"/>
    <w:rsid w:val="004D772A"/>
    <w:rsid w:val="004D7FFC"/>
    <w:rsid w:val="004E1D29"/>
    <w:rsid w:val="004E339B"/>
    <w:rsid w:val="004E4273"/>
    <w:rsid w:val="004E4562"/>
    <w:rsid w:val="004F077F"/>
    <w:rsid w:val="004F78B4"/>
    <w:rsid w:val="005023DD"/>
    <w:rsid w:val="00503D8C"/>
    <w:rsid w:val="00505C1E"/>
    <w:rsid w:val="0051485A"/>
    <w:rsid w:val="00522B84"/>
    <w:rsid w:val="00523E82"/>
    <w:rsid w:val="00524FBD"/>
    <w:rsid w:val="00531A7F"/>
    <w:rsid w:val="00534BAD"/>
    <w:rsid w:val="005356B3"/>
    <w:rsid w:val="005360E8"/>
    <w:rsid w:val="005412D0"/>
    <w:rsid w:val="005428C5"/>
    <w:rsid w:val="0054319A"/>
    <w:rsid w:val="00543C55"/>
    <w:rsid w:val="0054412E"/>
    <w:rsid w:val="0054563C"/>
    <w:rsid w:val="005504C9"/>
    <w:rsid w:val="005529CE"/>
    <w:rsid w:val="0055393B"/>
    <w:rsid w:val="005554C7"/>
    <w:rsid w:val="00556F58"/>
    <w:rsid w:val="0056184E"/>
    <w:rsid w:val="0056775C"/>
    <w:rsid w:val="00567D57"/>
    <w:rsid w:val="00567E49"/>
    <w:rsid w:val="00570104"/>
    <w:rsid w:val="00571004"/>
    <w:rsid w:val="0057189A"/>
    <w:rsid w:val="0057685F"/>
    <w:rsid w:val="00576B3F"/>
    <w:rsid w:val="00577B63"/>
    <w:rsid w:val="00582B99"/>
    <w:rsid w:val="00584EAD"/>
    <w:rsid w:val="00590903"/>
    <w:rsid w:val="005A0421"/>
    <w:rsid w:val="005A2F39"/>
    <w:rsid w:val="005A617A"/>
    <w:rsid w:val="005B0FC9"/>
    <w:rsid w:val="005B24B2"/>
    <w:rsid w:val="005B66D3"/>
    <w:rsid w:val="005B78B1"/>
    <w:rsid w:val="005B7D91"/>
    <w:rsid w:val="005C4556"/>
    <w:rsid w:val="005C5302"/>
    <w:rsid w:val="005D307B"/>
    <w:rsid w:val="005D3366"/>
    <w:rsid w:val="005E362E"/>
    <w:rsid w:val="005E43B3"/>
    <w:rsid w:val="005F0A7E"/>
    <w:rsid w:val="005F25E4"/>
    <w:rsid w:val="005F69D4"/>
    <w:rsid w:val="005F7593"/>
    <w:rsid w:val="0060010D"/>
    <w:rsid w:val="006029D7"/>
    <w:rsid w:val="006046B3"/>
    <w:rsid w:val="00606BFF"/>
    <w:rsid w:val="00606E35"/>
    <w:rsid w:val="0061109D"/>
    <w:rsid w:val="0061138B"/>
    <w:rsid w:val="00612AA0"/>
    <w:rsid w:val="006138CB"/>
    <w:rsid w:val="006224C4"/>
    <w:rsid w:val="006225EA"/>
    <w:rsid w:val="006261DF"/>
    <w:rsid w:val="00631936"/>
    <w:rsid w:val="006321DC"/>
    <w:rsid w:val="00641270"/>
    <w:rsid w:val="00642074"/>
    <w:rsid w:val="006424F8"/>
    <w:rsid w:val="00653AA8"/>
    <w:rsid w:val="00656049"/>
    <w:rsid w:val="00672C84"/>
    <w:rsid w:val="00674ADA"/>
    <w:rsid w:val="00674B95"/>
    <w:rsid w:val="00675A3F"/>
    <w:rsid w:val="0067639A"/>
    <w:rsid w:val="00681CAB"/>
    <w:rsid w:val="00682CFC"/>
    <w:rsid w:val="006842EF"/>
    <w:rsid w:val="00690C37"/>
    <w:rsid w:val="00691585"/>
    <w:rsid w:val="00692D4F"/>
    <w:rsid w:val="00693E35"/>
    <w:rsid w:val="00695194"/>
    <w:rsid w:val="00695E58"/>
    <w:rsid w:val="0069757D"/>
    <w:rsid w:val="006A1329"/>
    <w:rsid w:val="006A4C7A"/>
    <w:rsid w:val="006A66F9"/>
    <w:rsid w:val="006B4303"/>
    <w:rsid w:val="006D024C"/>
    <w:rsid w:val="006E2E4F"/>
    <w:rsid w:val="006E5C9C"/>
    <w:rsid w:val="006F1774"/>
    <w:rsid w:val="006F292B"/>
    <w:rsid w:val="006F31D6"/>
    <w:rsid w:val="00713D81"/>
    <w:rsid w:val="00717A20"/>
    <w:rsid w:val="007202BB"/>
    <w:rsid w:val="00720DFF"/>
    <w:rsid w:val="007265F3"/>
    <w:rsid w:val="00730191"/>
    <w:rsid w:val="00730E23"/>
    <w:rsid w:val="0073549D"/>
    <w:rsid w:val="00753311"/>
    <w:rsid w:val="00754513"/>
    <w:rsid w:val="00757304"/>
    <w:rsid w:val="00761363"/>
    <w:rsid w:val="00762CC5"/>
    <w:rsid w:val="00767063"/>
    <w:rsid w:val="00773DF1"/>
    <w:rsid w:val="007833EB"/>
    <w:rsid w:val="00785AC4"/>
    <w:rsid w:val="007906B4"/>
    <w:rsid w:val="00792145"/>
    <w:rsid w:val="007970A0"/>
    <w:rsid w:val="00797E4F"/>
    <w:rsid w:val="007A314C"/>
    <w:rsid w:val="007B215B"/>
    <w:rsid w:val="007B4617"/>
    <w:rsid w:val="007B5558"/>
    <w:rsid w:val="007B66A9"/>
    <w:rsid w:val="007B761C"/>
    <w:rsid w:val="007C0ABB"/>
    <w:rsid w:val="007C1760"/>
    <w:rsid w:val="007C26B6"/>
    <w:rsid w:val="007C2D96"/>
    <w:rsid w:val="007D2733"/>
    <w:rsid w:val="007E759D"/>
    <w:rsid w:val="007F2DBE"/>
    <w:rsid w:val="007F33B6"/>
    <w:rsid w:val="007F642D"/>
    <w:rsid w:val="007F7422"/>
    <w:rsid w:val="007F756A"/>
    <w:rsid w:val="00800E2C"/>
    <w:rsid w:val="0080214D"/>
    <w:rsid w:val="00803AC5"/>
    <w:rsid w:val="008045E7"/>
    <w:rsid w:val="00805D7E"/>
    <w:rsid w:val="00812471"/>
    <w:rsid w:val="00817CDC"/>
    <w:rsid w:val="008261A5"/>
    <w:rsid w:val="008327E5"/>
    <w:rsid w:val="0083382E"/>
    <w:rsid w:val="00844AAC"/>
    <w:rsid w:val="0085354A"/>
    <w:rsid w:val="00855325"/>
    <w:rsid w:val="00862E34"/>
    <w:rsid w:val="008634F3"/>
    <w:rsid w:val="00863818"/>
    <w:rsid w:val="008652FA"/>
    <w:rsid w:val="00865915"/>
    <w:rsid w:val="008661AA"/>
    <w:rsid w:val="00871832"/>
    <w:rsid w:val="00875E9B"/>
    <w:rsid w:val="00876FCA"/>
    <w:rsid w:val="00886CCE"/>
    <w:rsid w:val="008942C6"/>
    <w:rsid w:val="00896B33"/>
    <w:rsid w:val="00897DBE"/>
    <w:rsid w:val="008A2995"/>
    <w:rsid w:val="008A2BA4"/>
    <w:rsid w:val="008A47D4"/>
    <w:rsid w:val="008A62FB"/>
    <w:rsid w:val="008A77B7"/>
    <w:rsid w:val="008B0319"/>
    <w:rsid w:val="008B0F67"/>
    <w:rsid w:val="008B297B"/>
    <w:rsid w:val="008B3833"/>
    <w:rsid w:val="008C0535"/>
    <w:rsid w:val="008C0BCD"/>
    <w:rsid w:val="008C0BD9"/>
    <w:rsid w:val="008C608D"/>
    <w:rsid w:val="008D1F37"/>
    <w:rsid w:val="008E14BE"/>
    <w:rsid w:val="008E1E1D"/>
    <w:rsid w:val="008E461D"/>
    <w:rsid w:val="008E51AD"/>
    <w:rsid w:val="008E5520"/>
    <w:rsid w:val="008F0896"/>
    <w:rsid w:val="008F08E5"/>
    <w:rsid w:val="008F097F"/>
    <w:rsid w:val="008F0EA4"/>
    <w:rsid w:val="008F10B9"/>
    <w:rsid w:val="008F1EE5"/>
    <w:rsid w:val="008F38F6"/>
    <w:rsid w:val="008F5213"/>
    <w:rsid w:val="008F67E7"/>
    <w:rsid w:val="008F6A25"/>
    <w:rsid w:val="008F6B2D"/>
    <w:rsid w:val="009000CF"/>
    <w:rsid w:val="00903957"/>
    <w:rsid w:val="009050B3"/>
    <w:rsid w:val="00906FC5"/>
    <w:rsid w:val="0090748B"/>
    <w:rsid w:val="00913E52"/>
    <w:rsid w:val="00920C9C"/>
    <w:rsid w:val="00922754"/>
    <w:rsid w:val="00925600"/>
    <w:rsid w:val="00925781"/>
    <w:rsid w:val="009258D0"/>
    <w:rsid w:val="00926F6E"/>
    <w:rsid w:val="00934D87"/>
    <w:rsid w:val="00935AB3"/>
    <w:rsid w:val="009635CF"/>
    <w:rsid w:val="009646C4"/>
    <w:rsid w:val="009668BB"/>
    <w:rsid w:val="00966CA0"/>
    <w:rsid w:val="00972AE9"/>
    <w:rsid w:val="009734CE"/>
    <w:rsid w:val="00974CB0"/>
    <w:rsid w:val="00975085"/>
    <w:rsid w:val="00980A57"/>
    <w:rsid w:val="0098460C"/>
    <w:rsid w:val="0099413E"/>
    <w:rsid w:val="00996E1A"/>
    <w:rsid w:val="009A0BD5"/>
    <w:rsid w:val="009B1E02"/>
    <w:rsid w:val="009B3F04"/>
    <w:rsid w:val="009B4392"/>
    <w:rsid w:val="009B7D09"/>
    <w:rsid w:val="009C0784"/>
    <w:rsid w:val="009C1AA0"/>
    <w:rsid w:val="009C2EC0"/>
    <w:rsid w:val="009D24DA"/>
    <w:rsid w:val="009D4C49"/>
    <w:rsid w:val="009D5D75"/>
    <w:rsid w:val="009E0A01"/>
    <w:rsid w:val="009E0C0B"/>
    <w:rsid w:val="009E572D"/>
    <w:rsid w:val="009F32A2"/>
    <w:rsid w:val="009F54CE"/>
    <w:rsid w:val="009F70FE"/>
    <w:rsid w:val="00A0600B"/>
    <w:rsid w:val="00A06264"/>
    <w:rsid w:val="00A10FEE"/>
    <w:rsid w:val="00A119F6"/>
    <w:rsid w:val="00A1639A"/>
    <w:rsid w:val="00A215C9"/>
    <w:rsid w:val="00A21AF6"/>
    <w:rsid w:val="00A25474"/>
    <w:rsid w:val="00A25F99"/>
    <w:rsid w:val="00A3551C"/>
    <w:rsid w:val="00A357EE"/>
    <w:rsid w:val="00A535FD"/>
    <w:rsid w:val="00A5364B"/>
    <w:rsid w:val="00A615E0"/>
    <w:rsid w:val="00A631F3"/>
    <w:rsid w:val="00A64690"/>
    <w:rsid w:val="00A65E2B"/>
    <w:rsid w:val="00A70878"/>
    <w:rsid w:val="00A73C12"/>
    <w:rsid w:val="00A74AA0"/>
    <w:rsid w:val="00A7546D"/>
    <w:rsid w:val="00A7613D"/>
    <w:rsid w:val="00A77035"/>
    <w:rsid w:val="00A77100"/>
    <w:rsid w:val="00A77745"/>
    <w:rsid w:val="00A80070"/>
    <w:rsid w:val="00A81626"/>
    <w:rsid w:val="00A83191"/>
    <w:rsid w:val="00A848FC"/>
    <w:rsid w:val="00A975B1"/>
    <w:rsid w:val="00AA0609"/>
    <w:rsid w:val="00AA4D97"/>
    <w:rsid w:val="00AA70E5"/>
    <w:rsid w:val="00AB424B"/>
    <w:rsid w:val="00AC7178"/>
    <w:rsid w:val="00AC77A0"/>
    <w:rsid w:val="00AD17B7"/>
    <w:rsid w:val="00AF03C4"/>
    <w:rsid w:val="00AF08D2"/>
    <w:rsid w:val="00AF288C"/>
    <w:rsid w:val="00AF44B5"/>
    <w:rsid w:val="00B01A1B"/>
    <w:rsid w:val="00B02242"/>
    <w:rsid w:val="00B05098"/>
    <w:rsid w:val="00B069C5"/>
    <w:rsid w:val="00B06D1B"/>
    <w:rsid w:val="00B077D5"/>
    <w:rsid w:val="00B16A78"/>
    <w:rsid w:val="00B200E4"/>
    <w:rsid w:val="00B20E35"/>
    <w:rsid w:val="00B245A8"/>
    <w:rsid w:val="00B26FFD"/>
    <w:rsid w:val="00B31E12"/>
    <w:rsid w:val="00B31F77"/>
    <w:rsid w:val="00B35B6D"/>
    <w:rsid w:val="00B35DC6"/>
    <w:rsid w:val="00B35F93"/>
    <w:rsid w:val="00B4411F"/>
    <w:rsid w:val="00B4666C"/>
    <w:rsid w:val="00B51699"/>
    <w:rsid w:val="00B517F5"/>
    <w:rsid w:val="00B53FAF"/>
    <w:rsid w:val="00B55D98"/>
    <w:rsid w:val="00B63153"/>
    <w:rsid w:val="00B6527D"/>
    <w:rsid w:val="00B67D66"/>
    <w:rsid w:val="00B73B3A"/>
    <w:rsid w:val="00B74507"/>
    <w:rsid w:val="00B75718"/>
    <w:rsid w:val="00B75834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75E0"/>
    <w:rsid w:val="00BE10CC"/>
    <w:rsid w:val="00BE4198"/>
    <w:rsid w:val="00BF029A"/>
    <w:rsid w:val="00BF3AFD"/>
    <w:rsid w:val="00C1606C"/>
    <w:rsid w:val="00C16E16"/>
    <w:rsid w:val="00C21138"/>
    <w:rsid w:val="00C23180"/>
    <w:rsid w:val="00C26F94"/>
    <w:rsid w:val="00C41492"/>
    <w:rsid w:val="00C4628F"/>
    <w:rsid w:val="00C502EC"/>
    <w:rsid w:val="00C50874"/>
    <w:rsid w:val="00C56F7E"/>
    <w:rsid w:val="00C66717"/>
    <w:rsid w:val="00C700D6"/>
    <w:rsid w:val="00C702B5"/>
    <w:rsid w:val="00C70389"/>
    <w:rsid w:val="00C712CA"/>
    <w:rsid w:val="00C73270"/>
    <w:rsid w:val="00C77E01"/>
    <w:rsid w:val="00C84310"/>
    <w:rsid w:val="00C904B6"/>
    <w:rsid w:val="00C90A75"/>
    <w:rsid w:val="00C90AF7"/>
    <w:rsid w:val="00C96DF4"/>
    <w:rsid w:val="00CA0F2C"/>
    <w:rsid w:val="00CA59C8"/>
    <w:rsid w:val="00CA6A66"/>
    <w:rsid w:val="00CB1725"/>
    <w:rsid w:val="00CC1337"/>
    <w:rsid w:val="00CC2514"/>
    <w:rsid w:val="00CC282E"/>
    <w:rsid w:val="00CC38AE"/>
    <w:rsid w:val="00CC48DF"/>
    <w:rsid w:val="00CC6FB9"/>
    <w:rsid w:val="00CD4A91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CF7FAD"/>
    <w:rsid w:val="00D0004A"/>
    <w:rsid w:val="00D04BA2"/>
    <w:rsid w:val="00D077B0"/>
    <w:rsid w:val="00D157A0"/>
    <w:rsid w:val="00D22D42"/>
    <w:rsid w:val="00D24AF1"/>
    <w:rsid w:val="00D25B48"/>
    <w:rsid w:val="00D31447"/>
    <w:rsid w:val="00D35A6D"/>
    <w:rsid w:val="00D36D8D"/>
    <w:rsid w:val="00D45711"/>
    <w:rsid w:val="00D47190"/>
    <w:rsid w:val="00D500FC"/>
    <w:rsid w:val="00D50EC4"/>
    <w:rsid w:val="00D51597"/>
    <w:rsid w:val="00D5326E"/>
    <w:rsid w:val="00D54A15"/>
    <w:rsid w:val="00D55867"/>
    <w:rsid w:val="00D55CB5"/>
    <w:rsid w:val="00D57410"/>
    <w:rsid w:val="00D634A3"/>
    <w:rsid w:val="00D72339"/>
    <w:rsid w:val="00D73E47"/>
    <w:rsid w:val="00D74ABB"/>
    <w:rsid w:val="00D76449"/>
    <w:rsid w:val="00D83CB7"/>
    <w:rsid w:val="00D95437"/>
    <w:rsid w:val="00D959E6"/>
    <w:rsid w:val="00D976B3"/>
    <w:rsid w:val="00D97FA8"/>
    <w:rsid w:val="00DA01CC"/>
    <w:rsid w:val="00DA1E60"/>
    <w:rsid w:val="00DB179C"/>
    <w:rsid w:val="00DB4363"/>
    <w:rsid w:val="00DB5923"/>
    <w:rsid w:val="00DB66BD"/>
    <w:rsid w:val="00DC0384"/>
    <w:rsid w:val="00DC0EC5"/>
    <w:rsid w:val="00DC5146"/>
    <w:rsid w:val="00DC6837"/>
    <w:rsid w:val="00DC7B25"/>
    <w:rsid w:val="00DD340F"/>
    <w:rsid w:val="00DD39EA"/>
    <w:rsid w:val="00DD6B73"/>
    <w:rsid w:val="00DE23F8"/>
    <w:rsid w:val="00DE7CC2"/>
    <w:rsid w:val="00DF4FE3"/>
    <w:rsid w:val="00DF5006"/>
    <w:rsid w:val="00E007DD"/>
    <w:rsid w:val="00E02FFE"/>
    <w:rsid w:val="00E04392"/>
    <w:rsid w:val="00E05CF6"/>
    <w:rsid w:val="00E112C9"/>
    <w:rsid w:val="00E1314C"/>
    <w:rsid w:val="00E158F7"/>
    <w:rsid w:val="00E16ABE"/>
    <w:rsid w:val="00E17864"/>
    <w:rsid w:val="00E2087E"/>
    <w:rsid w:val="00E234CA"/>
    <w:rsid w:val="00E2356E"/>
    <w:rsid w:val="00E2636D"/>
    <w:rsid w:val="00E34976"/>
    <w:rsid w:val="00E36818"/>
    <w:rsid w:val="00E41C74"/>
    <w:rsid w:val="00E442E4"/>
    <w:rsid w:val="00E44FA3"/>
    <w:rsid w:val="00E47B97"/>
    <w:rsid w:val="00E5203C"/>
    <w:rsid w:val="00E61516"/>
    <w:rsid w:val="00E634CC"/>
    <w:rsid w:val="00E63654"/>
    <w:rsid w:val="00E65D79"/>
    <w:rsid w:val="00E739F4"/>
    <w:rsid w:val="00E81727"/>
    <w:rsid w:val="00E82F0E"/>
    <w:rsid w:val="00E83245"/>
    <w:rsid w:val="00E90673"/>
    <w:rsid w:val="00E95F89"/>
    <w:rsid w:val="00E96FAC"/>
    <w:rsid w:val="00EA0382"/>
    <w:rsid w:val="00EA129F"/>
    <w:rsid w:val="00EB7A31"/>
    <w:rsid w:val="00EC08DC"/>
    <w:rsid w:val="00ED0267"/>
    <w:rsid w:val="00ED0582"/>
    <w:rsid w:val="00ED0872"/>
    <w:rsid w:val="00ED1262"/>
    <w:rsid w:val="00ED7374"/>
    <w:rsid w:val="00EE31F6"/>
    <w:rsid w:val="00EE36DC"/>
    <w:rsid w:val="00EE6896"/>
    <w:rsid w:val="00EE6E3A"/>
    <w:rsid w:val="00EF06B5"/>
    <w:rsid w:val="00EF7DDD"/>
    <w:rsid w:val="00F044EE"/>
    <w:rsid w:val="00F04D64"/>
    <w:rsid w:val="00F1502A"/>
    <w:rsid w:val="00F20069"/>
    <w:rsid w:val="00F21201"/>
    <w:rsid w:val="00F2414C"/>
    <w:rsid w:val="00F27CD8"/>
    <w:rsid w:val="00F32657"/>
    <w:rsid w:val="00F3320B"/>
    <w:rsid w:val="00F3537B"/>
    <w:rsid w:val="00F40E92"/>
    <w:rsid w:val="00F41947"/>
    <w:rsid w:val="00F4209C"/>
    <w:rsid w:val="00F42774"/>
    <w:rsid w:val="00F433F2"/>
    <w:rsid w:val="00F435AA"/>
    <w:rsid w:val="00F45370"/>
    <w:rsid w:val="00F4550B"/>
    <w:rsid w:val="00F511B7"/>
    <w:rsid w:val="00F578CF"/>
    <w:rsid w:val="00F60A04"/>
    <w:rsid w:val="00F63C5D"/>
    <w:rsid w:val="00F72E52"/>
    <w:rsid w:val="00F72F96"/>
    <w:rsid w:val="00F76C6A"/>
    <w:rsid w:val="00F77EF7"/>
    <w:rsid w:val="00F83BF1"/>
    <w:rsid w:val="00F84307"/>
    <w:rsid w:val="00F90CB9"/>
    <w:rsid w:val="00F91D23"/>
    <w:rsid w:val="00F91DD8"/>
    <w:rsid w:val="00F97373"/>
    <w:rsid w:val="00F97F69"/>
    <w:rsid w:val="00FA0254"/>
    <w:rsid w:val="00FA0BF4"/>
    <w:rsid w:val="00FA44C3"/>
    <w:rsid w:val="00FA59F1"/>
    <w:rsid w:val="00FA6854"/>
    <w:rsid w:val="00FB064F"/>
    <w:rsid w:val="00FB0F6B"/>
    <w:rsid w:val="00FB144F"/>
    <w:rsid w:val="00FB159A"/>
    <w:rsid w:val="00FB2A03"/>
    <w:rsid w:val="00FB4D77"/>
    <w:rsid w:val="00FB626B"/>
    <w:rsid w:val="00FB644B"/>
    <w:rsid w:val="00FC1ADD"/>
    <w:rsid w:val="00FC40F0"/>
    <w:rsid w:val="00FC497D"/>
    <w:rsid w:val="00FC5C04"/>
    <w:rsid w:val="00FD076B"/>
    <w:rsid w:val="00FD1BF5"/>
    <w:rsid w:val="00FD24DA"/>
    <w:rsid w:val="00FD39DE"/>
    <w:rsid w:val="00FE4B61"/>
    <w:rsid w:val="00FE7F71"/>
    <w:rsid w:val="00FF0F9F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28" Type="http://schemas.microsoft.com/office/2016/09/relationships/commentsIds" Target="commentsIds.xm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investment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Relationship Id="rId27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F2F3-89E5-43BC-A5CB-73DD80D8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13</cp:revision>
  <cp:lastPrinted>2020-12-21T10:38:00Z</cp:lastPrinted>
  <dcterms:created xsi:type="dcterms:W3CDTF">2020-12-29T14:35:00Z</dcterms:created>
  <dcterms:modified xsi:type="dcterms:W3CDTF">2021-01-06T10:37:00Z</dcterms:modified>
</cp:coreProperties>
</file>