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8F9034" w14:textId="104CA6B8" w:rsidR="000D48D4" w:rsidRDefault="00D157A0" w:rsidP="00365AF8">
      <w:pPr>
        <w:spacing w:after="0" w:line="360" w:lineRule="auto"/>
        <w:rPr>
          <w:rFonts w:ascii="Arial" w:hAnsi="Arial" w:cs="Arial"/>
          <w:b/>
        </w:rPr>
      </w:pPr>
      <w:r w:rsidRPr="0054412E">
        <w:rPr>
          <w:rFonts w:ascii="Arial" w:hAnsi="Arial" w:cs="Arial"/>
          <w:b/>
        </w:rPr>
        <w:t>Hamburg</w:t>
      </w:r>
      <w:r w:rsidR="00E90673" w:rsidRPr="0054412E">
        <w:rPr>
          <w:rFonts w:ascii="Arial" w:hAnsi="Arial" w:cs="Arial"/>
          <w:b/>
        </w:rPr>
        <w:t xml:space="preserve">: </w:t>
      </w:r>
      <w:r w:rsidR="009050B3">
        <w:rPr>
          <w:rFonts w:ascii="Arial" w:hAnsi="Arial" w:cs="Arial"/>
          <w:b/>
        </w:rPr>
        <w:t>Investmentmarkt 1.</w:t>
      </w:r>
      <w:r w:rsidR="00E25D59">
        <w:rPr>
          <w:rFonts w:ascii="Arial" w:hAnsi="Arial" w:cs="Arial"/>
          <w:b/>
        </w:rPr>
        <w:t>-4</w:t>
      </w:r>
      <w:r w:rsidR="000B39AB">
        <w:rPr>
          <w:rFonts w:ascii="Arial" w:hAnsi="Arial" w:cs="Arial"/>
          <w:b/>
        </w:rPr>
        <w:t>.</w:t>
      </w:r>
      <w:r w:rsidR="00B9324B" w:rsidRPr="00B9324B">
        <w:rPr>
          <w:rFonts w:ascii="Arial" w:hAnsi="Arial" w:cs="Arial"/>
          <w:b/>
        </w:rPr>
        <w:t xml:space="preserve"> Quartal 20</w:t>
      </w:r>
      <w:r w:rsidR="00BD6652">
        <w:rPr>
          <w:rFonts w:ascii="Arial" w:hAnsi="Arial" w:cs="Arial"/>
          <w:b/>
        </w:rPr>
        <w:t>21</w:t>
      </w:r>
      <w:r w:rsidR="0054412E">
        <w:rPr>
          <w:rFonts w:ascii="Arial" w:hAnsi="Arial" w:cs="Arial"/>
          <w:b/>
        </w:rPr>
        <w:br/>
      </w:r>
      <w:r w:rsidR="007F4CF6">
        <w:rPr>
          <w:rFonts w:ascii="Arial" w:hAnsi="Arial" w:cs="Arial"/>
          <w:b/>
          <w:sz w:val="28"/>
          <w:szCs w:val="28"/>
        </w:rPr>
        <w:t>Angebot kann Nachfrage nicht decken</w:t>
      </w:r>
    </w:p>
    <w:p w14:paraId="5DC3EAC5" w14:textId="29DB094C" w:rsidR="00590903" w:rsidRPr="00253412" w:rsidRDefault="00590903" w:rsidP="00365AF8">
      <w:pPr>
        <w:spacing w:after="0" w:line="360" w:lineRule="auto"/>
        <w:jc w:val="both"/>
        <w:rPr>
          <w:rFonts w:ascii="Arial" w:hAnsi="Arial" w:cs="Arial"/>
          <w:b/>
          <w:sz w:val="18"/>
          <w:szCs w:val="20"/>
        </w:rPr>
      </w:pPr>
    </w:p>
    <w:p w14:paraId="52F18CC2" w14:textId="192FE626" w:rsidR="00C362A7" w:rsidRPr="00907E6A" w:rsidRDefault="00E90673" w:rsidP="00F91D23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AB424B">
        <w:rPr>
          <w:rFonts w:ascii="Arial" w:hAnsi="Arial" w:cs="Arial"/>
          <w:b/>
          <w:sz w:val="20"/>
          <w:szCs w:val="20"/>
        </w:rPr>
        <w:t xml:space="preserve">Hamburg, </w:t>
      </w:r>
      <w:r w:rsidR="007F4CF6">
        <w:rPr>
          <w:rFonts w:ascii="Arial" w:hAnsi="Arial" w:cs="Arial"/>
          <w:b/>
          <w:sz w:val="20"/>
          <w:szCs w:val="20"/>
        </w:rPr>
        <w:t>3</w:t>
      </w:r>
      <w:r w:rsidR="00B31F77">
        <w:rPr>
          <w:rFonts w:ascii="Arial" w:hAnsi="Arial" w:cs="Arial"/>
          <w:b/>
          <w:sz w:val="20"/>
          <w:szCs w:val="20"/>
        </w:rPr>
        <w:t>.</w:t>
      </w:r>
      <w:r w:rsidR="00D157A0" w:rsidRPr="00AB424B">
        <w:rPr>
          <w:rFonts w:ascii="Arial" w:hAnsi="Arial" w:cs="Arial"/>
          <w:b/>
          <w:sz w:val="20"/>
          <w:szCs w:val="20"/>
        </w:rPr>
        <w:t xml:space="preserve"> </w:t>
      </w:r>
      <w:r w:rsidR="00E25D59">
        <w:rPr>
          <w:rFonts w:ascii="Arial" w:hAnsi="Arial" w:cs="Arial"/>
          <w:b/>
          <w:sz w:val="20"/>
          <w:szCs w:val="20"/>
        </w:rPr>
        <w:t>Januar</w:t>
      </w:r>
      <w:r w:rsidR="00132522" w:rsidRPr="00AB424B">
        <w:rPr>
          <w:rFonts w:ascii="Arial" w:hAnsi="Arial" w:cs="Arial"/>
          <w:b/>
          <w:sz w:val="20"/>
          <w:szCs w:val="20"/>
        </w:rPr>
        <w:t xml:space="preserve"> </w:t>
      </w:r>
      <w:r w:rsidR="00D157A0" w:rsidRPr="00AB424B">
        <w:rPr>
          <w:rFonts w:ascii="Arial" w:hAnsi="Arial" w:cs="Arial"/>
          <w:b/>
          <w:sz w:val="20"/>
          <w:szCs w:val="20"/>
        </w:rPr>
        <w:t>20</w:t>
      </w:r>
      <w:r w:rsidR="00E25D59">
        <w:rPr>
          <w:rFonts w:ascii="Arial" w:hAnsi="Arial" w:cs="Arial"/>
          <w:b/>
          <w:sz w:val="20"/>
          <w:szCs w:val="20"/>
        </w:rPr>
        <w:t>22</w:t>
      </w:r>
      <w:r w:rsidR="00D157A0" w:rsidRPr="00AB424B">
        <w:rPr>
          <w:rFonts w:ascii="Arial" w:hAnsi="Arial" w:cs="Arial"/>
          <w:b/>
          <w:sz w:val="20"/>
          <w:szCs w:val="20"/>
        </w:rPr>
        <w:t xml:space="preserve"> </w:t>
      </w:r>
      <w:r w:rsidR="00D157A0" w:rsidRPr="00AB424B">
        <w:rPr>
          <w:rFonts w:ascii="Arial" w:hAnsi="Arial" w:cs="Arial"/>
          <w:sz w:val="20"/>
          <w:szCs w:val="20"/>
        </w:rPr>
        <w:t>–</w:t>
      </w:r>
      <w:r w:rsidR="00797E4F" w:rsidRPr="00AB424B">
        <w:rPr>
          <w:rFonts w:ascii="Arial" w:hAnsi="Arial" w:cs="Arial"/>
          <w:b/>
          <w:sz w:val="20"/>
          <w:szCs w:val="20"/>
        </w:rPr>
        <w:t xml:space="preserve"> </w:t>
      </w:r>
      <w:r w:rsidR="00C362A7">
        <w:rPr>
          <w:rFonts w:ascii="Arial" w:hAnsi="Arial" w:cs="Arial"/>
          <w:sz w:val="20"/>
          <w:szCs w:val="20"/>
        </w:rPr>
        <w:t xml:space="preserve">Zeigte sich der Hamburger Investmentmarkt für gewerbliche Immobilien 2020 noch unbeeindruckt von der Corona-Pandemie, fällt die Marktdynamik zum Jahresende 2021 </w:t>
      </w:r>
      <w:r w:rsidR="00907E6A">
        <w:rPr>
          <w:rFonts w:ascii="Arial" w:hAnsi="Arial" w:cs="Arial"/>
          <w:sz w:val="20"/>
          <w:szCs w:val="20"/>
        </w:rPr>
        <w:t>deutlich</w:t>
      </w:r>
      <w:r w:rsidR="00C362A7">
        <w:rPr>
          <w:rFonts w:ascii="Arial" w:hAnsi="Arial" w:cs="Arial"/>
          <w:sz w:val="20"/>
          <w:szCs w:val="20"/>
        </w:rPr>
        <w:t xml:space="preserve"> schwächer aus. </w:t>
      </w:r>
      <w:r w:rsidR="00C1491C">
        <w:rPr>
          <w:rFonts w:ascii="Arial" w:hAnsi="Arial" w:cs="Arial"/>
          <w:sz w:val="20"/>
          <w:szCs w:val="20"/>
        </w:rPr>
        <w:t xml:space="preserve">Das Transaktionsvolumen (TAV) blieb mit rund 3,2 Mrd. € um 40 % unter dem Vorjahreswert (rund 5,37 Mrd. €). </w:t>
      </w:r>
      <w:r w:rsidR="0028116D">
        <w:rPr>
          <w:rFonts w:ascii="Arial" w:hAnsi="Arial" w:cs="Arial"/>
          <w:sz w:val="20"/>
          <w:szCs w:val="20"/>
        </w:rPr>
        <w:t xml:space="preserve">Nach einer schwachen 1. Jahreshälfte belebte sich der Markt im 3. Quartal zwar wieder und schloss mit einem </w:t>
      </w:r>
      <w:r w:rsidR="00F87D09">
        <w:rPr>
          <w:rFonts w:ascii="Arial" w:hAnsi="Arial" w:cs="Arial"/>
          <w:sz w:val="20"/>
          <w:szCs w:val="20"/>
        </w:rPr>
        <w:t>traditionell starken</w:t>
      </w:r>
      <w:r w:rsidR="00672F97">
        <w:rPr>
          <w:rFonts w:ascii="Arial" w:hAnsi="Arial" w:cs="Arial"/>
          <w:sz w:val="20"/>
          <w:szCs w:val="20"/>
        </w:rPr>
        <w:t xml:space="preserve"> 4. Quartal </w:t>
      </w:r>
      <w:r w:rsidR="00F87D09">
        <w:rPr>
          <w:rFonts w:ascii="Arial" w:hAnsi="Arial" w:cs="Arial"/>
          <w:sz w:val="20"/>
          <w:szCs w:val="20"/>
        </w:rPr>
        <w:t xml:space="preserve">ab. Mit </w:t>
      </w:r>
      <w:r w:rsidR="00672F97">
        <w:rPr>
          <w:rFonts w:ascii="Arial" w:hAnsi="Arial" w:cs="Arial"/>
          <w:sz w:val="20"/>
          <w:szCs w:val="20"/>
        </w:rPr>
        <w:t xml:space="preserve">rund 1,1 Mrd. € </w:t>
      </w:r>
      <w:r w:rsidR="00F87D09">
        <w:rPr>
          <w:rFonts w:ascii="Arial" w:hAnsi="Arial" w:cs="Arial"/>
          <w:sz w:val="20"/>
          <w:szCs w:val="20"/>
        </w:rPr>
        <w:t>TAV war dieses im</w:t>
      </w:r>
      <w:r w:rsidR="00672F97">
        <w:rPr>
          <w:rFonts w:ascii="Arial" w:hAnsi="Arial" w:cs="Arial"/>
          <w:sz w:val="20"/>
          <w:szCs w:val="20"/>
        </w:rPr>
        <w:t xml:space="preserve"> </w:t>
      </w:r>
      <w:r w:rsidR="00F87D09">
        <w:rPr>
          <w:rFonts w:ascii="Arial" w:hAnsi="Arial" w:cs="Arial"/>
          <w:sz w:val="20"/>
          <w:szCs w:val="20"/>
        </w:rPr>
        <w:t>h</w:t>
      </w:r>
      <w:r w:rsidR="00672F97">
        <w:rPr>
          <w:rFonts w:ascii="Arial" w:hAnsi="Arial" w:cs="Arial"/>
          <w:sz w:val="20"/>
          <w:szCs w:val="20"/>
        </w:rPr>
        <w:t>istorisch</w:t>
      </w:r>
      <w:r w:rsidR="00F87D09">
        <w:rPr>
          <w:rFonts w:ascii="Arial" w:hAnsi="Arial" w:cs="Arial"/>
          <w:sz w:val="20"/>
          <w:szCs w:val="20"/>
        </w:rPr>
        <w:t>en Vergleich</w:t>
      </w:r>
      <w:r w:rsidR="00672F97">
        <w:rPr>
          <w:rFonts w:ascii="Arial" w:hAnsi="Arial" w:cs="Arial"/>
          <w:sz w:val="20"/>
          <w:szCs w:val="20"/>
        </w:rPr>
        <w:t xml:space="preserve"> </w:t>
      </w:r>
      <w:r w:rsidR="00A52BBB">
        <w:rPr>
          <w:rFonts w:ascii="Arial" w:hAnsi="Arial" w:cs="Arial"/>
          <w:sz w:val="20"/>
          <w:szCs w:val="20"/>
        </w:rPr>
        <w:t xml:space="preserve">jedoch </w:t>
      </w:r>
      <w:r w:rsidR="00672F97">
        <w:rPr>
          <w:rFonts w:ascii="Arial" w:hAnsi="Arial" w:cs="Arial"/>
          <w:sz w:val="20"/>
          <w:szCs w:val="20"/>
        </w:rPr>
        <w:t xml:space="preserve">das schwächste 4. Quartal seit 2015. </w:t>
      </w:r>
      <w:r w:rsidR="00317DDA">
        <w:rPr>
          <w:rFonts w:ascii="Arial" w:hAnsi="Arial" w:cs="Arial"/>
          <w:sz w:val="20"/>
          <w:szCs w:val="20"/>
        </w:rPr>
        <w:t xml:space="preserve">Auch das </w:t>
      </w:r>
      <w:r w:rsidR="00202F14">
        <w:rPr>
          <w:rFonts w:ascii="Arial" w:hAnsi="Arial" w:cs="Arial"/>
          <w:sz w:val="20"/>
          <w:szCs w:val="20"/>
        </w:rPr>
        <w:t>Gesamt-</w:t>
      </w:r>
      <w:r w:rsidR="00317DDA">
        <w:rPr>
          <w:rFonts w:ascii="Arial" w:hAnsi="Arial" w:cs="Arial"/>
          <w:sz w:val="20"/>
          <w:szCs w:val="20"/>
        </w:rPr>
        <w:t>TAV für 2021 blieb</w:t>
      </w:r>
      <w:r w:rsidR="00F53A47">
        <w:rPr>
          <w:rFonts w:ascii="Arial" w:hAnsi="Arial" w:cs="Arial"/>
          <w:sz w:val="20"/>
          <w:szCs w:val="20"/>
        </w:rPr>
        <w:t xml:space="preserve"> unter dem Zehn</w:t>
      </w:r>
      <w:r w:rsidR="00CF69E0">
        <w:rPr>
          <w:rFonts w:ascii="Arial" w:hAnsi="Arial" w:cs="Arial"/>
          <w:sz w:val="20"/>
          <w:szCs w:val="20"/>
        </w:rPr>
        <w:t xml:space="preserve">-Jahres-Mittel von 3,8 Mrd. €. </w:t>
      </w:r>
      <w:r w:rsidR="00672F97" w:rsidRPr="00A52BBB">
        <w:rPr>
          <w:rFonts w:ascii="Arial" w:hAnsi="Arial" w:cs="Arial"/>
          <w:i/>
          <w:sz w:val="20"/>
          <w:szCs w:val="20"/>
        </w:rPr>
        <w:t xml:space="preserve">„Die Einschränkungen durch den </w:t>
      </w:r>
      <w:proofErr w:type="spellStart"/>
      <w:r w:rsidR="00672F97" w:rsidRPr="00A52BBB">
        <w:rPr>
          <w:rFonts w:ascii="Arial" w:hAnsi="Arial" w:cs="Arial"/>
          <w:i/>
          <w:sz w:val="20"/>
          <w:szCs w:val="20"/>
        </w:rPr>
        <w:t>Lockdown</w:t>
      </w:r>
      <w:proofErr w:type="spellEnd"/>
      <w:r w:rsidR="00672F97" w:rsidRPr="00A52BBB">
        <w:rPr>
          <w:rFonts w:ascii="Arial" w:hAnsi="Arial" w:cs="Arial"/>
          <w:i/>
          <w:sz w:val="20"/>
          <w:szCs w:val="20"/>
        </w:rPr>
        <w:t xml:space="preserve"> und die politischen Maßnahmen zu Jahresbeginn</w:t>
      </w:r>
      <w:r w:rsidR="00907E6A" w:rsidRPr="00A52BBB">
        <w:rPr>
          <w:rFonts w:ascii="Arial" w:hAnsi="Arial" w:cs="Arial"/>
          <w:i/>
          <w:sz w:val="20"/>
          <w:szCs w:val="20"/>
        </w:rPr>
        <w:t xml:space="preserve"> führten zu spürbarer Zurückhaltung auf Verkäuferseite. Dadurch sind momentan kaum Produkte am Markt“</w:t>
      </w:r>
      <w:r w:rsidR="00907E6A">
        <w:rPr>
          <w:rFonts w:ascii="Arial" w:hAnsi="Arial" w:cs="Arial"/>
          <w:sz w:val="20"/>
          <w:szCs w:val="20"/>
        </w:rPr>
        <w:t xml:space="preserve">, erläutert </w:t>
      </w:r>
      <w:r w:rsidR="00907E6A" w:rsidRPr="00E81AEB">
        <w:rPr>
          <w:rFonts w:ascii="Arial" w:hAnsi="Arial" w:cs="Arial"/>
          <w:b/>
          <w:sz w:val="20"/>
          <w:szCs w:val="20"/>
        </w:rPr>
        <w:t>Sandra Ludwig</w:t>
      </w:r>
      <w:r w:rsidR="00907E6A">
        <w:rPr>
          <w:rFonts w:ascii="Arial" w:hAnsi="Arial" w:cs="Arial"/>
          <w:sz w:val="20"/>
          <w:szCs w:val="20"/>
        </w:rPr>
        <w:t>, Geschäftsführerin von Grossmann &amp; Berger, Mitglied von German Property Partners (GPP).</w:t>
      </w:r>
      <w:r w:rsidR="00672F97">
        <w:rPr>
          <w:rFonts w:ascii="Arial" w:hAnsi="Arial" w:cs="Arial"/>
          <w:sz w:val="20"/>
          <w:szCs w:val="20"/>
        </w:rPr>
        <w:t xml:space="preserve"> </w:t>
      </w:r>
      <w:r w:rsidR="00A52BBB" w:rsidRPr="00E81AEB">
        <w:rPr>
          <w:rFonts w:ascii="Arial" w:hAnsi="Arial" w:cs="Arial"/>
          <w:i/>
          <w:sz w:val="20"/>
          <w:szCs w:val="20"/>
        </w:rPr>
        <w:t>„Aufgrund des Produktmangels und des wieder erstarkten Büromarkts setzen Investoren mittlerweile neben Core-Produkten auch wieder auf Value-Add-Immobilien</w:t>
      </w:r>
      <w:r w:rsidR="00E81AEB" w:rsidRPr="00E81AEB">
        <w:rPr>
          <w:rFonts w:ascii="Arial" w:hAnsi="Arial" w:cs="Arial"/>
          <w:i/>
          <w:sz w:val="20"/>
          <w:szCs w:val="20"/>
        </w:rPr>
        <w:t xml:space="preserve">, in denen sich </w:t>
      </w:r>
      <w:r w:rsidR="00202F14">
        <w:rPr>
          <w:rFonts w:ascii="Arial" w:hAnsi="Arial" w:cs="Arial"/>
          <w:i/>
          <w:sz w:val="20"/>
          <w:szCs w:val="20"/>
        </w:rPr>
        <w:t xml:space="preserve">u. a. </w:t>
      </w:r>
      <w:r w:rsidR="00E81AEB" w:rsidRPr="00E81AEB">
        <w:rPr>
          <w:rFonts w:ascii="Arial" w:hAnsi="Arial" w:cs="Arial"/>
          <w:i/>
          <w:sz w:val="20"/>
          <w:szCs w:val="20"/>
        </w:rPr>
        <w:t>New Work-Konzepte realisieren lassen“</w:t>
      </w:r>
      <w:r w:rsidR="00E81AEB">
        <w:rPr>
          <w:rFonts w:ascii="Arial" w:hAnsi="Arial" w:cs="Arial"/>
          <w:sz w:val="20"/>
          <w:szCs w:val="20"/>
        </w:rPr>
        <w:t xml:space="preserve">, so </w:t>
      </w:r>
      <w:r w:rsidR="00E81AEB" w:rsidRPr="00E81AEB">
        <w:rPr>
          <w:rFonts w:ascii="Arial" w:hAnsi="Arial" w:cs="Arial"/>
          <w:b/>
          <w:sz w:val="20"/>
          <w:szCs w:val="20"/>
        </w:rPr>
        <w:t>Ludwig</w:t>
      </w:r>
      <w:r w:rsidR="00E81AEB">
        <w:rPr>
          <w:rFonts w:ascii="Arial" w:hAnsi="Arial" w:cs="Arial"/>
          <w:sz w:val="20"/>
          <w:szCs w:val="20"/>
        </w:rPr>
        <w:t>.</w:t>
      </w:r>
      <w:r w:rsidR="00317DDA">
        <w:rPr>
          <w:rFonts w:ascii="Arial" w:hAnsi="Arial" w:cs="Arial"/>
          <w:sz w:val="20"/>
          <w:szCs w:val="20"/>
        </w:rPr>
        <w:t xml:space="preserve"> Für 2022 rechnet Grossmann </w:t>
      </w:r>
      <w:r w:rsidR="0028116D">
        <w:rPr>
          <w:rFonts w:ascii="Arial" w:hAnsi="Arial" w:cs="Arial"/>
          <w:sz w:val="20"/>
          <w:szCs w:val="20"/>
        </w:rPr>
        <w:t>&amp; Berger mit einer insgesamt soliden Marktentwicklung, wenngleich der Jahresauftakt schwach ausfallen dürfte</w:t>
      </w:r>
      <w:r w:rsidR="00317DDA">
        <w:rPr>
          <w:rFonts w:ascii="Arial" w:hAnsi="Arial" w:cs="Arial"/>
          <w:sz w:val="20"/>
          <w:szCs w:val="20"/>
        </w:rPr>
        <w:t xml:space="preserve">, da kaum Überläufer wie noch </w:t>
      </w:r>
      <w:r w:rsidR="00202F14">
        <w:rPr>
          <w:rFonts w:ascii="Arial" w:hAnsi="Arial" w:cs="Arial"/>
          <w:sz w:val="20"/>
          <w:szCs w:val="20"/>
        </w:rPr>
        <w:t xml:space="preserve">Anfang </w:t>
      </w:r>
      <w:r w:rsidR="00317DDA">
        <w:rPr>
          <w:rFonts w:ascii="Arial" w:hAnsi="Arial" w:cs="Arial"/>
          <w:sz w:val="20"/>
          <w:szCs w:val="20"/>
        </w:rPr>
        <w:t>2021 vorhanden sind</w:t>
      </w:r>
      <w:r w:rsidR="0028116D">
        <w:rPr>
          <w:rFonts w:ascii="Arial" w:hAnsi="Arial" w:cs="Arial"/>
          <w:sz w:val="20"/>
          <w:szCs w:val="20"/>
        </w:rPr>
        <w:t>.</w:t>
      </w:r>
    </w:p>
    <w:p w14:paraId="6F149F30" w14:textId="715054AA" w:rsidR="001F0102" w:rsidRDefault="001F0102" w:rsidP="00F91D23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79CA357A" w14:textId="58F908D1" w:rsidR="000A5ED1" w:rsidRPr="00D35A6D" w:rsidRDefault="00365AF8" w:rsidP="00365AF8">
      <w:pPr>
        <w:spacing w:after="0" w:line="360" w:lineRule="auto"/>
        <w:textAlignment w:val="baseline"/>
        <w:rPr>
          <w:rFonts w:ascii="Arial" w:hAnsi="Arial" w:cs="Arial"/>
          <w:b/>
          <w:sz w:val="20"/>
          <w:szCs w:val="20"/>
        </w:rPr>
      </w:pPr>
      <w:r w:rsidRPr="00D35A6D">
        <w:rPr>
          <w:rFonts w:ascii="Arial" w:hAnsi="Arial" w:cs="Arial"/>
          <w:b/>
          <w:sz w:val="20"/>
          <w:szCs w:val="20"/>
        </w:rPr>
        <w:t xml:space="preserve">Markt im Detail: </w:t>
      </w:r>
    </w:p>
    <w:p w14:paraId="141C0D85" w14:textId="4F4E3B11" w:rsidR="008E3F75" w:rsidRDefault="00317DDA" w:rsidP="00C05758">
      <w:pPr>
        <w:pStyle w:val="Listenabsatz"/>
        <w:numPr>
          <w:ilvl w:val="0"/>
          <w:numId w:val="21"/>
        </w:numPr>
        <w:spacing w:after="0" w:line="360" w:lineRule="auto"/>
        <w:ind w:left="284" w:hanging="284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Im Gesamtjahr 2021 entfielen lediglich sieben</w:t>
      </w:r>
      <w:r w:rsidR="00C05758">
        <w:rPr>
          <w:rFonts w:ascii="Arial" w:hAnsi="Arial" w:cs="Arial"/>
          <w:sz w:val="20"/>
          <w:szCs w:val="20"/>
        </w:rPr>
        <w:t xml:space="preserve"> </w:t>
      </w:r>
      <w:r w:rsidR="00C05758" w:rsidRPr="00317DDA">
        <w:rPr>
          <w:rFonts w:ascii="Arial" w:hAnsi="Arial" w:cs="Arial"/>
          <w:sz w:val="20"/>
          <w:szCs w:val="20"/>
        </w:rPr>
        <w:t>Transaktionen</w:t>
      </w:r>
      <w:r w:rsidRPr="00317DDA">
        <w:rPr>
          <w:rFonts w:ascii="Arial" w:hAnsi="Arial" w:cs="Arial"/>
          <w:sz w:val="20"/>
          <w:szCs w:val="20"/>
        </w:rPr>
        <w:t xml:space="preserve"> auf die </w:t>
      </w:r>
      <w:r>
        <w:rPr>
          <w:rFonts w:ascii="Arial" w:hAnsi="Arial" w:cs="Arial"/>
          <w:sz w:val="20"/>
          <w:szCs w:val="20"/>
          <w:u w:val="single"/>
        </w:rPr>
        <w:t>Größenklasse</w:t>
      </w:r>
      <w:r w:rsidR="00C05758" w:rsidRPr="00F53A47">
        <w:rPr>
          <w:rFonts w:ascii="Arial" w:hAnsi="Arial" w:cs="Arial"/>
          <w:sz w:val="20"/>
          <w:szCs w:val="20"/>
        </w:rPr>
        <w:t xml:space="preserve"> über 100 Mio. €</w:t>
      </w:r>
      <w:r w:rsidR="00F53A47">
        <w:rPr>
          <w:rFonts w:ascii="Arial" w:hAnsi="Arial" w:cs="Arial"/>
          <w:sz w:val="20"/>
          <w:szCs w:val="20"/>
        </w:rPr>
        <w:t>. Dies ist</w:t>
      </w:r>
      <w:r>
        <w:rPr>
          <w:rFonts w:ascii="Arial" w:hAnsi="Arial" w:cs="Arial"/>
          <w:sz w:val="20"/>
          <w:szCs w:val="20"/>
        </w:rPr>
        <w:t xml:space="preserve"> weniger als die Hälfte </w:t>
      </w:r>
      <w:r w:rsidR="00F53A47">
        <w:rPr>
          <w:rFonts w:ascii="Arial" w:hAnsi="Arial" w:cs="Arial"/>
          <w:sz w:val="20"/>
          <w:szCs w:val="20"/>
        </w:rPr>
        <w:t xml:space="preserve">als </w:t>
      </w:r>
      <w:r>
        <w:rPr>
          <w:rFonts w:ascii="Arial" w:hAnsi="Arial" w:cs="Arial"/>
          <w:sz w:val="20"/>
          <w:szCs w:val="20"/>
        </w:rPr>
        <w:t>2020 (15).</w:t>
      </w:r>
    </w:p>
    <w:p w14:paraId="60C3C488" w14:textId="66F9A734" w:rsidR="00C05758" w:rsidRDefault="00C05758" w:rsidP="00C05758">
      <w:pPr>
        <w:pStyle w:val="Listenabsatz"/>
        <w:numPr>
          <w:ilvl w:val="0"/>
          <w:numId w:val="21"/>
        </w:numPr>
        <w:spacing w:after="0" w:line="360" w:lineRule="auto"/>
        <w:ind w:left="284" w:hanging="284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Das Interesse der </w:t>
      </w:r>
      <w:r w:rsidR="00202F14">
        <w:rPr>
          <w:rFonts w:ascii="Arial" w:hAnsi="Arial" w:cs="Arial"/>
          <w:sz w:val="20"/>
          <w:szCs w:val="20"/>
        </w:rPr>
        <w:t>Investoren an Büroi</w:t>
      </w:r>
      <w:r>
        <w:rPr>
          <w:rFonts w:ascii="Arial" w:hAnsi="Arial" w:cs="Arial"/>
          <w:sz w:val="20"/>
          <w:szCs w:val="20"/>
        </w:rPr>
        <w:t>mmobilien hat weiter zugenommen und</w:t>
      </w:r>
      <w:r w:rsidR="00811DEF">
        <w:rPr>
          <w:rFonts w:ascii="Arial" w:hAnsi="Arial" w:cs="Arial"/>
          <w:sz w:val="20"/>
          <w:szCs w:val="20"/>
        </w:rPr>
        <w:t xml:space="preserve"> beschert</w:t>
      </w:r>
      <w:r w:rsidR="00C362A7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 </w:t>
      </w:r>
      <w:r w:rsidR="00811DEF">
        <w:rPr>
          <w:rFonts w:ascii="Arial" w:hAnsi="Arial" w:cs="Arial"/>
          <w:sz w:val="20"/>
          <w:szCs w:val="20"/>
        </w:rPr>
        <w:t xml:space="preserve">dieser </w:t>
      </w:r>
      <w:proofErr w:type="spellStart"/>
      <w:r w:rsidR="00811DEF" w:rsidRPr="003264A2">
        <w:rPr>
          <w:rFonts w:ascii="Arial" w:hAnsi="Arial" w:cs="Arial"/>
          <w:sz w:val="20"/>
          <w:szCs w:val="20"/>
          <w:u w:val="single"/>
        </w:rPr>
        <w:t>Assetklasse</w:t>
      </w:r>
      <w:proofErr w:type="spellEnd"/>
      <w:r w:rsidR="00811DEF">
        <w:rPr>
          <w:rFonts w:ascii="Arial" w:hAnsi="Arial" w:cs="Arial"/>
          <w:sz w:val="20"/>
          <w:szCs w:val="20"/>
        </w:rPr>
        <w:t xml:space="preserve"> zum Jahresende 2021 einen Anteil von 66 %</w:t>
      </w:r>
      <w:r w:rsidR="000A308A">
        <w:rPr>
          <w:rFonts w:ascii="Arial" w:hAnsi="Arial" w:cs="Arial"/>
          <w:sz w:val="20"/>
          <w:szCs w:val="20"/>
        </w:rPr>
        <w:t xml:space="preserve"> (2020: 53 %)</w:t>
      </w:r>
      <w:r w:rsidR="00811DEF">
        <w:rPr>
          <w:rFonts w:ascii="Arial" w:hAnsi="Arial" w:cs="Arial"/>
          <w:sz w:val="20"/>
          <w:szCs w:val="20"/>
        </w:rPr>
        <w:t>.</w:t>
      </w:r>
      <w:r w:rsidR="00202F14">
        <w:rPr>
          <w:rFonts w:ascii="Arial" w:hAnsi="Arial" w:cs="Arial"/>
          <w:sz w:val="20"/>
          <w:szCs w:val="20"/>
        </w:rPr>
        <w:t xml:space="preserve"> Auch Logistiki</w:t>
      </w:r>
      <w:r w:rsidR="000A308A">
        <w:rPr>
          <w:rFonts w:ascii="Arial" w:hAnsi="Arial" w:cs="Arial"/>
          <w:sz w:val="20"/>
          <w:szCs w:val="20"/>
        </w:rPr>
        <w:t xml:space="preserve">mmobilien waren 2021 mit einem Anteil von 14 % deutlich gefragter als im </w:t>
      </w:r>
      <w:r w:rsidR="00C362A7">
        <w:rPr>
          <w:rFonts w:ascii="Arial" w:hAnsi="Arial" w:cs="Arial"/>
          <w:sz w:val="20"/>
          <w:szCs w:val="20"/>
        </w:rPr>
        <w:t>Gesamtjahr 2020</w:t>
      </w:r>
      <w:r w:rsidR="000A308A">
        <w:rPr>
          <w:rFonts w:ascii="Arial" w:hAnsi="Arial" w:cs="Arial"/>
          <w:sz w:val="20"/>
          <w:szCs w:val="20"/>
        </w:rPr>
        <w:t xml:space="preserve"> (2 %). </w:t>
      </w:r>
    </w:p>
    <w:p w14:paraId="71816EE1" w14:textId="73F465FD" w:rsidR="007E2ECB" w:rsidRDefault="00B9030E" w:rsidP="00C05758">
      <w:pPr>
        <w:pStyle w:val="Listenabsatz"/>
        <w:numPr>
          <w:ilvl w:val="0"/>
          <w:numId w:val="21"/>
        </w:numPr>
        <w:spacing w:after="0" w:line="360" w:lineRule="auto"/>
        <w:ind w:left="284" w:hanging="284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Mit 22 Transaktionen und einem Anteil von 24 % am TAV setzte sich der </w:t>
      </w:r>
      <w:r w:rsidRPr="003264A2">
        <w:rPr>
          <w:rFonts w:ascii="Arial" w:hAnsi="Arial" w:cs="Arial"/>
          <w:sz w:val="20"/>
          <w:szCs w:val="20"/>
          <w:u w:val="single"/>
        </w:rPr>
        <w:t>Teilmarkt</w:t>
      </w:r>
      <w:r>
        <w:rPr>
          <w:rFonts w:ascii="Arial" w:hAnsi="Arial" w:cs="Arial"/>
          <w:sz w:val="20"/>
          <w:szCs w:val="20"/>
        </w:rPr>
        <w:t xml:space="preserve"> Hamburg Ost vor den Teilmärkten City (17 %) und St. Georg (12 %) an die Spitze.</w:t>
      </w:r>
    </w:p>
    <w:p w14:paraId="01F99D5D" w14:textId="3AB19404" w:rsidR="003264A2" w:rsidRDefault="003264A2" w:rsidP="00C05758">
      <w:pPr>
        <w:pStyle w:val="Listenabsatz"/>
        <w:numPr>
          <w:ilvl w:val="0"/>
          <w:numId w:val="21"/>
        </w:numPr>
        <w:spacing w:after="0" w:line="360" w:lineRule="auto"/>
        <w:ind w:left="284" w:hanging="284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Der Anteil an </w:t>
      </w:r>
      <w:r w:rsidRPr="00702624">
        <w:rPr>
          <w:rFonts w:ascii="Arial" w:hAnsi="Arial" w:cs="Arial"/>
          <w:sz w:val="20"/>
          <w:szCs w:val="20"/>
          <w:u w:val="single"/>
        </w:rPr>
        <w:t>Portfoliotransaktionen</w:t>
      </w:r>
      <w:r w:rsidR="00702624">
        <w:rPr>
          <w:rFonts w:ascii="Arial" w:hAnsi="Arial" w:cs="Arial"/>
          <w:sz w:val="20"/>
          <w:szCs w:val="20"/>
        </w:rPr>
        <w:t xml:space="preserve"> sank um über</w:t>
      </w:r>
      <w:r>
        <w:rPr>
          <w:rFonts w:ascii="Arial" w:hAnsi="Arial" w:cs="Arial"/>
          <w:sz w:val="20"/>
          <w:szCs w:val="20"/>
        </w:rPr>
        <w:t xml:space="preserve"> 50 % gegenüber dem Vorjahreszeitraum </w:t>
      </w:r>
      <w:r w:rsidR="00C362A7">
        <w:rPr>
          <w:rFonts w:ascii="Arial" w:hAnsi="Arial" w:cs="Arial"/>
          <w:sz w:val="20"/>
          <w:szCs w:val="20"/>
        </w:rPr>
        <w:t xml:space="preserve">auf </w:t>
      </w:r>
      <w:r w:rsidR="00702624">
        <w:rPr>
          <w:rFonts w:ascii="Arial" w:hAnsi="Arial" w:cs="Arial"/>
          <w:sz w:val="20"/>
          <w:szCs w:val="20"/>
        </w:rPr>
        <w:t>13 %.</w:t>
      </w:r>
    </w:p>
    <w:p w14:paraId="425532EA" w14:textId="6E64F446" w:rsidR="00702624" w:rsidRDefault="00702624" w:rsidP="00C05758">
      <w:pPr>
        <w:pStyle w:val="Listenabsatz"/>
        <w:numPr>
          <w:ilvl w:val="0"/>
          <w:numId w:val="21"/>
        </w:numPr>
        <w:spacing w:after="0" w:line="360" w:lineRule="auto"/>
        <w:ind w:left="284" w:hanging="284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Zum Jahresende 2021 verdrängten Offene Immobilienpublikumsfonds</w:t>
      </w:r>
      <w:r w:rsidR="00317DDA">
        <w:rPr>
          <w:rFonts w:ascii="Arial" w:hAnsi="Arial" w:cs="Arial"/>
          <w:sz w:val="20"/>
          <w:szCs w:val="20"/>
        </w:rPr>
        <w:t xml:space="preserve"> (27 %) Projektentwickler</w:t>
      </w:r>
      <w:r>
        <w:rPr>
          <w:rFonts w:ascii="Arial" w:hAnsi="Arial" w:cs="Arial"/>
          <w:sz w:val="20"/>
          <w:szCs w:val="20"/>
        </w:rPr>
        <w:t xml:space="preserve"> als stärkste </w:t>
      </w:r>
      <w:r w:rsidRPr="00BF0008">
        <w:rPr>
          <w:rFonts w:ascii="Arial" w:hAnsi="Arial" w:cs="Arial"/>
          <w:sz w:val="20"/>
          <w:szCs w:val="20"/>
          <w:u w:val="single"/>
        </w:rPr>
        <w:t>Käufergruppe</w:t>
      </w:r>
      <w:r w:rsidR="00317DDA" w:rsidRPr="00317DDA">
        <w:rPr>
          <w:rFonts w:ascii="Arial" w:hAnsi="Arial" w:cs="Arial"/>
          <w:sz w:val="20"/>
          <w:szCs w:val="20"/>
        </w:rPr>
        <w:t>, die mit 19 % auf dem dritten Rang lande</w:t>
      </w:r>
      <w:r w:rsidR="00317DDA">
        <w:rPr>
          <w:rFonts w:ascii="Arial" w:hAnsi="Arial" w:cs="Arial"/>
          <w:sz w:val="20"/>
          <w:szCs w:val="20"/>
        </w:rPr>
        <w:t>te</w:t>
      </w:r>
      <w:r w:rsidR="00317DDA" w:rsidRPr="00317DDA"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. Zweitstärkste Käufergruppe ware</w:t>
      </w:r>
      <w:r w:rsidR="00BF0008">
        <w:rPr>
          <w:rFonts w:ascii="Arial" w:hAnsi="Arial" w:cs="Arial"/>
          <w:sz w:val="20"/>
          <w:szCs w:val="20"/>
        </w:rPr>
        <w:t xml:space="preserve">n </w:t>
      </w:r>
      <w:r>
        <w:rPr>
          <w:rFonts w:ascii="Arial" w:hAnsi="Arial" w:cs="Arial"/>
          <w:sz w:val="20"/>
          <w:szCs w:val="20"/>
        </w:rPr>
        <w:t>Fondsmanager</w:t>
      </w:r>
      <w:r w:rsidR="00BF0008">
        <w:rPr>
          <w:rFonts w:ascii="Arial" w:hAnsi="Arial" w:cs="Arial"/>
          <w:sz w:val="20"/>
          <w:szCs w:val="20"/>
        </w:rPr>
        <w:t xml:space="preserve"> (22 %)</w:t>
      </w:r>
      <w:r>
        <w:rPr>
          <w:rFonts w:ascii="Arial" w:hAnsi="Arial" w:cs="Arial"/>
          <w:sz w:val="20"/>
          <w:szCs w:val="20"/>
        </w:rPr>
        <w:t>.</w:t>
      </w:r>
      <w:r w:rsidR="00BF0008">
        <w:rPr>
          <w:rFonts w:ascii="Arial" w:hAnsi="Arial" w:cs="Arial"/>
          <w:sz w:val="20"/>
          <w:szCs w:val="20"/>
        </w:rPr>
        <w:t xml:space="preserve"> Als stärkste </w:t>
      </w:r>
      <w:r w:rsidR="00BF0008" w:rsidRPr="00BF0008">
        <w:rPr>
          <w:rFonts w:ascii="Arial" w:hAnsi="Arial" w:cs="Arial"/>
          <w:sz w:val="20"/>
          <w:szCs w:val="20"/>
          <w:u w:val="single"/>
        </w:rPr>
        <w:t>Verkäufergruppen</w:t>
      </w:r>
      <w:r w:rsidR="00BF0008">
        <w:rPr>
          <w:rFonts w:ascii="Arial" w:hAnsi="Arial" w:cs="Arial"/>
          <w:sz w:val="20"/>
          <w:szCs w:val="20"/>
        </w:rPr>
        <w:t xml:space="preserve"> gingen </w:t>
      </w:r>
      <w:proofErr w:type="spellStart"/>
      <w:r w:rsidR="00BF0008">
        <w:rPr>
          <w:rFonts w:ascii="Arial" w:hAnsi="Arial" w:cs="Arial"/>
          <w:sz w:val="20"/>
          <w:szCs w:val="20"/>
        </w:rPr>
        <w:t>Corporates</w:t>
      </w:r>
      <w:proofErr w:type="spellEnd"/>
      <w:r w:rsidR="00BF0008">
        <w:rPr>
          <w:rFonts w:ascii="Arial" w:hAnsi="Arial" w:cs="Arial"/>
          <w:sz w:val="20"/>
          <w:szCs w:val="20"/>
        </w:rPr>
        <w:t>/Eigennutzer (21 %) und Fondsmanager (20 %) hervor.</w:t>
      </w:r>
    </w:p>
    <w:p w14:paraId="0BA22E7E" w14:textId="4FCD1499" w:rsidR="00C9039E" w:rsidRDefault="00C9039E" w:rsidP="00C05758">
      <w:pPr>
        <w:pStyle w:val="Listenabsatz"/>
        <w:numPr>
          <w:ilvl w:val="0"/>
          <w:numId w:val="21"/>
        </w:numPr>
        <w:spacing w:after="0" w:line="360" w:lineRule="auto"/>
        <w:ind w:left="284" w:hanging="284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Während der Anteil </w:t>
      </w:r>
      <w:r w:rsidRPr="00C9039E">
        <w:rPr>
          <w:rFonts w:ascii="Arial" w:hAnsi="Arial" w:cs="Arial"/>
          <w:sz w:val="20"/>
          <w:szCs w:val="20"/>
          <w:u w:val="single"/>
        </w:rPr>
        <w:t>internationaler Käufer</w:t>
      </w:r>
      <w:r>
        <w:rPr>
          <w:rFonts w:ascii="Arial" w:hAnsi="Arial" w:cs="Arial"/>
          <w:sz w:val="20"/>
          <w:szCs w:val="20"/>
        </w:rPr>
        <w:t xml:space="preserve"> mit 24 % auch zum Ende des 4. Quartals </w:t>
      </w:r>
      <w:r w:rsidR="00C362A7">
        <w:rPr>
          <w:rFonts w:ascii="Arial" w:hAnsi="Arial" w:cs="Arial"/>
          <w:sz w:val="20"/>
          <w:szCs w:val="20"/>
        </w:rPr>
        <w:t xml:space="preserve">2021 </w:t>
      </w:r>
      <w:r>
        <w:rPr>
          <w:rFonts w:ascii="Arial" w:hAnsi="Arial" w:cs="Arial"/>
          <w:sz w:val="20"/>
          <w:szCs w:val="20"/>
        </w:rPr>
        <w:t xml:space="preserve">unter Vorjahresniveau (38 %) blieb, zeigte sich der Anteil </w:t>
      </w:r>
      <w:r w:rsidRPr="00C9039E">
        <w:rPr>
          <w:rFonts w:ascii="Arial" w:hAnsi="Arial" w:cs="Arial"/>
          <w:sz w:val="20"/>
          <w:szCs w:val="20"/>
          <w:u w:val="single"/>
        </w:rPr>
        <w:t>internationaler Verkäufer</w:t>
      </w:r>
      <w:r>
        <w:rPr>
          <w:rFonts w:ascii="Arial" w:hAnsi="Arial" w:cs="Arial"/>
          <w:sz w:val="20"/>
          <w:szCs w:val="20"/>
        </w:rPr>
        <w:t xml:space="preserve"> mit ebenfalls 24 % stabil.</w:t>
      </w:r>
    </w:p>
    <w:p w14:paraId="63A4FA4A" w14:textId="7F2F7C56" w:rsidR="00BF0008" w:rsidRDefault="00C9039E" w:rsidP="00C05758">
      <w:pPr>
        <w:pStyle w:val="Listenabsatz"/>
        <w:numPr>
          <w:ilvl w:val="0"/>
          <w:numId w:val="21"/>
        </w:numPr>
        <w:spacing w:after="0" w:line="360" w:lineRule="auto"/>
        <w:ind w:left="284" w:hanging="284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Wenngleich sich die </w:t>
      </w:r>
      <w:r w:rsidRPr="00130D77">
        <w:rPr>
          <w:rFonts w:ascii="Arial" w:hAnsi="Arial" w:cs="Arial"/>
          <w:sz w:val="20"/>
          <w:szCs w:val="20"/>
          <w:u w:val="single"/>
        </w:rPr>
        <w:t>Spitzenrenditen</w:t>
      </w:r>
      <w:r>
        <w:rPr>
          <w:rFonts w:ascii="Arial" w:hAnsi="Arial" w:cs="Arial"/>
          <w:sz w:val="20"/>
          <w:szCs w:val="20"/>
        </w:rPr>
        <w:t xml:space="preserve"> aktuell auf niedrigem Niveau einpendeln, sind sie im Vergleich zum Vorjahr größtenteils </w:t>
      </w:r>
      <w:r w:rsidR="00E61AEA">
        <w:rPr>
          <w:rFonts w:ascii="Arial" w:hAnsi="Arial" w:cs="Arial"/>
          <w:sz w:val="20"/>
          <w:szCs w:val="20"/>
        </w:rPr>
        <w:t>weiter</w:t>
      </w:r>
      <w:r>
        <w:rPr>
          <w:rFonts w:ascii="Arial" w:hAnsi="Arial" w:cs="Arial"/>
          <w:sz w:val="20"/>
          <w:szCs w:val="20"/>
        </w:rPr>
        <w:t xml:space="preserve"> gesunken. So na</w:t>
      </w:r>
      <w:r w:rsidR="002817CB">
        <w:rPr>
          <w:rFonts w:ascii="Arial" w:hAnsi="Arial" w:cs="Arial"/>
          <w:sz w:val="20"/>
          <w:szCs w:val="20"/>
        </w:rPr>
        <w:t>hm die Spitzenrendite für Büroi</w:t>
      </w:r>
      <w:r>
        <w:rPr>
          <w:rFonts w:ascii="Arial" w:hAnsi="Arial" w:cs="Arial"/>
          <w:sz w:val="20"/>
          <w:szCs w:val="20"/>
        </w:rPr>
        <w:t xml:space="preserve">mmobilien um 0,20 %-Punkte auf 2,60 % ab, jene für Industrie- und Logistikimmobilien schrumpfte um 0,50 %-Punkte auf 3,50 %. </w:t>
      </w:r>
      <w:r w:rsidR="00F90F26">
        <w:rPr>
          <w:rFonts w:ascii="Arial" w:hAnsi="Arial" w:cs="Arial"/>
          <w:sz w:val="20"/>
          <w:szCs w:val="20"/>
        </w:rPr>
        <w:t>Unverändert blieb die Spitzenrendite für Geschäftshäuser mit 2,70 %.</w:t>
      </w:r>
    </w:p>
    <w:p w14:paraId="69C8E438" w14:textId="77777777" w:rsidR="00AE6AAA" w:rsidRDefault="00AE6AAA" w:rsidP="008E3F75">
      <w:pPr>
        <w:pStyle w:val="Listenabsatz"/>
        <w:spacing w:after="0" w:line="360" w:lineRule="auto"/>
        <w:ind w:left="284"/>
        <w:textAlignment w:val="baseline"/>
        <w:rPr>
          <w:rFonts w:ascii="Arial" w:hAnsi="Arial" w:cs="Arial"/>
          <w:sz w:val="20"/>
          <w:szCs w:val="20"/>
        </w:rPr>
      </w:pPr>
    </w:p>
    <w:tbl>
      <w:tblPr>
        <w:tblStyle w:val="TableGrid2"/>
        <w:tblpPr w:leftFromText="141" w:rightFromText="141" w:vertAnchor="text" w:horzAnchor="margin" w:tblpY="45"/>
        <w:tblW w:w="0" w:type="auto"/>
        <w:tblLook w:val="04A0" w:firstRow="1" w:lastRow="0" w:firstColumn="1" w:lastColumn="0" w:noHBand="0" w:noVBand="1"/>
      </w:tblPr>
      <w:tblGrid>
        <w:gridCol w:w="3823"/>
        <w:gridCol w:w="1134"/>
      </w:tblGrid>
      <w:tr w:rsidR="002817CB" w:rsidRPr="006F49D0" w14:paraId="09A613FC" w14:textId="77777777" w:rsidTr="002817CB">
        <w:trPr>
          <w:trHeight w:val="283"/>
        </w:trPr>
        <w:tc>
          <w:tcPr>
            <w:tcW w:w="0" w:type="auto"/>
            <w:shd w:val="clear" w:color="auto" w:fill="1F242B" w:themeFill="accent2"/>
          </w:tcPr>
          <w:p w14:paraId="00FE614F" w14:textId="77777777" w:rsidR="002817CB" w:rsidRPr="004712BA" w:rsidRDefault="002817CB" w:rsidP="002817CB">
            <w:pPr>
              <w:widowControl w:val="0"/>
              <w:spacing w:before="60" w:after="60"/>
              <w:jc w:val="both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Investmentmarkt </w:t>
            </w:r>
            <w:r w:rsidRPr="00800E2C">
              <w:rPr>
                <w:rFonts w:ascii="Arial" w:hAnsi="Arial" w:cs="Arial"/>
                <w:b/>
                <w:sz w:val="20"/>
                <w:szCs w:val="20"/>
              </w:rPr>
              <w:t>|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Hamburg</w:t>
            </w:r>
            <w:r>
              <w:t xml:space="preserve"> </w:t>
            </w:r>
            <w:r w:rsidRPr="00800E2C">
              <w:rPr>
                <w:rFonts w:ascii="Arial" w:hAnsi="Arial" w:cs="Arial"/>
                <w:b/>
                <w:sz w:val="20"/>
                <w:szCs w:val="20"/>
              </w:rPr>
              <w:t>|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2021</w:t>
            </w:r>
          </w:p>
        </w:tc>
        <w:tc>
          <w:tcPr>
            <w:tcW w:w="1134" w:type="dxa"/>
            <w:shd w:val="clear" w:color="auto" w:fill="1F242B" w:themeFill="accent2"/>
          </w:tcPr>
          <w:p w14:paraId="39E7B8B7" w14:textId="77777777" w:rsidR="002817CB" w:rsidRPr="004712BA" w:rsidRDefault="002817CB" w:rsidP="002817CB">
            <w:pPr>
              <w:widowControl w:val="0"/>
              <w:spacing w:before="60" w:after="60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4712BA">
              <w:rPr>
                <w:rFonts w:ascii="Arial" w:hAnsi="Arial" w:cs="Arial"/>
                <w:b/>
                <w:sz w:val="18"/>
                <w:szCs w:val="16"/>
              </w:rPr>
              <w:t>Q</w:t>
            </w:r>
            <w:r>
              <w:rPr>
                <w:rFonts w:ascii="Arial" w:hAnsi="Arial" w:cs="Arial"/>
                <w:b/>
                <w:sz w:val="18"/>
                <w:szCs w:val="16"/>
              </w:rPr>
              <w:t>1-4</w:t>
            </w:r>
          </w:p>
        </w:tc>
      </w:tr>
      <w:tr w:rsidR="002817CB" w:rsidRPr="006F49D0" w14:paraId="44A3F07E" w14:textId="77777777" w:rsidTr="002817CB">
        <w:trPr>
          <w:trHeight w:val="193"/>
        </w:trPr>
        <w:tc>
          <w:tcPr>
            <w:tcW w:w="3823" w:type="dxa"/>
          </w:tcPr>
          <w:p w14:paraId="43595EC6" w14:textId="77777777" w:rsidR="002817CB" w:rsidRPr="004712BA" w:rsidRDefault="002817CB" w:rsidP="002817CB">
            <w:pPr>
              <w:widowControl w:val="0"/>
              <w:spacing w:before="40" w:after="40"/>
              <w:jc w:val="both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 xml:space="preserve">Transaktionsvolumen </w:t>
            </w:r>
            <w:r w:rsidRPr="00CF57DD">
              <w:rPr>
                <w:rFonts w:ascii="Arial" w:hAnsi="Arial" w:cs="Arial"/>
                <w:sz w:val="18"/>
                <w:szCs w:val="16"/>
              </w:rPr>
              <w:t>[</w:t>
            </w:r>
            <w:r w:rsidRPr="004712BA">
              <w:rPr>
                <w:rFonts w:ascii="Arial" w:hAnsi="Arial" w:cs="Arial"/>
                <w:sz w:val="18"/>
                <w:szCs w:val="16"/>
              </w:rPr>
              <w:t>Mio. €</w:t>
            </w:r>
            <w:r>
              <w:rPr>
                <w:rFonts w:ascii="Arial" w:hAnsi="Arial" w:cs="Arial"/>
                <w:sz w:val="18"/>
                <w:szCs w:val="16"/>
              </w:rPr>
              <w:t>]</w:t>
            </w:r>
          </w:p>
        </w:tc>
        <w:tc>
          <w:tcPr>
            <w:tcW w:w="1134" w:type="dxa"/>
            <w:vAlign w:val="center"/>
          </w:tcPr>
          <w:p w14:paraId="56959C8F" w14:textId="77777777" w:rsidR="002817CB" w:rsidRPr="00E771E0" w:rsidRDefault="002817CB" w:rsidP="002817CB">
            <w:pPr>
              <w:widowControl w:val="0"/>
              <w:spacing w:before="40" w:after="40"/>
              <w:jc w:val="right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3.2</w:t>
            </w:r>
            <w:r w:rsidRPr="00E771E0">
              <w:rPr>
                <w:rFonts w:ascii="Arial" w:hAnsi="Arial" w:cs="Arial"/>
                <w:sz w:val="18"/>
                <w:szCs w:val="16"/>
              </w:rPr>
              <w:t>00</w:t>
            </w:r>
          </w:p>
        </w:tc>
      </w:tr>
      <w:tr w:rsidR="002817CB" w:rsidRPr="006F49D0" w14:paraId="1A3705A0" w14:textId="77777777" w:rsidTr="002817CB">
        <w:trPr>
          <w:trHeight w:val="283"/>
        </w:trPr>
        <w:tc>
          <w:tcPr>
            <w:tcW w:w="3823" w:type="dxa"/>
          </w:tcPr>
          <w:p w14:paraId="604DE3BE" w14:textId="77777777" w:rsidR="002817CB" w:rsidRPr="00A7575D" w:rsidRDefault="002817CB" w:rsidP="002817CB">
            <w:pPr>
              <w:widowControl w:val="0"/>
              <w:spacing w:before="40" w:after="40"/>
              <w:jc w:val="both"/>
              <w:rPr>
                <w:rFonts w:ascii="Arial" w:hAnsi="Arial" w:cs="Arial"/>
                <w:sz w:val="18"/>
                <w:szCs w:val="16"/>
              </w:rPr>
            </w:pPr>
            <w:proofErr w:type="spellStart"/>
            <w:r w:rsidRPr="00A7575D">
              <w:rPr>
                <w:rFonts w:ascii="Arial" w:hAnsi="Arial" w:cs="Arial"/>
                <w:sz w:val="18"/>
                <w:szCs w:val="16"/>
              </w:rPr>
              <w:t>ggü</w:t>
            </w:r>
            <w:proofErr w:type="spellEnd"/>
            <w:r w:rsidRPr="00A7575D">
              <w:rPr>
                <w:rFonts w:ascii="Arial" w:hAnsi="Arial" w:cs="Arial"/>
                <w:sz w:val="18"/>
                <w:szCs w:val="16"/>
              </w:rPr>
              <w:t xml:space="preserve">. Vorjahr </w:t>
            </w:r>
            <w:r w:rsidRPr="00CF57DD">
              <w:rPr>
                <w:rFonts w:ascii="Arial" w:hAnsi="Arial" w:cs="Arial"/>
                <w:sz w:val="18"/>
                <w:szCs w:val="16"/>
              </w:rPr>
              <w:t>[%]</w:t>
            </w:r>
          </w:p>
        </w:tc>
        <w:tc>
          <w:tcPr>
            <w:tcW w:w="1134" w:type="dxa"/>
            <w:vAlign w:val="center"/>
          </w:tcPr>
          <w:p w14:paraId="2726E54A" w14:textId="77777777" w:rsidR="002817CB" w:rsidRPr="00E771E0" w:rsidRDefault="002817CB" w:rsidP="002817CB">
            <w:pPr>
              <w:widowControl w:val="0"/>
              <w:spacing w:before="40" w:after="40"/>
              <w:jc w:val="right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-40</w:t>
            </w:r>
          </w:p>
        </w:tc>
      </w:tr>
      <w:tr w:rsidR="002817CB" w:rsidRPr="006F49D0" w14:paraId="0E4AF02E" w14:textId="77777777" w:rsidTr="002817CB">
        <w:trPr>
          <w:trHeight w:val="283"/>
        </w:trPr>
        <w:tc>
          <w:tcPr>
            <w:tcW w:w="3823" w:type="dxa"/>
          </w:tcPr>
          <w:p w14:paraId="4BDF9860" w14:textId="77777777" w:rsidR="002817CB" w:rsidRPr="00A7575D" w:rsidRDefault="002817CB" w:rsidP="002817CB">
            <w:pPr>
              <w:widowControl w:val="0"/>
              <w:spacing w:before="40" w:after="40"/>
              <w:jc w:val="both"/>
              <w:rPr>
                <w:rFonts w:ascii="Arial" w:hAnsi="Arial" w:cs="Arial"/>
                <w:sz w:val="18"/>
                <w:szCs w:val="16"/>
              </w:rPr>
            </w:pPr>
            <w:r w:rsidRPr="00CF57DD">
              <w:rPr>
                <w:rFonts w:ascii="Arial" w:hAnsi="Arial" w:cs="Arial"/>
                <w:b/>
                <w:sz w:val="18"/>
                <w:szCs w:val="16"/>
              </w:rPr>
              <w:t>Anteil CBD</w:t>
            </w:r>
            <w:r>
              <w:rPr>
                <w:rFonts w:ascii="Arial" w:hAnsi="Arial" w:cs="Arial"/>
                <w:sz w:val="18"/>
                <w:szCs w:val="16"/>
              </w:rPr>
              <w:t xml:space="preserve"> [%]</w:t>
            </w:r>
          </w:p>
        </w:tc>
        <w:tc>
          <w:tcPr>
            <w:tcW w:w="1134" w:type="dxa"/>
            <w:vAlign w:val="center"/>
          </w:tcPr>
          <w:p w14:paraId="5BE57F21" w14:textId="77777777" w:rsidR="002817CB" w:rsidRPr="00E771E0" w:rsidRDefault="002817CB" w:rsidP="002817CB">
            <w:pPr>
              <w:widowControl w:val="0"/>
              <w:spacing w:before="40" w:after="40"/>
              <w:jc w:val="right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17</w:t>
            </w:r>
          </w:p>
        </w:tc>
      </w:tr>
      <w:tr w:rsidR="002817CB" w:rsidRPr="006F49D0" w14:paraId="2C532978" w14:textId="77777777" w:rsidTr="002817CB">
        <w:trPr>
          <w:trHeight w:val="283"/>
        </w:trPr>
        <w:tc>
          <w:tcPr>
            <w:tcW w:w="3823" w:type="dxa"/>
          </w:tcPr>
          <w:p w14:paraId="6BECCA5B" w14:textId="77777777" w:rsidR="002817CB" w:rsidRPr="00CF57DD" w:rsidRDefault="002817CB" w:rsidP="002817CB">
            <w:pPr>
              <w:widowControl w:val="0"/>
              <w:spacing w:before="40" w:after="40"/>
              <w:jc w:val="both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 xml:space="preserve">Anteil internationaler Investoren </w:t>
            </w:r>
            <w:r w:rsidRPr="00CF57DD">
              <w:rPr>
                <w:rFonts w:ascii="Arial" w:hAnsi="Arial" w:cs="Arial"/>
                <w:sz w:val="18"/>
                <w:szCs w:val="16"/>
              </w:rPr>
              <w:t>[%]</w:t>
            </w:r>
          </w:p>
        </w:tc>
        <w:tc>
          <w:tcPr>
            <w:tcW w:w="1134" w:type="dxa"/>
            <w:vAlign w:val="center"/>
          </w:tcPr>
          <w:p w14:paraId="761C075B" w14:textId="77777777" w:rsidR="002817CB" w:rsidRPr="00E771E0" w:rsidRDefault="002817CB" w:rsidP="002817CB">
            <w:pPr>
              <w:widowControl w:val="0"/>
              <w:spacing w:before="40" w:after="40"/>
              <w:jc w:val="right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24</w:t>
            </w:r>
          </w:p>
        </w:tc>
      </w:tr>
      <w:tr w:rsidR="002817CB" w:rsidRPr="006F49D0" w14:paraId="105CD7D3" w14:textId="77777777" w:rsidTr="002817CB">
        <w:trPr>
          <w:trHeight w:val="283"/>
        </w:trPr>
        <w:tc>
          <w:tcPr>
            <w:tcW w:w="3823" w:type="dxa"/>
          </w:tcPr>
          <w:p w14:paraId="0D6A9A5E" w14:textId="77777777" w:rsidR="002817CB" w:rsidRPr="004712BA" w:rsidRDefault="002817CB" w:rsidP="002817CB">
            <w:pPr>
              <w:widowControl w:val="0"/>
              <w:spacing w:before="40" w:after="40"/>
              <w:jc w:val="both"/>
              <w:rPr>
                <w:rFonts w:ascii="Arial" w:hAnsi="Arial" w:cs="Arial"/>
                <w:b/>
                <w:sz w:val="18"/>
                <w:szCs w:val="16"/>
              </w:rPr>
            </w:pPr>
            <w:r w:rsidRPr="00A7575D">
              <w:rPr>
                <w:rFonts w:ascii="Arial" w:hAnsi="Arial" w:cs="Arial"/>
                <w:b/>
                <w:sz w:val="18"/>
                <w:szCs w:val="16"/>
              </w:rPr>
              <w:t xml:space="preserve">Netto-Spitzenrendite Büro </w:t>
            </w:r>
            <w:r w:rsidRPr="00CF57DD">
              <w:rPr>
                <w:rFonts w:ascii="Arial" w:hAnsi="Arial" w:cs="Arial"/>
                <w:sz w:val="18"/>
                <w:szCs w:val="16"/>
              </w:rPr>
              <w:t>[%]</w:t>
            </w:r>
          </w:p>
        </w:tc>
        <w:tc>
          <w:tcPr>
            <w:tcW w:w="1134" w:type="dxa"/>
            <w:vAlign w:val="center"/>
          </w:tcPr>
          <w:p w14:paraId="4DB0BD59" w14:textId="77777777" w:rsidR="002817CB" w:rsidRPr="00E771E0" w:rsidRDefault="002817CB" w:rsidP="002817CB">
            <w:pPr>
              <w:widowControl w:val="0"/>
              <w:spacing w:before="40" w:after="40"/>
              <w:jc w:val="right"/>
              <w:rPr>
                <w:rFonts w:ascii="Arial" w:hAnsi="Arial" w:cs="Arial"/>
                <w:sz w:val="18"/>
                <w:szCs w:val="16"/>
              </w:rPr>
            </w:pPr>
            <w:r w:rsidRPr="00E771E0">
              <w:rPr>
                <w:rFonts w:ascii="Arial" w:hAnsi="Arial" w:cs="Arial"/>
                <w:sz w:val="18"/>
                <w:szCs w:val="16"/>
              </w:rPr>
              <w:t>2,60</w:t>
            </w:r>
          </w:p>
        </w:tc>
      </w:tr>
      <w:tr w:rsidR="002817CB" w14:paraId="058E35D0" w14:textId="77777777" w:rsidTr="002817CB">
        <w:trPr>
          <w:trHeight w:val="283"/>
        </w:trPr>
        <w:tc>
          <w:tcPr>
            <w:tcW w:w="3823" w:type="dxa"/>
          </w:tcPr>
          <w:p w14:paraId="54D080FC" w14:textId="77777777" w:rsidR="002817CB" w:rsidRPr="00A7575D" w:rsidRDefault="002817CB" w:rsidP="002817CB">
            <w:pPr>
              <w:widowControl w:val="0"/>
              <w:spacing w:before="40" w:after="40"/>
              <w:jc w:val="both"/>
              <w:rPr>
                <w:rFonts w:ascii="Arial" w:hAnsi="Arial" w:cs="Arial"/>
                <w:sz w:val="18"/>
                <w:szCs w:val="16"/>
              </w:rPr>
            </w:pPr>
            <w:proofErr w:type="spellStart"/>
            <w:r w:rsidRPr="00A7575D">
              <w:rPr>
                <w:rFonts w:ascii="Arial" w:hAnsi="Arial" w:cs="Arial"/>
                <w:sz w:val="18"/>
                <w:szCs w:val="16"/>
              </w:rPr>
              <w:t>ggü</w:t>
            </w:r>
            <w:proofErr w:type="spellEnd"/>
            <w:r w:rsidRPr="00A7575D">
              <w:rPr>
                <w:rFonts w:ascii="Arial" w:hAnsi="Arial" w:cs="Arial"/>
                <w:sz w:val="18"/>
                <w:szCs w:val="16"/>
              </w:rPr>
              <w:t xml:space="preserve">. Vorjahr </w:t>
            </w:r>
            <w:r>
              <w:rPr>
                <w:rFonts w:ascii="Arial" w:hAnsi="Arial" w:cs="Arial"/>
                <w:sz w:val="18"/>
                <w:szCs w:val="16"/>
              </w:rPr>
              <w:t>[</w:t>
            </w:r>
            <w:r w:rsidRPr="00A7575D">
              <w:rPr>
                <w:rFonts w:ascii="Arial" w:hAnsi="Arial" w:cs="Arial"/>
                <w:sz w:val="18"/>
                <w:szCs w:val="16"/>
              </w:rPr>
              <w:t>%-Pkt.</w:t>
            </w:r>
            <w:r>
              <w:rPr>
                <w:rFonts w:ascii="Arial" w:hAnsi="Arial" w:cs="Arial"/>
                <w:sz w:val="18"/>
                <w:szCs w:val="16"/>
              </w:rPr>
              <w:t>]</w:t>
            </w:r>
          </w:p>
        </w:tc>
        <w:tc>
          <w:tcPr>
            <w:tcW w:w="1134" w:type="dxa"/>
            <w:vAlign w:val="center"/>
          </w:tcPr>
          <w:p w14:paraId="5DF11A63" w14:textId="77777777" w:rsidR="002817CB" w:rsidRPr="00E771E0" w:rsidRDefault="002817CB" w:rsidP="002817CB">
            <w:pPr>
              <w:widowControl w:val="0"/>
              <w:spacing w:before="40" w:after="40"/>
              <w:jc w:val="right"/>
              <w:rPr>
                <w:rFonts w:ascii="Arial" w:hAnsi="Arial" w:cs="Arial"/>
                <w:sz w:val="18"/>
                <w:szCs w:val="16"/>
              </w:rPr>
            </w:pPr>
            <w:r w:rsidRPr="00E771E0">
              <w:rPr>
                <w:rFonts w:ascii="Arial" w:hAnsi="Arial" w:cs="Arial"/>
                <w:sz w:val="18"/>
                <w:szCs w:val="16"/>
              </w:rPr>
              <w:t>-0,20</w:t>
            </w:r>
          </w:p>
        </w:tc>
      </w:tr>
      <w:tr w:rsidR="002817CB" w:rsidRPr="006F49D0" w14:paraId="71BE7AC2" w14:textId="77777777" w:rsidTr="002817CB">
        <w:trPr>
          <w:trHeight w:val="283"/>
        </w:trPr>
        <w:tc>
          <w:tcPr>
            <w:tcW w:w="3823" w:type="dxa"/>
          </w:tcPr>
          <w:p w14:paraId="3BB32AFA" w14:textId="77777777" w:rsidR="002817CB" w:rsidRPr="004712BA" w:rsidRDefault="002817CB" w:rsidP="002817CB">
            <w:pPr>
              <w:widowControl w:val="0"/>
              <w:spacing w:before="40" w:after="40"/>
              <w:jc w:val="both"/>
              <w:rPr>
                <w:rFonts w:ascii="Arial" w:hAnsi="Arial" w:cs="Arial"/>
                <w:b/>
                <w:sz w:val="18"/>
                <w:szCs w:val="16"/>
              </w:rPr>
            </w:pPr>
            <w:r w:rsidRPr="00A7575D">
              <w:rPr>
                <w:rFonts w:ascii="Arial" w:hAnsi="Arial" w:cs="Arial"/>
                <w:b/>
                <w:sz w:val="18"/>
                <w:szCs w:val="16"/>
              </w:rPr>
              <w:t xml:space="preserve">Netto-Spitzenrendite Geschäftshäuser </w:t>
            </w:r>
            <w:r w:rsidRPr="00CF57DD">
              <w:rPr>
                <w:rFonts w:ascii="Arial" w:hAnsi="Arial" w:cs="Arial"/>
                <w:sz w:val="18"/>
                <w:szCs w:val="16"/>
              </w:rPr>
              <w:t>[%]</w:t>
            </w:r>
          </w:p>
        </w:tc>
        <w:tc>
          <w:tcPr>
            <w:tcW w:w="1134" w:type="dxa"/>
            <w:vAlign w:val="center"/>
          </w:tcPr>
          <w:p w14:paraId="63849E6C" w14:textId="77777777" w:rsidR="002817CB" w:rsidRPr="00F67E03" w:rsidRDefault="002817CB" w:rsidP="002817CB">
            <w:pPr>
              <w:widowControl w:val="0"/>
              <w:spacing w:before="40" w:after="40"/>
              <w:jc w:val="right"/>
              <w:rPr>
                <w:rFonts w:ascii="Arial" w:hAnsi="Arial" w:cs="Arial"/>
                <w:sz w:val="18"/>
                <w:szCs w:val="16"/>
              </w:rPr>
            </w:pPr>
            <w:r w:rsidRPr="00F67E03">
              <w:rPr>
                <w:rFonts w:ascii="Arial" w:hAnsi="Arial" w:cs="Arial"/>
                <w:sz w:val="18"/>
                <w:szCs w:val="16"/>
              </w:rPr>
              <w:t>2,70</w:t>
            </w:r>
          </w:p>
        </w:tc>
      </w:tr>
      <w:tr w:rsidR="002817CB" w14:paraId="48DBDE58" w14:textId="77777777" w:rsidTr="002817CB">
        <w:trPr>
          <w:trHeight w:val="283"/>
        </w:trPr>
        <w:tc>
          <w:tcPr>
            <w:tcW w:w="3823" w:type="dxa"/>
          </w:tcPr>
          <w:p w14:paraId="33786967" w14:textId="77777777" w:rsidR="002817CB" w:rsidRPr="00A7575D" w:rsidRDefault="002817CB" w:rsidP="002817CB">
            <w:pPr>
              <w:widowControl w:val="0"/>
              <w:spacing w:before="40" w:after="40"/>
              <w:jc w:val="both"/>
              <w:rPr>
                <w:rFonts w:ascii="Arial" w:hAnsi="Arial" w:cs="Arial"/>
                <w:sz w:val="18"/>
                <w:szCs w:val="16"/>
              </w:rPr>
            </w:pPr>
            <w:proofErr w:type="spellStart"/>
            <w:r w:rsidRPr="00A7575D">
              <w:rPr>
                <w:rFonts w:ascii="Arial" w:hAnsi="Arial" w:cs="Arial"/>
                <w:sz w:val="18"/>
                <w:szCs w:val="16"/>
              </w:rPr>
              <w:t>ggü</w:t>
            </w:r>
            <w:proofErr w:type="spellEnd"/>
            <w:r w:rsidRPr="00A7575D">
              <w:rPr>
                <w:rFonts w:ascii="Arial" w:hAnsi="Arial" w:cs="Arial"/>
                <w:sz w:val="18"/>
                <w:szCs w:val="16"/>
              </w:rPr>
              <w:t xml:space="preserve">. Vorjahr </w:t>
            </w:r>
            <w:r>
              <w:rPr>
                <w:rFonts w:ascii="Arial" w:hAnsi="Arial" w:cs="Arial"/>
                <w:sz w:val="18"/>
                <w:szCs w:val="16"/>
              </w:rPr>
              <w:t>[</w:t>
            </w:r>
            <w:r w:rsidRPr="00A7575D">
              <w:rPr>
                <w:rFonts w:ascii="Arial" w:hAnsi="Arial" w:cs="Arial"/>
                <w:sz w:val="18"/>
                <w:szCs w:val="16"/>
              </w:rPr>
              <w:t>%-Pkt.</w:t>
            </w:r>
            <w:r>
              <w:rPr>
                <w:rFonts w:ascii="Arial" w:hAnsi="Arial" w:cs="Arial"/>
                <w:sz w:val="18"/>
                <w:szCs w:val="16"/>
              </w:rPr>
              <w:t>]</w:t>
            </w:r>
          </w:p>
        </w:tc>
        <w:tc>
          <w:tcPr>
            <w:tcW w:w="1134" w:type="dxa"/>
            <w:vAlign w:val="center"/>
          </w:tcPr>
          <w:p w14:paraId="2D7050E3" w14:textId="77777777" w:rsidR="002817CB" w:rsidRPr="00F67E03" w:rsidRDefault="002817CB" w:rsidP="002817CB">
            <w:pPr>
              <w:widowControl w:val="0"/>
              <w:spacing w:before="40" w:after="40"/>
              <w:jc w:val="right"/>
              <w:rPr>
                <w:rFonts w:ascii="Arial" w:hAnsi="Arial" w:cs="Arial"/>
                <w:sz w:val="18"/>
                <w:szCs w:val="16"/>
              </w:rPr>
            </w:pPr>
            <w:r w:rsidRPr="00F67E03">
              <w:rPr>
                <w:rFonts w:ascii="Arial" w:hAnsi="Arial" w:cs="Arial"/>
                <w:sz w:val="18"/>
                <w:szCs w:val="16"/>
              </w:rPr>
              <w:t>±0,00</w:t>
            </w:r>
          </w:p>
        </w:tc>
      </w:tr>
      <w:tr w:rsidR="002817CB" w:rsidRPr="006F49D0" w14:paraId="687117EF" w14:textId="77777777" w:rsidTr="002817CB">
        <w:trPr>
          <w:trHeight w:val="283"/>
        </w:trPr>
        <w:tc>
          <w:tcPr>
            <w:tcW w:w="3823" w:type="dxa"/>
          </w:tcPr>
          <w:p w14:paraId="35EDB38E" w14:textId="77777777" w:rsidR="002817CB" w:rsidRPr="004712BA" w:rsidRDefault="002817CB" w:rsidP="002817CB">
            <w:pPr>
              <w:widowControl w:val="0"/>
              <w:spacing w:before="40" w:after="40"/>
              <w:jc w:val="both"/>
              <w:rPr>
                <w:rFonts w:ascii="Arial" w:hAnsi="Arial" w:cs="Arial"/>
                <w:b/>
                <w:sz w:val="18"/>
                <w:szCs w:val="16"/>
              </w:rPr>
            </w:pPr>
            <w:r w:rsidRPr="00A7575D">
              <w:rPr>
                <w:rFonts w:ascii="Arial" w:hAnsi="Arial" w:cs="Arial"/>
                <w:b/>
                <w:sz w:val="18"/>
                <w:szCs w:val="16"/>
              </w:rPr>
              <w:t xml:space="preserve">Netto-Spitzenrendite Logistik </w:t>
            </w:r>
            <w:r w:rsidRPr="00CF57DD">
              <w:rPr>
                <w:rFonts w:ascii="Arial" w:hAnsi="Arial" w:cs="Arial"/>
                <w:sz w:val="18"/>
                <w:szCs w:val="16"/>
              </w:rPr>
              <w:t>[%]</w:t>
            </w:r>
          </w:p>
        </w:tc>
        <w:tc>
          <w:tcPr>
            <w:tcW w:w="1134" w:type="dxa"/>
            <w:vAlign w:val="center"/>
          </w:tcPr>
          <w:p w14:paraId="7B0E2367" w14:textId="77777777" w:rsidR="002817CB" w:rsidRPr="00F67E03" w:rsidRDefault="002817CB" w:rsidP="002817CB">
            <w:pPr>
              <w:widowControl w:val="0"/>
              <w:spacing w:before="40" w:after="40"/>
              <w:jc w:val="right"/>
              <w:rPr>
                <w:rFonts w:ascii="Arial" w:hAnsi="Arial" w:cs="Arial"/>
                <w:sz w:val="18"/>
                <w:szCs w:val="16"/>
              </w:rPr>
            </w:pPr>
            <w:r w:rsidRPr="00F67E03">
              <w:rPr>
                <w:rFonts w:ascii="Arial" w:hAnsi="Arial" w:cs="Arial"/>
                <w:sz w:val="18"/>
                <w:szCs w:val="16"/>
              </w:rPr>
              <w:t>3,50</w:t>
            </w:r>
          </w:p>
        </w:tc>
      </w:tr>
      <w:tr w:rsidR="002817CB" w14:paraId="777536DA" w14:textId="77777777" w:rsidTr="002817CB">
        <w:trPr>
          <w:trHeight w:val="283"/>
        </w:trPr>
        <w:tc>
          <w:tcPr>
            <w:tcW w:w="3823" w:type="dxa"/>
          </w:tcPr>
          <w:p w14:paraId="55B00CDB" w14:textId="77777777" w:rsidR="002817CB" w:rsidRPr="00A7575D" w:rsidRDefault="002817CB" w:rsidP="002817CB">
            <w:pPr>
              <w:widowControl w:val="0"/>
              <w:spacing w:before="40" w:after="40"/>
              <w:jc w:val="both"/>
              <w:rPr>
                <w:rFonts w:ascii="Arial" w:hAnsi="Arial" w:cs="Arial"/>
                <w:sz w:val="18"/>
                <w:szCs w:val="16"/>
              </w:rPr>
            </w:pPr>
            <w:proofErr w:type="spellStart"/>
            <w:r w:rsidRPr="00A7575D">
              <w:rPr>
                <w:rFonts w:ascii="Arial" w:hAnsi="Arial" w:cs="Arial"/>
                <w:sz w:val="18"/>
                <w:szCs w:val="16"/>
              </w:rPr>
              <w:t>ggü</w:t>
            </w:r>
            <w:proofErr w:type="spellEnd"/>
            <w:r w:rsidRPr="00A7575D">
              <w:rPr>
                <w:rFonts w:ascii="Arial" w:hAnsi="Arial" w:cs="Arial"/>
                <w:sz w:val="18"/>
                <w:szCs w:val="16"/>
              </w:rPr>
              <w:t xml:space="preserve">. Vorjahr </w:t>
            </w:r>
            <w:r>
              <w:rPr>
                <w:rFonts w:ascii="Arial" w:hAnsi="Arial" w:cs="Arial"/>
                <w:sz w:val="18"/>
                <w:szCs w:val="16"/>
              </w:rPr>
              <w:t>[</w:t>
            </w:r>
            <w:r w:rsidRPr="00A7575D">
              <w:rPr>
                <w:rFonts w:ascii="Arial" w:hAnsi="Arial" w:cs="Arial"/>
                <w:sz w:val="18"/>
                <w:szCs w:val="16"/>
              </w:rPr>
              <w:t>%-Pkt.</w:t>
            </w:r>
            <w:r>
              <w:rPr>
                <w:rFonts w:ascii="Arial" w:hAnsi="Arial" w:cs="Arial"/>
                <w:sz w:val="18"/>
                <w:szCs w:val="16"/>
              </w:rPr>
              <w:t>]</w:t>
            </w:r>
          </w:p>
        </w:tc>
        <w:tc>
          <w:tcPr>
            <w:tcW w:w="1134" w:type="dxa"/>
            <w:vAlign w:val="center"/>
          </w:tcPr>
          <w:p w14:paraId="5DEA1003" w14:textId="77777777" w:rsidR="002817CB" w:rsidRPr="00F67E03" w:rsidRDefault="002817CB" w:rsidP="002817CB">
            <w:pPr>
              <w:widowControl w:val="0"/>
              <w:spacing w:before="40" w:after="40"/>
              <w:jc w:val="right"/>
              <w:rPr>
                <w:rFonts w:ascii="Arial" w:hAnsi="Arial" w:cs="Arial"/>
                <w:sz w:val="18"/>
                <w:szCs w:val="16"/>
              </w:rPr>
            </w:pPr>
            <w:r w:rsidRPr="00F67E03">
              <w:rPr>
                <w:rFonts w:ascii="Arial" w:hAnsi="Arial" w:cs="Arial"/>
                <w:sz w:val="18"/>
                <w:szCs w:val="16"/>
              </w:rPr>
              <w:t>-0,</w:t>
            </w:r>
            <w:r>
              <w:rPr>
                <w:rFonts w:ascii="Arial" w:hAnsi="Arial" w:cs="Arial"/>
                <w:sz w:val="18"/>
                <w:szCs w:val="16"/>
              </w:rPr>
              <w:t>5</w:t>
            </w:r>
            <w:r w:rsidRPr="00F67E03">
              <w:rPr>
                <w:rFonts w:ascii="Arial" w:hAnsi="Arial" w:cs="Arial"/>
                <w:sz w:val="18"/>
                <w:szCs w:val="16"/>
              </w:rPr>
              <w:t>0</w:t>
            </w:r>
          </w:p>
        </w:tc>
      </w:tr>
      <w:tr w:rsidR="002817CB" w:rsidRPr="006F49D0" w14:paraId="1F5F2268" w14:textId="77777777" w:rsidTr="002817CB">
        <w:trPr>
          <w:trHeight w:val="283"/>
        </w:trPr>
        <w:tc>
          <w:tcPr>
            <w:tcW w:w="3823" w:type="dxa"/>
            <w:tcBorders>
              <w:bottom w:val="single" w:sz="4" w:space="0" w:color="auto"/>
            </w:tcBorders>
          </w:tcPr>
          <w:p w14:paraId="66C63B62" w14:textId="77777777" w:rsidR="002817CB" w:rsidRPr="004712BA" w:rsidRDefault="002817CB" w:rsidP="002817CB">
            <w:pPr>
              <w:widowControl w:val="0"/>
              <w:spacing w:before="40" w:after="40"/>
              <w:jc w:val="both"/>
              <w:rPr>
                <w:rFonts w:ascii="Arial" w:hAnsi="Arial" w:cs="Arial"/>
                <w:b/>
                <w:sz w:val="18"/>
                <w:szCs w:val="16"/>
              </w:rPr>
            </w:pPr>
            <w:r w:rsidRPr="004712BA">
              <w:rPr>
                <w:rFonts w:ascii="Arial" w:hAnsi="Arial" w:cs="Arial"/>
                <w:b/>
                <w:sz w:val="18"/>
                <w:szCs w:val="16"/>
              </w:rPr>
              <w:t>Stärkste</w:t>
            </w:r>
            <w:r>
              <w:rPr>
                <w:rFonts w:ascii="Arial" w:hAnsi="Arial" w:cs="Arial"/>
                <w:b/>
                <w:sz w:val="18"/>
                <w:szCs w:val="16"/>
              </w:rPr>
              <w:t xml:space="preserve"> </w:t>
            </w:r>
            <w:proofErr w:type="spellStart"/>
            <w:r w:rsidRPr="004712BA">
              <w:rPr>
                <w:rFonts w:ascii="Arial" w:hAnsi="Arial" w:cs="Arial"/>
                <w:b/>
                <w:sz w:val="18"/>
                <w:szCs w:val="16"/>
              </w:rPr>
              <w:t>Assetklasse</w:t>
            </w:r>
            <w:proofErr w:type="spellEnd"/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5DE117E9" w14:textId="77777777" w:rsidR="002817CB" w:rsidRPr="00F67E03" w:rsidRDefault="002817CB" w:rsidP="002817CB">
            <w:pPr>
              <w:widowControl w:val="0"/>
              <w:spacing w:before="40" w:after="40"/>
              <w:jc w:val="right"/>
              <w:rPr>
                <w:rFonts w:ascii="Arial" w:hAnsi="Arial" w:cs="Arial"/>
                <w:sz w:val="18"/>
                <w:szCs w:val="16"/>
              </w:rPr>
            </w:pPr>
            <w:r w:rsidRPr="00F67E03">
              <w:rPr>
                <w:rFonts w:ascii="Arial" w:hAnsi="Arial" w:cs="Arial"/>
                <w:sz w:val="18"/>
                <w:szCs w:val="16"/>
              </w:rPr>
              <w:t>Büro</w:t>
            </w:r>
          </w:p>
        </w:tc>
      </w:tr>
      <w:tr w:rsidR="002817CB" w:rsidRPr="006F49D0" w14:paraId="0775F0EF" w14:textId="77777777" w:rsidTr="002817CB">
        <w:trPr>
          <w:trHeight w:val="283"/>
        </w:trPr>
        <w:tc>
          <w:tcPr>
            <w:tcW w:w="3823" w:type="dxa"/>
            <w:tcBorders>
              <w:bottom w:val="single" w:sz="4" w:space="0" w:color="auto"/>
            </w:tcBorders>
          </w:tcPr>
          <w:p w14:paraId="1FB7C4AD" w14:textId="77777777" w:rsidR="002817CB" w:rsidRPr="004712BA" w:rsidRDefault="002817CB" w:rsidP="002817CB">
            <w:pPr>
              <w:widowControl w:val="0"/>
              <w:spacing w:before="40" w:after="40"/>
              <w:jc w:val="both"/>
              <w:rPr>
                <w:rFonts w:ascii="Arial" w:hAnsi="Arial" w:cs="Arial"/>
                <w:b/>
                <w:sz w:val="18"/>
                <w:szCs w:val="16"/>
              </w:rPr>
            </w:pPr>
            <w:r w:rsidRPr="004712BA">
              <w:rPr>
                <w:rFonts w:ascii="Arial" w:hAnsi="Arial" w:cs="Arial"/>
                <w:b/>
                <w:sz w:val="18"/>
                <w:szCs w:val="16"/>
              </w:rPr>
              <w:t>Stärkste</w:t>
            </w:r>
            <w:r>
              <w:rPr>
                <w:rFonts w:ascii="Arial" w:hAnsi="Arial" w:cs="Arial"/>
                <w:b/>
                <w:sz w:val="18"/>
                <w:szCs w:val="16"/>
              </w:rPr>
              <w:t xml:space="preserve"> </w:t>
            </w:r>
            <w:proofErr w:type="spellStart"/>
            <w:r w:rsidRPr="004712BA">
              <w:rPr>
                <w:rFonts w:ascii="Arial" w:hAnsi="Arial" w:cs="Arial"/>
                <w:b/>
                <w:sz w:val="18"/>
                <w:szCs w:val="16"/>
              </w:rPr>
              <w:t>Assetklasse</w:t>
            </w:r>
            <w:proofErr w:type="spellEnd"/>
            <w:r w:rsidRPr="004712BA">
              <w:rPr>
                <w:rFonts w:ascii="Arial" w:hAnsi="Arial" w:cs="Arial"/>
                <w:b/>
                <w:sz w:val="18"/>
                <w:szCs w:val="16"/>
              </w:rPr>
              <w:t xml:space="preserve"> </w:t>
            </w:r>
            <w:r w:rsidRPr="00CF57DD">
              <w:rPr>
                <w:rFonts w:ascii="Arial" w:hAnsi="Arial" w:cs="Arial"/>
                <w:sz w:val="18"/>
                <w:szCs w:val="16"/>
              </w:rPr>
              <w:t>[%]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6800F2F8" w14:textId="77777777" w:rsidR="002817CB" w:rsidRPr="00F67E03" w:rsidRDefault="002817CB" w:rsidP="002817CB">
            <w:pPr>
              <w:widowControl w:val="0"/>
              <w:spacing w:before="40" w:after="40"/>
              <w:jc w:val="right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66</w:t>
            </w:r>
          </w:p>
        </w:tc>
      </w:tr>
    </w:tbl>
    <w:p w14:paraId="53A5DCD3" w14:textId="0FDE0ABC" w:rsidR="00C80ABA" w:rsidRDefault="00130D77" w:rsidP="008E3F75">
      <w:pPr>
        <w:pStyle w:val="Listenabsatz"/>
        <w:spacing w:after="0" w:line="360" w:lineRule="auto"/>
        <w:ind w:left="284"/>
        <w:textAlignment w:val="baseline"/>
        <w:rPr>
          <w:rFonts w:ascii="Arial" w:hAnsi="Arial" w:cs="Arial"/>
          <w:sz w:val="20"/>
          <w:szCs w:val="20"/>
        </w:rPr>
      </w:pPr>
      <w:r>
        <w:rPr>
          <w:noProof/>
        </w:rPr>
        <w:pict w14:anchorId="56ACBB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258.3pt;margin-top:2.1pt;width:226.35pt;height:160.15pt;z-index:251659264;mso-position-horizontal-relative:margin;mso-position-vertical-relative:margin" stroked="t" strokecolor="black [3213]">
            <v:imagedata r:id="rId8" o:title="investment-markt-hamburg-tav-4Q2021"/>
            <w10:wrap type="square" anchorx="margin" anchory="margin"/>
          </v:shape>
        </w:pict>
      </w:r>
    </w:p>
    <w:p w14:paraId="47F53CCE" w14:textId="7DB9A4B6" w:rsidR="000A5ED1" w:rsidRDefault="000A5ED1" w:rsidP="000A5ED1">
      <w:pPr>
        <w:spacing w:after="0" w:line="360" w:lineRule="auto"/>
        <w:rPr>
          <w:rFonts w:ascii="Arial" w:eastAsia="Arial" w:hAnsi="Arial" w:cs="Arial"/>
          <w:b/>
          <w:color w:val="000000" w:themeColor="text1"/>
          <w:sz w:val="20"/>
          <w:szCs w:val="20"/>
        </w:rPr>
      </w:pPr>
    </w:p>
    <w:p w14:paraId="55F0E81B" w14:textId="77777777" w:rsidR="00130D77" w:rsidRDefault="00130D77" w:rsidP="000A5ED1">
      <w:pPr>
        <w:spacing w:after="0" w:line="360" w:lineRule="auto"/>
        <w:rPr>
          <w:rFonts w:ascii="Arial" w:eastAsia="Arial" w:hAnsi="Arial" w:cs="Arial"/>
          <w:b/>
          <w:color w:val="000000" w:themeColor="text1"/>
          <w:sz w:val="20"/>
          <w:szCs w:val="20"/>
        </w:rPr>
      </w:pPr>
      <w:bookmarkStart w:id="0" w:name="_GoBack"/>
      <w:bookmarkEnd w:id="0"/>
    </w:p>
    <w:p w14:paraId="72B0C222" w14:textId="77777777" w:rsidR="008F1FE9" w:rsidRDefault="008F1FE9" w:rsidP="000A5ED1">
      <w:pPr>
        <w:spacing w:after="0" w:line="360" w:lineRule="auto"/>
        <w:rPr>
          <w:rFonts w:ascii="Arial" w:eastAsia="Arial" w:hAnsi="Arial" w:cs="Arial"/>
          <w:b/>
          <w:color w:val="000000" w:themeColor="text1"/>
          <w:sz w:val="20"/>
          <w:szCs w:val="20"/>
        </w:rPr>
      </w:pPr>
    </w:p>
    <w:p w14:paraId="328EF12E" w14:textId="2EC5AA2E" w:rsidR="004E7F0F" w:rsidRPr="00A0600B" w:rsidRDefault="004E7F0F" w:rsidP="004E7F0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Ausgewählte bekannte Top-Transaktionen | Investmentmarkt Hamburg | 1.</w:t>
      </w:r>
      <w:r w:rsidR="005A40F1">
        <w:rPr>
          <w:rFonts w:ascii="Arial" w:hAnsi="Arial" w:cs="Arial"/>
          <w:b/>
          <w:sz w:val="20"/>
          <w:szCs w:val="20"/>
        </w:rPr>
        <w:t>-4</w:t>
      </w:r>
      <w:r w:rsidR="003A32F7">
        <w:rPr>
          <w:rFonts w:ascii="Arial" w:hAnsi="Arial" w:cs="Arial"/>
          <w:b/>
          <w:sz w:val="20"/>
          <w:szCs w:val="20"/>
        </w:rPr>
        <w:t>.</w:t>
      </w:r>
      <w:r w:rsidRPr="00EE7FCA">
        <w:rPr>
          <w:rFonts w:ascii="Arial" w:hAnsi="Arial" w:cs="Arial"/>
          <w:b/>
          <w:sz w:val="20"/>
          <w:szCs w:val="20"/>
        </w:rPr>
        <w:t xml:space="preserve"> Quartal </w:t>
      </w:r>
      <w:r>
        <w:rPr>
          <w:rFonts w:ascii="Arial" w:hAnsi="Arial" w:cs="Arial"/>
          <w:b/>
          <w:sz w:val="20"/>
          <w:szCs w:val="20"/>
        </w:rPr>
        <w:t>2021</w:t>
      </w:r>
    </w:p>
    <w:tbl>
      <w:tblPr>
        <w:tblStyle w:val="TableGrid1"/>
        <w:tblpPr w:leftFromText="141" w:rightFromText="141" w:vertAnchor="text" w:horzAnchor="margin" w:tblpY="61"/>
        <w:tblW w:w="10154" w:type="dxa"/>
        <w:tblLayout w:type="fixed"/>
        <w:tblLook w:val="04A0" w:firstRow="1" w:lastRow="0" w:firstColumn="1" w:lastColumn="0" w:noHBand="0" w:noVBand="1"/>
      </w:tblPr>
      <w:tblGrid>
        <w:gridCol w:w="2972"/>
        <w:gridCol w:w="1276"/>
        <w:gridCol w:w="850"/>
        <w:gridCol w:w="1843"/>
        <w:gridCol w:w="2079"/>
        <w:gridCol w:w="1134"/>
      </w:tblGrid>
      <w:tr w:rsidR="004E7F0F" w:rsidRPr="006F49D0" w14:paraId="3216EE8E" w14:textId="77777777" w:rsidTr="005A6282">
        <w:trPr>
          <w:trHeight w:val="567"/>
        </w:trPr>
        <w:tc>
          <w:tcPr>
            <w:tcW w:w="2972" w:type="dxa"/>
            <w:shd w:val="clear" w:color="auto" w:fill="1F242B" w:themeFill="accent2"/>
            <w:vAlign w:val="center"/>
          </w:tcPr>
          <w:p w14:paraId="30C73659" w14:textId="77777777" w:rsidR="004E7F0F" w:rsidRDefault="004E7F0F" w:rsidP="005A6282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9F10F1">
              <w:rPr>
                <w:rFonts w:ascii="Arial" w:hAnsi="Arial" w:cs="Arial"/>
                <w:b/>
                <w:sz w:val="18"/>
                <w:szCs w:val="16"/>
              </w:rPr>
              <w:t>Projekt</w:t>
            </w:r>
            <w:r>
              <w:rPr>
                <w:rFonts w:ascii="Arial" w:hAnsi="Arial" w:cs="Arial"/>
                <w:b/>
                <w:sz w:val="18"/>
                <w:szCs w:val="16"/>
              </w:rPr>
              <w:t xml:space="preserve"> </w:t>
            </w:r>
            <w:r w:rsidRPr="009F10F1">
              <w:rPr>
                <w:rFonts w:ascii="Arial" w:hAnsi="Arial" w:cs="Arial"/>
                <w:b/>
                <w:sz w:val="18"/>
                <w:szCs w:val="16"/>
              </w:rPr>
              <w:t>/</w:t>
            </w:r>
            <w:r>
              <w:rPr>
                <w:rFonts w:ascii="Arial" w:hAnsi="Arial" w:cs="Arial"/>
                <w:b/>
                <w:sz w:val="18"/>
                <w:szCs w:val="16"/>
              </w:rPr>
              <w:t xml:space="preserve"> </w:t>
            </w:r>
            <w:r w:rsidRPr="009F10F1">
              <w:rPr>
                <w:rFonts w:ascii="Arial" w:hAnsi="Arial" w:cs="Arial"/>
                <w:b/>
                <w:sz w:val="18"/>
                <w:szCs w:val="16"/>
              </w:rPr>
              <w:t>Objekt</w:t>
            </w:r>
          </w:p>
          <w:p w14:paraId="657CB67E" w14:textId="47843775" w:rsidR="004E7F0F" w:rsidRPr="00C626E7" w:rsidRDefault="004E7F0F" w:rsidP="005A6282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Straße Nr.</w:t>
            </w:r>
          </w:p>
        </w:tc>
        <w:tc>
          <w:tcPr>
            <w:tcW w:w="1276" w:type="dxa"/>
            <w:shd w:val="clear" w:color="auto" w:fill="1F242B" w:themeFill="accent2"/>
          </w:tcPr>
          <w:p w14:paraId="7C71E885" w14:textId="77777777" w:rsidR="004E7F0F" w:rsidRPr="009F10F1" w:rsidRDefault="004E7F0F" w:rsidP="005A6282">
            <w:pPr>
              <w:widowControl w:val="0"/>
              <w:spacing w:before="60" w:afterLines="60" w:after="144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Teilmarkt</w:t>
            </w:r>
          </w:p>
        </w:tc>
        <w:tc>
          <w:tcPr>
            <w:tcW w:w="850" w:type="dxa"/>
            <w:shd w:val="clear" w:color="auto" w:fill="1F242B" w:themeFill="accent2"/>
          </w:tcPr>
          <w:p w14:paraId="38F233F9" w14:textId="77777777" w:rsidR="004E7F0F" w:rsidRPr="009F10F1" w:rsidRDefault="004E7F0F" w:rsidP="005A6282">
            <w:pPr>
              <w:widowControl w:val="0"/>
              <w:spacing w:before="60" w:afterLines="60" w:after="144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Asset-klasse</w:t>
            </w:r>
          </w:p>
        </w:tc>
        <w:tc>
          <w:tcPr>
            <w:tcW w:w="1843" w:type="dxa"/>
            <w:shd w:val="clear" w:color="auto" w:fill="1F242B" w:themeFill="accent2"/>
            <w:vAlign w:val="center"/>
          </w:tcPr>
          <w:p w14:paraId="3EC0A276" w14:textId="77777777" w:rsidR="004E7F0F" w:rsidRPr="009F10F1" w:rsidRDefault="004E7F0F" w:rsidP="005A6282">
            <w:pPr>
              <w:widowControl w:val="0"/>
              <w:spacing w:before="60" w:afterLines="60" w:after="144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Käufer</w:t>
            </w:r>
          </w:p>
        </w:tc>
        <w:tc>
          <w:tcPr>
            <w:tcW w:w="2079" w:type="dxa"/>
            <w:shd w:val="clear" w:color="auto" w:fill="1F242B" w:themeFill="accent2"/>
            <w:vAlign w:val="center"/>
          </w:tcPr>
          <w:p w14:paraId="7F255BE2" w14:textId="77777777" w:rsidR="004E7F0F" w:rsidRPr="009F10F1" w:rsidRDefault="004E7F0F" w:rsidP="005A6282">
            <w:pPr>
              <w:widowControl w:val="0"/>
              <w:spacing w:before="60" w:afterLines="60" w:after="144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9F10F1">
              <w:rPr>
                <w:rFonts w:ascii="Arial" w:hAnsi="Arial" w:cs="Arial"/>
                <w:b/>
                <w:sz w:val="18"/>
                <w:szCs w:val="16"/>
              </w:rPr>
              <w:t>Verkäufer</w:t>
            </w:r>
          </w:p>
        </w:tc>
        <w:tc>
          <w:tcPr>
            <w:tcW w:w="1134" w:type="dxa"/>
            <w:shd w:val="clear" w:color="auto" w:fill="1F242B" w:themeFill="accent2"/>
            <w:vAlign w:val="center"/>
          </w:tcPr>
          <w:p w14:paraId="5742F731" w14:textId="77777777" w:rsidR="004E7F0F" w:rsidRPr="009F10F1" w:rsidRDefault="004E7F0F" w:rsidP="005A6282">
            <w:pPr>
              <w:widowControl w:val="0"/>
              <w:spacing w:before="60" w:after="0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Kaufpreis*</w:t>
            </w:r>
          </w:p>
          <w:p w14:paraId="3F120A03" w14:textId="77777777" w:rsidR="004E7F0F" w:rsidRPr="009F10F1" w:rsidRDefault="004E7F0F" w:rsidP="005A6282">
            <w:pPr>
              <w:widowControl w:val="0"/>
              <w:spacing w:before="60" w:after="0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[ca. Mio. €]</w:t>
            </w:r>
          </w:p>
        </w:tc>
      </w:tr>
      <w:tr w:rsidR="004E7F0F" w:rsidRPr="00F2414C" w14:paraId="30FD5B1E" w14:textId="77777777" w:rsidTr="005A6282">
        <w:trPr>
          <w:trHeight w:val="567"/>
        </w:trPr>
        <w:tc>
          <w:tcPr>
            <w:tcW w:w="2972" w:type="dxa"/>
            <w:shd w:val="clear" w:color="auto" w:fill="FFFFFF" w:themeFill="background1"/>
            <w:vAlign w:val="center"/>
          </w:tcPr>
          <w:p w14:paraId="34A6CB0C" w14:textId="1A6A6E14" w:rsidR="004E7F0F" w:rsidRPr="00CA462D" w:rsidRDefault="00CA462D" w:rsidP="00327D2E">
            <w:pPr>
              <w:widowControl w:val="0"/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A462D">
              <w:rPr>
                <w:rFonts w:ascii="Arial" w:hAnsi="Arial" w:cs="Arial"/>
                <w:color w:val="000000" w:themeColor="text1"/>
                <w:sz w:val="18"/>
                <w:szCs w:val="18"/>
              </w:rPr>
              <w:t>„</w:t>
            </w:r>
            <w:proofErr w:type="spellStart"/>
            <w:r w:rsidRPr="00CA462D">
              <w:rPr>
                <w:rFonts w:ascii="Arial" w:hAnsi="Arial" w:cs="Arial"/>
                <w:color w:val="000000" w:themeColor="text1"/>
                <w:sz w:val="18"/>
                <w:szCs w:val="18"/>
              </w:rPr>
              <w:t>Spectrum</w:t>
            </w:r>
            <w:proofErr w:type="spellEnd"/>
            <w:r w:rsidRPr="00CA462D">
              <w:rPr>
                <w:rFonts w:ascii="Arial" w:hAnsi="Arial" w:cs="Arial"/>
                <w:color w:val="000000" w:themeColor="text1"/>
                <w:sz w:val="18"/>
                <w:szCs w:val="18"/>
              </w:rPr>
              <w:t>“,</w:t>
            </w:r>
          </w:p>
          <w:p w14:paraId="5A6DCA49" w14:textId="49BDF41E" w:rsidR="00CA462D" w:rsidRPr="00CA462D" w:rsidRDefault="00CA462D" w:rsidP="00327D2E">
            <w:pPr>
              <w:widowControl w:val="0"/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A462D">
              <w:rPr>
                <w:rFonts w:ascii="Arial" w:hAnsi="Arial" w:cs="Arial"/>
                <w:color w:val="000000" w:themeColor="text1"/>
                <w:sz w:val="18"/>
                <w:szCs w:val="18"/>
              </w:rPr>
              <w:t>Amandus-Stubbe-Straße 10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40F6453C" w14:textId="7810608D" w:rsidR="004E7F0F" w:rsidRPr="00CA462D" w:rsidRDefault="00CA462D" w:rsidP="00327D2E">
            <w:pPr>
              <w:widowControl w:val="0"/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</w:pPr>
            <w:r w:rsidRPr="00CA462D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 xml:space="preserve">Hamburg </w:t>
            </w:r>
            <w:proofErr w:type="spellStart"/>
            <w:r w:rsidRPr="00CA462D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>Ost</w:t>
            </w:r>
            <w:proofErr w:type="spellEnd"/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11C43E4C" w14:textId="77777777" w:rsidR="00CA462D" w:rsidRPr="00CA462D" w:rsidRDefault="00CA462D" w:rsidP="00327D2E">
            <w:pPr>
              <w:widowControl w:val="0"/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CA462D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Lager/</w:t>
            </w:r>
          </w:p>
          <w:p w14:paraId="42CAEC28" w14:textId="73D371DE" w:rsidR="004E7F0F" w:rsidRPr="00CA462D" w:rsidRDefault="00CA462D" w:rsidP="00327D2E">
            <w:pPr>
              <w:widowControl w:val="0"/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proofErr w:type="spellStart"/>
            <w:r w:rsidRPr="00CA462D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Logistik</w:t>
            </w:r>
            <w:proofErr w:type="spellEnd"/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7DD2A0CE" w14:textId="1EA3E1FE" w:rsidR="004E7F0F" w:rsidRPr="00CA462D" w:rsidRDefault="00CA462D" w:rsidP="00674339">
            <w:pPr>
              <w:widowControl w:val="0"/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CA462D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 xml:space="preserve">DWS </w:t>
            </w:r>
            <w:r w:rsidR="00960B13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Group</w:t>
            </w:r>
          </w:p>
        </w:tc>
        <w:tc>
          <w:tcPr>
            <w:tcW w:w="2079" w:type="dxa"/>
            <w:shd w:val="clear" w:color="auto" w:fill="FFFFFF" w:themeFill="background1"/>
            <w:vAlign w:val="center"/>
          </w:tcPr>
          <w:p w14:paraId="146FFCB8" w14:textId="07282CD9" w:rsidR="004E7F0F" w:rsidRPr="00CA462D" w:rsidRDefault="00CA462D" w:rsidP="00327D2E">
            <w:pPr>
              <w:widowControl w:val="0"/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A462D">
              <w:rPr>
                <w:rFonts w:ascii="Arial" w:hAnsi="Arial" w:cs="Arial"/>
                <w:color w:val="000000" w:themeColor="text1"/>
                <w:sz w:val="18"/>
                <w:szCs w:val="18"/>
              </w:rPr>
              <w:t>Fiege Deutschland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73ED851" w14:textId="5A62C8F6" w:rsidR="004E7F0F" w:rsidRPr="00CA462D" w:rsidRDefault="00CA462D" w:rsidP="00327D2E">
            <w:pPr>
              <w:widowControl w:val="0"/>
              <w:spacing w:after="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A462D">
              <w:rPr>
                <w:rFonts w:ascii="Arial" w:hAnsi="Arial" w:cs="Arial"/>
                <w:color w:val="000000" w:themeColor="text1"/>
                <w:sz w:val="18"/>
                <w:szCs w:val="18"/>
              </w:rPr>
              <w:t>189</w:t>
            </w:r>
          </w:p>
        </w:tc>
      </w:tr>
      <w:tr w:rsidR="00F67E03" w:rsidRPr="00F2414C" w14:paraId="74A28DC9" w14:textId="77777777" w:rsidTr="005A40F1">
        <w:trPr>
          <w:trHeight w:val="567"/>
        </w:trPr>
        <w:tc>
          <w:tcPr>
            <w:tcW w:w="2972" w:type="dxa"/>
            <w:shd w:val="clear" w:color="auto" w:fill="auto"/>
            <w:vAlign w:val="center"/>
          </w:tcPr>
          <w:p w14:paraId="73FB5DB2" w14:textId="05173C06" w:rsidR="00F67E03" w:rsidRPr="00CA462D" w:rsidRDefault="00400B1D" w:rsidP="00327D2E">
            <w:pPr>
              <w:widowControl w:val="0"/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„Multimedia </w:t>
            </w:r>
            <w:proofErr w:type="spellStart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Centre</w:t>
            </w:r>
            <w:proofErr w:type="spellEnd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Rotherbaum</w:t>
            </w:r>
            <w:proofErr w:type="spellEnd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“, </w:t>
            </w:r>
            <w:proofErr w:type="spellStart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Rothenbaumchaussee</w:t>
            </w:r>
            <w:proofErr w:type="spellEnd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76-80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D46604A" w14:textId="4B3C9680" w:rsidR="00F67E03" w:rsidRPr="00CA462D" w:rsidRDefault="00A42F0D" w:rsidP="00327D2E">
            <w:pPr>
              <w:widowControl w:val="0"/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>Alster</w:t>
            </w:r>
            <w:proofErr w:type="spellEnd"/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 xml:space="preserve"> </w:t>
            </w:r>
            <w:r w:rsidR="00400B1D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>West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FE8BCA4" w14:textId="1F3068BB" w:rsidR="00F67E03" w:rsidRPr="00CA462D" w:rsidRDefault="00400B1D" w:rsidP="00327D2E">
            <w:pPr>
              <w:widowControl w:val="0"/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Büro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14:paraId="7E99BD89" w14:textId="20FB0239" w:rsidR="00F67E03" w:rsidRPr="00CA462D" w:rsidRDefault="00400B1D" w:rsidP="00674339">
            <w:pPr>
              <w:widowControl w:val="0"/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Values Real Estate</w:t>
            </w:r>
          </w:p>
        </w:tc>
        <w:tc>
          <w:tcPr>
            <w:tcW w:w="2079" w:type="dxa"/>
            <w:shd w:val="clear" w:color="auto" w:fill="auto"/>
            <w:vAlign w:val="center"/>
          </w:tcPr>
          <w:p w14:paraId="6B09286D" w14:textId="70CDF36E" w:rsidR="00F67E03" w:rsidRPr="00CA462D" w:rsidRDefault="00400B1D" w:rsidP="00327D2E">
            <w:pPr>
              <w:widowControl w:val="0"/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Vermögensverwaltung Jahr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960E0F2" w14:textId="688289A1" w:rsidR="00F67E03" w:rsidRPr="00CA462D" w:rsidRDefault="00400B1D" w:rsidP="00327D2E">
            <w:pPr>
              <w:widowControl w:val="0"/>
              <w:spacing w:after="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170</w:t>
            </w:r>
          </w:p>
        </w:tc>
      </w:tr>
      <w:tr w:rsidR="00CA462D" w:rsidRPr="00F2414C" w14:paraId="078EA026" w14:textId="77777777" w:rsidTr="005A6282">
        <w:trPr>
          <w:trHeight w:val="567"/>
        </w:trPr>
        <w:tc>
          <w:tcPr>
            <w:tcW w:w="2972" w:type="dxa"/>
            <w:shd w:val="clear" w:color="auto" w:fill="auto"/>
            <w:vAlign w:val="center"/>
          </w:tcPr>
          <w:p w14:paraId="40BD68E4" w14:textId="77777777" w:rsidR="00CA462D" w:rsidRPr="00CA462D" w:rsidRDefault="00CA462D" w:rsidP="00CA462D">
            <w:pPr>
              <w:widowControl w:val="0"/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A462D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„Hamburg Süd-Haus”, </w:t>
            </w:r>
          </w:p>
          <w:p w14:paraId="43C7A864" w14:textId="3D6DBB95" w:rsidR="00CA462D" w:rsidRPr="00CA462D" w:rsidRDefault="00CA462D" w:rsidP="00CA462D">
            <w:pPr>
              <w:widowControl w:val="0"/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A462D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Willy-Brandt-Straße 59-63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D93CD15" w14:textId="35C22B48" w:rsidR="00CA462D" w:rsidRPr="00CA462D" w:rsidRDefault="00CA462D" w:rsidP="00CA462D">
            <w:pPr>
              <w:widowControl w:val="0"/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</w:pPr>
            <w:r w:rsidRPr="00CA462D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>City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A2F86C8" w14:textId="75032F10" w:rsidR="00CA462D" w:rsidRPr="00CA462D" w:rsidRDefault="00CA462D" w:rsidP="00CA462D">
            <w:pPr>
              <w:widowControl w:val="0"/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proofErr w:type="spellStart"/>
            <w:r w:rsidRPr="00CA462D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Büro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14:paraId="5C526C90" w14:textId="163164B6" w:rsidR="00CA462D" w:rsidRPr="00CA462D" w:rsidRDefault="00CA462D" w:rsidP="00CA462D">
            <w:pPr>
              <w:widowControl w:val="0"/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A462D">
              <w:rPr>
                <w:rFonts w:ascii="Arial" w:hAnsi="Arial" w:cs="Arial"/>
                <w:sz w:val="18"/>
                <w:szCs w:val="18"/>
                <w:lang w:val="en-US"/>
              </w:rPr>
              <w:t>Union Investment</w:t>
            </w:r>
          </w:p>
        </w:tc>
        <w:tc>
          <w:tcPr>
            <w:tcW w:w="2079" w:type="dxa"/>
            <w:shd w:val="clear" w:color="auto" w:fill="auto"/>
            <w:vAlign w:val="center"/>
          </w:tcPr>
          <w:p w14:paraId="611BBC35" w14:textId="7FF1632B" w:rsidR="00CA462D" w:rsidRPr="00CA462D" w:rsidRDefault="00CA462D" w:rsidP="00CA462D">
            <w:pPr>
              <w:widowControl w:val="0"/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A462D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Dr. August Oetker Nahrungsmittel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0102CAD" w14:textId="6A766CA4" w:rsidR="00CA462D" w:rsidRPr="00CA462D" w:rsidRDefault="00CA462D" w:rsidP="00CA462D">
            <w:pPr>
              <w:widowControl w:val="0"/>
              <w:spacing w:after="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A462D">
              <w:rPr>
                <w:rFonts w:ascii="Arial" w:hAnsi="Arial" w:cs="Arial"/>
                <w:color w:val="000000" w:themeColor="text1"/>
                <w:sz w:val="18"/>
                <w:szCs w:val="18"/>
              </w:rPr>
              <w:t>&gt;150</w:t>
            </w:r>
          </w:p>
        </w:tc>
      </w:tr>
      <w:tr w:rsidR="004E7F0F" w:rsidRPr="006F49D0" w14:paraId="3C103812" w14:textId="77777777" w:rsidTr="005A40F1">
        <w:trPr>
          <w:trHeight w:val="567"/>
        </w:trPr>
        <w:tc>
          <w:tcPr>
            <w:tcW w:w="2972" w:type="dxa"/>
            <w:shd w:val="clear" w:color="auto" w:fill="auto"/>
            <w:vAlign w:val="center"/>
          </w:tcPr>
          <w:p w14:paraId="029D5084" w14:textId="3DE0C3A1" w:rsidR="004E7F0F" w:rsidRPr="00CA462D" w:rsidRDefault="005F0034" w:rsidP="00327D2E">
            <w:pPr>
              <w:widowControl w:val="0"/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Norderstraße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101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826776C" w14:textId="545BDE48" w:rsidR="004E7F0F" w:rsidRPr="00CA462D" w:rsidRDefault="005F0034" w:rsidP="00327D2E">
            <w:pPr>
              <w:widowControl w:val="0"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St. Georg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6C04F2B" w14:textId="615543AD" w:rsidR="004E7F0F" w:rsidRPr="00CA462D" w:rsidRDefault="005F0034" w:rsidP="00327D2E">
            <w:pPr>
              <w:widowControl w:val="0"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Büro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AA9E270" w14:textId="3E346E30" w:rsidR="004E7F0F" w:rsidRPr="00CA462D" w:rsidRDefault="005F0034" w:rsidP="00327D2E">
            <w:pPr>
              <w:widowControl w:val="0"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 &amp; L Gruppe</w:t>
            </w:r>
          </w:p>
        </w:tc>
        <w:tc>
          <w:tcPr>
            <w:tcW w:w="2079" w:type="dxa"/>
            <w:shd w:val="clear" w:color="auto" w:fill="auto"/>
            <w:vAlign w:val="center"/>
          </w:tcPr>
          <w:p w14:paraId="2260B6E9" w14:textId="7D862071" w:rsidR="004E7F0F" w:rsidRPr="00CA462D" w:rsidRDefault="00FE0368" w:rsidP="00FE0368">
            <w:pPr>
              <w:widowControl w:val="0"/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Commerz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Real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355C269" w14:textId="4CC09CB9" w:rsidR="004E7F0F" w:rsidRPr="00CA462D" w:rsidRDefault="005F0034" w:rsidP="00327D2E">
            <w:pPr>
              <w:widowControl w:val="0"/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</w:t>
            </w:r>
          </w:p>
        </w:tc>
      </w:tr>
      <w:tr w:rsidR="00AB74D4" w:rsidRPr="006F49D0" w14:paraId="01DE5E9D" w14:textId="77777777" w:rsidTr="00AB74D4">
        <w:trPr>
          <w:trHeight w:val="56"/>
        </w:trPr>
        <w:tc>
          <w:tcPr>
            <w:tcW w:w="2972" w:type="dxa"/>
            <w:shd w:val="clear" w:color="auto" w:fill="7F7F7F" w:themeFill="text1" w:themeFillTint="80"/>
            <w:vAlign w:val="center"/>
          </w:tcPr>
          <w:p w14:paraId="14EFA2AF" w14:textId="77777777" w:rsidR="00AB74D4" w:rsidRDefault="00AB74D4" w:rsidP="00327D2E">
            <w:pPr>
              <w:widowControl w:val="0"/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7F7F7F" w:themeFill="text1" w:themeFillTint="80"/>
            <w:vAlign w:val="center"/>
          </w:tcPr>
          <w:p w14:paraId="4840CA6C" w14:textId="77777777" w:rsidR="00AB74D4" w:rsidRDefault="00AB74D4" w:rsidP="00327D2E">
            <w:pPr>
              <w:widowControl w:val="0"/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7F7F7F" w:themeFill="text1" w:themeFillTint="80"/>
            <w:vAlign w:val="center"/>
          </w:tcPr>
          <w:p w14:paraId="78A26992" w14:textId="77777777" w:rsidR="00AB74D4" w:rsidRDefault="00AB74D4" w:rsidP="00327D2E">
            <w:pPr>
              <w:widowControl w:val="0"/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7F7F7F" w:themeFill="text1" w:themeFillTint="80"/>
            <w:vAlign w:val="center"/>
          </w:tcPr>
          <w:p w14:paraId="09B90C2A" w14:textId="77777777" w:rsidR="00AB74D4" w:rsidRDefault="00AB74D4" w:rsidP="00327D2E">
            <w:pPr>
              <w:widowControl w:val="0"/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9" w:type="dxa"/>
            <w:shd w:val="clear" w:color="auto" w:fill="7F7F7F" w:themeFill="text1" w:themeFillTint="80"/>
            <w:vAlign w:val="center"/>
          </w:tcPr>
          <w:p w14:paraId="1B146022" w14:textId="77777777" w:rsidR="00AB74D4" w:rsidRDefault="00AB74D4" w:rsidP="00FE0368">
            <w:pPr>
              <w:widowControl w:val="0"/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7F7F7F" w:themeFill="text1" w:themeFillTint="80"/>
            <w:vAlign w:val="center"/>
          </w:tcPr>
          <w:p w14:paraId="77B8A6A7" w14:textId="77777777" w:rsidR="00AB74D4" w:rsidRDefault="00AB74D4" w:rsidP="00327D2E">
            <w:pPr>
              <w:widowControl w:val="0"/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A40F1" w:rsidRPr="006F49D0" w14:paraId="1319D838" w14:textId="77777777" w:rsidTr="00AB74D4">
        <w:trPr>
          <w:trHeight w:val="567"/>
        </w:trPr>
        <w:tc>
          <w:tcPr>
            <w:tcW w:w="2972" w:type="dxa"/>
            <w:shd w:val="clear" w:color="auto" w:fill="D9D9D9" w:themeFill="background1" w:themeFillShade="D9"/>
            <w:vAlign w:val="center"/>
          </w:tcPr>
          <w:p w14:paraId="7C1372FA" w14:textId="29D57533" w:rsidR="005A40F1" w:rsidRDefault="005A40F1" w:rsidP="00327D2E">
            <w:pPr>
              <w:widowControl w:val="0"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</w:t>
            </w:r>
            <w:r w:rsidR="00AB74D4">
              <w:rPr>
                <w:rFonts w:ascii="Arial" w:hAnsi="Arial" w:cs="Arial"/>
                <w:sz w:val="18"/>
                <w:szCs w:val="18"/>
              </w:rPr>
              <w:t>Marquard &amp; Bahls Zentrale</w:t>
            </w:r>
            <w:r>
              <w:rPr>
                <w:rFonts w:ascii="Arial" w:hAnsi="Arial" w:cs="Arial"/>
                <w:sz w:val="18"/>
                <w:szCs w:val="18"/>
              </w:rPr>
              <w:t>“,</w:t>
            </w:r>
          </w:p>
          <w:p w14:paraId="1E13EC81" w14:textId="453346B1" w:rsidR="005A40F1" w:rsidRDefault="005A40F1" w:rsidP="00327D2E">
            <w:pPr>
              <w:widowControl w:val="0"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Koreastraße 7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7D64DE30" w14:textId="53278DB8" w:rsidR="005A40F1" w:rsidRDefault="005A40F1" w:rsidP="00327D2E">
            <w:pPr>
              <w:widowControl w:val="0"/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HafenCity</w:t>
            </w:r>
            <w:proofErr w:type="spellEnd"/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21ACC2A9" w14:textId="744F0218" w:rsidR="005A40F1" w:rsidRDefault="00AB74D4" w:rsidP="00327D2E">
            <w:pPr>
              <w:widowControl w:val="0"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Büro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7BB4A488" w14:textId="6DB247CE" w:rsidR="005A40F1" w:rsidRDefault="005A40F1" w:rsidP="00327D2E">
            <w:pPr>
              <w:widowControl w:val="0"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JP Morgan Asset Management</w:t>
            </w:r>
          </w:p>
        </w:tc>
        <w:tc>
          <w:tcPr>
            <w:tcW w:w="2079" w:type="dxa"/>
            <w:shd w:val="clear" w:color="auto" w:fill="D9D9D9" w:themeFill="background1" w:themeFillShade="D9"/>
            <w:vAlign w:val="center"/>
          </w:tcPr>
          <w:p w14:paraId="5C18FF20" w14:textId="32C16085" w:rsidR="005A40F1" w:rsidRDefault="005A40F1" w:rsidP="00FE0368">
            <w:pPr>
              <w:widowControl w:val="0"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Marquard &amp; Bahls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46004312" w14:textId="174A2F68" w:rsidR="005A40F1" w:rsidRDefault="005A40F1" w:rsidP="00327D2E">
            <w:pPr>
              <w:widowControl w:val="0"/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vertraulich</w:t>
            </w:r>
          </w:p>
        </w:tc>
      </w:tr>
    </w:tbl>
    <w:p w14:paraId="76290F15" w14:textId="5B724C1D" w:rsidR="00CA462D" w:rsidRDefault="004E7F0F" w:rsidP="00CA462D">
      <w:pPr>
        <w:widowControl w:val="0"/>
        <w:spacing w:after="0"/>
        <w:rPr>
          <w:rFonts w:ascii="Arial" w:hAnsi="Arial" w:cs="Arial"/>
          <w:sz w:val="16"/>
          <w:szCs w:val="16"/>
        </w:rPr>
      </w:pPr>
      <w:r w:rsidRPr="00D474C5">
        <w:rPr>
          <w:rFonts w:ascii="Arial" w:hAnsi="Arial" w:cs="Arial"/>
          <w:sz w:val="16"/>
          <w:szCs w:val="16"/>
        </w:rPr>
        <w:t>*</w:t>
      </w:r>
      <w:r>
        <w:rPr>
          <w:rFonts w:ascii="Arial" w:hAnsi="Arial" w:cs="Arial"/>
          <w:sz w:val="16"/>
          <w:szCs w:val="16"/>
        </w:rPr>
        <w:t xml:space="preserve"> </w:t>
      </w:r>
      <w:r w:rsidRPr="00B4679D">
        <w:rPr>
          <w:rFonts w:ascii="Arial" w:hAnsi="Arial" w:cs="Arial"/>
          <w:sz w:val="16"/>
          <w:szCs w:val="16"/>
        </w:rPr>
        <w:t>Die aufgeführten Kaufpreise ba</w:t>
      </w:r>
      <w:r>
        <w:rPr>
          <w:rFonts w:ascii="Arial" w:hAnsi="Arial" w:cs="Arial"/>
          <w:sz w:val="16"/>
          <w:szCs w:val="16"/>
        </w:rPr>
        <w:t xml:space="preserve">sieren auf öffentlich verfügbaren Angaben; </w:t>
      </w:r>
      <w:r w:rsidRPr="00B4679D">
        <w:rPr>
          <w:rFonts w:ascii="Arial" w:hAnsi="Arial" w:cs="Arial"/>
          <w:sz w:val="16"/>
          <w:szCs w:val="16"/>
        </w:rPr>
        <w:t xml:space="preserve">wo solche fehlen, sind </w:t>
      </w:r>
      <w:r>
        <w:rPr>
          <w:rFonts w:ascii="Arial" w:hAnsi="Arial" w:cs="Arial"/>
          <w:sz w:val="16"/>
          <w:szCs w:val="16"/>
        </w:rPr>
        <w:t xml:space="preserve">die </w:t>
      </w:r>
      <w:r w:rsidRPr="00B4679D">
        <w:rPr>
          <w:rFonts w:ascii="Arial" w:hAnsi="Arial" w:cs="Arial"/>
          <w:sz w:val="16"/>
          <w:szCs w:val="16"/>
        </w:rPr>
        <w:t>Kaufpreise geschätzt</w:t>
      </w:r>
      <w:r w:rsidR="00CA462D">
        <w:rPr>
          <w:rFonts w:ascii="Arial" w:hAnsi="Arial" w:cs="Arial"/>
          <w:sz w:val="16"/>
          <w:szCs w:val="16"/>
        </w:rPr>
        <w:t xml:space="preserve">; Deals aus </w:t>
      </w:r>
      <w:r w:rsidR="00994676">
        <w:rPr>
          <w:rFonts w:ascii="Arial" w:hAnsi="Arial" w:cs="Arial"/>
          <w:sz w:val="16"/>
          <w:szCs w:val="16"/>
        </w:rPr>
        <w:t xml:space="preserve">dem </w:t>
      </w:r>
      <w:r w:rsidR="00CA462D">
        <w:rPr>
          <w:rFonts w:ascii="Arial" w:hAnsi="Arial" w:cs="Arial"/>
          <w:sz w:val="16"/>
          <w:szCs w:val="16"/>
        </w:rPr>
        <w:t>jeweiligem Berichtsquartal sind grau hinterlegt</w:t>
      </w:r>
      <w:r w:rsidR="00994676">
        <w:rPr>
          <w:rFonts w:ascii="Arial" w:hAnsi="Arial" w:cs="Arial"/>
          <w:sz w:val="16"/>
          <w:szCs w:val="16"/>
        </w:rPr>
        <w:t>.</w:t>
      </w:r>
    </w:p>
    <w:p w14:paraId="373A4382" w14:textId="3E06F6AA" w:rsidR="004E7F0F" w:rsidRDefault="004E7F0F" w:rsidP="004E7F0F">
      <w:pPr>
        <w:spacing w:after="0"/>
        <w:rPr>
          <w:rFonts w:ascii="Arial" w:eastAsia="Arial" w:hAnsi="Arial" w:cs="Arial"/>
          <w:color w:val="000000" w:themeColor="text1"/>
          <w:sz w:val="20"/>
          <w:szCs w:val="20"/>
        </w:rPr>
      </w:pPr>
    </w:p>
    <w:p w14:paraId="513CABD7" w14:textId="77777777" w:rsidR="004E7F0F" w:rsidRDefault="004E7F0F" w:rsidP="004E7F0F">
      <w:pPr>
        <w:spacing w:after="0"/>
        <w:rPr>
          <w:rFonts w:ascii="Arial" w:eastAsia="Arial" w:hAnsi="Arial" w:cs="Arial"/>
          <w:color w:val="000000" w:themeColor="text1"/>
          <w:sz w:val="20"/>
          <w:szCs w:val="20"/>
        </w:rPr>
      </w:pPr>
    </w:p>
    <w:p w14:paraId="1F993A3D" w14:textId="77777777" w:rsidR="004E7F0F" w:rsidRPr="00897DBE" w:rsidRDefault="004E7F0F" w:rsidP="004E7F0F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color w:val="000000" w:themeColor="text1"/>
          <w:sz w:val="20"/>
          <w:szCs w:val="20"/>
        </w:rPr>
        <w:t xml:space="preserve">Der ausführliche </w:t>
      </w:r>
      <w:hyperlink r:id="rId9" w:history="1">
        <w:r w:rsidRPr="0062200D">
          <w:rPr>
            <w:rStyle w:val="Hyperlink"/>
            <w:rFonts w:ascii="Arial" w:eastAsia="Arial" w:hAnsi="Arial" w:cs="Arial"/>
            <w:sz w:val="20"/>
            <w:szCs w:val="20"/>
          </w:rPr>
          <w:t>Investment-Marktbericht Hamburg</w:t>
        </w:r>
      </w:hyperlink>
      <w:r>
        <w:rPr>
          <w:rFonts w:ascii="Arial" w:eastAsia="Arial" w:hAnsi="Arial" w:cs="Arial"/>
          <w:color w:val="000000" w:themeColor="text1"/>
          <w:sz w:val="20"/>
          <w:szCs w:val="20"/>
        </w:rPr>
        <w:t xml:space="preserve"> steht in Kürze auf unserer </w:t>
      </w:r>
      <w:r w:rsidRPr="0062200D">
        <w:rPr>
          <w:rFonts w:ascii="Arial" w:eastAsia="Arial" w:hAnsi="Arial" w:cs="Arial"/>
          <w:sz w:val="20"/>
          <w:szCs w:val="20"/>
        </w:rPr>
        <w:t>Website</w:t>
      </w:r>
      <w:r>
        <w:rPr>
          <w:rFonts w:ascii="Arial" w:eastAsia="Arial" w:hAnsi="Arial" w:cs="Arial"/>
          <w:color w:val="000000" w:themeColor="text1"/>
          <w:sz w:val="20"/>
          <w:szCs w:val="20"/>
        </w:rPr>
        <w:t xml:space="preserve"> zum Download bereit.</w:t>
      </w:r>
    </w:p>
    <w:p w14:paraId="545BF58C" w14:textId="77777777" w:rsidR="004E7F0F" w:rsidRDefault="004E7F0F" w:rsidP="004E7F0F">
      <w:pPr>
        <w:spacing w:after="0" w:line="360" w:lineRule="auto"/>
        <w:rPr>
          <w:rFonts w:ascii="Arial" w:hAnsi="Arial" w:cs="Arial"/>
          <w:b/>
          <w:sz w:val="16"/>
          <w:szCs w:val="16"/>
        </w:rPr>
      </w:pPr>
    </w:p>
    <w:p w14:paraId="66E7EF52" w14:textId="77777777" w:rsidR="004E7F0F" w:rsidRPr="0090748B" w:rsidRDefault="004E7F0F" w:rsidP="004E7F0F">
      <w:pPr>
        <w:spacing w:after="0" w:line="360" w:lineRule="auto"/>
        <w:rPr>
          <w:rFonts w:ascii="Arial" w:hAnsi="Arial" w:cs="Arial"/>
          <w:b/>
          <w:sz w:val="16"/>
          <w:szCs w:val="16"/>
        </w:rPr>
      </w:pPr>
      <w:r w:rsidRPr="0090748B">
        <w:rPr>
          <w:rFonts w:ascii="Arial" w:hAnsi="Arial" w:cs="Arial"/>
          <w:b/>
          <w:sz w:val="16"/>
          <w:szCs w:val="16"/>
        </w:rPr>
        <w:t>Über Grossmann &amp; Berger</w:t>
      </w:r>
    </w:p>
    <w:p w14:paraId="774D9BE5" w14:textId="6F6F633B" w:rsidR="000B39AB" w:rsidRPr="000B39AB" w:rsidRDefault="000B39AB" w:rsidP="000B39AB">
      <w:pPr>
        <w:spacing w:after="0" w:line="360" w:lineRule="auto"/>
        <w:rPr>
          <w:rFonts w:ascii="Arial" w:hAnsi="Arial" w:cs="Arial"/>
          <w:sz w:val="16"/>
          <w:szCs w:val="16"/>
        </w:rPr>
      </w:pPr>
      <w:r w:rsidRPr="000B39AB">
        <w:rPr>
          <w:rFonts w:ascii="Arial" w:hAnsi="Arial" w:cs="Arial"/>
          <w:snapToGrid w:val="0"/>
          <w:sz w:val="16"/>
          <w:szCs w:val="16"/>
        </w:rPr>
        <w:t xml:space="preserve">Die </w:t>
      </w:r>
      <w:hyperlink r:id="rId10" w:history="1">
        <w:r w:rsidRPr="000B39AB">
          <w:rPr>
            <w:rStyle w:val="Hyperlink"/>
            <w:rFonts w:ascii="Arial" w:hAnsi="Arial" w:cs="Arial"/>
            <w:snapToGrid w:val="0"/>
            <w:sz w:val="16"/>
            <w:szCs w:val="16"/>
          </w:rPr>
          <w:t>Grossmann &amp; Berger GmbH</w:t>
        </w:r>
      </w:hyperlink>
      <w:r w:rsidRPr="000B39AB">
        <w:rPr>
          <w:rFonts w:ascii="Arial" w:hAnsi="Arial" w:cs="Arial"/>
          <w:snapToGrid w:val="0"/>
          <w:sz w:val="16"/>
          <w:szCs w:val="16"/>
        </w:rPr>
        <w:t xml:space="preserve"> gehört zu den führenden Immobiliendienstleistern für den Verkauf und die Vermietung von Gewerbe- und Wohn-Immobilien. Neben dem Hauptsitz in Hamburg unterhält das Unternehmen 20 Standorte. Hierüber ist Grossmann &amp; Berger flächendeckend im norddeutschen Markt präsent. Über die seit Mai 2021 zum Unternehmen gehörenden Gesellschaften </w:t>
      </w:r>
      <w:hyperlink r:id="rId11" w:history="1">
        <w:r w:rsidRPr="000B39AB">
          <w:rPr>
            <w:rStyle w:val="Hyperlink"/>
            <w:rFonts w:ascii="Arial" w:hAnsi="Arial" w:cs="Arial"/>
            <w:snapToGrid w:val="0"/>
            <w:sz w:val="16"/>
            <w:szCs w:val="16"/>
          </w:rPr>
          <w:t>E &amp; G Real Estate</w:t>
        </w:r>
      </w:hyperlink>
      <w:r w:rsidRPr="000B39AB">
        <w:rPr>
          <w:rFonts w:ascii="Arial" w:hAnsi="Arial" w:cs="Arial"/>
          <w:snapToGrid w:val="0"/>
          <w:sz w:val="16"/>
          <w:szCs w:val="16"/>
        </w:rPr>
        <w:t xml:space="preserve"> und</w:t>
      </w:r>
      <w:r>
        <w:rPr>
          <w:rFonts w:ascii="Arial" w:hAnsi="Arial" w:cs="Arial"/>
          <w:snapToGrid w:val="0"/>
          <w:sz w:val="16"/>
          <w:szCs w:val="16"/>
        </w:rPr>
        <w:t xml:space="preserve"> </w:t>
      </w:r>
      <w:hyperlink r:id="rId12" w:history="1">
        <w:r w:rsidRPr="000B39AB">
          <w:rPr>
            <w:rStyle w:val="Hyperlink"/>
            <w:rFonts w:ascii="Arial" w:hAnsi="Arial" w:cs="Arial"/>
            <w:snapToGrid w:val="0"/>
            <w:sz w:val="16"/>
            <w:szCs w:val="16"/>
          </w:rPr>
          <w:t>E &amp; G Private Immobilien</w:t>
        </w:r>
      </w:hyperlink>
      <w:r w:rsidRPr="000B39AB">
        <w:rPr>
          <w:rFonts w:ascii="Arial" w:hAnsi="Arial" w:cs="Arial"/>
          <w:snapToGrid w:val="0"/>
          <w:sz w:val="16"/>
          <w:szCs w:val="16"/>
        </w:rPr>
        <w:t xml:space="preserve"> ist Grossmann &amp; Berger auch in den südlichen Metropolregionen Stuttgart und München vertreten. Rund 250 Mitarbeiter decken mit ihrer umfassenden Immobilienkompetenz das gesamte Branchen-Dienstleistungsspektrum ab. Bei ihrer Tätigkeit können sie auf mehr als 85 Jahre Unternehmenstradition zurückgreifen. </w:t>
      </w:r>
      <w:r w:rsidRPr="000B39AB">
        <w:rPr>
          <w:rFonts w:ascii="Arial" w:hAnsi="Arial" w:cs="Arial"/>
          <w:sz w:val="16"/>
          <w:szCs w:val="16"/>
        </w:rPr>
        <w:t xml:space="preserve">Grossmann &amp; Berger ist ein Beteiligungsunternehmen der HASPA-Gruppe und Gründungsmitglied des deutschlandweiten Gewerbeimmobiliennetzwerks </w:t>
      </w:r>
      <w:hyperlink r:id="rId13" w:history="1">
        <w:r w:rsidRPr="000B39AB">
          <w:rPr>
            <w:rStyle w:val="Hyperlink"/>
            <w:rFonts w:ascii="Arial" w:hAnsi="Arial" w:cs="Arial"/>
            <w:sz w:val="16"/>
            <w:szCs w:val="16"/>
          </w:rPr>
          <w:t>German Property Partners</w:t>
        </w:r>
      </w:hyperlink>
      <w:r w:rsidRPr="000B39AB">
        <w:rPr>
          <w:rFonts w:ascii="Arial" w:hAnsi="Arial" w:cs="Arial"/>
          <w:sz w:val="16"/>
          <w:szCs w:val="16"/>
        </w:rPr>
        <w:t xml:space="preserve"> (GPP).</w:t>
      </w:r>
    </w:p>
    <w:p w14:paraId="0C3EF407" w14:textId="77777777" w:rsidR="004E7F0F" w:rsidRDefault="004E7F0F" w:rsidP="004E7F0F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51C1AA4D" w14:textId="0BE70DBA" w:rsidR="00046FEC" w:rsidRPr="00FD140F" w:rsidRDefault="004E7F0F" w:rsidP="005E3A2A">
      <w:pPr>
        <w:spacing w:after="0" w:line="360" w:lineRule="auto"/>
        <w:rPr>
          <w:rFonts w:ascii="Arial" w:hAnsi="Arial" w:cs="Arial"/>
          <w:bCs/>
          <w:color w:val="000000" w:themeColor="text1"/>
          <w:sz w:val="20"/>
          <w:szCs w:val="20"/>
        </w:rPr>
      </w:pPr>
      <w:r w:rsidRPr="006225C9">
        <w:rPr>
          <w:rFonts w:ascii="Arial" w:hAnsi="Arial" w:cs="Arial"/>
          <w:sz w:val="16"/>
          <w:szCs w:val="16"/>
        </w:rPr>
        <w:lastRenderedPageBreak/>
        <w:t xml:space="preserve">Die </w:t>
      </w:r>
      <w:hyperlink r:id="rId14" w:history="1">
        <w:r w:rsidRPr="006225C9">
          <w:rPr>
            <w:rStyle w:val="Hyperlink"/>
            <w:rFonts w:ascii="Arial" w:hAnsi="Arial" w:cs="Arial"/>
            <w:sz w:val="16"/>
            <w:szCs w:val="16"/>
          </w:rPr>
          <w:t>Datenschutzrichtlinie</w:t>
        </w:r>
      </w:hyperlink>
      <w:r w:rsidRPr="006225C9">
        <w:rPr>
          <w:rFonts w:ascii="Arial" w:hAnsi="Arial" w:cs="Arial"/>
          <w:sz w:val="16"/>
          <w:szCs w:val="16"/>
        </w:rPr>
        <w:t xml:space="preserve"> von Grossmann &amp; Berger finden Sie auf unserer Website. Hier finden Sie auch unsere </w:t>
      </w:r>
      <w:hyperlink r:id="rId15" w:history="1">
        <w:r w:rsidRPr="006225C9">
          <w:rPr>
            <w:rStyle w:val="Hyperlink"/>
            <w:rFonts w:ascii="Arial" w:hAnsi="Arial" w:cs="Arial"/>
            <w:sz w:val="16"/>
            <w:szCs w:val="16"/>
          </w:rPr>
          <w:t>Pressemappe</w:t>
        </w:r>
      </w:hyperlink>
      <w:r w:rsidRPr="006225C9">
        <w:rPr>
          <w:rFonts w:ascii="Arial" w:hAnsi="Arial" w:cs="Arial"/>
          <w:sz w:val="16"/>
          <w:szCs w:val="16"/>
        </w:rPr>
        <w:t xml:space="preserve"> sowie die dazugehörigen </w:t>
      </w:r>
      <w:hyperlink r:id="rId16" w:history="1">
        <w:r w:rsidRPr="006225C9">
          <w:rPr>
            <w:rStyle w:val="Hyperlink"/>
            <w:rFonts w:ascii="Arial" w:hAnsi="Arial" w:cs="Arial"/>
            <w:sz w:val="16"/>
            <w:szCs w:val="16"/>
          </w:rPr>
          <w:t>Nutzungsbedingungen</w:t>
        </w:r>
      </w:hyperlink>
      <w:r w:rsidRPr="006225C9">
        <w:rPr>
          <w:rFonts w:ascii="Arial" w:hAnsi="Arial" w:cs="Arial"/>
          <w:sz w:val="16"/>
          <w:szCs w:val="16"/>
        </w:rPr>
        <w:t xml:space="preserve">. Wenn Sie zukünftig keine Informationen unserer Pressestelle mehr erhalten möchten, senden Sie bitte eine E-Mail an </w:t>
      </w:r>
      <w:hyperlink r:id="rId17" w:history="1">
        <w:r w:rsidRPr="006225C9">
          <w:rPr>
            <w:rStyle w:val="Hyperlink"/>
            <w:rFonts w:ascii="Arial" w:hAnsi="Arial" w:cs="Arial"/>
            <w:sz w:val="16"/>
            <w:szCs w:val="16"/>
          </w:rPr>
          <w:t>presse@grossmann-berger.de</w:t>
        </w:r>
      </w:hyperlink>
      <w:r>
        <w:rPr>
          <w:rFonts w:ascii="Arial" w:hAnsi="Arial" w:cs="Arial"/>
          <w:sz w:val="16"/>
          <w:szCs w:val="16"/>
        </w:rPr>
        <w:t xml:space="preserve"> mit dem Betreff „Abmeldung aus Presseverteiler".</w:t>
      </w:r>
    </w:p>
    <w:sectPr w:rsidR="00046FEC" w:rsidRPr="00FD140F" w:rsidSect="00D83CB7">
      <w:headerReference w:type="default" r:id="rId18"/>
      <w:footerReference w:type="default" r:id="rId19"/>
      <w:headerReference w:type="first" r:id="rId20"/>
      <w:footerReference w:type="first" r:id="rId21"/>
      <w:pgSz w:w="11904" w:h="16840"/>
      <w:pgMar w:top="284" w:right="1134" w:bottom="1440" w:left="1134" w:header="567" w:footer="17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885B75" w14:textId="77777777" w:rsidR="00F22BE9" w:rsidRDefault="00F22BE9">
      <w:r>
        <w:separator/>
      </w:r>
    </w:p>
  </w:endnote>
  <w:endnote w:type="continuationSeparator" w:id="0">
    <w:p w14:paraId="10429B77" w14:textId="77777777" w:rsidR="00F22BE9" w:rsidRDefault="00F22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kkurat-Fett">
    <w:altName w:val="Akkurat Norm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Mark OT Light">
    <w:panose1 w:val="020B0504020201010104"/>
    <w:charset w:val="00"/>
    <w:family w:val="swiss"/>
    <w:notTrueType/>
    <w:pitch w:val="variable"/>
    <w:sig w:usb0="A00000EF" w:usb1="5000FCFB" w:usb2="00000000" w:usb3="00000000" w:csb0="00000001" w:csb1="00000000"/>
  </w:font>
  <w:font w:name="Mark OT">
    <w:panose1 w:val="020B0504020201010104"/>
    <w:charset w:val="00"/>
    <w:family w:val="swiss"/>
    <w:notTrueType/>
    <w:pitch w:val="variable"/>
    <w:sig w:usb0="A00000EF" w:usb1="5000FCFB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8E402D" w14:textId="7A14304B" w:rsidR="00D83CB7" w:rsidRPr="00D83CB7" w:rsidRDefault="00D83CB7" w:rsidP="00D83CB7">
    <w:pPr>
      <w:pStyle w:val="Fuzeile"/>
      <w:tabs>
        <w:tab w:val="left" w:pos="4145"/>
        <w:tab w:val="right" w:pos="9636"/>
      </w:tabs>
      <w:ind w:left="-426"/>
      <w:jc w:val="center"/>
      <w:rPr>
        <w:rFonts w:ascii="Arial" w:hAnsi="Arial" w:cs="Arial"/>
        <w:color w:val="918F90"/>
        <w:sz w:val="18"/>
        <w:szCs w:val="18"/>
      </w:rPr>
    </w:pPr>
    <w:r w:rsidRPr="00D83CB7">
      <w:rPr>
        <w:rFonts w:ascii="Arial" w:hAnsi="Arial" w:cs="Arial"/>
        <w:b/>
        <w:bCs/>
        <w:color w:val="918F90"/>
        <w:sz w:val="18"/>
        <w:szCs w:val="18"/>
      </w:rPr>
      <w:t xml:space="preserve">Grossmann &amp; Berger GmbH </w:t>
    </w:r>
    <w:r w:rsidRPr="00D83CB7">
      <w:rPr>
        <w:rFonts w:ascii="Arial" w:hAnsi="Arial" w:cs="Arial"/>
        <w:color w:val="918F90"/>
        <w:sz w:val="18"/>
        <w:szCs w:val="18"/>
      </w:rPr>
      <w:t xml:space="preserve">| </w:t>
    </w:r>
    <w:proofErr w:type="spellStart"/>
    <w:r w:rsidRPr="00D83CB7">
      <w:rPr>
        <w:rFonts w:ascii="Arial" w:hAnsi="Arial" w:cs="Arial"/>
        <w:color w:val="918F90"/>
        <w:sz w:val="18"/>
        <w:szCs w:val="18"/>
      </w:rPr>
      <w:t>Bleichenbrücke</w:t>
    </w:r>
    <w:proofErr w:type="spellEnd"/>
    <w:r w:rsidR="00BD6652">
      <w:rPr>
        <w:rFonts w:ascii="Arial" w:hAnsi="Arial" w:cs="Arial"/>
        <w:color w:val="918F90"/>
        <w:sz w:val="18"/>
        <w:szCs w:val="18"/>
      </w:rPr>
      <w:t xml:space="preserve"> 9 | </w:t>
    </w:r>
    <w:r w:rsidRPr="00D83CB7">
      <w:rPr>
        <w:rFonts w:ascii="Arial" w:hAnsi="Arial" w:cs="Arial"/>
        <w:color w:val="918F90"/>
        <w:sz w:val="18"/>
        <w:szCs w:val="18"/>
      </w:rPr>
      <w:t>20354 Hamburg | Tel. +49 (0)40/350 80 2-0 | www.grossmann-berger.de</w:t>
    </w:r>
  </w:p>
  <w:p w14:paraId="5440A7EF" w14:textId="3C23B872" w:rsidR="00CE455F" w:rsidRPr="00BB15DA" w:rsidRDefault="00BB15DA" w:rsidP="00D83CB7">
    <w:pPr>
      <w:pStyle w:val="Fuzeile"/>
      <w:tabs>
        <w:tab w:val="left" w:pos="4145"/>
        <w:tab w:val="right" w:pos="9636"/>
      </w:tabs>
      <w:jc w:val="right"/>
      <w:rPr>
        <w:rFonts w:ascii="Arial" w:hAnsi="Arial" w:cs="Arial"/>
        <w:color w:val="918F90"/>
        <w:sz w:val="18"/>
        <w:szCs w:val="18"/>
      </w:rPr>
    </w:pPr>
    <w:r>
      <w:rPr>
        <w:rStyle w:val="Seitenzahl"/>
        <w:rFonts w:ascii="Arial" w:hAnsi="Arial" w:cs="Arial"/>
        <w:color w:val="918F90"/>
        <w:sz w:val="18"/>
        <w:szCs w:val="18"/>
      </w:rPr>
      <w:tab/>
    </w:r>
    <w:r>
      <w:rPr>
        <w:rStyle w:val="Seitenzahl"/>
        <w:rFonts w:ascii="Arial" w:hAnsi="Arial" w:cs="Arial"/>
        <w:color w:val="918F90"/>
        <w:sz w:val="18"/>
        <w:szCs w:val="18"/>
      </w:rPr>
      <w:tab/>
    </w:r>
    <w:r w:rsidR="00CE455F" w:rsidRPr="00D83CB7">
      <w:rPr>
        <w:rStyle w:val="Seitenzahl"/>
        <w:rFonts w:ascii="Arial" w:hAnsi="Arial" w:cs="Arial"/>
        <w:color w:val="000000" w:themeColor="text1"/>
        <w:sz w:val="18"/>
        <w:szCs w:val="18"/>
      </w:rPr>
      <w:fldChar w:fldCharType="begin"/>
    </w:r>
    <w:r w:rsidR="00CE455F" w:rsidRPr="00D83CB7">
      <w:rPr>
        <w:rStyle w:val="Seitenzahl"/>
        <w:rFonts w:ascii="Arial" w:hAnsi="Arial" w:cs="Arial"/>
        <w:color w:val="000000" w:themeColor="text1"/>
        <w:sz w:val="18"/>
        <w:szCs w:val="18"/>
      </w:rPr>
      <w:instrText xml:space="preserve"> PAGE </w:instrText>
    </w:r>
    <w:r w:rsidR="00CE455F" w:rsidRPr="00D83CB7">
      <w:rPr>
        <w:rStyle w:val="Seitenzahl"/>
        <w:rFonts w:ascii="Arial" w:hAnsi="Arial" w:cs="Arial"/>
        <w:color w:val="000000" w:themeColor="text1"/>
        <w:sz w:val="18"/>
        <w:szCs w:val="18"/>
      </w:rPr>
      <w:fldChar w:fldCharType="separate"/>
    </w:r>
    <w:r w:rsidR="00130D77">
      <w:rPr>
        <w:rStyle w:val="Seitenzahl"/>
        <w:rFonts w:ascii="Arial" w:hAnsi="Arial" w:cs="Arial"/>
        <w:noProof/>
        <w:color w:val="000000" w:themeColor="text1"/>
        <w:sz w:val="18"/>
        <w:szCs w:val="18"/>
      </w:rPr>
      <w:t>3</w:t>
    </w:r>
    <w:r w:rsidR="00CE455F" w:rsidRPr="00D83CB7">
      <w:rPr>
        <w:rStyle w:val="Seitenzahl"/>
        <w:rFonts w:ascii="Arial" w:hAnsi="Arial" w:cs="Arial"/>
        <w:color w:val="000000" w:themeColor="text1"/>
        <w:sz w:val="18"/>
        <w:szCs w:val="18"/>
      </w:rPr>
      <w:fldChar w:fldCharType="end"/>
    </w:r>
    <w:r w:rsidR="00CE455F" w:rsidRPr="00D83CB7">
      <w:rPr>
        <w:rStyle w:val="Seitenzahl"/>
        <w:rFonts w:ascii="Arial" w:hAnsi="Arial" w:cs="Arial"/>
        <w:color w:val="000000" w:themeColor="text1"/>
        <w:sz w:val="18"/>
        <w:szCs w:val="18"/>
      </w:rPr>
      <w:t xml:space="preserve"> / </w:t>
    </w:r>
    <w:r w:rsidR="00CE455F" w:rsidRPr="00D83CB7">
      <w:rPr>
        <w:rStyle w:val="Seitenzahl"/>
        <w:rFonts w:ascii="Arial" w:hAnsi="Arial" w:cs="Arial"/>
        <w:color w:val="000000" w:themeColor="text1"/>
        <w:sz w:val="18"/>
        <w:szCs w:val="18"/>
      </w:rPr>
      <w:fldChar w:fldCharType="begin"/>
    </w:r>
    <w:r w:rsidR="00CE455F" w:rsidRPr="00D83CB7">
      <w:rPr>
        <w:rStyle w:val="Seitenzahl"/>
        <w:rFonts w:ascii="Arial" w:hAnsi="Arial" w:cs="Arial"/>
        <w:color w:val="000000" w:themeColor="text1"/>
        <w:sz w:val="18"/>
        <w:szCs w:val="18"/>
      </w:rPr>
      <w:instrText xml:space="preserve"> NUMPAGES </w:instrText>
    </w:r>
    <w:r w:rsidR="00CE455F" w:rsidRPr="00D83CB7">
      <w:rPr>
        <w:rStyle w:val="Seitenzahl"/>
        <w:rFonts w:ascii="Arial" w:hAnsi="Arial" w:cs="Arial"/>
        <w:color w:val="000000" w:themeColor="text1"/>
        <w:sz w:val="18"/>
        <w:szCs w:val="18"/>
      </w:rPr>
      <w:fldChar w:fldCharType="separate"/>
    </w:r>
    <w:r w:rsidR="00130D77">
      <w:rPr>
        <w:rStyle w:val="Seitenzahl"/>
        <w:rFonts w:ascii="Arial" w:hAnsi="Arial" w:cs="Arial"/>
        <w:noProof/>
        <w:color w:val="000000" w:themeColor="text1"/>
        <w:sz w:val="18"/>
        <w:szCs w:val="18"/>
      </w:rPr>
      <w:t>3</w:t>
    </w:r>
    <w:r w:rsidR="00CE455F" w:rsidRPr="00D83CB7">
      <w:rPr>
        <w:rStyle w:val="Seitenzahl"/>
        <w:rFonts w:ascii="Arial" w:hAnsi="Arial" w:cs="Arial"/>
        <w:color w:val="000000" w:themeColor="text1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8709B1" w14:textId="77777777" w:rsidR="008C608D" w:rsidRDefault="008C608D">
    <w:pPr>
      <w:pStyle w:val="Fuzeile"/>
    </w:pPr>
    <w:r>
      <w:rPr>
        <w:noProof/>
        <w:lang w:eastAsia="de-DE"/>
      </w:rPr>
      <w:drawing>
        <wp:anchor distT="0" distB="0" distL="0" distR="0" simplePos="0" relativeHeight="251659264" behindDoc="0" locked="0" layoutInCell="0" allowOverlap="1" wp14:anchorId="3C8AE65D" wp14:editId="37B4444B">
          <wp:simplePos x="0" y="0"/>
          <wp:positionH relativeFrom="column">
            <wp:posOffset>-617220</wp:posOffset>
          </wp:positionH>
          <wp:positionV relativeFrom="page">
            <wp:posOffset>9429750</wp:posOffset>
          </wp:positionV>
          <wp:extent cx="7346950" cy="1197610"/>
          <wp:effectExtent l="0" t="0" r="6350" b="2540"/>
          <wp:wrapThrough wrapText="bothSides">
            <wp:wrapPolygon edited="0">
              <wp:start x="19322" y="0"/>
              <wp:lineTo x="19322" y="5497"/>
              <wp:lineTo x="0" y="5841"/>
              <wp:lineTo x="0" y="21302"/>
              <wp:lineTo x="21563" y="21302"/>
              <wp:lineTo x="21563" y="5841"/>
              <wp:lineTo x="20723" y="5497"/>
              <wp:lineTo x="20723" y="0"/>
              <wp:lineTo x="19322" y="0"/>
            </wp:wrapPolygon>
          </wp:wrapThrough>
          <wp:docPr id="8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71129_Logo_A4_GPP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46950" cy="1197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F6ACC6" w14:textId="77777777" w:rsidR="00F22BE9" w:rsidRDefault="00F22BE9">
      <w:r>
        <w:separator/>
      </w:r>
    </w:p>
  </w:footnote>
  <w:footnote w:type="continuationSeparator" w:id="0">
    <w:p w14:paraId="50D86AAB" w14:textId="77777777" w:rsidR="00F22BE9" w:rsidRDefault="00F22B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59A270" w14:textId="1353DA7E" w:rsidR="006138CB" w:rsidRPr="009E3ADA" w:rsidRDefault="003E27B4" w:rsidP="006138CB">
    <w:pPr>
      <w:jc w:val="right"/>
      <w:rPr>
        <w:rFonts w:ascii="Arial" w:hAnsi="Arial" w:cs="Arial"/>
        <w:color w:val="918F90"/>
        <w:sz w:val="28"/>
        <w:szCs w:val="28"/>
      </w:rPr>
    </w:pPr>
    <w:r>
      <w:rPr>
        <w:rFonts w:ascii="Times New Roman" w:hAnsi="Times New Roman"/>
        <w:noProof/>
        <w:lang w:eastAsia="de-DE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2F1C8E7" wp14:editId="565DED62">
              <wp:simplePos x="0" y="0"/>
              <wp:positionH relativeFrom="margin">
                <wp:posOffset>-74930</wp:posOffset>
              </wp:positionH>
              <wp:positionV relativeFrom="paragraph">
                <wp:posOffset>42530</wp:posOffset>
              </wp:positionV>
              <wp:extent cx="4779010" cy="281940"/>
              <wp:effectExtent l="0" t="0" r="0" b="3810"/>
              <wp:wrapNone/>
              <wp:docPr id="1" name="Textfeld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79010" cy="2819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9DF3728" w14:textId="143866D2" w:rsidR="003E27B4" w:rsidRDefault="003E27B4" w:rsidP="003E27B4">
                          <w:pPr>
                            <w:spacing w:after="0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Pressekontakt:</w:t>
                          </w:r>
                          <w:r w:rsidR="005B7EC3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Britt Finke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| Telefon: +49 (0)40/350 80 2-</w:t>
                          </w:r>
                          <w:r w:rsidR="005B7EC3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993 | b.finke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@grossmann-berger.de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type w14:anchorId="12F1C8E7" id="_x0000_t202" coordsize="21600,21600" o:spt="202" path="m,l,21600r21600,l21600,xe">
              <v:stroke joinstyle="miter"/>
              <v:path gradientshapeok="t" o:connecttype="rect"/>
            </v:shapetype>
            <v:shape id="Textfeld 1" o:spid="_x0000_s1026" type="#_x0000_t202" style="position:absolute;left:0;text-align:left;margin-left:-5.9pt;margin-top:3.35pt;width:376.3pt;height:22.2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" filled="f" stroked="f">
              <v:textbox>
                <w:txbxContent>
                  <w:p w14:paraId="49DF3728" w14:textId="143866D2" w:rsidR="003E27B4" w:rsidRDefault="003E27B4" w:rsidP="003E27B4">
                    <w:pPr>
                      <w:spacing w:after="0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Pressekontakt:</w:t>
                    </w:r>
                    <w:r w:rsidR="005B7EC3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Britt Finke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| Telefon: +49 (0)40/350 80 2-</w:t>
                    </w:r>
                    <w:r w:rsidR="005B7EC3">
                      <w:rPr>
                        <w:rFonts w:ascii="Arial" w:hAnsi="Arial" w:cs="Arial"/>
                        <w:sz w:val="16"/>
                        <w:szCs w:val="16"/>
                      </w:rPr>
                      <w:t>993 | b.finke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@grossmann-berger.de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D04BA2">
      <w:rPr>
        <w:rFonts w:ascii="Arial" w:hAnsi="Arial" w:cs="Arial"/>
        <w:color w:val="918F90"/>
        <w:sz w:val="28"/>
        <w:szCs w:val="28"/>
      </w:rPr>
      <w:t>Pressemitteilung</w:t>
    </w:r>
  </w:p>
  <w:p w14:paraId="25B9848C" w14:textId="77777777" w:rsidR="00CE455F" w:rsidRDefault="00CE455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0758FA" w14:textId="61381213" w:rsidR="00D83CB7" w:rsidRDefault="00CE7D16" w:rsidP="000C770D">
    <w:pPr>
      <w:jc w:val="right"/>
      <w:rPr>
        <w:rFonts w:ascii="Arial" w:hAnsi="Arial" w:cs="Arial"/>
        <w:color w:val="918F90"/>
        <w:sz w:val="28"/>
        <w:szCs w:val="28"/>
      </w:rPr>
    </w:pPr>
    <w:r>
      <w:rPr>
        <w:rFonts w:ascii="Times New Roman" w:hAnsi="Times New Roman"/>
        <w:noProof/>
        <w:lang w:eastAsia="de-DE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52EA495" wp14:editId="55D8E217">
              <wp:simplePos x="0" y="0"/>
              <wp:positionH relativeFrom="margin">
                <wp:posOffset>-92267</wp:posOffset>
              </wp:positionH>
              <wp:positionV relativeFrom="paragraph">
                <wp:posOffset>9525</wp:posOffset>
              </wp:positionV>
              <wp:extent cx="4779010" cy="281940"/>
              <wp:effectExtent l="0" t="0" r="0" b="3810"/>
              <wp:wrapNone/>
              <wp:docPr id="3" name="Textfeld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79010" cy="2819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96CAEDD" w14:textId="6FD8213F" w:rsidR="00CE7D16" w:rsidRDefault="00CE7D16" w:rsidP="00CE7D16">
                          <w:pPr>
                            <w:spacing w:after="0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Pressekontakt: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 w:rsidR="005B7EC3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Britt Finke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| Telefon: +49 (0)40/350 80 2-</w:t>
                          </w:r>
                          <w:r w:rsidR="005B7EC3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993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| </w:t>
                          </w:r>
                          <w:r w:rsidR="005B7EC3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b.finke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@grossmann-berger.de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type w14:anchorId="452EA495" id="_x0000_t202" coordsize="21600,21600" o:spt="202" path="m,l,21600r21600,l21600,xe">
              <v:stroke joinstyle="miter"/>
              <v:path gradientshapeok="t" o:connecttype="rect"/>
            </v:shapetype>
            <v:shape id="Textfeld 3" o:spid="_x0000_s1027" type="#_x0000_t202" style="position:absolute;left:0;text-align:left;margin-left:-7.25pt;margin-top:.75pt;width:376.3pt;height:22.2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" filled="f" stroked="f">
              <v:textbox>
                <w:txbxContent>
                  <w:p w14:paraId="296CAEDD" w14:textId="6FD8213F" w:rsidR="00CE7D16" w:rsidRDefault="00CE7D16" w:rsidP="00CE7D16">
                    <w:pPr>
                      <w:spacing w:after="0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Pressekontakt: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r w:rsidR="005B7EC3">
                      <w:rPr>
                        <w:rFonts w:ascii="Arial" w:hAnsi="Arial" w:cs="Arial"/>
                        <w:sz w:val="16"/>
                        <w:szCs w:val="16"/>
                      </w:rPr>
                      <w:t>Britt Finke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| Telefon: +49 (0)40/350 80 2-</w:t>
                    </w:r>
                    <w:r w:rsidR="005B7EC3">
                      <w:rPr>
                        <w:rFonts w:ascii="Arial" w:hAnsi="Arial" w:cs="Arial"/>
                        <w:sz w:val="16"/>
                        <w:szCs w:val="16"/>
                      </w:rPr>
                      <w:t>993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| </w:t>
                    </w:r>
                    <w:r w:rsidR="005B7EC3">
                      <w:rPr>
                        <w:rFonts w:ascii="Arial" w:hAnsi="Arial" w:cs="Arial"/>
                        <w:sz w:val="16"/>
                        <w:szCs w:val="16"/>
                      </w:rPr>
                      <w:t>b.finke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@grossmann-berger.de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D04BA2">
      <w:rPr>
        <w:rFonts w:ascii="Arial" w:hAnsi="Arial" w:cs="Arial"/>
        <w:color w:val="918F90"/>
        <w:sz w:val="28"/>
        <w:szCs w:val="28"/>
      </w:rPr>
      <w:t>Pressemitteilung</w:t>
    </w:r>
  </w:p>
  <w:p w14:paraId="47ED31F5" w14:textId="77777777" w:rsidR="000C770D" w:rsidRDefault="000C770D" w:rsidP="000C770D">
    <w:pPr>
      <w:jc w:val="right"/>
      <w:rPr>
        <w:rFonts w:ascii="Arial" w:hAnsi="Arial" w:cs="Arial"/>
        <w:color w:val="918F9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9796F524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04D015A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2" w15:restartNumberingAfterBreak="0">
    <w:nsid w:val="FFFFFF7D"/>
    <w:multiLevelType w:val="singleLevel"/>
    <w:tmpl w:val="D57C894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3" w15:restartNumberingAfterBreak="0">
    <w:nsid w:val="FFFFFF7E"/>
    <w:multiLevelType w:val="singleLevel"/>
    <w:tmpl w:val="4470FC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4" w15:restartNumberingAfterBreak="0">
    <w:nsid w:val="FFFFFF7F"/>
    <w:multiLevelType w:val="singleLevel"/>
    <w:tmpl w:val="F5847D8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5" w15:restartNumberingAfterBreak="0">
    <w:nsid w:val="FFFFFF80"/>
    <w:multiLevelType w:val="singleLevel"/>
    <w:tmpl w:val="9664F6C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89E7B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8D124C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06AAE25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34B695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 w15:restartNumberingAfterBreak="0">
    <w:nsid w:val="FFFFFF89"/>
    <w:multiLevelType w:val="singleLevel"/>
    <w:tmpl w:val="9DFA04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DF305C1"/>
    <w:multiLevelType w:val="hybridMultilevel"/>
    <w:tmpl w:val="BD4E00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8A2E2B"/>
    <w:multiLevelType w:val="hybridMultilevel"/>
    <w:tmpl w:val="8C66C3F0"/>
    <w:lvl w:ilvl="0" w:tplc="B84AA822">
      <w:start w:val="3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296C5D"/>
    <w:multiLevelType w:val="hybridMultilevel"/>
    <w:tmpl w:val="0FA2F5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3064DC"/>
    <w:multiLevelType w:val="hybridMultilevel"/>
    <w:tmpl w:val="602C0CE0"/>
    <w:lvl w:ilvl="0" w:tplc="035054B6">
      <w:numFmt w:val="bullet"/>
      <w:lvlText w:val="-"/>
      <w:lvlJc w:val="left"/>
      <w:pPr>
        <w:ind w:left="-349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15" w15:restartNumberingAfterBreak="0">
    <w:nsid w:val="5FEF1FE5"/>
    <w:multiLevelType w:val="hybridMultilevel"/>
    <w:tmpl w:val="FC5AA5D8"/>
    <w:lvl w:ilvl="0" w:tplc="725CC09E">
      <w:start w:val="18"/>
      <w:numFmt w:val="bullet"/>
      <w:lvlText w:val="-"/>
      <w:lvlJc w:val="left"/>
      <w:pPr>
        <w:ind w:left="1087" w:hanging="360"/>
      </w:pPr>
      <w:rPr>
        <w:rFonts w:ascii="Arial" w:eastAsia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7" w:hanging="360"/>
      </w:pPr>
      <w:rPr>
        <w:rFonts w:ascii="Wingdings" w:hAnsi="Wingdings" w:hint="default"/>
      </w:rPr>
    </w:lvl>
  </w:abstractNum>
  <w:abstractNum w:abstractNumId="16" w15:restartNumberingAfterBreak="0">
    <w:nsid w:val="60C35D90"/>
    <w:multiLevelType w:val="hybridMultilevel"/>
    <w:tmpl w:val="32E27468"/>
    <w:lvl w:ilvl="0" w:tplc="0407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60DD473C"/>
    <w:multiLevelType w:val="hybridMultilevel"/>
    <w:tmpl w:val="3D72A5EA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8054B7C"/>
    <w:multiLevelType w:val="hybridMultilevel"/>
    <w:tmpl w:val="2AC65CD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8F54FC7"/>
    <w:multiLevelType w:val="hybridMultilevel"/>
    <w:tmpl w:val="7A00E706"/>
    <w:lvl w:ilvl="0" w:tplc="B6F8B6B2">
      <w:numFmt w:val="bullet"/>
      <w:lvlText w:val="-"/>
      <w:lvlJc w:val="left"/>
      <w:pPr>
        <w:ind w:left="1080" w:hanging="360"/>
      </w:pPr>
      <w:rPr>
        <w:rFonts w:ascii="Arial" w:eastAsia="Cambr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FFF56F7"/>
    <w:multiLevelType w:val="hybridMultilevel"/>
    <w:tmpl w:val="F8825BF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4"/>
  </w:num>
  <w:num w:numId="13">
    <w:abstractNumId w:val="19"/>
  </w:num>
  <w:num w:numId="14">
    <w:abstractNumId w:val="15"/>
  </w:num>
  <w:num w:numId="15">
    <w:abstractNumId w:val="17"/>
  </w:num>
  <w:num w:numId="16">
    <w:abstractNumId w:val="11"/>
  </w:num>
  <w:num w:numId="17">
    <w:abstractNumId w:val="13"/>
  </w:num>
  <w:num w:numId="18">
    <w:abstractNumId w:val="18"/>
  </w:num>
  <w:num w:numId="19">
    <w:abstractNumId w:val="12"/>
  </w:num>
  <w:num w:numId="20">
    <w:abstractNumId w:val="20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activeWritingStyle w:appName="MSWord" w:lang="de-DE" w:vendorID="64" w:dllVersion="6" w:nlCheck="1" w:checkStyle="0"/>
  <w:activeWritingStyle w:appName="MSWord" w:lang="en-US" w:vendorID="64" w:dllVersion="6" w:nlCheck="1" w:checkStyle="0"/>
  <w:activeWritingStyle w:appName="MSWord" w:lang="en-GB" w:vendorID="64" w:dllVersion="6" w:nlCheck="1" w:checkStyle="0"/>
  <w:activeWritingStyle w:appName="MSWord" w:lang="de-DE" w:vendorID="64" w:dllVersion="0" w:nlCheck="1" w:checkStyle="0"/>
  <w:activeWritingStyle w:appName="MSWord" w:lang="de-DE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bbruch" w:val="0"/>
  </w:docVars>
  <w:rsids>
    <w:rsidRoot w:val="004661EE"/>
    <w:rsid w:val="0000392D"/>
    <w:rsid w:val="000159FE"/>
    <w:rsid w:val="00022F16"/>
    <w:rsid w:val="00023D78"/>
    <w:rsid w:val="00027644"/>
    <w:rsid w:val="0003075C"/>
    <w:rsid w:val="00034842"/>
    <w:rsid w:val="000418C7"/>
    <w:rsid w:val="000464D0"/>
    <w:rsid w:val="00046FEC"/>
    <w:rsid w:val="00060743"/>
    <w:rsid w:val="000615E2"/>
    <w:rsid w:val="000623C0"/>
    <w:rsid w:val="00064A03"/>
    <w:rsid w:val="00064CAC"/>
    <w:rsid w:val="00066796"/>
    <w:rsid w:val="0006773E"/>
    <w:rsid w:val="00075002"/>
    <w:rsid w:val="000766D7"/>
    <w:rsid w:val="0007670A"/>
    <w:rsid w:val="00076E1E"/>
    <w:rsid w:val="00080F27"/>
    <w:rsid w:val="00081461"/>
    <w:rsid w:val="000834E2"/>
    <w:rsid w:val="000A308A"/>
    <w:rsid w:val="000A517C"/>
    <w:rsid w:val="000A5ED1"/>
    <w:rsid w:val="000A6AE3"/>
    <w:rsid w:val="000A72C3"/>
    <w:rsid w:val="000B0335"/>
    <w:rsid w:val="000B1606"/>
    <w:rsid w:val="000B3315"/>
    <w:rsid w:val="000B39AB"/>
    <w:rsid w:val="000B3A6C"/>
    <w:rsid w:val="000B7D28"/>
    <w:rsid w:val="000C5904"/>
    <w:rsid w:val="000C74B2"/>
    <w:rsid w:val="000C770D"/>
    <w:rsid w:val="000D48D4"/>
    <w:rsid w:val="000D75CE"/>
    <w:rsid w:val="000D7F9A"/>
    <w:rsid w:val="000E03F3"/>
    <w:rsid w:val="000E22CA"/>
    <w:rsid w:val="000E49CB"/>
    <w:rsid w:val="000E7BC7"/>
    <w:rsid w:val="000F5742"/>
    <w:rsid w:val="0010158E"/>
    <w:rsid w:val="001029C4"/>
    <w:rsid w:val="00107758"/>
    <w:rsid w:val="00111400"/>
    <w:rsid w:val="0011486D"/>
    <w:rsid w:val="00117D5D"/>
    <w:rsid w:val="00117EF7"/>
    <w:rsid w:val="00121E33"/>
    <w:rsid w:val="00126550"/>
    <w:rsid w:val="00127DF7"/>
    <w:rsid w:val="00130D77"/>
    <w:rsid w:val="001324D6"/>
    <w:rsid w:val="00132522"/>
    <w:rsid w:val="00135BD2"/>
    <w:rsid w:val="00135E09"/>
    <w:rsid w:val="00153417"/>
    <w:rsid w:val="00154825"/>
    <w:rsid w:val="0017364E"/>
    <w:rsid w:val="0017516B"/>
    <w:rsid w:val="00176F1D"/>
    <w:rsid w:val="0018068D"/>
    <w:rsid w:val="00180801"/>
    <w:rsid w:val="00181838"/>
    <w:rsid w:val="001871BC"/>
    <w:rsid w:val="001A2ABE"/>
    <w:rsid w:val="001A360C"/>
    <w:rsid w:val="001B577C"/>
    <w:rsid w:val="001C0A59"/>
    <w:rsid w:val="001C6C7B"/>
    <w:rsid w:val="001D14DA"/>
    <w:rsid w:val="001D43BB"/>
    <w:rsid w:val="001D645F"/>
    <w:rsid w:val="001D64B8"/>
    <w:rsid w:val="001E1172"/>
    <w:rsid w:val="001E6995"/>
    <w:rsid w:val="001F0102"/>
    <w:rsid w:val="001F1513"/>
    <w:rsid w:val="001F1ECE"/>
    <w:rsid w:val="001F3C3A"/>
    <w:rsid w:val="0020062D"/>
    <w:rsid w:val="00201E4A"/>
    <w:rsid w:val="00202F14"/>
    <w:rsid w:val="00205769"/>
    <w:rsid w:val="00212FEC"/>
    <w:rsid w:val="002131BB"/>
    <w:rsid w:val="00213F07"/>
    <w:rsid w:val="00214952"/>
    <w:rsid w:val="0022086D"/>
    <w:rsid w:val="00223C8C"/>
    <w:rsid w:val="00227E31"/>
    <w:rsid w:val="00230F81"/>
    <w:rsid w:val="002341EE"/>
    <w:rsid w:val="002353AA"/>
    <w:rsid w:val="00237341"/>
    <w:rsid w:val="00241042"/>
    <w:rsid w:val="00241526"/>
    <w:rsid w:val="00242D24"/>
    <w:rsid w:val="002462B6"/>
    <w:rsid w:val="00251FC5"/>
    <w:rsid w:val="00252F40"/>
    <w:rsid w:val="00253412"/>
    <w:rsid w:val="00254C6F"/>
    <w:rsid w:val="002550BA"/>
    <w:rsid w:val="00255679"/>
    <w:rsid w:val="00257596"/>
    <w:rsid w:val="0027266B"/>
    <w:rsid w:val="00274734"/>
    <w:rsid w:val="00277361"/>
    <w:rsid w:val="0028116D"/>
    <w:rsid w:val="002817CB"/>
    <w:rsid w:val="00281E80"/>
    <w:rsid w:val="002834B0"/>
    <w:rsid w:val="00283671"/>
    <w:rsid w:val="00284A5D"/>
    <w:rsid w:val="00284E27"/>
    <w:rsid w:val="00294B7D"/>
    <w:rsid w:val="002A1973"/>
    <w:rsid w:val="002A59CD"/>
    <w:rsid w:val="002B14F6"/>
    <w:rsid w:val="002B7C7F"/>
    <w:rsid w:val="002C055A"/>
    <w:rsid w:val="002C2392"/>
    <w:rsid w:val="002C450A"/>
    <w:rsid w:val="002D1C5C"/>
    <w:rsid w:val="002D1E20"/>
    <w:rsid w:val="002E2A92"/>
    <w:rsid w:val="002E6860"/>
    <w:rsid w:val="002E7AA5"/>
    <w:rsid w:val="002F0411"/>
    <w:rsid w:val="002F1F2D"/>
    <w:rsid w:val="002F767E"/>
    <w:rsid w:val="00301F3A"/>
    <w:rsid w:val="003044F7"/>
    <w:rsid w:val="00304D7A"/>
    <w:rsid w:val="003079E3"/>
    <w:rsid w:val="00313876"/>
    <w:rsid w:val="00317DDA"/>
    <w:rsid w:val="003246F0"/>
    <w:rsid w:val="00325E2A"/>
    <w:rsid w:val="00326066"/>
    <w:rsid w:val="00326349"/>
    <w:rsid w:val="003264A2"/>
    <w:rsid w:val="003272F3"/>
    <w:rsid w:val="003372CA"/>
    <w:rsid w:val="0034064A"/>
    <w:rsid w:val="00345716"/>
    <w:rsid w:val="00346814"/>
    <w:rsid w:val="0034786C"/>
    <w:rsid w:val="00347A18"/>
    <w:rsid w:val="00350D85"/>
    <w:rsid w:val="00350F54"/>
    <w:rsid w:val="00351477"/>
    <w:rsid w:val="003517C9"/>
    <w:rsid w:val="00351DCD"/>
    <w:rsid w:val="0035408E"/>
    <w:rsid w:val="00357EC4"/>
    <w:rsid w:val="003627E1"/>
    <w:rsid w:val="00365AF8"/>
    <w:rsid w:val="00370000"/>
    <w:rsid w:val="00373507"/>
    <w:rsid w:val="0038230E"/>
    <w:rsid w:val="00382529"/>
    <w:rsid w:val="0038350F"/>
    <w:rsid w:val="00396CE0"/>
    <w:rsid w:val="003A00C9"/>
    <w:rsid w:val="003A1687"/>
    <w:rsid w:val="003A25A4"/>
    <w:rsid w:val="003A3109"/>
    <w:rsid w:val="003A32F7"/>
    <w:rsid w:val="003B19F4"/>
    <w:rsid w:val="003B49E4"/>
    <w:rsid w:val="003B4CCF"/>
    <w:rsid w:val="003B6CD4"/>
    <w:rsid w:val="003C1693"/>
    <w:rsid w:val="003C5218"/>
    <w:rsid w:val="003C6AB4"/>
    <w:rsid w:val="003C71DF"/>
    <w:rsid w:val="003E099F"/>
    <w:rsid w:val="003E27B4"/>
    <w:rsid w:val="003E4DF9"/>
    <w:rsid w:val="003F1A91"/>
    <w:rsid w:val="003F665D"/>
    <w:rsid w:val="0040086D"/>
    <w:rsid w:val="00400B1D"/>
    <w:rsid w:val="004017D8"/>
    <w:rsid w:val="00405D59"/>
    <w:rsid w:val="00411E03"/>
    <w:rsid w:val="004123B1"/>
    <w:rsid w:val="004138B8"/>
    <w:rsid w:val="00417F4D"/>
    <w:rsid w:val="004269AC"/>
    <w:rsid w:val="00426E13"/>
    <w:rsid w:val="004303A1"/>
    <w:rsid w:val="00440DC9"/>
    <w:rsid w:val="004450C4"/>
    <w:rsid w:val="00445DF9"/>
    <w:rsid w:val="004506D2"/>
    <w:rsid w:val="00456F40"/>
    <w:rsid w:val="004609BD"/>
    <w:rsid w:val="004611DC"/>
    <w:rsid w:val="004661EE"/>
    <w:rsid w:val="00466741"/>
    <w:rsid w:val="00470064"/>
    <w:rsid w:val="0047198B"/>
    <w:rsid w:val="0048136E"/>
    <w:rsid w:val="004818CE"/>
    <w:rsid w:val="0049059E"/>
    <w:rsid w:val="004966E3"/>
    <w:rsid w:val="004A2BEA"/>
    <w:rsid w:val="004A3C64"/>
    <w:rsid w:val="004A5AEA"/>
    <w:rsid w:val="004B2694"/>
    <w:rsid w:val="004B2FDA"/>
    <w:rsid w:val="004B480A"/>
    <w:rsid w:val="004B5A6D"/>
    <w:rsid w:val="004B5FB0"/>
    <w:rsid w:val="004C0CA2"/>
    <w:rsid w:val="004D50C0"/>
    <w:rsid w:val="004D772A"/>
    <w:rsid w:val="004E339B"/>
    <w:rsid w:val="004E4273"/>
    <w:rsid w:val="004E4562"/>
    <w:rsid w:val="004E7F0F"/>
    <w:rsid w:val="004F077F"/>
    <w:rsid w:val="004F78B4"/>
    <w:rsid w:val="005023DD"/>
    <w:rsid w:val="00503D8C"/>
    <w:rsid w:val="00511179"/>
    <w:rsid w:val="0051170E"/>
    <w:rsid w:val="00511F14"/>
    <w:rsid w:val="0051485A"/>
    <w:rsid w:val="00522B84"/>
    <w:rsid w:val="00531A7F"/>
    <w:rsid w:val="00534BAD"/>
    <w:rsid w:val="005360E8"/>
    <w:rsid w:val="005412D0"/>
    <w:rsid w:val="005428C5"/>
    <w:rsid w:val="00543C55"/>
    <w:rsid w:val="0054412E"/>
    <w:rsid w:val="0055393B"/>
    <w:rsid w:val="005554C7"/>
    <w:rsid w:val="00556F58"/>
    <w:rsid w:val="0055704F"/>
    <w:rsid w:val="0055723A"/>
    <w:rsid w:val="00567D57"/>
    <w:rsid w:val="00571004"/>
    <w:rsid w:val="00573D11"/>
    <w:rsid w:val="0057685F"/>
    <w:rsid w:val="00577B63"/>
    <w:rsid w:val="00582B99"/>
    <w:rsid w:val="00590903"/>
    <w:rsid w:val="00597258"/>
    <w:rsid w:val="005A40F1"/>
    <w:rsid w:val="005A617A"/>
    <w:rsid w:val="005A6282"/>
    <w:rsid w:val="005B0FC9"/>
    <w:rsid w:val="005B24B2"/>
    <w:rsid w:val="005B66D3"/>
    <w:rsid w:val="005B7D91"/>
    <w:rsid w:val="005B7EC3"/>
    <w:rsid w:val="005C108C"/>
    <w:rsid w:val="005C422A"/>
    <w:rsid w:val="005C4556"/>
    <w:rsid w:val="005C5302"/>
    <w:rsid w:val="005D307B"/>
    <w:rsid w:val="005E362E"/>
    <w:rsid w:val="005E3A2A"/>
    <w:rsid w:val="005E43B3"/>
    <w:rsid w:val="005F0034"/>
    <w:rsid w:val="005F69D4"/>
    <w:rsid w:val="005F7593"/>
    <w:rsid w:val="006029D7"/>
    <w:rsid w:val="00606BFF"/>
    <w:rsid w:val="00606E35"/>
    <w:rsid w:val="0061109D"/>
    <w:rsid w:val="006110BE"/>
    <w:rsid w:val="0061138B"/>
    <w:rsid w:val="00612AA0"/>
    <w:rsid w:val="006138CB"/>
    <w:rsid w:val="006142A4"/>
    <w:rsid w:val="0062200D"/>
    <w:rsid w:val="006224C4"/>
    <w:rsid w:val="006225EA"/>
    <w:rsid w:val="006261DF"/>
    <w:rsid w:val="00631936"/>
    <w:rsid w:val="006321DC"/>
    <w:rsid w:val="00641270"/>
    <w:rsid w:val="00642074"/>
    <w:rsid w:val="006424F8"/>
    <w:rsid w:val="00656049"/>
    <w:rsid w:val="00672C84"/>
    <w:rsid w:val="00672F97"/>
    <w:rsid w:val="00674339"/>
    <w:rsid w:val="00681CAB"/>
    <w:rsid w:val="00682CFC"/>
    <w:rsid w:val="006842EF"/>
    <w:rsid w:val="00685030"/>
    <w:rsid w:val="00692D4F"/>
    <w:rsid w:val="00693E35"/>
    <w:rsid w:val="0069559B"/>
    <w:rsid w:val="00695E58"/>
    <w:rsid w:val="0069613C"/>
    <w:rsid w:val="0069757D"/>
    <w:rsid w:val="006A1329"/>
    <w:rsid w:val="006A66F9"/>
    <w:rsid w:val="006B4303"/>
    <w:rsid w:val="006B7CF3"/>
    <w:rsid w:val="006D024C"/>
    <w:rsid w:val="006E3B3D"/>
    <w:rsid w:val="006E5C9C"/>
    <w:rsid w:val="006F1774"/>
    <w:rsid w:val="006F292B"/>
    <w:rsid w:val="006F6A03"/>
    <w:rsid w:val="00702624"/>
    <w:rsid w:val="00713D81"/>
    <w:rsid w:val="00717A20"/>
    <w:rsid w:val="00720DFF"/>
    <w:rsid w:val="00723A2A"/>
    <w:rsid w:val="007265F3"/>
    <w:rsid w:val="00730E23"/>
    <w:rsid w:val="00753311"/>
    <w:rsid w:val="00754513"/>
    <w:rsid w:val="00762CC5"/>
    <w:rsid w:val="00762F85"/>
    <w:rsid w:val="00767063"/>
    <w:rsid w:val="007906B4"/>
    <w:rsid w:val="007970A0"/>
    <w:rsid w:val="00797E4F"/>
    <w:rsid w:val="007A314C"/>
    <w:rsid w:val="007A3CB9"/>
    <w:rsid w:val="007B215B"/>
    <w:rsid w:val="007B4617"/>
    <w:rsid w:val="007C26B6"/>
    <w:rsid w:val="007C2D96"/>
    <w:rsid w:val="007E2ECB"/>
    <w:rsid w:val="007E759D"/>
    <w:rsid w:val="007F2DBE"/>
    <w:rsid w:val="007F33B6"/>
    <w:rsid w:val="007F4CF6"/>
    <w:rsid w:val="007F642D"/>
    <w:rsid w:val="007F756A"/>
    <w:rsid w:val="00800E2C"/>
    <w:rsid w:val="0080214D"/>
    <w:rsid w:val="00811DEF"/>
    <w:rsid w:val="00812471"/>
    <w:rsid w:val="00814A90"/>
    <w:rsid w:val="008261A5"/>
    <w:rsid w:val="008327E5"/>
    <w:rsid w:val="0083382E"/>
    <w:rsid w:val="00844AAC"/>
    <w:rsid w:val="0085354A"/>
    <w:rsid w:val="00855325"/>
    <w:rsid w:val="00862E34"/>
    <w:rsid w:val="008634F3"/>
    <w:rsid w:val="008652FA"/>
    <w:rsid w:val="00865915"/>
    <w:rsid w:val="008661AA"/>
    <w:rsid w:val="00871832"/>
    <w:rsid w:val="00875E9B"/>
    <w:rsid w:val="00876FCA"/>
    <w:rsid w:val="00881B0A"/>
    <w:rsid w:val="00886CCE"/>
    <w:rsid w:val="008942C6"/>
    <w:rsid w:val="00896B33"/>
    <w:rsid w:val="00897DBE"/>
    <w:rsid w:val="008A2995"/>
    <w:rsid w:val="008A2BA4"/>
    <w:rsid w:val="008A62FB"/>
    <w:rsid w:val="008A77B7"/>
    <w:rsid w:val="008B0F67"/>
    <w:rsid w:val="008B297B"/>
    <w:rsid w:val="008B3833"/>
    <w:rsid w:val="008C0535"/>
    <w:rsid w:val="008C0BCD"/>
    <w:rsid w:val="008C0BD9"/>
    <w:rsid w:val="008C42AF"/>
    <w:rsid w:val="008C608D"/>
    <w:rsid w:val="008D1F37"/>
    <w:rsid w:val="008E14BE"/>
    <w:rsid w:val="008E3F75"/>
    <w:rsid w:val="008E461D"/>
    <w:rsid w:val="008E5520"/>
    <w:rsid w:val="008F08E5"/>
    <w:rsid w:val="008F097F"/>
    <w:rsid w:val="008F0EA4"/>
    <w:rsid w:val="008F10B9"/>
    <w:rsid w:val="008F1FE9"/>
    <w:rsid w:val="008F38F6"/>
    <w:rsid w:val="008F5213"/>
    <w:rsid w:val="008F67E7"/>
    <w:rsid w:val="008F6B2D"/>
    <w:rsid w:val="009000CF"/>
    <w:rsid w:val="009050B3"/>
    <w:rsid w:val="00906FC5"/>
    <w:rsid w:val="0090748B"/>
    <w:rsid w:val="00907E6A"/>
    <w:rsid w:val="00913CFE"/>
    <w:rsid w:val="00914C4C"/>
    <w:rsid w:val="00916E72"/>
    <w:rsid w:val="00920C9C"/>
    <w:rsid w:val="00922754"/>
    <w:rsid w:val="00925781"/>
    <w:rsid w:val="009258D0"/>
    <w:rsid w:val="009274EA"/>
    <w:rsid w:val="00934D87"/>
    <w:rsid w:val="00935AB3"/>
    <w:rsid w:val="00941093"/>
    <w:rsid w:val="00957E3A"/>
    <w:rsid w:val="00960B13"/>
    <w:rsid w:val="009635CF"/>
    <w:rsid w:val="009646C4"/>
    <w:rsid w:val="009668BB"/>
    <w:rsid w:val="009734CE"/>
    <w:rsid w:val="00974CB0"/>
    <w:rsid w:val="00975085"/>
    <w:rsid w:val="009750A4"/>
    <w:rsid w:val="0098080C"/>
    <w:rsid w:val="00981DE0"/>
    <w:rsid w:val="0098287E"/>
    <w:rsid w:val="0098460C"/>
    <w:rsid w:val="00991976"/>
    <w:rsid w:val="0099413E"/>
    <w:rsid w:val="00994676"/>
    <w:rsid w:val="00996E1A"/>
    <w:rsid w:val="009B1E02"/>
    <w:rsid w:val="009B4392"/>
    <w:rsid w:val="009B51DA"/>
    <w:rsid w:val="009B7D09"/>
    <w:rsid w:val="009C0784"/>
    <w:rsid w:val="009C2CB9"/>
    <w:rsid w:val="009C51DF"/>
    <w:rsid w:val="009D0B63"/>
    <w:rsid w:val="009D24DA"/>
    <w:rsid w:val="009D5D75"/>
    <w:rsid w:val="009E0C0B"/>
    <w:rsid w:val="009E1C67"/>
    <w:rsid w:val="009E572D"/>
    <w:rsid w:val="009F32A2"/>
    <w:rsid w:val="009F54CE"/>
    <w:rsid w:val="009F70FE"/>
    <w:rsid w:val="00A0600B"/>
    <w:rsid w:val="00A06264"/>
    <w:rsid w:val="00A1639A"/>
    <w:rsid w:val="00A215C9"/>
    <w:rsid w:val="00A25474"/>
    <w:rsid w:val="00A25CF0"/>
    <w:rsid w:val="00A40786"/>
    <w:rsid w:val="00A42F0D"/>
    <w:rsid w:val="00A52BBB"/>
    <w:rsid w:val="00A5364B"/>
    <w:rsid w:val="00A615E0"/>
    <w:rsid w:val="00A64002"/>
    <w:rsid w:val="00A65E2B"/>
    <w:rsid w:val="00A70878"/>
    <w:rsid w:val="00A73C12"/>
    <w:rsid w:val="00A74AA0"/>
    <w:rsid w:val="00A7546D"/>
    <w:rsid w:val="00A7613D"/>
    <w:rsid w:val="00A77100"/>
    <w:rsid w:val="00A81626"/>
    <w:rsid w:val="00A8357B"/>
    <w:rsid w:val="00A848FC"/>
    <w:rsid w:val="00A975B1"/>
    <w:rsid w:val="00AA4D97"/>
    <w:rsid w:val="00AB424B"/>
    <w:rsid w:val="00AB74D4"/>
    <w:rsid w:val="00AD17B7"/>
    <w:rsid w:val="00AE6AAA"/>
    <w:rsid w:val="00AE6CF7"/>
    <w:rsid w:val="00AF08D2"/>
    <w:rsid w:val="00B01A1B"/>
    <w:rsid w:val="00B02242"/>
    <w:rsid w:val="00B069C5"/>
    <w:rsid w:val="00B06D1B"/>
    <w:rsid w:val="00B077D5"/>
    <w:rsid w:val="00B16A78"/>
    <w:rsid w:val="00B200E4"/>
    <w:rsid w:val="00B26FFD"/>
    <w:rsid w:val="00B31E12"/>
    <w:rsid w:val="00B31F77"/>
    <w:rsid w:val="00B35B6D"/>
    <w:rsid w:val="00B35DC6"/>
    <w:rsid w:val="00B51699"/>
    <w:rsid w:val="00B53FAF"/>
    <w:rsid w:val="00B55D98"/>
    <w:rsid w:val="00B63153"/>
    <w:rsid w:val="00B6527D"/>
    <w:rsid w:val="00B73B3A"/>
    <w:rsid w:val="00B74507"/>
    <w:rsid w:val="00B75718"/>
    <w:rsid w:val="00B75E7E"/>
    <w:rsid w:val="00B81257"/>
    <w:rsid w:val="00B9030E"/>
    <w:rsid w:val="00B9324B"/>
    <w:rsid w:val="00B93817"/>
    <w:rsid w:val="00B9391B"/>
    <w:rsid w:val="00B9682D"/>
    <w:rsid w:val="00B977A6"/>
    <w:rsid w:val="00BA0B96"/>
    <w:rsid w:val="00BA52C9"/>
    <w:rsid w:val="00BB15DA"/>
    <w:rsid w:val="00BB340D"/>
    <w:rsid w:val="00BB6626"/>
    <w:rsid w:val="00BC2A3A"/>
    <w:rsid w:val="00BC64EC"/>
    <w:rsid w:val="00BC7971"/>
    <w:rsid w:val="00BC7BF3"/>
    <w:rsid w:val="00BD073D"/>
    <w:rsid w:val="00BD6001"/>
    <w:rsid w:val="00BD6652"/>
    <w:rsid w:val="00BD75E0"/>
    <w:rsid w:val="00BE10CC"/>
    <w:rsid w:val="00BE4198"/>
    <w:rsid w:val="00BF0008"/>
    <w:rsid w:val="00BF029A"/>
    <w:rsid w:val="00BF3AFD"/>
    <w:rsid w:val="00C05758"/>
    <w:rsid w:val="00C1491C"/>
    <w:rsid w:val="00C1606C"/>
    <w:rsid w:val="00C16E16"/>
    <w:rsid w:val="00C23180"/>
    <w:rsid w:val="00C26F94"/>
    <w:rsid w:val="00C362A7"/>
    <w:rsid w:val="00C41492"/>
    <w:rsid w:val="00C502EC"/>
    <w:rsid w:val="00C50874"/>
    <w:rsid w:val="00C6435B"/>
    <w:rsid w:val="00C65078"/>
    <w:rsid w:val="00C702B5"/>
    <w:rsid w:val="00C70389"/>
    <w:rsid w:val="00C80ABA"/>
    <w:rsid w:val="00C9039E"/>
    <w:rsid w:val="00C904B6"/>
    <w:rsid w:val="00C90A75"/>
    <w:rsid w:val="00C91657"/>
    <w:rsid w:val="00C96DF4"/>
    <w:rsid w:val="00CA0F2C"/>
    <w:rsid w:val="00CA462D"/>
    <w:rsid w:val="00CA6A66"/>
    <w:rsid w:val="00CC1337"/>
    <w:rsid w:val="00CC2514"/>
    <w:rsid w:val="00CC48DF"/>
    <w:rsid w:val="00CC6FB9"/>
    <w:rsid w:val="00CD4A91"/>
    <w:rsid w:val="00CD6BD0"/>
    <w:rsid w:val="00CD70E7"/>
    <w:rsid w:val="00CD7363"/>
    <w:rsid w:val="00CE0964"/>
    <w:rsid w:val="00CE0C1F"/>
    <w:rsid w:val="00CE3191"/>
    <w:rsid w:val="00CE455F"/>
    <w:rsid w:val="00CE4A15"/>
    <w:rsid w:val="00CE5195"/>
    <w:rsid w:val="00CE6B63"/>
    <w:rsid w:val="00CE74B4"/>
    <w:rsid w:val="00CE7D16"/>
    <w:rsid w:val="00CF0BF9"/>
    <w:rsid w:val="00CF2E86"/>
    <w:rsid w:val="00CF5957"/>
    <w:rsid w:val="00CF69E0"/>
    <w:rsid w:val="00D0004A"/>
    <w:rsid w:val="00D04BA2"/>
    <w:rsid w:val="00D077B0"/>
    <w:rsid w:val="00D157A0"/>
    <w:rsid w:val="00D22D42"/>
    <w:rsid w:val="00D24AF1"/>
    <w:rsid w:val="00D31447"/>
    <w:rsid w:val="00D341F9"/>
    <w:rsid w:val="00D35A6D"/>
    <w:rsid w:val="00D36D8D"/>
    <w:rsid w:val="00D45711"/>
    <w:rsid w:val="00D47190"/>
    <w:rsid w:val="00D500FC"/>
    <w:rsid w:val="00D50EC4"/>
    <w:rsid w:val="00D51597"/>
    <w:rsid w:val="00D5326E"/>
    <w:rsid w:val="00D55867"/>
    <w:rsid w:val="00D57410"/>
    <w:rsid w:val="00D634A3"/>
    <w:rsid w:val="00D72339"/>
    <w:rsid w:val="00D73E47"/>
    <w:rsid w:val="00D74ABB"/>
    <w:rsid w:val="00D8091B"/>
    <w:rsid w:val="00D83CB7"/>
    <w:rsid w:val="00D9090D"/>
    <w:rsid w:val="00D926B4"/>
    <w:rsid w:val="00D976B3"/>
    <w:rsid w:val="00D97FA8"/>
    <w:rsid w:val="00DB289A"/>
    <w:rsid w:val="00DB4363"/>
    <w:rsid w:val="00DB66BD"/>
    <w:rsid w:val="00DC07C5"/>
    <w:rsid w:val="00DC7B25"/>
    <w:rsid w:val="00DD340F"/>
    <w:rsid w:val="00DD39EA"/>
    <w:rsid w:val="00DD6B73"/>
    <w:rsid w:val="00DE23F8"/>
    <w:rsid w:val="00DE7CC2"/>
    <w:rsid w:val="00E007DD"/>
    <w:rsid w:val="00E04392"/>
    <w:rsid w:val="00E05CF6"/>
    <w:rsid w:val="00E077DE"/>
    <w:rsid w:val="00E112C9"/>
    <w:rsid w:val="00E1314C"/>
    <w:rsid w:val="00E158F7"/>
    <w:rsid w:val="00E16ABE"/>
    <w:rsid w:val="00E2087E"/>
    <w:rsid w:val="00E2356E"/>
    <w:rsid w:val="00E23C81"/>
    <w:rsid w:val="00E25D59"/>
    <w:rsid w:val="00E2636D"/>
    <w:rsid w:val="00E34976"/>
    <w:rsid w:val="00E36818"/>
    <w:rsid w:val="00E47B97"/>
    <w:rsid w:val="00E5203C"/>
    <w:rsid w:val="00E61AEA"/>
    <w:rsid w:val="00E634CC"/>
    <w:rsid w:val="00E771E0"/>
    <w:rsid w:val="00E81727"/>
    <w:rsid w:val="00E81AEB"/>
    <w:rsid w:val="00E82F0E"/>
    <w:rsid w:val="00E84DFB"/>
    <w:rsid w:val="00E90673"/>
    <w:rsid w:val="00E95ABF"/>
    <w:rsid w:val="00E95F89"/>
    <w:rsid w:val="00E96FAC"/>
    <w:rsid w:val="00EA0382"/>
    <w:rsid w:val="00EA129F"/>
    <w:rsid w:val="00EB7A31"/>
    <w:rsid w:val="00EC08DC"/>
    <w:rsid w:val="00ED0582"/>
    <w:rsid w:val="00ED1262"/>
    <w:rsid w:val="00ED7374"/>
    <w:rsid w:val="00EE014F"/>
    <w:rsid w:val="00EE31F6"/>
    <w:rsid w:val="00EE36DC"/>
    <w:rsid w:val="00EE6896"/>
    <w:rsid w:val="00EF06B5"/>
    <w:rsid w:val="00F044EE"/>
    <w:rsid w:val="00F20069"/>
    <w:rsid w:val="00F20AAA"/>
    <w:rsid w:val="00F21201"/>
    <w:rsid w:val="00F22BE9"/>
    <w:rsid w:val="00F2414C"/>
    <w:rsid w:val="00F3320B"/>
    <w:rsid w:val="00F40E92"/>
    <w:rsid w:val="00F41947"/>
    <w:rsid w:val="00F435AA"/>
    <w:rsid w:val="00F45370"/>
    <w:rsid w:val="00F511B7"/>
    <w:rsid w:val="00F53A47"/>
    <w:rsid w:val="00F60A04"/>
    <w:rsid w:val="00F63C5D"/>
    <w:rsid w:val="00F67E03"/>
    <w:rsid w:val="00F67EAF"/>
    <w:rsid w:val="00F7191D"/>
    <w:rsid w:val="00F72E52"/>
    <w:rsid w:val="00F730FC"/>
    <w:rsid w:val="00F745DE"/>
    <w:rsid w:val="00F76C6A"/>
    <w:rsid w:val="00F808FD"/>
    <w:rsid w:val="00F83BF1"/>
    <w:rsid w:val="00F84A19"/>
    <w:rsid w:val="00F87D09"/>
    <w:rsid w:val="00F90CB9"/>
    <w:rsid w:val="00F90F26"/>
    <w:rsid w:val="00F91D23"/>
    <w:rsid w:val="00F91DD8"/>
    <w:rsid w:val="00F97373"/>
    <w:rsid w:val="00FA0254"/>
    <w:rsid w:val="00FA59F1"/>
    <w:rsid w:val="00FA6129"/>
    <w:rsid w:val="00FA6854"/>
    <w:rsid w:val="00FB064F"/>
    <w:rsid w:val="00FB0F6B"/>
    <w:rsid w:val="00FB144F"/>
    <w:rsid w:val="00FB159A"/>
    <w:rsid w:val="00FB4D77"/>
    <w:rsid w:val="00FC40F0"/>
    <w:rsid w:val="00FC497D"/>
    <w:rsid w:val="00FD076B"/>
    <w:rsid w:val="00FD140F"/>
    <w:rsid w:val="00FD39DE"/>
    <w:rsid w:val="00FE0368"/>
    <w:rsid w:val="00FE4B61"/>
    <w:rsid w:val="00FF3782"/>
    <w:rsid w:val="00FF6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5CF9775E"/>
  <w15:docId w15:val="{42C1A1D1-9BB6-4C62-A4E2-63B31A0BE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517C9"/>
    <w:pPr>
      <w:spacing w:after="200"/>
    </w:pPr>
    <w:rPr>
      <w:sz w:val="24"/>
      <w:szCs w:val="24"/>
      <w:lang w:eastAsia="en-US"/>
    </w:rPr>
  </w:style>
  <w:style w:type="paragraph" w:styleId="berschrift1">
    <w:name w:val="heading 1"/>
    <w:basedOn w:val="Standard"/>
    <w:next w:val="Standard"/>
    <w:link w:val="berschrift1Zchn"/>
    <w:qFormat/>
    <w:locked/>
    <w:rsid w:val="0076706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BD9100" w:themeColor="accent1" w:themeShade="BF"/>
      <w:sz w:val="32"/>
      <w:szCs w:val="32"/>
    </w:rPr>
  </w:style>
  <w:style w:type="paragraph" w:styleId="berschrift3">
    <w:name w:val="heading 3"/>
    <w:basedOn w:val="Standard"/>
    <w:next w:val="Standard"/>
    <w:link w:val="berschrift3Zchn"/>
    <w:unhideWhenUsed/>
    <w:qFormat/>
    <w:locked/>
    <w:rsid w:val="0076706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7E600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satzformat1">
    <w:name w:val="Absatzformat 1"/>
    <w:basedOn w:val="Standard"/>
    <w:uiPriority w:val="99"/>
    <w:rsid w:val="007906B4"/>
    <w:pPr>
      <w:widowControl w:val="0"/>
      <w:autoSpaceDE w:val="0"/>
      <w:autoSpaceDN w:val="0"/>
      <w:adjustRightInd w:val="0"/>
      <w:spacing w:after="85" w:line="288" w:lineRule="auto"/>
      <w:textAlignment w:val="center"/>
    </w:pPr>
    <w:rPr>
      <w:rFonts w:ascii="Akkurat-Fett" w:hAnsi="Akkurat-Fett" w:cs="Akkurat-Fett"/>
      <w:color w:val="000000"/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rsid w:val="00F044EE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locked/>
    <w:rsid w:val="00F044EE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99"/>
    <w:qFormat/>
    <w:rsid w:val="00F044EE"/>
    <w:pPr>
      <w:ind w:left="720"/>
      <w:contextualSpacing/>
    </w:pPr>
  </w:style>
  <w:style w:type="paragraph" w:styleId="StandardWeb">
    <w:name w:val="Normal (Web)"/>
    <w:basedOn w:val="Standard"/>
    <w:uiPriority w:val="99"/>
    <w:rsid w:val="00D72339"/>
    <w:pPr>
      <w:spacing w:before="100" w:beforeAutospacing="1" w:after="100" w:afterAutospacing="1"/>
    </w:pPr>
    <w:rPr>
      <w:rFonts w:ascii="Times New Roman" w:eastAsia="Times New Roman" w:hAnsi="Times New Roman"/>
      <w:lang w:eastAsia="de-DE"/>
    </w:rPr>
  </w:style>
  <w:style w:type="paragraph" w:styleId="Kopfzeile">
    <w:name w:val="header"/>
    <w:basedOn w:val="Standard"/>
    <w:link w:val="KopfzeileZchn"/>
    <w:uiPriority w:val="99"/>
    <w:rsid w:val="00CF595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886CCE"/>
    <w:rPr>
      <w:rFonts w:cs="Times New Roman"/>
      <w:sz w:val="24"/>
      <w:szCs w:val="24"/>
      <w:lang w:eastAsia="en-US"/>
    </w:rPr>
  </w:style>
  <w:style w:type="paragraph" w:styleId="Fuzeile">
    <w:name w:val="footer"/>
    <w:basedOn w:val="Standard"/>
    <w:link w:val="FuzeileZchn"/>
    <w:uiPriority w:val="99"/>
    <w:rsid w:val="00CF595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886CCE"/>
    <w:rPr>
      <w:rFonts w:cs="Times New Roman"/>
      <w:sz w:val="24"/>
      <w:szCs w:val="24"/>
      <w:lang w:eastAsia="en-US"/>
    </w:rPr>
  </w:style>
  <w:style w:type="paragraph" w:styleId="Textkrper">
    <w:name w:val="Body Text"/>
    <w:basedOn w:val="Standard"/>
    <w:link w:val="TextkrperZchn"/>
    <w:uiPriority w:val="99"/>
    <w:rsid w:val="00CF5957"/>
    <w:pPr>
      <w:spacing w:after="0" w:line="240" w:lineRule="atLeast"/>
    </w:pPr>
    <w:rPr>
      <w:rFonts w:ascii="Helv" w:hAnsi="Helv"/>
      <w:color w:val="000000"/>
      <w:sz w:val="20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locked/>
    <w:rsid w:val="00886CCE"/>
    <w:rPr>
      <w:rFonts w:cs="Times New Roman"/>
      <w:sz w:val="24"/>
      <w:szCs w:val="24"/>
      <w:lang w:eastAsia="en-US"/>
    </w:rPr>
  </w:style>
  <w:style w:type="character" w:styleId="Hyperlink">
    <w:name w:val="Hyperlink"/>
    <w:basedOn w:val="Absatz-Standardschriftart"/>
    <w:uiPriority w:val="99"/>
    <w:rsid w:val="00CF5957"/>
    <w:rPr>
      <w:rFonts w:cs="Times New Roman"/>
      <w:color w:val="0000FF"/>
      <w:u w:val="single"/>
    </w:rPr>
  </w:style>
  <w:style w:type="character" w:styleId="Seitenzahl">
    <w:name w:val="page number"/>
    <w:basedOn w:val="Absatz-Standardschriftart"/>
    <w:uiPriority w:val="99"/>
    <w:rsid w:val="00862E34"/>
    <w:rPr>
      <w:rFonts w:cs="Times New Roman"/>
    </w:rPr>
  </w:style>
  <w:style w:type="character" w:styleId="BesuchterLink">
    <w:name w:val="FollowedHyperlink"/>
    <w:basedOn w:val="Absatz-Standardschriftart"/>
    <w:uiPriority w:val="99"/>
    <w:semiHidden/>
    <w:unhideWhenUsed/>
    <w:rsid w:val="004B2FDA"/>
    <w:rPr>
      <w:color w:val="92A4C2" w:themeColor="followedHyperlink"/>
      <w:u w:val="single"/>
    </w:rPr>
  </w:style>
  <w:style w:type="paragraph" w:customStyle="1" w:styleId="Default">
    <w:name w:val="Default"/>
    <w:rsid w:val="00EE36D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Fett">
    <w:name w:val="Strong"/>
    <w:basedOn w:val="Absatz-Standardschriftart"/>
    <w:uiPriority w:val="22"/>
    <w:qFormat/>
    <w:locked/>
    <w:rsid w:val="00382529"/>
    <w:rPr>
      <w:b/>
      <w:bCs/>
    </w:rPr>
  </w:style>
  <w:style w:type="table" w:styleId="Tabellenraster">
    <w:name w:val="Table Grid"/>
    <w:basedOn w:val="NormaleTabelle"/>
    <w:uiPriority w:val="59"/>
    <w:locked/>
    <w:rsid w:val="002C05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liesstextNL">
    <w:name w:val="Fliesstext NL"/>
    <w:basedOn w:val="Standard"/>
    <w:uiPriority w:val="99"/>
    <w:rsid w:val="002C055A"/>
    <w:pPr>
      <w:autoSpaceDE w:val="0"/>
      <w:autoSpaceDN w:val="0"/>
      <w:adjustRightInd w:val="0"/>
      <w:spacing w:after="0" w:line="220" w:lineRule="atLeast"/>
      <w:jc w:val="both"/>
      <w:textAlignment w:val="center"/>
    </w:pPr>
    <w:rPr>
      <w:rFonts w:ascii="Mark OT Light" w:hAnsi="Mark OT Light" w:cs="Mark OT Light"/>
      <w:color w:val="000000"/>
      <w:spacing w:val="-4"/>
      <w:sz w:val="18"/>
      <w:szCs w:val="18"/>
      <w:lang w:eastAsia="de-DE"/>
    </w:rPr>
  </w:style>
  <w:style w:type="paragraph" w:customStyle="1" w:styleId="GrafikHeadlineNL">
    <w:name w:val="Grafik Headline NL"/>
    <w:basedOn w:val="FliesstextNL"/>
    <w:uiPriority w:val="99"/>
    <w:rsid w:val="002C055A"/>
    <w:rPr>
      <w:rFonts w:ascii="Mark OT" w:hAnsi="Mark OT" w:cs="Mark OT"/>
      <w:b/>
      <w:bCs/>
    </w:rPr>
  </w:style>
  <w:style w:type="paragraph" w:customStyle="1" w:styleId="HeadlineNL">
    <w:name w:val="Headline NL"/>
    <w:basedOn w:val="FliesstextNL"/>
    <w:uiPriority w:val="99"/>
    <w:rsid w:val="002C055A"/>
    <w:pPr>
      <w:spacing w:line="400" w:lineRule="atLeast"/>
    </w:pPr>
    <w:rPr>
      <w:rFonts w:ascii="Mark OT" w:hAnsi="Mark OT" w:cs="Mark OT"/>
      <w:b/>
      <w:bCs/>
      <w:spacing w:val="0"/>
      <w:sz w:val="28"/>
      <w:szCs w:val="28"/>
    </w:rPr>
  </w:style>
  <w:style w:type="paragraph" w:customStyle="1" w:styleId="SublineNL">
    <w:name w:val="Subline NL"/>
    <w:basedOn w:val="FliesstextNL"/>
    <w:uiPriority w:val="99"/>
    <w:rsid w:val="002C055A"/>
    <w:pPr>
      <w:spacing w:line="320" w:lineRule="atLeast"/>
    </w:pPr>
    <w:rPr>
      <w:spacing w:val="0"/>
      <w:sz w:val="28"/>
      <w:szCs w:val="2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67D5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67D57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67D57"/>
    <w:rPr>
      <w:sz w:val="20"/>
      <w:szCs w:val="20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67D5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67D57"/>
    <w:rPr>
      <w:b/>
      <w:bCs/>
      <w:sz w:val="20"/>
      <w:szCs w:val="20"/>
      <w:lang w:eastAsia="en-US"/>
    </w:rPr>
  </w:style>
  <w:style w:type="table" w:customStyle="1" w:styleId="TableGrid1">
    <w:name w:val="Table Grid1"/>
    <w:basedOn w:val="NormaleTabelle"/>
    <w:next w:val="Tabellenraster"/>
    <w:uiPriority w:val="59"/>
    <w:rsid w:val="001E1172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NormaleTabelle"/>
    <w:next w:val="Tabellenraster"/>
    <w:uiPriority w:val="59"/>
    <w:rsid w:val="001E1172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rsid w:val="00767063"/>
    <w:rPr>
      <w:rFonts w:asciiTheme="majorHAnsi" w:eastAsiaTheme="majorEastAsia" w:hAnsiTheme="majorHAnsi" w:cstheme="majorBidi"/>
      <w:color w:val="BD9100" w:themeColor="accent1" w:themeShade="BF"/>
      <w:sz w:val="32"/>
      <w:szCs w:val="32"/>
      <w:lang w:eastAsia="en-US"/>
    </w:rPr>
  </w:style>
  <w:style w:type="character" w:customStyle="1" w:styleId="berschrift3Zchn">
    <w:name w:val="Überschrift 3 Zchn"/>
    <w:basedOn w:val="Absatz-Standardschriftart"/>
    <w:link w:val="berschrift3"/>
    <w:rsid w:val="00767063"/>
    <w:rPr>
      <w:rFonts w:asciiTheme="majorHAnsi" w:eastAsiaTheme="majorEastAsia" w:hAnsiTheme="majorHAnsi" w:cstheme="majorBidi"/>
      <w:color w:val="7E6000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78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4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1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67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6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79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7239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844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225925">
                                  <w:marLeft w:val="1053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8996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351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1989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5114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79744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9649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72179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01945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289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1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2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275600">
          <w:marLeft w:val="0"/>
          <w:marRight w:val="0"/>
          <w:marTop w:val="825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308883">
                  <w:marLeft w:val="0"/>
                  <w:marRight w:val="144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3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83719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47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58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04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86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10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91399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976640">
                              <w:marLeft w:val="180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923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462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8819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4487000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3490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05232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68510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60794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284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7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1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677127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73232">
              <w:marLeft w:val="0"/>
              <w:marRight w:val="0"/>
              <w:marTop w:val="0"/>
              <w:marBottom w:val="4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30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7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05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95818">
          <w:marLeft w:val="5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54726">
          <w:marLeft w:val="12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89385">
          <w:marLeft w:val="12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28355">
          <w:marLeft w:val="12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germanpropertypartners.de/de/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s://www.eug-immobilien.de/privat-immobilien" TargetMode="External"/><Relationship Id="rId17" Type="http://schemas.openxmlformats.org/officeDocument/2006/relationships/hyperlink" Target="mailto:presse@grossmann-berger.de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\\file01\Marketing\Presse\5_PresseMITTEILUNGEN\Marktbericht%20Investment\2021\2021_Q1\20180517_Dokumentation%20der%20Verarbeitungstaetigkeit%20nach%20DSGVO_Presse.docx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eug-immobilien.de/gewerbe-immobilie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grossmann-berger.de/news/pressemappe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grossmann-berger.de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grossmann-berger.de/marktbericht/gewerbe/hamburg-investment/" TargetMode="External"/><Relationship Id="rId14" Type="http://schemas.openxmlformats.org/officeDocument/2006/relationships/hyperlink" Target="https://www.grossmann-berger.de/datenschutz/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G&amp;B Farben für Word_2019">
  <a:themeElements>
    <a:clrScheme name="G&amp;B Farben">
      <a:dk1>
        <a:srgbClr val="000000"/>
      </a:dk1>
      <a:lt1>
        <a:sysClr val="window" lastClr="FFFFFF"/>
      </a:lt1>
      <a:dk2>
        <a:srgbClr val="1F242B"/>
      </a:dk2>
      <a:lt2>
        <a:srgbClr val="E4E2E4"/>
      </a:lt2>
      <a:accent1>
        <a:srgbClr val="FDC300"/>
      </a:accent1>
      <a:accent2>
        <a:srgbClr val="1F242B"/>
      </a:accent2>
      <a:accent3>
        <a:srgbClr val="FFD444"/>
      </a:accent3>
      <a:accent4>
        <a:srgbClr val="FFE17E"/>
      </a:accent4>
      <a:accent5>
        <a:srgbClr val="838490"/>
      </a:accent5>
      <a:accent6>
        <a:srgbClr val="E4E2E4"/>
      </a:accent6>
      <a:hlink>
        <a:srgbClr val="4A5A73"/>
      </a:hlink>
      <a:folHlink>
        <a:srgbClr val="92A4C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627BC5-B866-44B9-8321-4923706BC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788</Words>
  <Characters>5624</Characters>
  <Application>Microsoft Office Word</Application>
  <DocSecurity>0</DocSecurity>
  <Lines>46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6400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 bi</dc:creator>
  <cp:lastModifiedBy>Britt Finke</cp:lastModifiedBy>
  <cp:revision>25</cp:revision>
  <cp:lastPrinted>2020-01-08T13:10:00Z</cp:lastPrinted>
  <dcterms:created xsi:type="dcterms:W3CDTF">2021-12-21T09:32:00Z</dcterms:created>
  <dcterms:modified xsi:type="dcterms:W3CDTF">2022-01-03T08:33:00Z</dcterms:modified>
</cp:coreProperties>
</file>