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45400C51" w:rsidR="000D48D4" w:rsidRDefault="00D157A0" w:rsidP="00365AF8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>Hamburg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1.</w:t>
      </w:r>
      <w:r w:rsidR="009274EA">
        <w:rPr>
          <w:rFonts w:ascii="Arial" w:hAnsi="Arial" w:cs="Arial"/>
          <w:b/>
        </w:rPr>
        <w:t>-3</w:t>
      </w:r>
      <w:r w:rsidR="000B39AB">
        <w:rPr>
          <w:rFonts w:ascii="Arial" w:hAnsi="Arial" w:cs="Arial"/>
          <w:b/>
        </w:rPr>
        <w:t>.</w:t>
      </w:r>
      <w:r w:rsidR="00B9324B" w:rsidRPr="00B9324B">
        <w:rPr>
          <w:rFonts w:ascii="Arial" w:hAnsi="Arial" w:cs="Arial"/>
          <w:b/>
        </w:rPr>
        <w:t xml:space="preserve"> Quartal 20</w:t>
      </w:r>
      <w:r w:rsidR="00BD6652">
        <w:rPr>
          <w:rFonts w:ascii="Arial" w:hAnsi="Arial" w:cs="Arial"/>
          <w:b/>
        </w:rPr>
        <w:t>21</w:t>
      </w:r>
      <w:r w:rsidR="0054412E">
        <w:rPr>
          <w:rFonts w:ascii="Arial" w:hAnsi="Arial" w:cs="Arial"/>
          <w:b/>
        </w:rPr>
        <w:br/>
      </w:r>
      <w:r w:rsidR="009274EA">
        <w:rPr>
          <w:rFonts w:ascii="Arial" w:hAnsi="Arial" w:cs="Arial"/>
          <w:b/>
          <w:sz w:val="28"/>
          <w:szCs w:val="28"/>
        </w:rPr>
        <w:t>Transaktionsgeschehen nimmt wieder Fahrt auf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54D98814" w14:textId="20DCDF7F" w:rsidR="009274EA" w:rsidRPr="009274EA" w:rsidRDefault="00E90673" w:rsidP="00F91D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24B">
        <w:rPr>
          <w:rFonts w:ascii="Arial" w:hAnsi="Arial" w:cs="Arial"/>
          <w:b/>
          <w:sz w:val="20"/>
          <w:szCs w:val="20"/>
        </w:rPr>
        <w:t xml:space="preserve">Hamburg, </w:t>
      </w:r>
      <w:r w:rsidR="009274EA">
        <w:rPr>
          <w:rFonts w:ascii="Arial" w:hAnsi="Arial" w:cs="Arial"/>
          <w:b/>
          <w:sz w:val="20"/>
          <w:szCs w:val="20"/>
        </w:rPr>
        <w:t>1</w:t>
      </w:r>
      <w:r w:rsidR="00B31F77">
        <w:rPr>
          <w:rFonts w:ascii="Arial" w:hAnsi="Arial" w:cs="Arial"/>
          <w:b/>
          <w:sz w:val="20"/>
          <w:szCs w:val="20"/>
        </w:rPr>
        <w:t>.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9274EA">
        <w:rPr>
          <w:rFonts w:ascii="Arial" w:hAnsi="Arial" w:cs="Arial"/>
          <w:b/>
          <w:sz w:val="20"/>
          <w:szCs w:val="20"/>
        </w:rPr>
        <w:t>Oktober</w:t>
      </w:r>
      <w:r w:rsidR="00132522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b/>
          <w:sz w:val="20"/>
          <w:szCs w:val="20"/>
        </w:rPr>
        <w:t>20</w:t>
      </w:r>
      <w:r w:rsidR="00BD6652">
        <w:rPr>
          <w:rFonts w:ascii="Arial" w:hAnsi="Arial" w:cs="Arial"/>
          <w:b/>
          <w:sz w:val="20"/>
          <w:szCs w:val="20"/>
        </w:rPr>
        <w:t>21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sz w:val="20"/>
          <w:szCs w:val="20"/>
        </w:rPr>
        <w:t>–</w:t>
      </w:r>
      <w:r w:rsidR="00797E4F" w:rsidRPr="00AB424B">
        <w:rPr>
          <w:rFonts w:ascii="Arial" w:hAnsi="Arial" w:cs="Arial"/>
          <w:b/>
          <w:sz w:val="20"/>
          <w:szCs w:val="20"/>
        </w:rPr>
        <w:t xml:space="preserve"> </w:t>
      </w:r>
      <w:r w:rsidR="00F745DE">
        <w:rPr>
          <w:rFonts w:ascii="Arial" w:hAnsi="Arial" w:cs="Arial"/>
          <w:sz w:val="20"/>
          <w:szCs w:val="20"/>
        </w:rPr>
        <w:t>Der</w:t>
      </w:r>
      <w:r w:rsidR="00A64002">
        <w:rPr>
          <w:rFonts w:ascii="Arial" w:hAnsi="Arial" w:cs="Arial"/>
          <w:sz w:val="20"/>
          <w:szCs w:val="20"/>
        </w:rPr>
        <w:t xml:space="preserve"> Hamburger Investmentmarkt für gewerbliche Immobilien verbuchte </w:t>
      </w:r>
      <w:r w:rsidR="00F84A19">
        <w:rPr>
          <w:rFonts w:ascii="Arial" w:hAnsi="Arial" w:cs="Arial"/>
          <w:sz w:val="20"/>
          <w:szCs w:val="20"/>
        </w:rPr>
        <w:t xml:space="preserve">nur für das </w:t>
      </w:r>
      <w:r w:rsidR="00AE6AAA">
        <w:rPr>
          <w:rFonts w:ascii="Arial" w:hAnsi="Arial" w:cs="Arial"/>
          <w:sz w:val="20"/>
          <w:szCs w:val="20"/>
        </w:rPr>
        <w:t>3. Quartal</w:t>
      </w:r>
      <w:r w:rsidR="00F745DE">
        <w:rPr>
          <w:rFonts w:ascii="Arial" w:hAnsi="Arial" w:cs="Arial"/>
          <w:sz w:val="20"/>
          <w:szCs w:val="20"/>
        </w:rPr>
        <w:t xml:space="preserve"> </w:t>
      </w:r>
      <w:r w:rsidR="00A64002">
        <w:rPr>
          <w:rFonts w:ascii="Arial" w:hAnsi="Arial" w:cs="Arial"/>
          <w:sz w:val="20"/>
          <w:szCs w:val="20"/>
        </w:rPr>
        <w:t>ein</w:t>
      </w:r>
      <w:r w:rsidR="004611DC">
        <w:rPr>
          <w:rFonts w:ascii="Arial" w:hAnsi="Arial" w:cs="Arial"/>
          <w:sz w:val="20"/>
          <w:szCs w:val="20"/>
        </w:rPr>
        <w:t xml:space="preserve"> </w:t>
      </w:r>
      <w:r w:rsidR="00F84A19">
        <w:rPr>
          <w:rFonts w:ascii="Arial" w:hAnsi="Arial" w:cs="Arial"/>
          <w:sz w:val="20"/>
          <w:szCs w:val="20"/>
        </w:rPr>
        <w:t>fast gleiches</w:t>
      </w:r>
      <w:r w:rsidR="00F745DE">
        <w:rPr>
          <w:rFonts w:ascii="Arial" w:hAnsi="Arial" w:cs="Arial"/>
          <w:sz w:val="20"/>
          <w:szCs w:val="20"/>
        </w:rPr>
        <w:t xml:space="preserve"> </w:t>
      </w:r>
      <w:r w:rsidR="004611DC">
        <w:rPr>
          <w:rFonts w:ascii="Arial" w:hAnsi="Arial" w:cs="Arial"/>
          <w:sz w:val="20"/>
          <w:szCs w:val="20"/>
        </w:rPr>
        <w:t>Transaktionsvolumen (TAV)</w:t>
      </w:r>
      <w:r w:rsidR="00F745DE">
        <w:rPr>
          <w:rFonts w:ascii="Arial" w:hAnsi="Arial" w:cs="Arial"/>
          <w:sz w:val="20"/>
          <w:szCs w:val="20"/>
        </w:rPr>
        <w:t xml:space="preserve"> wie in den </w:t>
      </w:r>
      <w:r w:rsidR="00A64002">
        <w:rPr>
          <w:rFonts w:ascii="Arial" w:hAnsi="Arial" w:cs="Arial"/>
          <w:sz w:val="20"/>
          <w:szCs w:val="20"/>
        </w:rPr>
        <w:t>ersten beiden Quartale</w:t>
      </w:r>
      <w:r w:rsidR="00AE6AAA">
        <w:rPr>
          <w:rFonts w:ascii="Arial" w:hAnsi="Arial" w:cs="Arial"/>
          <w:sz w:val="20"/>
          <w:szCs w:val="20"/>
        </w:rPr>
        <w:t>n</w:t>
      </w:r>
      <w:r w:rsidR="00A64002">
        <w:rPr>
          <w:rFonts w:ascii="Arial" w:hAnsi="Arial" w:cs="Arial"/>
          <w:sz w:val="20"/>
          <w:szCs w:val="20"/>
        </w:rPr>
        <w:t xml:space="preserve"> </w:t>
      </w:r>
      <w:r w:rsidR="00AE6AAA">
        <w:rPr>
          <w:rFonts w:ascii="Arial" w:hAnsi="Arial" w:cs="Arial"/>
          <w:sz w:val="20"/>
          <w:szCs w:val="20"/>
        </w:rPr>
        <w:t xml:space="preserve">2021 </w:t>
      </w:r>
      <w:r w:rsidR="00A64002">
        <w:rPr>
          <w:rFonts w:ascii="Arial" w:hAnsi="Arial" w:cs="Arial"/>
          <w:sz w:val="20"/>
          <w:szCs w:val="20"/>
        </w:rPr>
        <w:t xml:space="preserve">zusammen. Das Marktgeschehen hat sich demzufolge </w:t>
      </w:r>
      <w:r w:rsidR="00F84A19">
        <w:rPr>
          <w:rFonts w:ascii="Arial" w:hAnsi="Arial" w:cs="Arial"/>
          <w:sz w:val="20"/>
          <w:szCs w:val="20"/>
        </w:rPr>
        <w:t>im</w:t>
      </w:r>
      <w:r w:rsidR="00A64002">
        <w:rPr>
          <w:rFonts w:ascii="Arial" w:hAnsi="Arial" w:cs="Arial"/>
          <w:sz w:val="20"/>
          <w:szCs w:val="20"/>
        </w:rPr>
        <w:t xml:space="preserve"> 3. Quartal</w:t>
      </w:r>
      <w:r w:rsidR="00A64002" w:rsidRPr="00A64002">
        <w:rPr>
          <w:rFonts w:ascii="Arial" w:hAnsi="Arial" w:cs="Arial"/>
          <w:sz w:val="20"/>
          <w:szCs w:val="20"/>
        </w:rPr>
        <w:t xml:space="preserve"> </w:t>
      </w:r>
      <w:r w:rsidR="00F84A19">
        <w:rPr>
          <w:rFonts w:ascii="Arial" w:hAnsi="Arial" w:cs="Arial"/>
          <w:sz w:val="20"/>
          <w:szCs w:val="20"/>
        </w:rPr>
        <w:t xml:space="preserve">stark </w:t>
      </w:r>
      <w:r w:rsidR="00A64002">
        <w:rPr>
          <w:rFonts w:ascii="Arial" w:hAnsi="Arial" w:cs="Arial"/>
          <w:sz w:val="20"/>
          <w:szCs w:val="20"/>
        </w:rPr>
        <w:t xml:space="preserve">wiederbelebt, </w:t>
      </w:r>
      <w:r w:rsidR="00F84A19">
        <w:rPr>
          <w:rFonts w:ascii="Arial" w:hAnsi="Arial" w:cs="Arial"/>
          <w:sz w:val="20"/>
          <w:szCs w:val="20"/>
        </w:rPr>
        <w:t xml:space="preserve">dennoch </w:t>
      </w:r>
      <w:r w:rsidR="00AE6AAA">
        <w:rPr>
          <w:rFonts w:ascii="Arial" w:hAnsi="Arial" w:cs="Arial"/>
          <w:sz w:val="20"/>
          <w:szCs w:val="20"/>
        </w:rPr>
        <w:t>blieb</w:t>
      </w:r>
      <w:r w:rsidR="00A64002">
        <w:rPr>
          <w:rFonts w:ascii="Arial" w:hAnsi="Arial" w:cs="Arial"/>
          <w:sz w:val="20"/>
          <w:szCs w:val="20"/>
        </w:rPr>
        <w:t xml:space="preserve"> das </w:t>
      </w:r>
      <w:r w:rsidR="004611DC">
        <w:rPr>
          <w:rFonts w:ascii="Arial" w:hAnsi="Arial" w:cs="Arial"/>
          <w:sz w:val="20"/>
          <w:szCs w:val="20"/>
        </w:rPr>
        <w:t>TAV</w:t>
      </w:r>
      <w:r w:rsidR="00A64002">
        <w:rPr>
          <w:rFonts w:ascii="Arial" w:hAnsi="Arial" w:cs="Arial"/>
          <w:sz w:val="20"/>
          <w:szCs w:val="20"/>
        </w:rPr>
        <w:t xml:space="preserve"> mit rund 2,1 Mrd. € um 42 % unter dem starken Vorjahreswert (rund 3,64 Mrd. €).</w:t>
      </w:r>
      <w:r w:rsidR="001C6C7B">
        <w:rPr>
          <w:rFonts w:ascii="Arial" w:hAnsi="Arial" w:cs="Arial"/>
          <w:sz w:val="20"/>
          <w:szCs w:val="20"/>
        </w:rPr>
        <w:t xml:space="preserve"> </w:t>
      </w:r>
      <w:r w:rsidR="004B5FB0" w:rsidRPr="002E7AA5">
        <w:rPr>
          <w:rFonts w:ascii="Arial" w:hAnsi="Arial" w:cs="Arial"/>
          <w:i/>
          <w:sz w:val="20"/>
          <w:szCs w:val="20"/>
        </w:rPr>
        <w:t xml:space="preserve">„Nach Ende des zweiten </w:t>
      </w:r>
      <w:proofErr w:type="spellStart"/>
      <w:r w:rsidR="004B5FB0" w:rsidRPr="002E7AA5">
        <w:rPr>
          <w:rFonts w:ascii="Arial" w:hAnsi="Arial" w:cs="Arial"/>
          <w:i/>
          <w:sz w:val="20"/>
          <w:szCs w:val="20"/>
        </w:rPr>
        <w:t>Lockdowns</w:t>
      </w:r>
      <w:proofErr w:type="spellEnd"/>
      <w:r w:rsidR="004B5FB0" w:rsidRPr="002E7AA5">
        <w:rPr>
          <w:rFonts w:ascii="Arial" w:hAnsi="Arial" w:cs="Arial"/>
          <w:i/>
          <w:sz w:val="20"/>
          <w:szCs w:val="20"/>
        </w:rPr>
        <w:t xml:space="preserve"> </w:t>
      </w:r>
      <w:r w:rsidR="002F1F2D">
        <w:rPr>
          <w:rFonts w:ascii="Arial" w:hAnsi="Arial" w:cs="Arial"/>
          <w:i/>
          <w:iCs/>
          <w:sz w:val="20"/>
          <w:szCs w:val="20"/>
        </w:rPr>
        <w:t xml:space="preserve">schließt das dritte Quartal mit einer rasanten Aufholjagd </w:t>
      </w:r>
      <w:r w:rsidR="00F84A19">
        <w:rPr>
          <w:rFonts w:ascii="Arial" w:hAnsi="Arial" w:cs="Arial"/>
          <w:i/>
          <w:iCs/>
          <w:sz w:val="20"/>
          <w:szCs w:val="20"/>
        </w:rPr>
        <w:t>des</w:t>
      </w:r>
      <w:r w:rsidR="002F1F2D">
        <w:rPr>
          <w:rFonts w:ascii="Arial" w:hAnsi="Arial" w:cs="Arial"/>
          <w:i/>
          <w:iCs/>
          <w:sz w:val="20"/>
          <w:szCs w:val="20"/>
        </w:rPr>
        <w:t xml:space="preserve"> Hamburger Investmentmarkt</w:t>
      </w:r>
      <w:r w:rsidR="00F84A19">
        <w:rPr>
          <w:rFonts w:ascii="Arial" w:hAnsi="Arial" w:cs="Arial"/>
          <w:i/>
          <w:iCs/>
          <w:sz w:val="20"/>
          <w:szCs w:val="20"/>
        </w:rPr>
        <w:t>s</w:t>
      </w:r>
      <w:r w:rsidR="002E7AA5" w:rsidRPr="002E7AA5">
        <w:rPr>
          <w:rFonts w:ascii="Arial" w:hAnsi="Arial" w:cs="Arial"/>
          <w:i/>
          <w:sz w:val="20"/>
          <w:szCs w:val="20"/>
        </w:rPr>
        <w:t xml:space="preserve">“, </w:t>
      </w:r>
      <w:r w:rsidR="002E7AA5">
        <w:rPr>
          <w:rFonts w:ascii="Arial" w:hAnsi="Arial" w:cs="Arial"/>
          <w:sz w:val="20"/>
          <w:szCs w:val="20"/>
        </w:rPr>
        <w:t xml:space="preserve">stellt </w:t>
      </w:r>
      <w:r w:rsidR="002E7AA5" w:rsidRPr="002E7AA5">
        <w:rPr>
          <w:rFonts w:ascii="Arial" w:hAnsi="Arial" w:cs="Arial"/>
          <w:b/>
          <w:sz w:val="20"/>
          <w:szCs w:val="20"/>
        </w:rPr>
        <w:t>Sandra Ludwig</w:t>
      </w:r>
      <w:r w:rsidR="002E7AA5">
        <w:rPr>
          <w:rFonts w:ascii="Arial" w:hAnsi="Arial" w:cs="Arial"/>
          <w:sz w:val="20"/>
          <w:szCs w:val="20"/>
        </w:rPr>
        <w:t xml:space="preserve">, Geschäftsführerin von Grossmann &amp; Berger, Mitglied von German Property Partners (GPP), fest. </w:t>
      </w:r>
      <w:r w:rsidR="002E7AA5" w:rsidRPr="002E7AA5">
        <w:rPr>
          <w:rFonts w:ascii="Arial" w:hAnsi="Arial" w:cs="Arial"/>
          <w:i/>
          <w:sz w:val="20"/>
          <w:szCs w:val="20"/>
        </w:rPr>
        <w:t>„Insgesamt besteht aber weiterhin ein großer Produktmangel</w:t>
      </w:r>
      <w:r w:rsidR="004B5FB0" w:rsidRPr="002E7AA5">
        <w:rPr>
          <w:rFonts w:ascii="Arial" w:hAnsi="Arial" w:cs="Arial"/>
          <w:i/>
          <w:sz w:val="20"/>
          <w:szCs w:val="20"/>
        </w:rPr>
        <w:t>, insbesondere bei Core-Objekten</w:t>
      </w:r>
      <w:r w:rsidR="002E7AA5" w:rsidRPr="002E7AA5">
        <w:rPr>
          <w:rFonts w:ascii="Arial" w:hAnsi="Arial" w:cs="Arial"/>
          <w:i/>
          <w:sz w:val="20"/>
          <w:szCs w:val="20"/>
        </w:rPr>
        <w:t xml:space="preserve">. </w:t>
      </w:r>
      <w:r w:rsidR="002F1F2D">
        <w:rPr>
          <w:rFonts w:ascii="Arial" w:hAnsi="Arial" w:cs="Arial"/>
          <w:i/>
          <w:sz w:val="20"/>
          <w:szCs w:val="20"/>
        </w:rPr>
        <w:t xml:space="preserve">Aufgrund der positiven Entwicklung des wieder erstarkten Büromarktes </w:t>
      </w:r>
      <w:r w:rsidR="00981DE0">
        <w:rPr>
          <w:rFonts w:ascii="Arial" w:hAnsi="Arial" w:cs="Arial"/>
          <w:i/>
          <w:sz w:val="20"/>
          <w:szCs w:val="20"/>
        </w:rPr>
        <w:t xml:space="preserve">weichen Investoren </w:t>
      </w:r>
      <w:r w:rsidR="00F84A19">
        <w:rPr>
          <w:rFonts w:ascii="Arial" w:hAnsi="Arial" w:cs="Arial"/>
          <w:i/>
          <w:sz w:val="20"/>
          <w:szCs w:val="20"/>
        </w:rPr>
        <w:t>nun auch wieder</w:t>
      </w:r>
      <w:r w:rsidR="00981DE0">
        <w:rPr>
          <w:rFonts w:ascii="Arial" w:hAnsi="Arial" w:cs="Arial"/>
          <w:i/>
          <w:sz w:val="20"/>
          <w:szCs w:val="20"/>
        </w:rPr>
        <w:t xml:space="preserve"> auf andere Risikoklassen aus</w:t>
      </w:r>
      <w:r w:rsidR="002E7AA5" w:rsidRPr="002E7AA5">
        <w:rPr>
          <w:rFonts w:ascii="Arial" w:hAnsi="Arial" w:cs="Arial"/>
          <w:i/>
          <w:sz w:val="20"/>
          <w:szCs w:val="20"/>
        </w:rPr>
        <w:t>“,</w:t>
      </w:r>
      <w:r w:rsidR="002E7AA5">
        <w:rPr>
          <w:rFonts w:ascii="Arial" w:hAnsi="Arial" w:cs="Arial"/>
          <w:sz w:val="20"/>
          <w:szCs w:val="20"/>
        </w:rPr>
        <w:t xml:space="preserve"> so </w:t>
      </w:r>
      <w:r w:rsidR="002E7AA5" w:rsidRPr="002E7AA5">
        <w:rPr>
          <w:rFonts w:ascii="Arial" w:hAnsi="Arial" w:cs="Arial"/>
          <w:b/>
          <w:sz w:val="20"/>
          <w:szCs w:val="20"/>
        </w:rPr>
        <w:t>Ludwig</w:t>
      </w:r>
      <w:r w:rsidR="002E7AA5">
        <w:rPr>
          <w:rFonts w:ascii="Arial" w:hAnsi="Arial" w:cs="Arial"/>
          <w:sz w:val="20"/>
          <w:szCs w:val="20"/>
        </w:rPr>
        <w:t xml:space="preserve"> weiter.</w:t>
      </w:r>
      <w:r w:rsidR="00F745DE">
        <w:rPr>
          <w:rFonts w:ascii="Arial" w:hAnsi="Arial" w:cs="Arial"/>
          <w:sz w:val="20"/>
          <w:szCs w:val="20"/>
        </w:rPr>
        <w:t xml:space="preserve"> </w:t>
      </w:r>
      <w:r w:rsidR="00573D11">
        <w:rPr>
          <w:rFonts w:ascii="Arial" w:hAnsi="Arial" w:cs="Arial"/>
          <w:sz w:val="20"/>
          <w:szCs w:val="20"/>
        </w:rPr>
        <w:t>Für das Jahresende erwartet Grossmann &amp; Berger ein weiter aufblühendes Marktgeschehen, das für ein solides Transaktionsergebnis sorgen dürfte.</w:t>
      </w:r>
    </w:p>
    <w:p w14:paraId="350A348B" w14:textId="77777777" w:rsidR="00257596" w:rsidRDefault="00257596" w:rsidP="00F91D2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1A9EE166" w14:textId="20D01EF9" w:rsidR="00223C8C" w:rsidRDefault="00223C8C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den ersten drei Quartalen 2021 wurden vier </w:t>
      </w:r>
      <w:r w:rsidRPr="005A6282">
        <w:rPr>
          <w:rFonts w:ascii="Arial" w:hAnsi="Arial" w:cs="Arial"/>
          <w:sz w:val="20"/>
          <w:szCs w:val="20"/>
          <w:u w:val="single"/>
        </w:rPr>
        <w:t>Transaktionen über 100 Mio. €</w:t>
      </w:r>
      <w:r>
        <w:rPr>
          <w:rFonts w:ascii="Arial" w:hAnsi="Arial" w:cs="Arial"/>
          <w:sz w:val="20"/>
          <w:szCs w:val="20"/>
        </w:rPr>
        <w:t xml:space="preserve"> mit einem Volumenteil von 32 % getätigt. </w:t>
      </w:r>
      <w:r w:rsidR="009E1C67">
        <w:rPr>
          <w:rFonts w:ascii="Arial" w:hAnsi="Arial" w:cs="Arial"/>
          <w:sz w:val="20"/>
          <w:szCs w:val="20"/>
        </w:rPr>
        <w:t>Darunter fällt</w:t>
      </w:r>
      <w:r w:rsidR="00D341F9">
        <w:rPr>
          <w:rFonts w:ascii="Arial" w:hAnsi="Arial" w:cs="Arial"/>
          <w:sz w:val="20"/>
          <w:szCs w:val="20"/>
        </w:rPr>
        <w:t xml:space="preserve"> die Veräußerung des „Multimedia </w:t>
      </w:r>
      <w:proofErr w:type="spellStart"/>
      <w:r w:rsidR="00D341F9">
        <w:rPr>
          <w:rFonts w:ascii="Arial" w:hAnsi="Arial" w:cs="Arial"/>
          <w:sz w:val="20"/>
          <w:szCs w:val="20"/>
        </w:rPr>
        <w:t>Centre</w:t>
      </w:r>
      <w:proofErr w:type="spellEnd"/>
      <w:r w:rsidR="00D92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6B4">
        <w:rPr>
          <w:rFonts w:ascii="Arial" w:hAnsi="Arial" w:cs="Arial"/>
          <w:sz w:val="20"/>
          <w:szCs w:val="20"/>
        </w:rPr>
        <w:t>Rotherbaum</w:t>
      </w:r>
      <w:proofErr w:type="spellEnd"/>
      <w:r w:rsidR="00D341F9">
        <w:rPr>
          <w:rFonts w:ascii="Arial" w:hAnsi="Arial" w:cs="Arial"/>
          <w:sz w:val="20"/>
          <w:szCs w:val="20"/>
        </w:rPr>
        <w:t xml:space="preserve">“ von </w:t>
      </w:r>
      <w:r w:rsidR="00400B1D">
        <w:rPr>
          <w:rFonts w:ascii="Arial" w:hAnsi="Arial" w:cs="Arial"/>
          <w:sz w:val="20"/>
          <w:szCs w:val="20"/>
        </w:rPr>
        <w:t>der Vermögensverwaltung Jahr an Values Real Estate</w:t>
      </w:r>
      <w:r w:rsidR="00D341F9">
        <w:rPr>
          <w:rFonts w:ascii="Arial" w:hAnsi="Arial" w:cs="Arial"/>
          <w:sz w:val="20"/>
          <w:szCs w:val="20"/>
        </w:rPr>
        <w:t xml:space="preserve"> für</w:t>
      </w:r>
      <w:r w:rsidR="004611DC">
        <w:rPr>
          <w:rFonts w:ascii="Arial" w:hAnsi="Arial" w:cs="Arial"/>
          <w:sz w:val="20"/>
          <w:szCs w:val="20"/>
        </w:rPr>
        <w:t xml:space="preserve"> </w:t>
      </w:r>
      <w:r w:rsidR="0098287E">
        <w:rPr>
          <w:rFonts w:ascii="Arial" w:hAnsi="Arial" w:cs="Arial"/>
          <w:sz w:val="20"/>
          <w:szCs w:val="20"/>
        </w:rPr>
        <w:t>rund</w:t>
      </w:r>
      <w:r w:rsidR="00D341F9">
        <w:rPr>
          <w:rFonts w:ascii="Arial" w:hAnsi="Arial" w:cs="Arial"/>
          <w:sz w:val="20"/>
          <w:szCs w:val="20"/>
        </w:rPr>
        <w:t xml:space="preserve"> 170 Mio. €</w:t>
      </w:r>
      <w:r w:rsidR="005A6282">
        <w:rPr>
          <w:rFonts w:ascii="Arial" w:hAnsi="Arial" w:cs="Arial"/>
          <w:sz w:val="20"/>
          <w:szCs w:val="20"/>
        </w:rPr>
        <w:t xml:space="preserve"> als größtem</w:t>
      </w:r>
      <w:r w:rsidR="0098287E">
        <w:rPr>
          <w:rFonts w:ascii="Arial" w:hAnsi="Arial" w:cs="Arial"/>
          <w:sz w:val="20"/>
          <w:szCs w:val="20"/>
        </w:rPr>
        <w:t xml:space="preserve"> neuen Abschluss zwischen Juli und September</w:t>
      </w:r>
      <w:r w:rsidR="00D341F9">
        <w:rPr>
          <w:rFonts w:ascii="Arial" w:hAnsi="Arial" w:cs="Arial"/>
          <w:sz w:val="20"/>
          <w:szCs w:val="20"/>
        </w:rPr>
        <w:t>.</w:t>
      </w:r>
    </w:p>
    <w:p w14:paraId="352FAC56" w14:textId="2CDA4CE0" w:rsidR="00597258" w:rsidRDefault="00597258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einem Anteil von 62 % </w:t>
      </w:r>
      <w:r w:rsidR="00D926B4">
        <w:rPr>
          <w:rFonts w:ascii="Arial" w:hAnsi="Arial" w:cs="Arial"/>
          <w:sz w:val="20"/>
          <w:szCs w:val="20"/>
        </w:rPr>
        <w:t>behaupteten</w:t>
      </w:r>
      <w:r>
        <w:rPr>
          <w:rFonts w:ascii="Arial" w:hAnsi="Arial" w:cs="Arial"/>
          <w:sz w:val="20"/>
          <w:szCs w:val="20"/>
        </w:rPr>
        <w:t xml:space="preserve"> sich Büro-Immobilien zum Ende des 3. Quartals 2021 als begehrte</w:t>
      </w:r>
      <w:r w:rsidR="00AE6AAA">
        <w:rPr>
          <w:rFonts w:ascii="Arial" w:hAnsi="Arial" w:cs="Arial"/>
          <w:sz w:val="20"/>
          <w:szCs w:val="20"/>
        </w:rPr>
        <w:t>ste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758">
        <w:rPr>
          <w:rFonts w:ascii="Arial" w:hAnsi="Arial" w:cs="Arial"/>
          <w:sz w:val="20"/>
          <w:szCs w:val="20"/>
          <w:u w:val="single"/>
        </w:rPr>
        <w:t>Assetklasse</w:t>
      </w:r>
      <w:proofErr w:type="spellEnd"/>
      <w:r>
        <w:rPr>
          <w:rFonts w:ascii="Arial" w:hAnsi="Arial" w:cs="Arial"/>
          <w:sz w:val="20"/>
          <w:szCs w:val="20"/>
        </w:rPr>
        <w:t>, an die die Investoren trotz Veränderungen in der Arbeitswelt glauben. Der Anteil von Logistik-Immobilien schrumpfte auf 12 % (Q3/2020: 20 %), der Anteil von Mischnutzungs-Objekten blieb mit 11 % stabil.</w:t>
      </w:r>
    </w:p>
    <w:p w14:paraId="05146798" w14:textId="67DE58FD" w:rsidR="0098080C" w:rsidRDefault="000464D0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8080C">
        <w:rPr>
          <w:rFonts w:ascii="Arial" w:hAnsi="Arial" w:cs="Arial"/>
          <w:sz w:val="20"/>
          <w:szCs w:val="20"/>
        </w:rPr>
        <w:t xml:space="preserve">er </w:t>
      </w:r>
      <w:r w:rsidR="0098080C" w:rsidRPr="006B7CF3">
        <w:rPr>
          <w:rFonts w:ascii="Arial" w:hAnsi="Arial" w:cs="Arial"/>
          <w:sz w:val="20"/>
          <w:szCs w:val="20"/>
          <w:u w:val="single"/>
        </w:rPr>
        <w:t>Teilmarkt</w:t>
      </w:r>
      <w:r w:rsidR="00D341F9">
        <w:rPr>
          <w:rFonts w:ascii="Arial" w:hAnsi="Arial" w:cs="Arial"/>
          <w:sz w:val="20"/>
          <w:szCs w:val="20"/>
        </w:rPr>
        <w:t xml:space="preserve"> Hamburg Ost (17</w:t>
      </w:r>
      <w:r w:rsidR="0098080C">
        <w:rPr>
          <w:rFonts w:ascii="Arial" w:hAnsi="Arial" w:cs="Arial"/>
          <w:sz w:val="20"/>
          <w:szCs w:val="20"/>
        </w:rPr>
        <w:t xml:space="preserve"> Transaktionen) </w:t>
      </w:r>
      <w:r>
        <w:rPr>
          <w:rFonts w:ascii="Arial" w:hAnsi="Arial" w:cs="Arial"/>
          <w:sz w:val="20"/>
          <w:szCs w:val="20"/>
        </w:rPr>
        <w:t>setzte s</w:t>
      </w:r>
      <w:r w:rsidR="00D341F9">
        <w:rPr>
          <w:rFonts w:ascii="Arial" w:hAnsi="Arial" w:cs="Arial"/>
          <w:sz w:val="20"/>
          <w:szCs w:val="20"/>
        </w:rPr>
        <w:t>ich mit einem Anteil von rund 27</w:t>
      </w:r>
      <w:r>
        <w:rPr>
          <w:rFonts w:ascii="Arial" w:hAnsi="Arial" w:cs="Arial"/>
          <w:sz w:val="20"/>
          <w:szCs w:val="20"/>
        </w:rPr>
        <w:t xml:space="preserve"> % am </w:t>
      </w:r>
      <w:r w:rsidR="005A6282">
        <w:rPr>
          <w:rFonts w:ascii="Arial" w:hAnsi="Arial" w:cs="Arial"/>
          <w:sz w:val="20"/>
          <w:szCs w:val="20"/>
        </w:rPr>
        <w:t>TAV</w:t>
      </w:r>
      <w:r w:rsidR="00D341F9">
        <w:rPr>
          <w:rFonts w:ascii="Arial" w:hAnsi="Arial" w:cs="Arial"/>
          <w:sz w:val="20"/>
          <w:szCs w:val="20"/>
        </w:rPr>
        <w:t xml:space="preserve"> vor den Teilmärkten City (15 %) und St. Georg (15</w:t>
      </w:r>
      <w:r>
        <w:rPr>
          <w:rFonts w:ascii="Arial" w:hAnsi="Arial" w:cs="Arial"/>
          <w:sz w:val="20"/>
          <w:szCs w:val="20"/>
        </w:rPr>
        <w:t xml:space="preserve"> %) </w:t>
      </w:r>
      <w:r w:rsidR="0098080C">
        <w:rPr>
          <w:rFonts w:ascii="Arial" w:hAnsi="Arial" w:cs="Arial"/>
          <w:sz w:val="20"/>
          <w:szCs w:val="20"/>
        </w:rPr>
        <w:t xml:space="preserve">an die Spitze. </w:t>
      </w:r>
    </w:p>
    <w:p w14:paraId="2612E83C" w14:textId="1F750003" w:rsidR="00B977A6" w:rsidRDefault="00B977A6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Anteil an </w:t>
      </w:r>
      <w:r w:rsidRPr="00241042">
        <w:rPr>
          <w:rFonts w:ascii="Arial" w:hAnsi="Arial" w:cs="Arial"/>
          <w:sz w:val="20"/>
          <w:szCs w:val="20"/>
          <w:u w:val="single"/>
        </w:rPr>
        <w:t>Portfoliotransaktionen</w:t>
      </w:r>
      <w:r>
        <w:rPr>
          <w:rFonts w:ascii="Arial" w:hAnsi="Arial" w:cs="Arial"/>
          <w:sz w:val="20"/>
          <w:szCs w:val="20"/>
        </w:rPr>
        <w:t xml:space="preserve"> </w:t>
      </w:r>
      <w:r w:rsidR="00AE6AAA">
        <w:rPr>
          <w:rFonts w:ascii="Arial" w:hAnsi="Arial" w:cs="Arial"/>
          <w:sz w:val="20"/>
          <w:szCs w:val="20"/>
        </w:rPr>
        <w:t>sank</w:t>
      </w:r>
      <w:r>
        <w:rPr>
          <w:rFonts w:ascii="Arial" w:hAnsi="Arial" w:cs="Arial"/>
          <w:sz w:val="20"/>
          <w:szCs w:val="20"/>
        </w:rPr>
        <w:t xml:space="preserve"> um </w:t>
      </w:r>
      <w:r w:rsidR="00C80ABA">
        <w:rPr>
          <w:rFonts w:ascii="Arial" w:hAnsi="Arial" w:cs="Arial"/>
          <w:sz w:val="20"/>
          <w:szCs w:val="20"/>
        </w:rPr>
        <w:t>rund 50 %</w:t>
      </w:r>
      <w:r>
        <w:rPr>
          <w:rFonts w:ascii="Arial" w:hAnsi="Arial" w:cs="Arial"/>
          <w:sz w:val="20"/>
          <w:szCs w:val="20"/>
        </w:rPr>
        <w:t xml:space="preserve"> gegenü</w:t>
      </w:r>
      <w:r w:rsidR="00C80ABA">
        <w:rPr>
          <w:rFonts w:ascii="Arial" w:hAnsi="Arial" w:cs="Arial"/>
          <w:sz w:val="20"/>
          <w:szCs w:val="20"/>
        </w:rPr>
        <w:t>ber dem Vorjahreszeitraum auf 19</w:t>
      </w:r>
      <w:r>
        <w:rPr>
          <w:rFonts w:ascii="Arial" w:hAnsi="Arial" w:cs="Arial"/>
          <w:sz w:val="20"/>
          <w:szCs w:val="20"/>
        </w:rPr>
        <w:t xml:space="preserve"> %. </w:t>
      </w:r>
    </w:p>
    <w:p w14:paraId="4D62E922" w14:textId="09922AE5" w:rsidR="00B977A6" w:rsidRDefault="00B977A6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Fondsmanager (29 %), Projektentwickler (23 %) und Offene Immobilienpublikumsfonds (19 %) bildeten die größten </w:t>
      </w:r>
      <w:r w:rsidRPr="00B977A6">
        <w:rPr>
          <w:rFonts w:ascii="Arial" w:hAnsi="Arial" w:cs="Arial"/>
          <w:sz w:val="20"/>
          <w:szCs w:val="20"/>
          <w:u w:val="single"/>
        </w:rPr>
        <w:t>Käufergruppen</w:t>
      </w:r>
      <w:r>
        <w:rPr>
          <w:rFonts w:ascii="Arial" w:hAnsi="Arial" w:cs="Arial"/>
          <w:sz w:val="20"/>
          <w:szCs w:val="20"/>
        </w:rPr>
        <w:t xml:space="preserve">. Die stärkste </w:t>
      </w:r>
      <w:r w:rsidRPr="00B977A6">
        <w:rPr>
          <w:rFonts w:ascii="Arial" w:hAnsi="Arial" w:cs="Arial"/>
          <w:sz w:val="20"/>
          <w:szCs w:val="20"/>
          <w:u w:val="single"/>
        </w:rPr>
        <w:t>Verkäufergruppe</w:t>
      </w:r>
      <w:r>
        <w:rPr>
          <w:rFonts w:ascii="Arial" w:hAnsi="Arial" w:cs="Arial"/>
          <w:sz w:val="20"/>
          <w:szCs w:val="20"/>
        </w:rPr>
        <w:t xml:space="preserve"> stellten </w:t>
      </w:r>
      <w:r w:rsidR="00C80ABA">
        <w:rPr>
          <w:rFonts w:ascii="Arial" w:hAnsi="Arial" w:cs="Arial"/>
          <w:sz w:val="20"/>
          <w:szCs w:val="20"/>
        </w:rPr>
        <w:t xml:space="preserve">ebenfalls </w:t>
      </w:r>
      <w:r>
        <w:rPr>
          <w:rFonts w:ascii="Arial" w:hAnsi="Arial" w:cs="Arial"/>
          <w:sz w:val="20"/>
          <w:szCs w:val="20"/>
        </w:rPr>
        <w:t xml:space="preserve">Fondsmanager (21 %), dicht gefolgt von </w:t>
      </w:r>
      <w:proofErr w:type="spellStart"/>
      <w:r>
        <w:rPr>
          <w:rFonts w:ascii="Arial" w:hAnsi="Arial" w:cs="Arial"/>
          <w:sz w:val="20"/>
          <w:szCs w:val="20"/>
        </w:rPr>
        <w:t>Corporates</w:t>
      </w:r>
      <w:proofErr w:type="spellEnd"/>
      <w:r>
        <w:rPr>
          <w:rFonts w:ascii="Arial" w:hAnsi="Arial" w:cs="Arial"/>
          <w:sz w:val="20"/>
          <w:szCs w:val="20"/>
        </w:rPr>
        <w:t xml:space="preserve">/Eigennutzern und Projektentwicklern mit jeweils 20 %. </w:t>
      </w:r>
    </w:p>
    <w:p w14:paraId="15354D0C" w14:textId="5786A63D" w:rsidR="000D75CE" w:rsidRDefault="000D75CE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Anteil </w:t>
      </w:r>
      <w:r w:rsidRPr="00D9090D">
        <w:rPr>
          <w:rFonts w:ascii="Arial" w:hAnsi="Arial" w:cs="Arial"/>
          <w:sz w:val="20"/>
          <w:szCs w:val="20"/>
          <w:u w:val="single"/>
        </w:rPr>
        <w:t>ausländischer Käufer</w:t>
      </w:r>
      <w:r>
        <w:rPr>
          <w:rFonts w:ascii="Arial" w:hAnsi="Arial" w:cs="Arial"/>
          <w:sz w:val="20"/>
          <w:szCs w:val="20"/>
        </w:rPr>
        <w:t xml:space="preserve"> </w:t>
      </w:r>
      <w:r w:rsidR="00D9090D">
        <w:rPr>
          <w:rFonts w:ascii="Arial" w:hAnsi="Arial" w:cs="Arial"/>
          <w:sz w:val="20"/>
          <w:szCs w:val="20"/>
        </w:rPr>
        <w:t>lag mit 17</w:t>
      </w:r>
      <w:r>
        <w:rPr>
          <w:rFonts w:ascii="Arial" w:hAnsi="Arial" w:cs="Arial"/>
          <w:sz w:val="20"/>
          <w:szCs w:val="20"/>
        </w:rPr>
        <w:t xml:space="preserve"> % weiterhin </w:t>
      </w:r>
      <w:r w:rsidR="00D9090D">
        <w:rPr>
          <w:rFonts w:ascii="Arial" w:hAnsi="Arial" w:cs="Arial"/>
          <w:sz w:val="20"/>
          <w:szCs w:val="20"/>
        </w:rPr>
        <w:t>deutlich unter Vorjahresniveau (41 %)</w:t>
      </w:r>
      <w:r>
        <w:rPr>
          <w:rFonts w:ascii="Arial" w:hAnsi="Arial" w:cs="Arial"/>
          <w:sz w:val="20"/>
          <w:szCs w:val="20"/>
        </w:rPr>
        <w:t xml:space="preserve">. </w:t>
      </w:r>
      <w:r w:rsidR="00D9090D">
        <w:rPr>
          <w:rFonts w:ascii="Arial" w:hAnsi="Arial" w:cs="Arial"/>
          <w:sz w:val="20"/>
          <w:szCs w:val="20"/>
        </w:rPr>
        <w:t xml:space="preserve">Der Anteil der </w:t>
      </w:r>
      <w:r w:rsidR="00D9090D" w:rsidRPr="00D9090D">
        <w:rPr>
          <w:rFonts w:ascii="Arial" w:hAnsi="Arial" w:cs="Arial"/>
          <w:sz w:val="20"/>
          <w:szCs w:val="20"/>
          <w:u w:val="single"/>
        </w:rPr>
        <w:t>internationalen Verkäufer</w:t>
      </w:r>
      <w:r w:rsidR="00D9090D">
        <w:rPr>
          <w:rFonts w:ascii="Arial" w:hAnsi="Arial" w:cs="Arial"/>
          <w:sz w:val="20"/>
          <w:szCs w:val="20"/>
        </w:rPr>
        <w:t xml:space="preserve"> zeigte sich mit 19 % stabil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9D54FF6" w14:textId="3B53EA16" w:rsidR="008A2BA4" w:rsidRDefault="005C108C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hohe Nachfrage drückt weiter auf die</w:t>
      </w:r>
      <w:r w:rsidR="00241526" w:rsidRPr="00241526">
        <w:rPr>
          <w:rFonts w:ascii="Arial" w:hAnsi="Arial" w:cs="Arial"/>
          <w:sz w:val="20"/>
          <w:szCs w:val="20"/>
        </w:rPr>
        <w:t xml:space="preserve"> </w:t>
      </w:r>
      <w:r w:rsidR="00241526" w:rsidRPr="00F67EAF">
        <w:rPr>
          <w:rFonts w:ascii="Arial" w:hAnsi="Arial" w:cs="Arial"/>
          <w:sz w:val="20"/>
          <w:szCs w:val="20"/>
          <w:u w:val="single"/>
        </w:rPr>
        <w:t>Spitzenrenditen</w:t>
      </w:r>
      <w:r w:rsidR="00241526">
        <w:rPr>
          <w:rFonts w:ascii="Arial" w:hAnsi="Arial" w:cs="Arial"/>
          <w:sz w:val="20"/>
          <w:szCs w:val="20"/>
        </w:rPr>
        <w:t xml:space="preserve"> für Büro- und Logistik-Immobilien</w:t>
      </w:r>
      <w:r>
        <w:rPr>
          <w:rFonts w:ascii="Arial" w:hAnsi="Arial" w:cs="Arial"/>
          <w:sz w:val="20"/>
          <w:szCs w:val="20"/>
        </w:rPr>
        <w:t>: I</w:t>
      </w:r>
      <w:r w:rsidR="00241526">
        <w:rPr>
          <w:rFonts w:ascii="Arial" w:hAnsi="Arial" w:cs="Arial"/>
          <w:sz w:val="20"/>
          <w:szCs w:val="20"/>
        </w:rPr>
        <w:t>m Vergleich zum Vorjahr</w:t>
      </w:r>
      <w:r>
        <w:rPr>
          <w:rFonts w:ascii="Arial" w:hAnsi="Arial" w:cs="Arial"/>
          <w:sz w:val="20"/>
          <w:szCs w:val="20"/>
        </w:rPr>
        <w:t xml:space="preserve"> sank</w:t>
      </w:r>
      <w:r w:rsidR="00241526" w:rsidRPr="002415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241526">
        <w:rPr>
          <w:rFonts w:ascii="Arial" w:hAnsi="Arial" w:cs="Arial"/>
          <w:sz w:val="20"/>
          <w:szCs w:val="20"/>
        </w:rPr>
        <w:t xml:space="preserve">ie </w:t>
      </w:r>
      <w:r w:rsidR="00241526" w:rsidRPr="00241526">
        <w:rPr>
          <w:rFonts w:ascii="Arial" w:hAnsi="Arial" w:cs="Arial"/>
          <w:sz w:val="20"/>
          <w:szCs w:val="20"/>
        </w:rPr>
        <w:t xml:space="preserve">Büro-Rendite </w:t>
      </w:r>
      <w:r w:rsidR="00C80ABA">
        <w:rPr>
          <w:rFonts w:ascii="Arial" w:hAnsi="Arial" w:cs="Arial"/>
          <w:sz w:val="20"/>
          <w:szCs w:val="20"/>
        </w:rPr>
        <w:t>um 7 %</w:t>
      </w:r>
      <w:r w:rsidR="00064CAC">
        <w:rPr>
          <w:rFonts w:ascii="Arial" w:hAnsi="Arial" w:cs="Arial"/>
          <w:sz w:val="20"/>
          <w:szCs w:val="20"/>
        </w:rPr>
        <w:t xml:space="preserve"> </w:t>
      </w:r>
      <w:r w:rsidR="008E3F75">
        <w:rPr>
          <w:rFonts w:ascii="Arial" w:hAnsi="Arial" w:cs="Arial"/>
          <w:sz w:val="20"/>
          <w:szCs w:val="20"/>
        </w:rPr>
        <w:t>auf 2,6</w:t>
      </w:r>
      <w:r w:rsidR="00241526" w:rsidRPr="00241526">
        <w:rPr>
          <w:rFonts w:ascii="Arial" w:hAnsi="Arial" w:cs="Arial"/>
          <w:sz w:val="20"/>
          <w:szCs w:val="20"/>
        </w:rPr>
        <w:t xml:space="preserve">0 %, </w:t>
      </w:r>
      <w:r w:rsidR="00241526">
        <w:rPr>
          <w:rFonts w:ascii="Arial" w:hAnsi="Arial" w:cs="Arial"/>
          <w:sz w:val="20"/>
          <w:szCs w:val="20"/>
        </w:rPr>
        <w:t xml:space="preserve">die </w:t>
      </w:r>
      <w:r w:rsidR="00241526" w:rsidRPr="00241526">
        <w:rPr>
          <w:rFonts w:ascii="Arial" w:hAnsi="Arial" w:cs="Arial"/>
          <w:sz w:val="20"/>
          <w:szCs w:val="20"/>
        </w:rPr>
        <w:t>Rendite für Industrie-</w:t>
      </w:r>
      <w:r w:rsidR="00241526">
        <w:rPr>
          <w:rFonts w:ascii="Arial" w:hAnsi="Arial" w:cs="Arial"/>
          <w:sz w:val="20"/>
          <w:szCs w:val="20"/>
        </w:rPr>
        <w:t xml:space="preserve"> und </w:t>
      </w:r>
      <w:r w:rsidR="00241526" w:rsidRPr="00241526">
        <w:rPr>
          <w:rFonts w:ascii="Arial" w:hAnsi="Arial" w:cs="Arial"/>
          <w:sz w:val="20"/>
          <w:szCs w:val="20"/>
        </w:rPr>
        <w:t>Logistik</w:t>
      </w:r>
      <w:r w:rsidR="00241526">
        <w:rPr>
          <w:rFonts w:ascii="Arial" w:hAnsi="Arial" w:cs="Arial"/>
          <w:sz w:val="20"/>
          <w:szCs w:val="20"/>
        </w:rPr>
        <w:t>-I</w:t>
      </w:r>
      <w:r w:rsidR="00241526" w:rsidRPr="00241526">
        <w:rPr>
          <w:rFonts w:ascii="Arial" w:hAnsi="Arial" w:cs="Arial"/>
          <w:sz w:val="20"/>
          <w:szCs w:val="20"/>
        </w:rPr>
        <w:t xml:space="preserve">mmobilien </w:t>
      </w:r>
      <w:r w:rsidR="00C80ABA">
        <w:rPr>
          <w:rFonts w:ascii="Arial" w:hAnsi="Arial" w:cs="Arial"/>
          <w:sz w:val="20"/>
          <w:szCs w:val="20"/>
        </w:rPr>
        <w:t>sank um 17 % auf 3,5</w:t>
      </w:r>
      <w:r w:rsidR="00241526" w:rsidRPr="00241526">
        <w:rPr>
          <w:rFonts w:ascii="Arial" w:hAnsi="Arial" w:cs="Arial"/>
          <w:sz w:val="20"/>
          <w:szCs w:val="20"/>
        </w:rPr>
        <w:t>0</w:t>
      </w:r>
      <w:r w:rsidR="00241526">
        <w:rPr>
          <w:rFonts w:ascii="Arial" w:hAnsi="Arial" w:cs="Arial"/>
          <w:sz w:val="20"/>
          <w:szCs w:val="20"/>
        </w:rPr>
        <w:t> </w:t>
      </w:r>
      <w:r w:rsidR="00241526" w:rsidRPr="00241526">
        <w:rPr>
          <w:rFonts w:ascii="Arial" w:hAnsi="Arial" w:cs="Arial"/>
          <w:sz w:val="20"/>
          <w:szCs w:val="20"/>
        </w:rPr>
        <w:t>%</w:t>
      </w:r>
      <w:r w:rsidR="00241526">
        <w:rPr>
          <w:rFonts w:ascii="Arial" w:hAnsi="Arial" w:cs="Arial"/>
          <w:sz w:val="20"/>
          <w:szCs w:val="20"/>
        </w:rPr>
        <w:t>.</w:t>
      </w:r>
      <w:r w:rsidR="00241526" w:rsidRPr="00241526">
        <w:rPr>
          <w:rFonts w:ascii="Arial" w:hAnsi="Arial" w:cs="Arial"/>
          <w:sz w:val="20"/>
          <w:szCs w:val="20"/>
        </w:rPr>
        <w:t xml:space="preserve"> </w:t>
      </w:r>
      <w:r w:rsidR="00241526">
        <w:rPr>
          <w:rFonts w:ascii="Arial" w:hAnsi="Arial" w:cs="Arial"/>
          <w:sz w:val="20"/>
          <w:szCs w:val="20"/>
        </w:rPr>
        <w:t xml:space="preserve">Die </w:t>
      </w:r>
      <w:r w:rsidR="0069613C">
        <w:rPr>
          <w:rFonts w:ascii="Arial" w:hAnsi="Arial" w:cs="Arial"/>
          <w:sz w:val="20"/>
          <w:szCs w:val="20"/>
        </w:rPr>
        <w:t>Spitzenr</w:t>
      </w:r>
      <w:r w:rsidR="00241526">
        <w:rPr>
          <w:rFonts w:ascii="Arial" w:hAnsi="Arial" w:cs="Arial"/>
          <w:sz w:val="20"/>
          <w:szCs w:val="20"/>
        </w:rPr>
        <w:t xml:space="preserve">endite für </w:t>
      </w:r>
      <w:r w:rsidR="00241526" w:rsidRPr="00241526">
        <w:rPr>
          <w:rFonts w:ascii="Arial" w:hAnsi="Arial" w:cs="Arial"/>
          <w:sz w:val="20"/>
          <w:szCs w:val="20"/>
        </w:rPr>
        <w:t>Geschäftshäuser blieb stabil bei 2,70 %.</w:t>
      </w:r>
    </w:p>
    <w:p w14:paraId="141C0D85" w14:textId="1AC09961" w:rsidR="008E3F75" w:rsidRDefault="008E3F75" w:rsidP="008E3F75">
      <w:pPr>
        <w:pStyle w:val="Listenabsatz"/>
        <w:spacing w:after="0" w:line="36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p w14:paraId="69C8E438" w14:textId="77777777" w:rsidR="00AE6AAA" w:rsidRDefault="00AE6AAA" w:rsidP="008E3F75">
      <w:pPr>
        <w:pStyle w:val="Listenabsatz"/>
        <w:spacing w:after="0" w:line="36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p w14:paraId="53A5DCD3" w14:textId="77777777" w:rsidR="00C80ABA" w:rsidRDefault="00C80ABA" w:rsidP="008E3F75">
      <w:pPr>
        <w:pStyle w:val="Listenabsatz"/>
        <w:spacing w:after="0" w:line="36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5E3A2A" w:rsidRPr="006F49D0" w14:paraId="673C20C7" w14:textId="77777777" w:rsidTr="005E3A2A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7D687BA4" w14:textId="77777777" w:rsidR="005E3A2A" w:rsidRPr="004712BA" w:rsidRDefault="005E3A2A" w:rsidP="005E3A2A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Hamburg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1F242B" w:themeFill="accent2"/>
          </w:tcPr>
          <w:p w14:paraId="2C5C2D21" w14:textId="2DDAA3A0" w:rsidR="005E3A2A" w:rsidRPr="004712BA" w:rsidRDefault="005E3A2A" w:rsidP="005E3A2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 w:rsidR="009274EA">
              <w:rPr>
                <w:rFonts w:ascii="Arial" w:hAnsi="Arial" w:cs="Arial"/>
                <w:b/>
                <w:sz w:val="18"/>
                <w:szCs w:val="16"/>
              </w:rPr>
              <w:t>1-3</w:t>
            </w:r>
          </w:p>
        </w:tc>
      </w:tr>
      <w:tr w:rsidR="005E3A2A" w:rsidRPr="006F49D0" w14:paraId="6FC2A8CA" w14:textId="77777777" w:rsidTr="00E771E0">
        <w:trPr>
          <w:trHeight w:val="193"/>
        </w:trPr>
        <w:tc>
          <w:tcPr>
            <w:tcW w:w="3823" w:type="dxa"/>
          </w:tcPr>
          <w:p w14:paraId="08C271AD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268FA53C" w14:textId="33BD2DDF" w:rsidR="005E3A2A" w:rsidRPr="00E771E0" w:rsidRDefault="00E771E0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771E0">
              <w:rPr>
                <w:rFonts w:ascii="Arial" w:hAnsi="Arial" w:cs="Arial"/>
                <w:sz w:val="18"/>
                <w:szCs w:val="16"/>
              </w:rPr>
              <w:t>2.10</w:t>
            </w:r>
            <w:r w:rsidR="005E3A2A" w:rsidRPr="00E771E0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5E3A2A" w:rsidRPr="006F49D0" w14:paraId="3A65387B" w14:textId="77777777" w:rsidTr="005E3A2A">
        <w:trPr>
          <w:trHeight w:val="283"/>
        </w:trPr>
        <w:tc>
          <w:tcPr>
            <w:tcW w:w="3823" w:type="dxa"/>
          </w:tcPr>
          <w:p w14:paraId="19D23DDA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319BA066" w14:textId="1B68B69D" w:rsidR="005E3A2A" w:rsidRPr="00E771E0" w:rsidRDefault="00E771E0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771E0">
              <w:rPr>
                <w:rFonts w:ascii="Arial" w:hAnsi="Arial" w:cs="Arial"/>
                <w:sz w:val="18"/>
                <w:szCs w:val="16"/>
              </w:rPr>
              <w:t>-42</w:t>
            </w:r>
          </w:p>
        </w:tc>
      </w:tr>
      <w:tr w:rsidR="005E3A2A" w:rsidRPr="006F49D0" w14:paraId="2AB9E5E4" w14:textId="77777777" w:rsidTr="005E3A2A">
        <w:trPr>
          <w:trHeight w:val="283"/>
        </w:trPr>
        <w:tc>
          <w:tcPr>
            <w:tcW w:w="3823" w:type="dxa"/>
          </w:tcPr>
          <w:p w14:paraId="58348ED7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7358A4DF" w14:textId="2E640628" w:rsidR="005E3A2A" w:rsidRPr="00E771E0" w:rsidRDefault="00E771E0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771E0">
              <w:rPr>
                <w:rFonts w:ascii="Arial" w:hAnsi="Arial" w:cs="Arial"/>
                <w:sz w:val="18"/>
                <w:szCs w:val="16"/>
              </w:rPr>
              <w:t>15</w:t>
            </w:r>
          </w:p>
        </w:tc>
      </w:tr>
      <w:tr w:rsidR="005E3A2A" w:rsidRPr="006F49D0" w14:paraId="7D0BB507" w14:textId="77777777" w:rsidTr="005E3A2A">
        <w:trPr>
          <w:trHeight w:val="283"/>
        </w:trPr>
        <w:tc>
          <w:tcPr>
            <w:tcW w:w="3823" w:type="dxa"/>
          </w:tcPr>
          <w:p w14:paraId="38B51E71" w14:textId="77777777" w:rsidR="005E3A2A" w:rsidRPr="00CF57D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175D9AE3" w14:textId="07B46D63" w:rsidR="005E3A2A" w:rsidRPr="00E771E0" w:rsidRDefault="00E771E0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771E0">
              <w:rPr>
                <w:rFonts w:ascii="Arial" w:hAnsi="Arial" w:cs="Arial"/>
                <w:sz w:val="18"/>
                <w:szCs w:val="16"/>
              </w:rPr>
              <w:t>17</w:t>
            </w:r>
          </w:p>
        </w:tc>
      </w:tr>
      <w:tr w:rsidR="005E3A2A" w:rsidRPr="006F49D0" w14:paraId="29F2F30F" w14:textId="77777777" w:rsidTr="005E3A2A">
        <w:trPr>
          <w:trHeight w:val="283"/>
        </w:trPr>
        <w:tc>
          <w:tcPr>
            <w:tcW w:w="3823" w:type="dxa"/>
          </w:tcPr>
          <w:p w14:paraId="452CC115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60F82010" w14:textId="77777777" w:rsidR="005E3A2A" w:rsidRPr="00E771E0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771E0">
              <w:rPr>
                <w:rFonts w:ascii="Arial" w:hAnsi="Arial" w:cs="Arial"/>
                <w:sz w:val="18"/>
                <w:szCs w:val="16"/>
              </w:rPr>
              <w:t>2,60</w:t>
            </w:r>
          </w:p>
        </w:tc>
      </w:tr>
      <w:tr w:rsidR="005E3A2A" w14:paraId="67803660" w14:textId="77777777" w:rsidTr="005E3A2A">
        <w:trPr>
          <w:trHeight w:val="283"/>
        </w:trPr>
        <w:tc>
          <w:tcPr>
            <w:tcW w:w="3823" w:type="dxa"/>
          </w:tcPr>
          <w:p w14:paraId="686359D8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67A93AD" w14:textId="77777777" w:rsidR="005E3A2A" w:rsidRPr="00E771E0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771E0">
              <w:rPr>
                <w:rFonts w:ascii="Arial" w:hAnsi="Arial" w:cs="Arial"/>
                <w:sz w:val="18"/>
                <w:szCs w:val="16"/>
              </w:rPr>
              <w:t>-0,20</w:t>
            </w:r>
          </w:p>
        </w:tc>
      </w:tr>
      <w:tr w:rsidR="005E3A2A" w:rsidRPr="006F49D0" w14:paraId="6603F78E" w14:textId="77777777" w:rsidTr="005E3A2A">
        <w:trPr>
          <w:trHeight w:val="283"/>
        </w:trPr>
        <w:tc>
          <w:tcPr>
            <w:tcW w:w="3823" w:type="dxa"/>
          </w:tcPr>
          <w:p w14:paraId="3CB2FB9C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396B5761" w14:textId="77777777" w:rsidR="005E3A2A" w:rsidRPr="00F67E03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2,70</w:t>
            </w:r>
          </w:p>
        </w:tc>
      </w:tr>
      <w:tr w:rsidR="005E3A2A" w14:paraId="2E4D905A" w14:textId="77777777" w:rsidTr="005E3A2A">
        <w:trPr>
          <w:trHeight w:val="283"/>
        </w:trPr>
        <w:tc>
          <w:tcPr>
            <w:tcW w:w="3823" w:type="dxa"/>
          </w:tcPr>
          <w:p w14:paraId="413D0230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5C89D216" w14:textId="77777777" w:rsidR="005E3A2A" w:rsidRPr="00F67E03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5E3A2A" w:rsidRPr="006F49D0" w14:paraId="7CFDCAD5" w14:textId="77777777" w:rsidTr="005E3A2A">
        <w:trPr>
          <w:trHeight w:val="283"/>
        </w:trPr>
        <w:tc>
          <w:tcPr>
            <w:tcW w:w="3823" w:type="dxa"/>
          </w:tcPr>
          <w:p w14:paraId="70A797EC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687C20A8" w14:textId="6849FB22" w:rsidR="005E3A2A" w:rsidRPr="00F67E03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3,</w:t>
            </w:r>
            <w:r w:rsidR="00F67E03" w:rsidRPr="00F67E03">
              <w:rPr>
                <w:rFonts w:ascii="Arial" w:hAnsi="Arial" w:cs="Arial"/>
                <w:sz w:val="18"/>
                <w:szCs w:val="16"/>
              </w:rPr>
              <w:t>5</w:t>
            </w:r>
            <w:r w:rsidRPr="00F67E03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5E3A2A" w14:paraId="1E68D707" w14:textId="77777777" w:rsidTr="005E3A2A">
        <w:trPr>
          <w:trHeight w:val="283"/>
        </w:trPr>
        <w:tc>
          <w:tcPr>
            <w:tcW w:w="3823" w:type="dxa"/>
          </w:tcPr>
          <w:p w14:paraId="2F5B4C9C" w14:textId="77777777" w:rsidR="005E3A2A" w:rsidRPr="00A7575D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5C96C0A1" w14:textId="68BF8A4D" w:rsidR="005E3A2A" w:rsidRPr="00F67E03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-0,</w:t>
            </w:r>
            <w:r w:rsidR="00F67E03" w:rsidRPr="00F67E03">
              <w:rPr>
                <w:rFonts w:ascii="Arial" w:hAnsi="Arial" w:cs="Arial"/>
                <w:sz w:val="18"/>
                <w:szCs w:val="16"/>
              </w:rPr>
              <w:t>7</w:t>
            </w:r>
            <w:r w:rsidRPr="00F67E03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5E3A2A" w:rsidRPr="006F49D0" w14:paraId="32327CE7" w14:textId="77777777" w:rsidTr="005E3A2A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370DE8A8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A348F4" w14:textId="77777777" w:rsidR="005E3A2A" w:rsidRPr="00F67E03" w:rsidRDefault="005E3A2A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5E3A2A" w:rsidRPr="006F49D0" w14:paraId="1D20F59C" w14:textId="77777777" w:rsidTr="005E3A2A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55EE6F9A" w14:textId="77777777" w:rsidR="005E3A2A" w:rsidRPr="004712BA" w:rsidRDefault="005E3A2A" w:rsidP="005E3A2A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3C3DF0" w14:textId="7C5C70BC" w:rsidR="005E3A2A" w:rsidRPr="00F67E03" w:rsidRDefault="00F67E03" w:rsidP="005E3A2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62</w:t>
            </w:r>
          </w:p>
        </w:tc>
      </w:tr>
    </w:tbl>
    <w:p w14:paraId="13D61BAD" w14:textId="5A2681A8" w:rsidR="00723A2A" w:rsidRPr="00241526" w:rsidRDefault="000C5904" w:rsidP="008E3F75">
      <w:pPr>
        <w:pStyle w:val="Listenabsatz"/>
        <w:spacing w:after="0" w:line="36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pict w14:anchorId="2404C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6.75pt;margin-top:6.35pt;width:226.75pt;height:160.2pt;z-index:251659264;mso-position-horizontal:absolute;mso-position-horizontal-relative:margin;mso-position-vertical-relative:margin" stroked="t" strokecolor="black [3213]" strokeweight=".25pt">
            <v:imagedata r:id="rId8" o:title="TAV_Hamburg_2021Q1-3"/>
            <w10:wrap type="square" anchorx="margin" anchory="margin"/>
          </v:shape>
        </w:pict>
      </w:r>
    </w:p>
    <w:p w14:paraId="7AFFF209" w14:textId="6F744275" w:rsidR="000A5ED1" w:rsidRPr="00B26FFD" w:rsidRDefault="000A5ED1" w:rsidP="0062200D">
      <w:pPr>
        <w:spacing w:after="0" w:line="360" w:lineRule="auto"/>
        <w:ind w:left="68"/>
        <w:textAlignment w:val="baseline"/>
        <w:rPr>
          <w:rFonts w:ascii="Arial" w:hAnsi="Arial" w:cs="Arial"/>
          <w:sz w:val="20"/>
          <w:szCs w:val="20"/>
        </w:rPr>
      </w:pPr>
    </w:p>
    <w:p w14:paraId="47F53CCE" w14:textId="589E9DAA" w:rsidR="000A5ED1" w:rsidRDefault="000A5ED1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28EF12E" w14:textId="314E0975" w:rsidR="004E7F0F" w:rsidRPr="00A0600B" w:rsidRDefault="004E7F0F" w:rsidP="004E7F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Top-Transaktionen | Investmentmarkt Hamburg | 1.</w:t>
      </w:r>
      <w:r w:rsidR="009274EA">
        <w:rPr>
          <w:rFonts w:ascii="Arial" w:hAnsi="Arial" w:cs="Arial"/>
          <w:b/>
          <w:sz w:val="20"/>
          <w:szCs w:val="20"/>
        </w:rPr>
        <w:t>-3</w:t>
      </w:r>
      <w:r w:rsidR="003A32F7"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2021</w:t>
      </w:r>
    </w:p>
    <w:tbl>
      <w:tblPr>
        <w:tblStyle w:val="TableGrid1"/>
        <w:tblpPr w:leftFromText="141" w:rightFromText="141" w:vertAnchor="text" w:horzAnchor="margin" w:tblpY="61"/>
        <w:tblW w:w="10154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50"/>
        <w:gridCol w:w="1843"/>
        <w:gridCol w:w="2079"/>
        <w:gridCol w:w="1134"/>
      </w:tblGrid>
      <w:tr w:rsidR="004E7F0F" w:rsidRPr="006F49D0" w14:paraId="3216EE8E" w14:textId="77777777" w:rsidTr="005A6282">
        <w:trPr>
          <w:trHeight w:val="567"/>
        </w:trPr>
        <w:tc>
          <w:tcPr>
            <w:tcW w:w="2972" w:type="dxa"/>
            <w:shd w:val="clear" w:color="auto" w:fill="1F242B" w:themeFill="accent2"/>
            <w:vAlign w:val="center"/>
          </w:tcPr>
          <w:p w14:paraId="30C73659" w14:textId="77777777" w:rsidR="004E7F0F" w:rsidRDefault="004E7F0F" w:rsidP="005A628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657CB67E" w14:textId="47843775" w:rsidR="004E7F0F" w:rsidRPr="00C626E7" w:rsidRDefault="004E7F0F" w:rsidP="005A628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Straße Nr.</w:t>
            </w:r>
          </w:p>
        </w:tc>
        <w:tc>
          <w:tcPr>
            <w:tcW w:w="1276" w:type="dxa"/>
            <w:shd w:val="clear" w:color="auto" w:fill="1F242B" w:themeFill="accent2"/>
          </w:tcPr>
          <w:p w14:paraId="7C71E885" w14:textId="77777777" w:rsidR="004E7F0F" w:rsidRPr="009F10F1" w:rsidRDefault="004E7F0F" w:rsidP="005A6282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850" w:type="dxa"/>
            <w:shd w:val="clear" w:color="auto" w:fill="1F242B" w:themeFill="accent2"/>
          </w:tcPr>
          <w:p w14:paraId="38F233F9" w14:textId="77777777" w:rsidR="004E7F0F" w:rsidRPr="009F10F1" w:rsidRDefault="004E7F0F" w:rsidP="005A6282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3EC0A276" w14:textId="77777777" w:rsidR="004E7F0F" w:rsidRPr="009F10F1" w:rsidRDefault="004E7F0F" w:rsidP="005A6282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2079" w:type="dxa"/>
            <w:shd w:val="clear" w:color="auto" w:fill="1F242B" w:themeFill="accent2"/>
            <w:vAlign w:val="center"/>
          </w:tcPr>
          <w:p w14:paraId="7F255BE2" w14:textId="77777777" w:rsidR="004E7F0F" w:rsidRPr="009F10F1" w:rsidRDefault="004E7F0F" w:rsidP="005A6282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5742F731" w14:textId="77777777" w:rsidR="004E7F0F" w:rsidRPr="009F10F1" w:rsidRDefault="004E7F0F" w:rsidP="005A628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3F120A03" w14:textId="77777777" w:rsidR="004E7F0F" w:rsidRPr="009F10F1" w:rsidRDefault="004E7F0F" w:rsidP="005A628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4E7F0F" w:rsidRPr="00F2414C" w14:paraId="30FD5B1E" w14:textId="77777777" w:rsidTr="005A6282">
        <w:trPr>
          <w:trHeight w:val="56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4A6CB0C" w14:textId="1A6A6E14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Spectrum</w:t>
            </w:r>
            <w:proofErr w:type="spellEnd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“,</w:t>
            </w:r>
          </w:p>
          <w:p w14:paraId="5A6DCA49" w14:textId="49BDF41E" w:rsidR="00CA462D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Amandus-Stubbe-Straße 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F6453C" w14:textId="7810608D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Ost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C43E4C" w14:textId="77777777" w:rsidR="00CA462D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Lager/</w:t>
            </w:r>
          </w:p>
          <w:p w14:paraId="42CAEC28" w14:textId="73D371DE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Logistik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D2A0CE" w14:textId="1EA3E1FE" w:rsidR="004E7F0F" w:rsidRPr="00CA462D" w:rsidRDefault="00CA462D" w:rsidP="0067433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DWS </w:t>
            </w:r>
            <w:r w:rsidR="00960B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14:paraId="146FFCB8" w14:textId="07282CD9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Fiege Deutschland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ED851" w14:textId="5A62C8F6" w:rsidR="004E7F0F" w:rsidRPr="00CA462D" w:rsidRDefault="00CA462D" w:rsidP="00327D2E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189</w:t>
            </w:r>
          </w:p>
        </w:tc>
      </w:tr>
      <w:tr w:rsidR="00F67E03" w:rsidRPr="00F2414C" w14:paraId="74A28DC9" w14:textId="77777777" w:rsidTr="005A6282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3FB5DB2" w14:textId="05173C06" w:rsidR="00F67E03" w:rsidRPr="00CA462D" w:rsidRDefault="00400B1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„Multimedia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Centre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Rotherbaum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Rothenbaumchaussee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76-80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46604A" w14:textId="4B3C9680" w:rsidR="00F67E03" w:rsidRPr="00CA462D" w:rsidRDefault="00A42F0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Alster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400B1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West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E8BCA4" w14:textId="1F3068BB" w:rsidR="00F67E03" w:rsidRPr="00CA462D" w:rsidRDefault="00400B1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99BD89" w14:textId="20FB0239" w:rsidR="00F67E03" w:rsidRPr="00CA462D" w:rsidRDefault="00400B1D" w:rsidP="0067433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Values Real Estate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6B09286D" w14:textId="70CDF36E" w:rsidR="00F67E03" w:rsidRPr="00CA462D" w:rsidRDefault="00400B1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Vermögensverwaltung Jahr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60E0F2" w14:textId="688289A1" w:rsidR="00F67E03" w:rsidRPr="00CA462D" w:rsidRDefault="00400B1D" w:rsidP="00327D2E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170</w:t>
            </w:r>
          </w:p>
        </w:tc>
      </w:tr>
      <w:tr w:rsidR="00CA462D" w:rsidRPr="00F2414C" w14:paraId="078EA026" w14:textId="77777777" w:rsidTr="005A6282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40BD68E4" w14:textId="77777777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„Hamburg Süd-Haus”, </w:t>
            </w:r>
          </w:p>
          <w:p w14:paraId="43C7A864" w14:textId="3D6DBB95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Willy-Brandt-Straße 59-63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3CD15" w14:textId="35C22B48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F86C8" w14:textId="75032F10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C526C90" w14:textId="163164B6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62D">
              <w:rPr>
                <w:rFonts w:ascii="Arial" w:hAnsi="Arial" w:cs="Arial"/>
                <w:sz w:val="18"/>
                <w:szCs w:val="18"/>
                <w:lang w:val="en-US"/>
              </w:rPr>
              <w:t>Union Investment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11BBC35" w14:textId="7FF1632B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August Oetker Nahrungsmittel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02CAD" w14:textId="6A766CA4" w:rsidR="00CA462D" w:rsidRPr="00CA462D" w:rsidRDefault="00CA462D" w:rsidP="00CA462D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&gt;150</w:t>
            </w:r>
          </w:p>
        </w:tc>
      </w:tr>
      <w:tr w:rsidR="004E7F0F" w:rsidRPr="006F49D0" w14:paraId="3C103812" w14:textId="77777777" w:rsidTr="005A6282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29D5084" w14:textId="3DE0C3A1" w:rsidR="004E7F0F" w:rsidRPr="00CA462D" w:rsidRDefault="005F003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Norderstraße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26776C" w14:textId="545BDE48" w:rsidR="004E7F0F" w:rsidRPr="00CA462D" w:rsidRDefault="005F003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 Georg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C04F2B" w14:textId="615543AD" w:rsidR="004E7F0F" w:rsidRPr="00CA462D" w:rsidRDefault="005F003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A9E270" w14:textId="3E346E30" w:rsidR="004E7F0F" w:rsidRPr="00CA462D" w:rsidRDefault="005F003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&amp; L Gruppe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2260B6E9" w14:textId="7D862071" w:rsidR="004E7F0F" w:rsidRPr="00CA462D" w:rsidRDefault="00FE0368" w:rsidP="00FE036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Commerz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55C269" w14:textId="4CC09CB9" w:rsidR="004E7F0F" w:rsidRPr="00CA462D" w:rsidRDefault="005F0034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</w:tbl>
    <w:p w14:paraId="76290F15" w14:textId="5B724C1D" w:rsidR="00CA462D" w:rsidRDefault="004E7F0F" w:rsidP="00CA462D">
      <w:pPr>
        <w:widowControl w:val="0"/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CA462D">
        <w:rPr>
          <w:rFonts w:ascii="Arial" w:hAnsi="Arial" w:cs="Arial"/>
          <w:sz w:val="16"/>
          <w:szCs w:val="16"/>
        </w:rPr>
        <w:t xml:space="preserve">; Deals aus </w:t>
      </w:r>
      <w:r w:rsidR="00994676">
        <w:rPr>
          <w:rFonts w:ascii="Arial" w:hAnsi="Arial" w:cs="Arial"/>
          <w:sz w:val="16"/>
          <w:szCs w:val="16"/>
        </w:rPr>
        <w:t xml:space="preserve">dem </w:t>
      </w:r>
      <w:r w:rsidR="00CA462D">
        <w:rPr>
          <w:rFonts w:ascii="Arial" w:hAnsi="Arial" w:cs="Arial"/>
          <w:sz w:val="16"/>
          <w:szCs w:val="16"/>
        </w:rPr>
        <w:t>jeweiligem Berichtsquartal sind grau hinterlegt</w:t>
      </w:r>
      <w:r w:rsidR="00994676">
        <w:rPr>
          <w:rFonts w:ascii="Arial" w:hAnsi="Arial" w:cs="Arial"/>
          <w:sz w:val="16"/>
          <w:szCs w:val="16"/>
        </w:rPr>
        <w:t>.</w:t>
      </w:r>
    </w:p>
    <w:p w14:paraId="373A4382" w14:textId="3E06F6AA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3CABD7" w14:textId="77777777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993A3D" w14:textId="77777777" w:rsidR="004E7F0F" w:rsidRPr="00897DBE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hyperlink r:id="rId9" w:history="1">
        <w:r w:rsidRPr="0062200D">
          <w:rPr>
            <w:rStyle w:val="Hyperlink"/>
            <w:rFonts w:ascii="Arial" w:eastAsia="Arial" w:hAnsi="Arial" w:cs="Arial"/>
            <w:sz w:val="20"/>
            <w:szCs w:val="20"/>
          </w:rPr>
          <w:t>Investment-Marktbericht Hamburg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r w:rsidRPr="0062200D"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545BF58C" w14:textId="77777777" w:rsidR="004E7F0F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6E7EF52" w14:textId="77777777" w:rsidR="004E7F0F" w:rsidRPr="0090748B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774D9BE5" w14:textId="6F6F633B" w:rsidR="000B39AB" w:rsidRPr="000B39AB" w:rsidRDefault="000B39AB" w:rsidP="000B39A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B39AB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0B39AB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0B39AB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0B39AB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0B39AB">
        <w:rPr>
          <w:rFonts w:ascii="Arial" w:hAnsi="Arial" w:cs="Arial"/>
          <w:snapToGrid w:val="0"/>
          <w:sz w:val="16"/>
          <w:szCs w:val="16"/>
        </w:rPr>
        <w:t xml:space="preserve"> und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hyperlink r:id="rId12" w:history="1">
        <w:r w:rsidRPr="000B39AB">
          <w:rPr>
            <w:rStyle w:val="Hyperlink"/>
            <w:rFonts w:ascii="Arial" w:hAnsi="Arial" w:cs="Arial"/>
            <w:snapToGrid w:val="0"/>
            <w:sz w:val="16"/>
            <w:szCs w:val="16"/>
          </w:rPr>
          <w:t>E &amp; G Private Immobilien</w:t>
        </w:r>
      </w:hyperlink>
      <w:r w:rsidRPr="000B39AB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0B39AB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0B39AB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0B39AB">
        <w:rPr>
          <w:rFonts w:ascii="Arial" w:hAnsi="Arial" w:cs="Arial"/>
          <w:sz w:val="16"/>
          <w:szCs w:val="16"/>
        </w:rPr>
        <w:t xml:space="preserve"> (GPP).</w:t>
      </w:r>
    </w:p>
    <w:p w14:paraId="0C3EF407" w14:textId="77777777" w:rsidR="004E7F0F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C1AA4D" w14:textId="0BE70DBA" w:rsidR="00046FEC" w:rsidRPr="00FD140F" w:rsidRDefault="004E7F0F" w:rsidP="005E3A2A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046FEC" w:rsidRPr="00FD140F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5B75" w14:textId="77777777" w:rsidR="00F22BE9" w:rsidRDefault="00F22BE9">
      <w:r>
        <w:separator/>
      </w:r>
    </w:p>
  </w:endnote>
  <w:endnote w:type="continuationSeparator" w:id="0">
    <w:p w14:paraId="10429B77" w14:textId="77777777" w:rsidR="00F22BE9" w:rsidRDefault="00F2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A14304B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D66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317C074C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C590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C590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ACC6" w14:textId="77777777" w:rsidR="00F22BE9" w:rsidRDefault="00F22BE9">
      <w:r>
        <w:separator/>
      </w:r>
    </w:p>
  </w:footnote>
  <w:footnote w:type="continuationSeparator" w:id="0">
    <w:p w14:paraId="50D86AAB" w14:textId="77777777" w:rsidR="00F22BE9" w:rsidRDefault="00F2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143866D2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143866D2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6FD8213F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6FD8213F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E2B"/>
    <w:multiLevelType w:val="hybridMultilevel"/>
    <w:tmpl w:val="8C66C3F0"/>
    <w:lvl w:ilvl="0" w:tplc="B84AA8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59FE"/>
    <w:rsid w:val="00022F16"/>
    <w:rsid w:val="00023D78"/>
    <w:rsid w:val="00027644"/>
    <w:rsid w:val="0003075C"/>
    <w:rsid w:val="00034842"/>
    <w:rsid w:val="000418C7"/>
    <w:rsid w:val="000464D0"/>
    <w:rsid w:val="00046FEC"/>
    <w:rsid w:val="00060743"/>
    <w:rsid w:val="000615E2"/>
    <w:rsid w:val="000623C0"/>
    <w:rsid w:val="00064A03"/>
    <w:rsid w:val="00064CAC"/>
    <w:rsid w:val="00066796"/>
    <w:rsid w:val="0006773E"/>
    <w:rsid w:val="00075002"/>
    <w:rsid w:val="000766D7"/>
    <w:rsid w:val="0007670A"/>
    <w:rsid w:val="00080F27"/>
    <w:rsid w:val="00081461"/>
    <w:rsid w:val="000834E2"/>
    <w:rsid w:val="000A517C"/>
    <w:rsid w:val="000A5ED1"/>
    <w:rsid w:val="000A6AE3"/>
    <w:rsid w:val="000A72C3"/>
    <w:rsid w:val="000B0335"/>
    <w:rsid w:val="000B1606"/>
    <w:rsid w:val="000B3315"/>
    <w:rsid w:val="000B39AB"/>
    <w:rsid w:val="000B3A6C"/>
    <w:rsid w:val="000B7D28"/>
    <w:rsid w:val="000C5904"/>
    <w:rsid w:val="000C74B2"/>
    <w:rsid w:val="000C770D"/>
    <w:rsid w:val="000D48D4"/>
    <w:rsid w:val="000D75CE"/>
    <w:rsid w:val="000D7F9A"/>
    <w:rsid w:val="000E03F3"/>
    <w:rsid w:val="000E22CA"/>
    <w:rsid w:val="000E49CB"/>
    <w:rsid w:val="000E7BC7"/>
    <w:rsid w:val="000F5742"/>
    <w:rsid w:val="0010158E"/>
    <w:rsid w:val="001029C4"/>
    <w:rsid w:val="00107758"/>
    <w:rsid w:val="00111400"/>
    <w:rsid w:val="0011486D"/>
    <w:rsid w:val="00117D5D"/>
    <w:rsid w:val="00117EF7"/>
    <w:rsid w:val="00121E33"/>
    <w:rsid w:val="00126550"/>
    <w:rsid w:val="00127DF7"/>
    <w:rsid w:val="001324D6"/>
    <w:rsid w:val="00132522"/>
    <w:rsid w:val="00135BD2"/>
    <w:rsid w:val="00135E09"/>
    <w:rsid w:val="00153417"/>
    <w:rsid w:val="00154825"/>
    <w:rsid w:val="0017364E"/>
    <w:rsid w:val="0017516B"/>
    <w:rsid w:val="00176F1D"/>
    <w:rsid w:val="0018068D"/>
    <w:rsid w:val="00180801"/>
    <w:rsid w:val="001871BC"/>
    <w:rsid w:val="001A2ABE"/>
    <w:rsid w:val="001A360C"/>
    <w:rsid w:val="001B577C"/>
    <w:rsid w:val="001C0A59"/>
    <w:rsid w:val="001C6C7B"/>
    <w:rsid w:val="001D14DA"/>
    <w:rsid w:val="001D43BB"/>
    <w:rsid w:val="001D645F"/>
    <w:rsid w:val="001D64B8"/>
    <w:rsid w:val="001E1172"/>
    <w:rsid w:val="001E6995"/>
    <w:rsid w:val="001F1513"/>
    <w:rsid w:val="001F1ECE"/>
    <w:rsid w:val="001F3C3A"/>
    <w:rsid w:val="0020062D"/>
    <w:rsid w:val="00201E4A"/>
    <w:rsid w:val="00205769"/>
    <w:rsid w:val="00212FEC"/>
    <w:rsid w:val="002131BB"/>
    <w:rsid w:val="00213F07"/>
    <w:rsid w:val="00214952"/>
    <w:rsid w:val="0022086D"/>
    <w:rsid w:val="00223C8C"/>
    <w:rsid w:val="00227E31"/>
    <w:rsid w:val="00230F81"/>
    <w:rsid w:val="002341EE"/>
    <w:rsid w:val="002353AA"/>
    <w:rsid w:val="00237341"/>
    <w:rsid w:val="00241042"/>
    <w:rsid w:val="00241526"/>
    <w:rsid w:val="00242D24"/>
    <w:rsid w:val="002462B6"/>
    <w:rsid w:val="00251FC5"/>
    <w:rsid w:val="00252F40"/>
    <w:rsid w:val="00253412"/>
    <w:rsid w:val="00254C6F"/>
    <w:rsid w:val="002550BA"/>
    <w:rsid w:val="00255679"/>
    <w:rsid w:val="00257596"/>
    <w:rsid w:val="0027266B"/>
    <w:rsid w:val="00274734"/>
    <w:rsid w:val="00277361"/>
    <w:rsid w:val="00281E80"/>
    <w:rsid w:val="002834B0"/>
    <w:rsid w:val="00283671"/>
    <w:rsid w:val="00284A5D"/>
    <w:rsid w:val="00284E27"/>
    <w:rsid w:val="00294B7D"/>
    <w:rsid w:val="002A1973"/>
    <w:rsid w:val="002A59CD"/>
    <w:rsid w:val="002B14F6"/>
    <w:rsid w:val="002B7C7F"/>
    <w:rsid w:val="002C055A"/>
    <w:rsid w:val="002C2392"/>
    <w:rsid w:val="002C450A"/>
    <w:rsid w:val="002D1C5C"/>
    <w:rsid w:val="002D1E20"/>
    <w:rsid w:val="002E2A92"/>
    <w:rsid w:val="002E6860"/>
    <w:rsid w:val="002E7AA5"/>
    <w:rsid w:val="002F0411"/>
    <w:rsid w:val="002F1F2D"/>
    <w:rsid w:val="002F767E"/>
    <w:rsid w:val="00301F3A"/>
    <w:rsid w:val="003044F7"/>
    <w:rsid w:val="00304D7A"/>
    <w:rsid w:val="003079E3"/>
    <w:rsid w:val="00313876"/>
    <w:rsid w:val="003246F0"/>
    <w:rsid w:val="00325E2A"/>
    <w:rsid w:val="00326066"/>
    <w:rsid w:val="00326349"/>
    <w:rsid w:val="003272F3"/>
    <w:rsid w:val="003372CA"/>
    <w:rsid w:val="0034064A"/>
    <w:rsid w:val="00345716"/>
    <w:rsid w:val="00346814"/>
    <w:rsid w:val="0034786C"/>
    <w:rsid w:val="00347A18"/>
    <w:rsid w:val="00350D85"/>
    <w:rsid w:val="00350F54"/>
    <w:rsid w:val="00351477"/>
    <w:rsid w:val="003517C9"/>
    <w:rsid w:val="00351DCD"/>
    <w:rsid w:val="0035408E"/>
    <w:rsid w:val="00357EC4"/>
    <w:rsid w:val="003627E1"/>
    <w:rsid w:val="00365AF8"/>
    <w:rsid w:val="00370000"/>
    <w:rsid w:val="00373507"/>
    <w:rsid w:val="0038230E"/>
    <w:rsid w:val="00382529"/>
    <w:rsid w:val="0038350F"/>
    <w:rsid w:val="00396CE0"/>
    <w:rsid w:val="003A00C9"/>
    <w:rsid w:val="003A1687"/>
    <w:rsid w:val="003A25A4"/>
    <w:rsid w:val="003A3109"/>
    <w:rsid w:val="003A32F7"/>
    <w:rsid w:val="003B19F4"/>
    <w:rsid w:val="003B49E4"/>
    <w:rsid w:val="003B4CCF"/>
    <w:rsid w:val="003B6CD4"/>
    <w:rsid w:val="003C1693"/>
    <w:rsid w:val="003C5218"/>
    <w:rsid w:val="003C6AB4"/>
    <w:rsid w:val="003C71DF"/>
    <w:rsid w:val="003E099F"/>
    <w:rsid w:val="003E27B4"/>
    <w:rsid w:val="003E4DF9"/>
    <w:rsid w:val="003F1A91"/>
    <w:rsid w:val="003F665D"/>
    <w:rsid w:val="0040086D"/>
    <w:rsid w:val="00400B1D"/>
    <w:rsid w:val="004017D8"/>
    <w:rsid w:val="00405D59"/>
    <w:rsid w:val="00411E03"/>
    <w:rsid w:val="004123B1"/>
    <w:rsid w:val="004138B8"/>
    <w:rsid w:val="00417F4D"/>
    <w:rsid w:val="004269AC"/>
    <w:rsid w:val="00426E13"/>
    <w:rsid w:val="004303A1"/>
    <w:rsid w:val="00440DC9"/>
    <w:rsid w:val="004450C4"/>
    <w:rsid w:val="00445DF9"/>
    <w:rsid w:val="004506D2"/>
    <w:rsid w:val="00456F40"/>
    <w:rsid w:val="004609BD"/>
    <w:rsid w:val="004611DC"/>
    <w:rsid w:val="004661EE"/>
    <w:rsid w:val="00466741"/>
    <w:rsid w:val="00470064"/>
    <w:rsid w:val="0047198B"/>
    <w:rsid w:val="004818CE"/>
    <w:rsid w:val="0049059E"/>
    <w:rsid w:val="004966E3"/>
    <w:rsid w:val="004A2BEA"/>
    <w:rsid w:val="004A3C64"/>
    <w:rsid w:val="004A5AEA"/>
    <w:rsid w:val="004B2694"/>
    <w:rsid w:val="004B2FDA"/>
    <w:rsid w:val="004B480A"/>
    <w:rsid w:val="004B5A6D"/>
    <w:rsid w:val="004B5FB0"/>
    <w:rsid w:val="004C0CA2"/>
    <w:rsid w:val="004D50C0"/>
    <w:rsid w:val="004D772A"/>
    <w:rsid w:val="004E339B"/>
    <w:rsid w:val="004E4273"/>
    <w:rsid w:val="004E4562"/>
    <w:rsid w:val="004E7F0F"/>
    <w:rsid w:val="004F077F"/>
    <w:rsid w:val="004F78B4"/>
    <w:rsid w:val="005023DD"/>
    <w:rsid w:val="00503D8C"/>
    <w:rsid w:val="00511179"/>
    <w:rsid w:val="0051170E"/>
    <w:rsid w:val="00511F14"/>
    <w:rsid w:val="0051485A"/>
    <w:rsid w:val="00522B84"/>
    <w:rsid w:val="00531A7F"/>
    <w:rsid w:val="00534BAD"/>
    <w:rsid w:val="005360E8"/>
    <w:rsid w:val="005412D0"/>
    <w:rsid w:val="005428C5"/>
    <w:rsid w:val="00543C55"/>
    <w:rsid w:val="0054412E"/>
    <w:rsid w:val="0055393B"/>
    <w:rsid w:val="005554C7"/>
    <w:rsid w:val="00556F58"/>
    <w:rsid w:val="0055704F"/>
    <w:rsid w:val="0055723A"/>
    <w:rsid w:val="00567D57"/>
    <w:rsid w:val="00571004"/>
    <w:rsid w:val="00573D11"/>
    <w:rsid w:val="0057685F"/>
    <w:rsid w:val="00577B63"/>
    <w:rsid w:val="00582B99"/>
    <w:rsid w:val="00590903"/>
    <w:rsid w:val="00597258"/>
    <w:rsid w:val="005A617A"/>
    <w:rsid w:val="005A6282"/>
    <w:rsid w:val="005B0FC9"/>
    <w:rsid w:val="005B24B2"/>
    <w:rsid w:val="005B66D3"/>
    <w:rsid w:val="005B7D91"/>
    <w:rsid w:val="005B7EC3"/>
    <w:rsid w:val="005C108C"/>
    <w:rsid w:val="005C422A"/>
    <w:rsid w:val="005C4556"/>
    <w:rsid w:val="005C5302"/>
    <w:rsid w:val="005D307B"/>
    <w:rsid w:val="005E362E"/>
    <w:rsid w:val="005E3A2A"/>
    <w:rsid w:val="005E43B3"/>
    <w:rsid w:val="005F0034"/>
    <w:rsid w:val="005F69D4"/>
    <w:rsid w:val="005F7593"/>
    <w:rsid w:val="006029D7"/>
    <w:rsid w:val="00606BFF"/>
    <w:rsid w:val="00606E35"/>
    <w:rsid w:val="0061109D"/>
    <w:rsid w:val="006110BE"/>
    <w:rsid w:val="0061138B"/>
    <w:rsid w:val="00612AA0"/>
    <w:rsid w:val="006138CB"/>
    <w:rsid w:val="006142A4"/>
    <w:rsid w:val="0062200D"/>
    <w:rsid w:val="006224C4"/>
    <w:rsid w:val="006225EA"/>
    <w:rsid w:val="006261DF"/>
    <w:rsid w:val="00631936"/>
    <w:rsid w:val="006321DC"/>
    <w:rsid w:val="00641270"/>
    <w:rsid w:val="00642074"/>
    <w:rsid w:val="006424F8"/>
    <w:rsid w:val="00656049"/>
    <w:rsid w:val="00672C84"/>
    <w:rsid w:val="00674339"/>
    <w:rsid w:val="00681CAB"/>
    <w:rsid w:val="00682CFC"/>
    <w:rsid w:val="006842EF"/>
    <w:rsid w:val="00685030"/>
    <w:rsid w:val="00692D4F"/>
    <w:rsid w:val="00693E35"/>
    <w:rsid w:val="0069559B"/>
    <w:rsid w:val="00695E58"/>
    <w:rsid w:val="0069613C"/>
    <w:rsid w:val="0069757D"/>
    <w:rsid w:val="006A1329"/>
    <w:rsid w:val="006A66F9"/>
    <w:rsid w:val="006B4303"/>
    <w:rsid w:val="006B7CF3"/>
    <w:rsid w:val="006D024C"/>
    <w:rsid w:val="006E3B3D"/>
    <w:rsid w:val="006E5C9C"/>
    <w:rsid w:val="006F1774"/>
    <w:rsid w:val="006F292B"/>
    <w:rsid w:val="006F6A03"/>
    <w:rsid w:val="00713D81"/>
    <w:rsid w:val="00717A20"/>
    <w:rsid w:val="00720DFF"/>
    <w:rsid w:val="00723A2A"/>
    <w:rsid w:val="007265F3"/>
    <w:rsid w:val="00730E23"/>
    <w:rsid w:val="00753311"/>
    <w:rsid w:val="00754513"/>
    <w:rsid w:val="00762CC5"/>
    <w:rsid w:val="00762F85"/>
    <w:rsid w:val="00767063"/>
    <w:rsid w:val="007906B4"/>
    <w:rsid w:val="007970A0"/>
    <w:rsid w:val="00797E4F"/>
    <w:rsid w:val="007A314C"/>
    <w:rsid w:val="007A3CB9"/>
    <w:rsid w:val="007B215B"/>
    <w:rsid w:val="007B4617"/>
    <w:rsid w:val="007C26B6"/>
    <w:rsid w:val="007C2D96"/>
    <w:rsid w:val="007E759D"/>
    <w:rsid w:val="007F2DBE"/>
    <w:rsid w:val="007F33B6"/>
    <w:rsid w:val="007F642D"/>
    <w:rsid w:val="007F756A"/>
    <w:rsid w:val="00800E2C"/>
    <w:rsid w:val="0080214D"/>
    <w:rsid w:val="00812471"/>
    <w:rsid w:val="00814A90"/>
    <w:rsid w:val="008261A5"/>
    <w:rsid w:val="008327E5"/>
    <w:rsid w:val="0083382E"/>
    <w:rsid w:val="00844AAC"/>
    <w:rsid w:val="0085354A"/>
    <w:rsid w:val="00855325"/>
    <w:rsid w:val="00862E34"/>
    <w:rsid w:val="008634F3"/>
    <w:rsid w:val="008652FA"/>
    <w:rsid w:val="00865915"/>
    <w:rsid w:val="008661AA"/>
    <w:rsid w:val="00871832"/>
    <w:rsid w:val="00875E9B"/>
    <w:rsid w:val="00876FCA"/>
    <w:rsid w:val="00881B0A"/>
    <w:rsid w:val="00886CCE"/>
    <w:rsid w:val="008942C6"/>
    <w:rsid w:val="00896B33"/>
    <w:rsid w:val="00897DBE"/>
    <w:rsid w:val="008A2995"/>
    <w:rsid w:val="008A2BA4"/>
    <w:rsid w:val="008A62FB"/>
    <w:rsid w:val="008A77B7"/>
    <w:rsid w:val="008B0F67"/>
    <w:rsid w:val="008B297B"/>
    <w:rsid w:val="008B3833"/>
    <w:rsid w:val="008C0535"/>
    <w:rsid w:val="008C0BCD"/>
    <w:rsid w:val="008C0BD9"/>
    <w:rsid w:val="008C42AF"/>
    <w:rsid w:val="008C608D"/>
    <w:rsid w:val="008D1F37"/>
    <w:rsid w:val="008E14BE"/>
    <w:rsid w:val="008E3F75"/>
    <w:rsid w:val="008E461D"/>
    <w:rsid w:val="008E5520"/>
    <w:rsid w:val="008F08E5"/>
    <w:rsid w:val="008F097F"/>
    <w:rsid w:val="008F0EA4"/>
    <w:rsid w:val="008F10B9"/>
    <w:rsid w:val="008F38F6"/>
    <w:rsid w:val="008F5213"/>
    <w:rsid w:val="008F67E7"/>
    <w:rsid w:val="008F6B2D"/>
    <w:rsid w:val="009000CF"/>
    <w:rsid w:val="009050B3"/>
    <w:rsid w:val="00906FC5"/>
    <w:rsid w:val="0090748B"/>
    <w:rsid w:val="00913CFE"/>
    <w:rsid w:val="00914C4C"/>
    <w:rsid w:val="00916E72"/>
    <w:rsid w:val="00920C9C"/>
    <w:rsid w:val="00922754"/>
    <w:rsid w:val="00925781"/>
    <w:rsid w:val="009258D0"/>
    <w:rsid w:val="009274EA"/>
    <w:rsid w:val="00934D87"/>
    <w:rsid w:val="00935AB3"/>
    <w:rsid w:val="00941093"/>
    <w:rsid w:val="00957E3A"/>
    <w:rsid w:val="00960B13"/>
    <w:rsid w:val="009635CF"/>
    <w:rsid w:val="009646C4"/>
    <w:rsid w:val="009668BB"/>
    <w:rsid w:val="009734CE"/>
    <w:rsid w:val="00974CB0"/>
    <w:rsid w:val="00975085"/>
    <w:rsid w:val="009750A4"/>
    <w:rsid w:val="0098080C"/>
    <w:rsid w:val="00981DE0"/>
    <w:rsid w:val="0098287E"/>
    <w:rsid w:val="0098460C"/>
    <w:rsid w:val="00991976"/>
    <w:rsid w:val="0099413E"/>
    <w:rsid w:val="00994676"/>
    <w:rsid w:val="00996E1A"/>
    <w:rsid w:val="009B1E02"/>
    <w:rsid w:val="009B4392"/>
    <w:rsid w:val="009B51DA"/>
    <w:rsid w:val="009B7D09"/>
    <w:rsid w:val="009C0784"/>
    <w:rsid w:val="009C2CB9"/>
    <w:rsid w:val="009C51DF"/>
    <w:rsid w:val="009D24DA"/>
    <w:rsid w:val="009D5D75"/>
    <w:rsid w:val="009E0C0B"/>
    <w:rsid w:val="009E1C67"/>
    <w:rsid w:val="009E572D"/>
    <w:rsid w:val="009F32A2"/>
    <w:rsid w:val="009F54CE"/>
    <w:rsid w:val="009F70FE"/>
    <w:rsid w:val="00A0600B"/>
    <w:rsid w:val="00A06264"/>
    <w:rsid w:val="00A1639A"/>
    <w:rsid w:val="00A215C9"/>
    <w:rsid w:val="00A25474"/>
    <w:rsid w:val="00A25CF0"/>
    <w:rsid w:val="00A40786"/>
    <w:rsid w:val="00A42F0D"/>
    <w:rsid w:val="00A5364B"/>
    <w:rsid w:val="00A615E0"/>
    <w:rsid w:val="00A64002"/>
    <w:rsid w:val="00A65E2B"/>
    <w:rsid w:val="00A70878"/>
    <w:rsid w:val="00A73C12"/>
    <w:rsid w:val="00A74AA0"/>
    <w:rsid w:val="00A7546D"/>
    <w:rsid w:val="00A7613D"/>
    <w:rsid w:val="00A77100"/>
    <w:rsid w:val="00A81626"/>
    <w:rsid w:val="00A8357B"/>
    <w:rsid w:val="00A848FC"/>
    <w:rsid w:val="00A975B1"/>
    <w:rsid w:val="00AA4D97"/>
    <w:rsid w:val="00AB424B"/>
    <w:rsid w:val="00AD17B7"/>
    <w:rsid w:val="00AE6AAA"/>
    <w:rsid w:val="00AE6CF7"/>
    <w:rsid w:val="00AF08D2"/>
    <w:rsid w:val="00B01A1B"/>
    <w:rsid w:val="00B02242"/>
    <w:rsid w:val="00B069C5"/>
    <w:rsid w:val="00B06D1B"/>
    <w:rsid w:val="00B077D5"/>
    <w:rsid w:val="00B16A78"/>
    <w:rsid w:val="00B200E4"/>
    <w:rsid w:val="00B26FFD"/>
    <w:rsid w:val="00B31E12"/>
    <w:rsid w:val="00B31F77"/>
    <w:rsid w:val="00B35B6D"/>
    <w:rsid w:val="00B35DC6"/>
    <w:rsid w:val="00B51699"/>
    <w:rsid w:val="00B53FAF"/>
    <w:rsid w:val="00B55D98"/>
    <w:rsid w:val="00B63153"/>
    <w:rsid w:val="00B6527D"/>
    <w:rsid w:val="00B73B3A"/>
    <w:rsid w:val="00B74507"/>
    <w:rsid w:val="00B75718"/>
    <w:rsid w:val="00B75E7E"/>
    <w:rsid w:val="00B81257"/>
    <w:rsid w:val="00B9324B"/>
    <w:rsid w:val="00B93817"/>
    <w:rsid w:val="00B9391B"/>
    <w:rsid w:val="00B9682D"/>
    <w:rsid w:val="00B977A6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6652"/>
    <w:rsid w:val="00BD75E0"/>
    <w:rsid w:val="00BE10CC"/>
    <w:rsid w:val="00BE4198"/>
    <w:rsid w:val="00BF029A"/>
    <w:rsid w:val="00BF3AFD"/>
    <w:rsid w:val="00C1606C"/>
    <w:rsid w:val="00C16E16"/>
    <w:rsid w:val="00C23180"/>
    <w:rsid w:val="00C26F94"/>
    <w:rsid w:val="00C41492"/>
    <w:rsid w:val="00C502EC"/>
    <w:rsid w:val="00C50874"/>
    <w:rsid w:val="00C6435B"/>
    <w:rsid w:val="00C702B5"/>
    <w:rsid w:val="00C70389"/>
    <w:rsid w:val="00C80ABA"/>
    <w:rsid w:val="00C904B6"/>
    <w:rsid w:val="00C90A75"/>
    <w:rsid w:val="00C96DF4"/>
    <w:rsid w:val="00CA0F2C"/>
    <w:rsid w:val="00CA462D"/>
    <w:rsid w:val="00CA6A66"/>
    <w:rsid w:val="00CC1337"/>
    <w:rsid w:val="00CC2514"/>
    <w:rsid w:val="00CC48DF"/>
    <w:rsid w:val="00CC6FB9"/>
    <w:rsid w:val="00CD4A91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D0004A"/>
    <w:rsid w:val="00D04BA2"/>
    <w:rsid w:val="00D077B0"/>
    <w:rsid w:val="00D157A0"/>
    <w:rsid w:val="00D22D42"/>
    <w:rsid w:val="00D24AF1"/>
    <w:rsid w:val="00D31447"/>
    <w:rsid w:val="00D341F9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7410"/>
    <w:rsid w:val="00D634A3"/>
    <w:rsid w:val="00D72339"/>
    <w:rsid w:val="00D73E47"/>
    <w:rsid w:val="00D74ABB"/>
    <w:rsid w:val="00D8091B"/>
    <w:rsid w:val="00D83CB7"/>
    <w:rsid w:val="00D9090D"/>
    <w:rsid w:val="00D926B4"/>
    <w:rsid w:val="00D976B3"/>
    <w:rsid w:val="00D97FA8"/>
    <w:rsid w:val="00DB289A"/>
    <w:rsid w:val="00DB4363"/>
    <w:rsid w:val="00DB66BD"/>
    <w:rsid w:val="00DC07C5"/>
    <w:rsid w:val="00DC7B25"/>
    <w:rsid w:val="00DD340F"/>
    <w:rsid w:val="00DD39EA"/>
    <w:rsid w:val="00DD6B73"/>
    <w:rsid w:val="00DE23F8"/>
    <w:rsid w:val="00DE7CC2"/>
    <w:rsid w:val="00E007DD"/>
    <w:rsid w:val="00E04392"/>
    <w:rsid w:val="00E05CF6"/>
    <w:rsid w:val="00E077DE"/>
    <w:rsid w:val="00E112C9"/>
    <w:rsid w:val="00E1314C"/>
    <w:rsid w:val="00E158F7"/>
    <w:rsid w:val="00E16ABE"/>
    <w:rsid w:val="00E2087E"/>
    <w:rsid w:val="00E2356E"/>
    <w:rsid w:val="00E23C81"/>
    <w:rsid w:val="00E2636D"/>
    <w:rsid w:val="00E34976"/>
    <w:rsid w:val="00E36818"/>
    <w:rsid w:val="00E47B97"/>
    <w:rsid w:val="00E5203C"/>
    <w:rsid w:val="00E634CC"/>
    <w:rsid w:val="00E771E0"/>
    <w:rsid w:val="00E81727"/>
    <w:rsid w:val="00E82F0E"/>
    <w:rsid w:val="00E84DFB"/>
    <w:rsid w:val="00E90673"/>
    <w:rsid w:val="00E95ABF"/>
    <w:rsid w:val="00E95F89"/>
    <w:rsid w:val="00E96FAC"/>
    <w:rsid w:val="00EA0382"/>
    <w:rsid w:val="00EA129F"/>
    <w:rsid w:val="00EB7A31"/>
    <w:rsid w:val="00EC08DC"/>
    <w:rsid w:val="00ED0582"/>
    <w:rsid w:val="00ED1262"/>
    <w:rsid w:val="00ED7374"/>
    <w:rsid w:val="00EE31F6"/>
    <w:rsid w:val="00EE36DC"/>
    <w:rsid w:val="00EE6896"/>
    <w:rsid w:val="00EF06B5"/>
    <w:rsid w:val="00F044EE"/>
    <w:rsid w:val="00F20069"/>
    <w:rsid w:val="00F20AAA"/>
    <w:rsid w:val="00F21201"/>
    <w:rsid w:val="00F22BE9"/>
    <w:rsid w:val="00F2414C"/>
    <w:rsid w:val="00F3320B"/>
    <w:rsid w:val="00F40E92"/>
    <w:rsid w:val="00F41947"/>
    <w:rsid w:val="00F435AA"/>
    <w:rsid w:val="00F45370"/>
    <w:rsid w:val="00F511B7"/>
    <w:rsid w:val="00F60A04"/>
    <w:rsid w:val="00F63C5D"/>
    <w:rsid w:val="00F67E03"/>
    <w:rsid w:val="00F67EAF"/>
    <w:rsid w:val="00F7191D"/>
    <w:rsid w:val="00F72E52"/>
    <w:rsid w:val="00F730FC"/>
    <w:rsid w:val="00F745DE"/>
    <w:rsid w:val="00F76C6A"/>
    <w:rsid w:val="00F808FD"/>
    <w:rsid w:val="00F83BF1"/>
    <w:rsid w:val="00F84A19"/>
    <w:rsid w:val="00F90CB9"/>
    <w:rsid w:val="00F91D23"/>
    <w:rsid w:val="00F91DD8"/>
    <w:rsid w:val="00F97373"/>
    <w:rsid w:val="00FA0254"/>
    <w:rsid w:val="00FA59F1"/>
    <w:rsid w:val="00FA6129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140F"/>
    <w:rsid w:val="00FD39DE"/>
    <w:rsid w:val="00FE0368"/>
    <w:rsid w:val="00FE4B6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Investment\2021\2021_Q1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investment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75B3-1718-4F17-9EEE-864B71D1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12</cp:revision>
  <cp:lastPrinted>2020-01-08T13:10:00Z</cp:lastPrinted>
  <dcterms:created xsi:type="dcterms:W3CDTF">2021-09-30T10:06:00Z</dcterms:created>
  <dcterms:modified xsi:type="dcterms:W3CDTF">2021-10-04T08:41:00Z</dcterms:modified>
</cp:coreProperties>
</file>