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F9034" w14:textId="08341013" w:rsidR="000D48D4" w:rsidRDefault="00D157A0" w:rsidP="00365AF8">
      <w:pPr>
        <w:spacing w:after="0" w:line="360" w:lineRule="auto"/>
        <w:rPr>
          <w:rFonts w:ascii="Arial" w:hAnsi="Arial" w:cs="Arial"/>
          <w:b/>
        </w:rPr>
      </w:pPr>
      <w:r w:rsidRPr="0054412E">
        <w:rPr>
          <w:rFonts w:ascii="Arial" w:hAnsi="Arial" w:cs="Arial"/>
          <w:b/>
        </w:rPr>
        <w:t>Hamburg</w:t>
      </w:r>
      <w:r w:rsidR="00E90673" w:rsidRPr="0054412E">
        <w:rPr>
          <w:rFonts w:ascii="Arial" w:hAnsi="Arial" w:cs="Arial"/>
          <w:b/>
        </w:rPr>
        <w:t xml:space="preserve">: </w:t>
      </w:r>
      <w:r w:rsidR="009050B3">
        <w:rPr>
          <w:rFonts w:ascii="Arial" w:hAnsi="Arial" w:cs="Arial"/>
          <w:b/>
        </w:rPr>
        <w:t>Investmentmarkt 1.</w:t>
      </w:r>
      <w:r w:rsidR="00B9324B" w:rsidRPr="00B9324B">
        <w:rPr>
          <w:rFonts w:ascii="Arial" w:hAnsi="Arial" w:cs="Arial"/>
          <w:b/>
        </w:rPr>
        <w:t xml:space="preserve"> Quartal 20</w:t>
      </w:r>
      <w:r w:rsidR="00BD6652">
        <w:rPr>
          <w:rFonts w:ascii="Arial" w:hAnsi="Arial" w:cs="Arial"/>
          <w:b/>
        </w:rPr>
        <w:t>21</w:t>
      </w:r>
      <w:r w:rsidR="0054412E">
        <w:rPr>
          <w:rFonts w:ascii="Arial" w:hAnsi="Arial" w:cs="Arial"/>
          <w:b/>
        </w:rPr>
        <w:br/>
      </w:r>
      <w:r w:rsidR="00242D24">
        <w:rPr>
          <w:rFonts w:ascii="Arial" w:hAnsi="Arial" w:cs="Arial"/>
          <w:b/>
          <w:sz w:val="28"/>
          <w:szCs w:val="28"/>
        </w:rPr>
        <w:t>Produktknappheit bremst Transaktionsgeschehen</w:t>
      </w:r>
    </w:p>
    <w:p w14:paraId="5DC3EAC5" w14:textId="29DB094C" w:rsidR="00590903" w:rsidRPr="00253412" w:rsidRDefault="00590903" w:rsidP="00365AF8">
      <w:pPr>
        <w:spacing w:after="0" w:line="360" w:lineRule="auto"/>
        <w:jc w:val="both"/>
        <w:rPr>
          <w:rFonts w:ascii="Arial" w:hAnsi="Arial" w:cs="Arial"/>
          <w:b/>
          <w:sz w:val="18"/>
          <w:szCs w:val="20"/>
        </w:rPr>
      </w:pPr>
    </w:p>
    <w:p w14:paraId="3AF7B110" w14:textId="1DDCD821" w:rsidR="00DC07C5" w:rsidRPr="00DC07C5" w:rsidRDefault="00E90673" w:rsidP="00F91D2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B424B">
        <w:rPr>
          <w:rFonts w:ascii="Arial" w:hAnsi="Arial" w:cs="Arial"/>
          <w:b/>
          <w:sz w:val="20"/>
          <w:szCs w:val="20"/>
        </w:rPr>
        <w:t xml:space="preserve">Hamburg, </w:t>
      </w:r>
      <w:r w:rsidR="00BD6652">
        <w:rPr>
          <w:rFonts w:ascii="Arial" w:hAnsi="Arial" w:cs="Arial"/>
          <w:b/>
          <w:sz w:val="20"/>
          <w:szCs w:val="20"/>
        </w:rPr>
        <w:t>6</w:t>
      </w:r>
      <w:r w:rsidR="00B31F77">
        <w:rPr>
          <w:rFonts w:ascii="Arial" w:hAnsi="Arial" w:cs="Arial"/>
          <w:b/>
          <w:sz w:val="20"/>
          <w:szCs w:val="20"/>
        </w:rPr>
        <w:t>.</w:t>
      </w:r>
      <w:r w:rsidR="00D157A0" w:rsidRPr="00AB424B">
        <w:rPr>
          <w:rFonts w:ascii="Arial" w:hAnsi="Arial" w:cs="Arial"/>
          <w:b/>
          <w:sz w:val="20"/>
          <w:szCs w:val="20"/>
        </w:rPr>
        <w:t xml:space="preserve"> </w:t>
      </w:r>
      <w:r w:rsidR="009668BB" w:rsidRPr="00AB424B">
        <w:rPr>
          <w:rFonts w:ascii="Arial" w:hAnsi="Arial" w:cs="Arial"/>
          <w:b/>
          <w:sz w:val="20"/>
          <w:szCs w:val="20"/>
        </w:rPr>
        <w:t>April</w:t>
      </w:r>
      <w:r w:rsidR="00132522" w:rsidRPr="00AB424B">
        <w:rPr>
          <w:rFonts w:ascii="Arial" w:hAnsi="Arial" w:cs="Arial"/>
          <w:b/>
          <w:sz w:val="20"/>
          <w:szCs w:val="20"/>
        </w:rPr>
        <w:t xml:space="preserve"> </w:t>
      </w:r>
      <w:r w:rsidR="00D157A0" w:rsidRPr="00AB424B">
        <w:rPr>
          <w:rFonts w:ascii="Arial" w:hAnsi="Arial" w:cs="Arial"/>
          <w:b/>
          <w:sz w:val="20"/>
          <w:szCs w:val="20"/>
        </w:rPr>
        <w:t>20</w:t>
      </w:r>
      <w:r w:rsidR="00BD6652">
        <w:rPr>
          <w:rFonts w:ascii="Arial" w:hAnsi="Arial" w:cs="Arial"/>
          <w:b/>
          <w:sz w:val="20"/>
          <w:szCs w:val="20"/>
        </w:rPr>
        <w:t>21</w:t>
      </w:r>
      <w:r w:rsidR="00D157A0" w:rsidRPr="00AB424B">
        <w:rPr>
          <w:rFonts w:ascii="Arial" w:hAnsi="Arial" w:cs="Arial"/>
          <w:b/>
          <w:sz w:val="20"/>
          <w:szCs w:val="20"/>
        </w:rPr>
        <w:t xml:space="preserve"> </w:t>
      </w:r>
      <w:r w:rsidR="00D157A0" w:rsidRPr="00AB424B">
        <w:rPr>
          <w:rFonts w:ascii="Arial" w:hAnsi="Arial" w:cs="Arial"/>
          <w:sz w:val="20"/>
          <w:szCs w:val="20"/>
        </w:rPr>
        <w:t>–</w:t>
      </w:r>
      <w:r w:rsidR="00797E4F" w:rsidRPr="00AB424B">
        <w:rPr>
          <w:rFonts w:ascii="Arial" w:hAnsi="Arial" w:cs="Arial"/>
          <w:b/>
          <w:sz w:val="20"/>
          <w:szCs w:val="20"/>
        </w:rPr>
        <w:t xml:space="preserve"> </w:t>
      </w:r>
      <w:r w:rsidR="00DC07C5">
        <w:rPr>
          <w:rFonts w:ascii="Arial" w:hAnsi="Arial" w:cs="Arial"/>
          <w:sz w:val="20"/>
          <w:szCs w:val="20"/>
        </w:rPr>
        <w:t xml:space="preserve">Nach dem umsatzstarken </w:t>
      </w:r>
      <w:r w:rsidR="002A59CD">
        <w:rPr>
          <w:rFonts w:ascii="Arial" w:hAnsi="Arial" w:cs="Arial"/>
          <w:sz w:val="20"/>
          <w:szCs w:val="20"/>
        </w:rPr>
        <w:t>Vorj</w:t>
      </w:r>
      <w:r w:rsidR="00DC07C5">
        <w:rPr>
          <w:rFonts w:ascii="Arial" w:hAnsi="Arial" w:cs="Arial"/>
          <w:sz w:val="20"/>
          <w:szCs w:val="20"/>
        </w:rPr>
        <w:t xml:space="preserve">ahr </w:t>
      </w:r>
      <w:r w:rsidR="00E077DE">
        <w:rPr>
          <w:rFonts w:ascii="Arial" w:hAnsi="Arial" w:cs="Arial"/>
          <w:sz w:val="20"/>
          <w:szCs w:val="20"/>
        </w:rPr>
        <w:t>fiel das 1. Quartal</w:t>
      </w:r>
      <w:r w:rsidR="002A59CD">
        <w:rPr>
          <w:rFonts w:ascii="Arial" w:hAnsi="Arial" w:cs="Arial"/>
          <w:sz w:val="20"/>
          <w:szCs w:val="20"/>
        </w:rPr>
        <w:t xml:space="preserve"> 2021</w:t>
      </w:r>
      <w:r w:rsidR="00E077DE">
        <w:rPr>
          <w:rFonts w:ascii="Arial" w:hAnsi="Arial" w:cs="Arial"/>
          <w:sz w:val="20"/>
          <w:szCs w:val="20"/>
        </w:rPr>
        <w:t xml:space="preserve"> am</w:t>
      </w:r>
      <w:r w:rsidR="00DC07C5">
        <w:rPr>
          <w:rFonts w:ascii="Arial" w:hAnsi="Arial" w:cs="Arial"/>
          <w:sz w:val="20"/>
          <w:szCs w:val="20"/>
        </w:rPr>
        <w:t xml:space="preserve"> Investmentmarkt </w:t>
      </w:r>
      <w:r w:rsidR="00E23C81">
        <w:rPr>
          <w:rFonts w:ascii="Arial" w:hAnsi="Arial" w:cs="Arial"/>
          <w:sz w:val="20"/>
          <w:szCs w:val="20"/>
        </w:rPr>
        <w:t xml:space="preserve">für gewerbliche Immobilien Hamburg </w:t>
      </w:r>
      <w:r w:rsidR="00DC07C5">
        <w:rPr>
          <w:rFonts w:ascii="Arial" w:hAnsi="Arial" w:cs="Arial"/>
          <w:sz w:val="20"/>
          <w:szCs w:val="20"/>
        </w:rPr>
        <w:t>erwartungsgemäß et</w:t>
      </w:r>
      <w:r w:rsidR="00E077DE">
        <w:rPr>
          <w:rFonts w:ascii="Arial" w:hAnsi="Arial" w:cs="Arial"/>
          <w:sz w:val="20"/>
          <w:szCs w:val="20"/>
        </w:rPr>
        <w:t>was verhaltener aus</w:t>
      </w:r>
      <w:r w:rsidR="00DC07C5">
        <w:rPr>
          <w:rFonts w:ascii="Arial" w:hAnsi="Arial" w:cs="Arial"/>
          <w:sz w:val="20"/>
          <w:szCs w:val="20"/>
        </w:rPr>
        <w:t xml:space="preserve">. </w:t>
      </w:r>
      <w:r w:rsidR="003044F7">
        <w:rPr>
          <w:rFonts w:ascii="Arial" w:hAnsi="Arial" w:cs="Arial"/>
          <w:sz w:val="20"/>
          <w:szCs w:val="20"/>
        </w:rPr>
        <w:t>In den ersten drei Monaten belief sich d</w:t>
      </w:r>
      <w:r w:rsidR="00E077DE">
        <w:rPr>
          <w:rFonts w:ascii="Arial" w:hAnsi="Arial" w:cs="Arial"/>
          <w:sz w:val="20"/>
          <w:szCs w:val="20"/>
        </w:rPr>
        <w:t xml:space="preserve">as Transaktionsvolumen </w:t>
      </w:r>
      <w:r w:rsidR="003044F7">
        <w:rPr>
          <w:rFonts w:ascii="Arial" w:hAnsi="Arial" w:cs="Arial"/>
          <w:sz w:val="20"/>
          <w:szCs w:val="20"/>
        </w:rPr>
        <w:t>auf</w:t>
      </w:r>
      <w:r w:rsidR="00DC07C5">
        <w:rPr>
          <w:rFonts w:ascii="Arial" w:hAnsi="Arial" w:cs="Arial"/>
          <w:sz w:val="20"/>
          <w:szCs w:val="20"/>
        </w:rPr>
        <w:t xml:space="preserve"> 700 Mio. €. Gegenüber dem</w:t>
      </w:r>
      <w:r w:rsidR="003044F7">
        <w:rPr>
          <w:rFonts w:ascii="Arial" w:hAnsi="Arial" w:cs="Arial"/>
          <w:sz w:val="20"/>
          <w:szCs w:val="20"/>
        </w:rPr>
        <w:t xml:space="preserve"> äußerst starken</w:t>
      </w:r>
      <w:r w:rsidR="00DC07C5">
        <w:rPr>
          <w:rFonts w:ascii="Arial" w:hAnsi="Arial" w:cs="Arial"/>
          <w:sz w:val="20"/>
          <w:szCs w:val="20"/>
        </w:rPr>
        <w:t xml:space="preserve"> Vorjahreszeitraum (</w:t>
      </w:r>
      <w:r w:rsidR="005C422A">
        <w:rPr>
          <w:rFonts w:ascii="Arial" w:hAnsi="Arial" w:cs="Arial"/>
          <w:sz w:val="20"/>
          <w:szCs w:val="20"/>
        </w:rPr>
        <w:t xml:space="preserve">970 </w:t>
      </w:r>
      <w:r w:rsidR="002A59CD">
        <w:rPr>
          <w:rFonts w:ascii="Arial" w:hAnsi="Arial" w:cs="Arial"/>
          <w:sz w:val="20"/>
          <w:szCs w:val="20"/>
        </w:rPr>
        <w:t>Mio. €</w:t>
      </w:r>
      <w:r w:rsidR="005C422A">
        <w:rPr>
          <w:rFonts w:ascii="Arial" w:hAnsi="Arial" w:cs="Arial"/>
          <w:sz w:val="20"/>
          <w:szCs w:val="20"/>
        </w:rPr>
        <w:t>) bedeutet dies einen Rückgang um 28 %</w:t>
      </w:r>
      <w:r w:rsidR="002A59CD">
        <w:rPr>
          <w:rFonts w:ascii="Arial" w:hAnsi="Arial" w:cs="Arial"/>
          <w:sz w:val="20"/>
          <w:szCs w:val="20"/>
        </w:rPr>
        <w:t>. H</w:t>
      </w:r>
      <w:r w:rsidR="003044F7">
        <w:rPr>
          <w:rFonts w:ascii="Arial" w:hAnsi="Arial" w:cs="Arial"/>
          <w:sz w:val="20"/>
          <w:szCs w:val="20"/>
        </w:rPr>
        <w:t xml:space="preserve">istorisch betrachtet liegt </w:t>
      </w:r>
      <w:r w:rsidR="002A59CD">
        <w:rPr>
          <w:rFonts w:ascii="Arial" w:hAnsi="Arial" w:cs="Arial"/>
          <w:sz w:val="20"/>
          <w:szCs w:val="20"/>
        </w:rPr>
        <w:t>das Verkaufsvolumen</w:t>
      </w:r>
      <w:r w:rsidR="003044F7">
        <w:rPr>
          <w:rFonts w:ascii="Arial" w:hAnsi="Arial" w:cs="Arial"/>
          <w:sz w:val="20"/>
          <w:szCs w:val="20"/>
        </w:rPr>
        <w:t xml:space="preserve"> </w:t>
      </w:r>
      <w:r w:rsidR="002A59CD">
        <w:rPr>
          <w:rFonts w:ascii="Arial" w:hAnsi="Arial" w:cs="Arial"/>
          <w:sz w:val="20"/>
          <w:szCs w:val="20"/>
        </w:rPr>
        <w:t>auf dem Niveau des Zehn</w:t>
      </w:r>
      <w:r w:rsidR="003044F7">
        <w:rPr>
          <w:rFonts w:ascii="Arial" w:hAnsi="Arial" w:cs="Arial"/>
          <w:sz w:val="20"/>
          <w:szCs w:val="20"/>
        </w:rPr>
        <w:t>-Jahres-Mittels</w:t>
      </w:r>
      <w:r w:rsidR="002A59CD">
        <w:rPr>
          <w:rFonts w:ascii="Arial" w:hAnsi="Arial" w:cs="Arial"/>
          <w:sz w:val="20"/>
          <w:szCs w:val="20"/>
        </w:rPr>
        <w:t xml:space="preserve"> in Höhe von 734 Mio. €</w:t>
      </w:r>
      <w:r w:rsidR="005C422A">
        <w:rPr>
          <w:rFonts w:ascii="Arial" w:hAnsi="Arial" w:cs="Arial"/>
          <w:sz w:val="20"/>
          <w:szCs w:val="20"/>
        </w:rPr>
        <w:t>.</w:t>
      </w:r>
      <w:r w:rsidR="0010158E">
        <w:rPr>
          <w:rFonts w:ascii="Arial" w:hAnsi="Arial" w:cs="Arial"/>
          <w:sz w:val="20"/>
          <w:szCs w:val="20"/>
        </w:rPr>
        <w:t xml:space="preserve"> </w:t>
      </w:r>
      <w:r w:rsidR="0010158E" w:rsidRPr="0010158E">
        <w:rPr>
          <w:rFonts w:ascii="Arial" w:hAnsi="Arial" w:cs="Arial"/>
          <w:i/>
          <w:sz w:val="20"/>
          <w:szCs w:val="20"/>
        </w:rPr>
        <w:t>„</w:t>
      </w:r>
      <w:r w:rsidR="0006773E">
        <w:rPr>
          <w:rFonts w:ascii="Arial" w:hAnsi="Arial" w:cs="Arial"/>
          <w:i/>
          <w:sz w:val="20"/>
          <w:szCs w:val="20"/>
        </w:rPr>
        <w:t>Ein</w:t>
      </w:r>
      <w:r w:rsidR="0006773E" w:rsidRPr="0010158E">
        <w:rPr>
          <w:rFonts w:ascii="Arial" w:hAnsi="Arial" w:cs="Arial"/>
          <w:i/>
          <w:sz w:val="20"/>
          <w:szCs w:val="20"/>
        </w:rPr>
        <w:t xml:space="preserve"> </w:t>
      </w:r>
      <w:r w:rsidR="0010158E" w:rsidRPr="0010158E">
        <w:rPr>
          <w:rFonts w:ascii="Arial" w:hAnsi="Arial" w:cs="Arial"/>
          <w:i/>
          <w:sz w:val="20"/>
          <w:szCs w:val="20"/>
        </w:rPr>
        <w:t xml:space="preserve">Großteil der </w:t>
      </w:r>
      <w:r w:rsidR="0006773E">
        <w:rPr>
          <w:rFonts w:ascii="Arial" w:hAnsi="Arial" w:cs="Arial"/>
          <w:i/>
          <w:sz w:val="20"/>
          <w:szCs w:val="20"/>
        </w:rPr>
        <w:t xml:space="preserve">registrierten </w:t>
      </w:r>
      <w:r w:rsidR="0010158E" w:rsidRPr="0010158E">
        <w:rPr>
          <w:rFonts w:ascii="Arial" w:hAnsi="Arial" w:cs="Arial"/>
          <w:i/>
          <w:sz w:val="20"/>
          <w:szCs w:val="20"/>
        </w:rPr>
        <w:t>Transak</w:t>
      </w:r>
      <w:r w:rsidR="00685030">
        <w:rPr>
          <w:rFonts w:ascii="Arial" w:hAnsi="Arial" w:cs="Arial"/>
          <w:i/>
          <w:sz w:val="20"/>
          <w:szCs w:val="20"/>
        </w:rPr>
        <w:t xml:space="preserve">tionen </w:t>
      </w:r>
      <w:r w:rsidR="0006773E">
        <w:rPr>
          <w:rFonts w:ascii="Arial" w:hAnsi="Arial" w:cs="Arial"/>
          <w:i/>
          <w:sz w:val="20"/>
          <w:szCs w:val="20"/>
        </w:rPr>
        <w:t xml:space="preserve">sind Überläufer aus dem Vorjahr, die </w:t>
      </w:r>
      <w:r w:rsidR="002A59CD">
        <w:rPr>
          <w:rFonts w:ascii="Arial" w:hAnsi="Arial" w:cs="Arial"/>
          <w:i/>
          <w:sz w:val="20"/>
          <w:szCs w:val="20"/>
        </w:rPr>
        <w:t>nun</w:t>
      </w:r>
      <w:r w:rsidR="0010158E" w:rsidRPr="0010158E">
        <w:rPr>
          <w:rFonts w:ascii="Arial" w:hAnsi="Arial" w:cs="Arial"/>
          <w:i/>
          <w:sz w:val="20"/>
          <w:szCs w:val="20"/>
        </w:rPr>
        <w:t xml:space="preserve"> zu Jahresbeginn abge</w:t>
      </w:r>
      <w:r w:rsidR="00685030">
        <w:rPr>
          <w:rFonts w:ascii="Arial" w:hAnsi="Arial" w:cs="Arial"/>
          <w:i/>
          <w:sz w:val="20"/>
          <w:szCs w:val="20"/>
        </w:rPr>
        <w:t>schlossen</w:t>
      </w:r>
      <w:r w:rsidR="0006773E">
        <w:rPr>
          <w:rFonts w:ascii="Arial" w:hAnsi="Arial" w:cs="Arial"/>
          <w:i/>
          <w:sz w:val="20"/>
          <w:szCs w:val="20"/>
        </w:rPr>
        <w:t xml:space="preserve"> wurden</w:t>
      </w:r>
      <w:r w:rsidR="002A59CD">
        <w:rPr>
          <w:rFonts w:ascii="Arial" w:hAnsi="Arial" w:cs="Arial"/>
          <w:i/>
          <w:sz w:val="20"/>
          <w:szCs w:val="20"/>
        </w:rPr>
        <w:t xml:space="preserve">. Marktbestimmend ist </w:t>
      </w:r>
      <w:r w:rsidR="0006773E">
        <w:rPr>
          <w:rFonts w:ascii="Arial" w:hAnsi="Arial" w:cs="Arial"/>
          <w:i/>
          <w:sz w:val="20"/>
          <w:szCs w:val="20"/>
        </w:rPr>
        <w:t xml:space="preserve">aktuell </w:t>
      </w:r>
      <w:r w:rsidR="002A59CD">
        <w:rPr>
          <w:rFonts w:ascii="Arial" w:hAnsi="Arial" w:cs="Arial"/>
          <w:i/>
          <w:sz w:val="20"/>
          <w:szCs w:val="20"/>
        </w:rPr>
        <w:t>der ausgeprägte</w:t>
      </w:r>
      <w:r w:rsidR="00685030">
        <w:rPr>
          <w:rFonts w:ascii="Arial" w:hAnsi="Arial" w:cs="Arial"/>
          <w:i/>
          <w:sz w:val="20"/>
          <w:szCs w:val="20"/>
        </w:rPr>
        <w:t xml:space="preserve"> </w:t>
      </w:r>
      <w:r w:rsidR="0010158E" w:rsidRPr="0010158E">
        <w:rPr>
          <w:rFonts w:ascii="Arial" w:hAnsi="Arial" w:cs="Arial"/>
          <w:i/>
          <w:sz w:val="20"/>
          <w:szCs w:val="20"/>
        </w:rPr>
        <w:t>Produktmangel</w:t>
      </w:r>
      <w:r w:rsidR="0006773E">
        <w:rPr>
          <w:rFonts w:ascii="Arial" w:hAnsi="Arial" w:cs="Arial"/>
          <w:i/>
          <w:sz w:val="20"/>
          <w:szCs w:val="20"/>
        </w:rPr>
        <w:t xml:space="preserve"> </w:t>
      </w:r>
      <w:r w:rsidR="009B51DA">
        <w:rPr>
          <w:rFonts w:ascii="Arial" w:hAnsi="Arial" w:cs="Arial"/>
          <w:i/>
          <w:sz w:val="20"/>
          <w:szCs w:val="20"/>
        </w:rPr>
        <w:t xml:space="preserve">an </w:t>
      </w:r>
      <w:r w:rsidR="0006773E">
        <w:rPr>
          <w:rFonts w:ascii="Arial" w:hAnsi="Arial" w:cs="Arial"/>
          <w:i/>
          <w:sz w:val="20"/>
          <w:szCs w:val="20"/>
        </w:rPr>
        <w:t>Core</w:t>
      </w:r>
      <w:r w:rsidR="006E3B3D">
        <w:rPr>
          <w:rFonts w:ascii="Arial" w:hAnsi="Arial" w:cs="Arial"/>
          <w:i/>
          <w:sz w:val="20"/>
          <w:szCs w:val="20"/>
        </w:rPr>
        <w:t>-</w:t>
      </w:r>
      <w:r w:rsidR="0006773E">
        <w:rPr>
          <w:rFonts w:ascii="Arial" w:hAnsi="Arial" w:cs="Arial"/>
          <w:i/>
          <w:sz w:val="20"/>
          <w:szCs w:val="20"/>
        </w:rPr>
        <w:t>Objekten</w:t>
      </w:r>
      <w:r w:rsidR="0010158E" w:rsidRPr="0010158E">
        <w:rPr>
          <w:rFonts w:ascii="Arial" w:hAnsi="Arial" w:cs="Arial"/>
          <w:i/>
          <w:sz w:val="20"/>
          <w:szCs w:val="20"/>
        </w:rPr>
        <w:t>“</w:t>
      </w:r>
      <w:r w:rsidR="0010158E">
        <w:rPr>
          <w:rFonts w:ascii="Arial" w:hAnsi="Arial" w:cs="Arial"/>
          <w:sz w:val="20"/>
          <w:szCs w:val="20"/>
        </w:rPr>
        <w:t xml:space="preserve">, so </w:t>
      </w:r>
      <w:r w:rsidR="0010158E">
        <w:rPr>
          <w:rFonts w:ascii="Arial" w:hAnsi="Arial" w:cs="Arial"/>
          <w:b/>
          <w:sz w:val="20"/>
          <w:szCs w:val="20"/>
        </w:rPr>
        <w:t>Sandra Ludwig</w:t>
      </w:r>
      <w:r w:rsidR="0010158E" w:rsidRPr="00AB424B">
        <w:rPr>
          <w:rFonts w:ascii="Arial" w:hAnsi="Arial" w:cs="Arial"/>
          <w:sz w:val="20"/>
          <w:szCs w:val="20"/>
        </w:rPr>
        <w:t>, Geschäftsführer</w:t>
      </w:r>
      <w:r w:rsidR="0010158E">
        <w:rPr>
          <w:rFonts w:ascii="Arial" w:hAnsi="Arial" w:cs="Arial"/>
          <w:sz w:val="20"/>
          <w:szCs w:val="20"/>
        </w:rPr>
        <w:t>in</w:t>
      </w:r>
      <w:r w:rsidR="0010158E" w:rsidRPr="00AB424B">
        <w:rPr>
          <w:rFonts w:ascii="Arial" w:hAnsi="Arial" w:cs="Arial"/>
          <w:sz w:val="20"/>
          <w:szCs w:val="20"/>
        </w:rPr>
        <w:t xml:space="preserve"> von Grossmann &amp; Berger, Mitglied von German Property Partners (GPP).</w:t>
      </w:r>
      <w:r w:rsidR="0010158E">
        <w:rPr>
          <w:rFonts w:ascii="Arial" w:hAnsi="Arial" w:cs="Arial"/>
          <w:sz w:val="20"/>
          <w:szCs w:val="20"/>
        </w:rPr>
        <w:t xml:space="preserve"> </w:t>
      </w:r>
      <w:r w:rsidR="0010158E" w:rsidRPr="00E077DE">
        <w:rPr>
          <w:rFonts w:ascii="Arial" w:hAnsi="Arial" w:cs="Arial"/>
          <w:i/>
          <w:sz w:val="20"/>
          <w:szCs w:val="20"/>
        </w:rPr>
        <w:t xml:space="preserve">„Das Interesse der Investoren </w:t>
      </w:r>
      <w:r w:rsidR="002A59CD">
        <w:rPr>
          <w:rFonts w:ascii="Arial" w:hAnsi="Arial" w:cs="Arial"/>
          <w:i/>
          <w:sz w:val="20"/>
          <w:szCs w:val="20"/>
        </w:rPr>
        <w:t xml:space="preserve">bleibt </w:t>
      </w:r>
      <w:r w:rsidR="0006773E">
        <w:rPr>
          <w:rFonts w:ascii="Arial" w:hAnsi="Arial" w:cs="Arial"/>
          <w:i/>
          <w:sz w:val="20"/>
          <w:szCs w:val="20"/>
        </w:rPr>
        <w:t>hoch</w:t>
      </w:r>
      <w:r w:rsidR="0010158E" w:rsidRPr="00E077DE">
        <w:rPr>
          <w:rFonts w:ascii="Arial" w:hAnsi="Arial" w:cs="Arial"/>
          <w:i/>
          <w:sz w:val="20"/>
          <w:szCs w:val="20"/>
        </w:rPr>
        <w:t xml:space="preserve">. </w:t>
      </w:r>
      <w:r w:rsidR="00326349" w:rsidRPr="00E077DE">
        <w:rPr>
          <w:rFonts w:ascii="Arial" w:hAnsi="Arial" w:cs="Arial"/>
          <w:i/>
          <w:sz w:val="20"/>
          <w:szCs w:val="20"/>
        </w:rPr>
        <w:t xml:space="preserve">Für Büro-Objekte in sehr guten Lagen werden aufgrund der großen Nachfrage immer höhere </w:t>
      </w:r>
      <w:r w:rsidR="002A59CD">
        <w:rPr>
          <w:rFonts w:ascii="Arial" w:hAnsi="Arial" w:cs="Arial"/>
          <w:i/>
          <w:sz w:val="20"/>
          <w:szCs w:val="20"/>
        </w:rPr>
        <w:t>Preis-</w:t>
      </w:r>
      <w:r w:rsidR="00326349" w:rsidRPr="00E077DE">
        <w:rPr>
          <w:rFonts w:ascii="Arial" w:hAnsi="Arial" w:cs="Arial"/>
          <w:i/>
          <w:sz w:val="20"/>
          <w:szCs w:val="20"/>
        </w:rPr>
        <w:t xml:space="preserve">Benchmarks gesetzt, was den Druck auf die Renditen </w:t>
      </w:r>
      <w:r w:rsidR="0006773E">
        <w:rPr>
          <w:rFonts w:ascii="Arial" w:hAnsi="Arial" w:cs="Arial"/>
          <w:i/>
          <w:sz w:val="20"/>
          <w:szCs w:val="20"/>
        </w:rPr>
        <w:t xml:space="preserve">noch weiter </w:t>
      </w:r>
      <w:r w:rsidR="002A59CD">
        <w:rPr>
          <w:rFonts w:ascii="Arial" w:hAnsi="Arial" w:cs="Arial"/>
          <w:i/>
          <w:sz w:val="20"/>
          <w:szCs w:val="20"/>
        </w:rPr>
        <w:t>verstärkt</w:t>
      </w:r>
      <w:r w:rsidR="00326349" w:rsidRPr="00E077DE">
        <w:rPr>
          <w:rFonts w:ascii="Arial" w:hAnsi="Arial" w:cs="Arial"/>
          <w:i/>
          <w:sz w:val="20"/>
          <w:szCs w:val="20"/>
        </w:rPr>
        <w:t>“</w:t>
      </w:r>
      <w:r w:rsidR="00326349">
        <w:rPr>
          <w:rFonts w:ascii="Arial" w:hAnsi="Arial" w:cs="Arial"/>
          <w:sz w:val="20"/>
          <w:szCs w:val="20"/>
        </w:rPr>
        <w:t xml:space="preserve">, erläutert </w:t>
      </w:r>
      <w:r w:rsidR="00326349" w:rsidRPr="00326349">
        <w:rPr>
          <w:rFonts w:ascii="Arial" w:hAnsi="Arial" w:cs="Arial"/>
          <w:b/>
          <w:sz w:val="20"/>
          <w:szCs w:val="20"/>
        </w:rPr>
        <w:t>Ludwig</w:t>
      </w:r>
      <w:r w:rsidR="00326349">
        <w:rPr>
          <w:rFonts w:ascii="Arial" w:hAnsi="Arial" w:cs="Arial"/>
          <w:sz w:val="20"/>
          <w:szCs w:val="20"/>
        </w:rPr>
        <w:t xml:space="preserve">. </w:t>
      </w:r>
      <w:r w:rsidR="003044F7">
        <w:rPr>
          <w:rFonts w:ascii="Arial" w:hAnsi="Arial" w:cs="Arial"/>
          <w:sz w:val="20"/>
          <w:szCs w:val="20"/>
        </w:rPr>
        <w:t xml:space="preserve">Für </w:t>
      </w:r>
      <w:r w:rsidR="00FA6129">
        <w:rPr>
          <w:rFonts w:ascii="Arial" w:hAnsi="Arial" w:cs="Arial"/>
          <w:sz w:val="20"/>
          <w:szCs w:val="20"/>
        </w:rPr>
        <w:t xml:space="preserve">das Jahr </w:t>
      </w:r>
      <w:r w:rsidR="003044F7">
        <w:rPr>
          <w:rFonts w:ascii="Arial" w:hAnsi="Arial" w:cs="Arial"/>
          <w:sz w:val="20"/>
          <w:szCs w:val="20"/>
        </w:rPr>
        <w:t>2021 erwartet Grossmann &amp; Berger a</w:t>
      </w:r>
      <w:r w:rsidR="00326349">
        <w:rPr>
          <w:rFonts w:ascii="Arial" w:hAnsi="Arial" w:cs="Arial"/>
          <w:sz w:val="20"/>
          <w:szCs w:val="20"/>
        </w:rPr>
        <w:t>ngesichts der starken Produktknappheit kein</w:t>
      </w:r>
      <w:r w:rsidR="00E077DE">
        <w:rPr>
          <w:rFonts w:ascii="Arial" w:hAnsi="Arial" w:cs="Arial"/>
          <w:sz w:val="20"/>
          <w:szCs w:val="20"/>
        </w:rPr>
        <w:t>e neuen Rekordwerte für den Investmentmarkt</w:t>
      </w:r>
      <w:r w:rsidR="00E23C81" w:rsidRPr="00E23C81">
        <w:rPr>
          <w:rFonts w:ascii="Arial" w:hAnsi="Arial" w:cs="Arial"/>
          <w:sz w:val="20"/>
          <w:szCs w:val="20"/>
        </w:rPr>
        <w:t xml:space="preserve"> </w:t>
      </w:r>
      <w:r w:rsidR="00E23C81">
        <w:rPr>
          <w:rFonts w:ascii="Arial" w:hAnsi="Arial" w:cs="Arial"/>
          <w:sz w:val="20"/>
          <w:szCs w:val="20"/>
        </w:rPr>
        <w:t>Hamburg</w:t>
      </w:r>
      <w:r w:rsidR="00326349">
        <w:rPr>
          <w:rFonts w:ascii="Arial" w:hAnsi="Arial" w:cs="Arial"/>
          <w:sz w:val="20"/>
          <w:szCs w:val="20"/>
        </w:rPr>
        <w:t>.</w:t>
      </w:r>
    </w:p>
    <w:p w14:paraId="2CE8AC6A" w14:textId="0A72C4E5" w:rsidR="00906FC5" w:rsidRPr="00D35A6D" w:rsidRDefault="00906FC5" w:rsidP="00906FC5">
      <w:pPr>
        <w:spacing w:after="0" w:line="360" w:lineRule="auto"/>
        <w:rPr>
          <w:rFonts w:ascii="Arial" w:hAnsi="Arial" w:cs="Arial"/>
          <w:sz w:val="18"/>
          <w:szCs w:val="20"/>
        </w:rPr>
      </w:pPr>
    </w:p>
    <w:p w14:paraId="79CA357A" w14:textId="58F908D1" w:rsidR="000A5ED1" w:rsidRPr="00D35A6D" w:rsidRDefault="00365AF8" w:rsidP="00365AF8">
      <w:pPr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D35A6D">
        <w:rPr>
          <w:rFonts w:ascii="Arial" w:hAnsi="Arial" w:cs="Arial"/>
          <w:b/>
          <w:sz w:val="20"/>
          <w:szCs w:val="20"/>
        </w:rPr>
        <w:t xml:space="preserve">Markt im Detail: </w:t>
      </w:r>
    </w:p>
    <w:p w14:paraId="4E09CF82" w14:textId="16EFE55D" w:rsidR="001F1ECE" w:rsidRDefault="001F1ECE" w:rsidP="003372CA">
      <w:pPr>
        <w:pStyle w:val="Listenabsatz"/>
        <w:numPr>
          <w:ilvl w:val="0"/>
          <w:numId w:val="20"/>
        </w:numPr>
        <w:spacing w:after="0" w:line="36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46</w:t>
      </w:r>
      <w:r w:rsidRPr="005F69D4">
        <w:rPr>
          <w:rFonts w:ascii="Arial" w:hAnsi="Arial" w:cs="Arial"/>
          <w:sz w:val="20"/>
          <w:szCs w:val="20"/>
        </w:rPr>
        <w:t> % des</w:t>
      </w:r>
      <w:r w:rsidR="00FA6129">
        <w:rPr>
          <w:rFonts w:ascii="Arial" w:hAnsi="Arial" w:cs="Arial"/>
          <w:sz w:val="20"/>
          <w:szCs w:val="20"/>
        </w:rPr>
        <w:t xml:space="preserve"> Hamburger</w:t>
      </w:r>
      <w:r w:rsidRPr="005F69D4">
        <w:rPr>
          <w:rFonts w:ascii="Arial" w:hAnsi="Arial" w:cs="Arial"/>
          <w:sz w:val="20"/>
          <w:szCs w:val="20"/>
        </w:rPr>
        <w:t xml:space="preserve"> Transaktionsvolumens entfiel im 1. Quar</w:t>
      </w:r>
      <w:r>
        <w:rPr>
          <w:rFonts w:ascii="Arial" w:hAnsi="Arial" w:cs="Arial"/>
          <w:sz w:val="20"/>
          <w:szCs w:val="20"/>
        </w:rPr>
        <w:t xml:space="preserve">tal </w:t>
      </w:r>
      <w:r w:rsidR="00FA6129">
        <w:rPr>
          <w:rFonts w:ascii="Arial" w:hAnsi="Arial" w:cs="Arial"/>
          <w:sz w:val="20"/>
          <w:szCs w:val="20"/>
        </w:rPr>
        <w:t xml:space="preserve">2021 </w:t>
      </w:r>
      <w:r>
        <w:rPr>
          <w:rFonts w:ascii="Arial" w:hAnsi="Arial" w:cs="Arial"/>
          <w:sz w:val="20"/>
          <w:szCs w:val="20"/>
        </w:rPr>
        <w:t xml:space="preserve">auf den </w:t>
      </w:r>
      <w:r w:rsidRPr="00FA6129">
        <w:rPr>
          <w:rFonts w:ascii="Arial" w:hAnsi="Arial" w:cs="Arial"/>
          <w:sz w:val="20"/>
          <w:szCs w:val="20"/>
          <w:u w:val="single"/>
        </w:rPr>
        <w:t>Teilmarkt</w:t>
      </w:r>
      <w:r>
        <w:rPr>
          <w:rFonts w:ascii="Arial" w:hAnsi="Arial" w:cs="Arial"/>
          <w:sz w:val="20"/>
          <w:szCs w:val="20"/>
        </w:rPr>
        <w:t xml:space="preserve"> City. </w:t>
      </w:r>
      <w:r w:rsidR="00FA6129">
        <w:rPr>
          <w:rFonts w:ascii="Arial" w:hAnsi="Arial" w:cs="Arial"/>
          <w:sz w:val="20"/>
          <w:szCs w:val="20"/>
        </w:rPr>
        <w:t>Hierzu</w:t>
      </w:r>
      <w:r>
        <w:rPr>
          <w:rFonts w:ascii="Arial" w:hAnsi="Arial" w:cs="Arial"/>
          <w:sz w:val="20"/>
          <w:szCs w:val="20"/>
        </w:rPr>
        <w:t xml:space="preserve"> trug </w:t>
      </w:r>
      <w:r w:rsidR="00FA6129">
        <w:rPr>
          <w:rFonts w:ascii="Arial" w:hAnsi="Arial" w:cs="Arial"/>
          <w:sz w:val="20"/>
          <w:szCs w:val="20"/>
        </w:rPr>
        <w:t>u. a.</w:t>
      </w:r>
      <w:r>
        <w:rPr>
          <w:rFonts w:ascii="Arial" w:hAnsi="Arial" w:cs="Arial"/>
          <w:sz w:val="20"/>
          <w:szCs w:val="20"/>
        </w:rPr>
        <w:t xml:space="preserve"> der Verkauf des „D10 Domkontors“ von </w:t>
      </w:r>
      <w:proofErr w:type="spellStart"/>
      <w:r>
        <w:rPr>
          <w:rFonts w:ascii="Arial" w:hAnsi="Arial" w:cs="Arial"/>
          <w:sz w:val="20"/>
          <w:szCs w:val="20"/>
        </w:rPr>
        <w:t>Savills</w:t>
      </w:r>
      <w:proofErr w:type="spellEnd"/>
      <w:r>
        <w:rPr>
          <w:rFonts w:ascii="Arial" w:hAnsi="Arial" w:cs="Arial"/>
          <w:sz w:val="20"/>
          <w:szCs w:val="20"/>
        </w:rPr>
        <w:t xml:space="preserve"> Investment Management a</w:t>
      </w:r>
      <w:r w:rsidR="00FA6129">
        <w:rPr>
          <w:rFonts w:ascii="Arial" w:hAnsi="Arial" w:cs="Arial"/>
          <w:sz w:val="20"/>
          <w:szCs w:val="20"/>
        </w:rPr>
        <w:t xml:space="preserve">n </w:t>
      </w:r>
      <w:proofErr w:type="spellStart"/>
      <w:r w:rsidR="00FA6129">
        <w:rPr>
          <w:rFonts w:ascii="Arial" w:hAnsi="Arial" w:cs="Arial"/>
          <w:sz w:val="20"/>
          <w:szCs w:val="20"/>
        </w:rPr>
        <w:t>Caleus</w:t>
      </w:r>
      <w:proofErr w:type="spellEnd"/>
      <w:r w:rsidR="00FA6129">
        <w:rPr>
          <w:rFonts w:ascii="Arial" w:hAnsi="Arial" w:cs="Arial"/>
          <w:sz w:val="20"/>
          <w:szCs w:val="20"/>
        </w:rPr>
        <w:t xml:space="preserve"> Capital Investors bei.</w:t>
      </w:r>
    </w:p>
    <w:p w14:paraId="0B95B7E0" w14:textId="22A14D54" w:rsidR="00991976" w:rsidRDefault="00991976" w:rsidP="003372CA">
      <w:pPr>
        <w:pStyle w:val="Listenabsatz"/>
        <w:numPr>
          <w:ilvl w:val="0"/>
          <w:numId w:val="20"/>
        </w:numPr>
        <w:spacing w:after="0" w:line="36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Büro-Immobilien waren mit einem Anteil von 60 % wieder die</w:t>
      </w:r>
      <w:r w:rsidR="00FA6129">
        <w:rPr>
          <w:rFonts w:ascii="Arial" w:hAnsi="Arial" w:cs="Arial"/>
          <w:sz w:val="20"/>
          <w:szCs w:val="20"/>
        </w:rPr>
        <w:t xml:space="preserve"> am</w:t>
      </w:r>
      <w:r>
        <w:rPr>
          <w:rFonts w:ascii="Arial" w:hAnsi="Arial" w:cs="Arial"/>
          <w:sz w:val="20"/>
          <w:szCs w:val="20"/>
        </w:rPr>
        <w:t xml:space="preserve"> stärkste</w:t>
      </w:r>
      <w:r w:rsidR="00FA6129">
        <w:rPr>
          <w:rFonts w:ascii="Arial" w:hAnsi="Arial" w:cs="Arial"/>
          <w:sz w:val="20"/>
          <w:szCs w:val="20"/>
        </w:rPr>
        <w:t>n nachgefragte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129">
        <w:rPr>
          <w:rFonts w:ascii="Arial" w:hAnsi="Arial" w:cs="Arial"/>
          <w:sz w:val="20"/>
          <w:szCs w:val="20"/>
          <w:u w:val="single"/>
        </w:rPr>
        <w:t>Assetklasse</w:t>
      </w:r>
      <w:proofErr w:type="spellEnd"/>
      <w:r>
        <w:rPr>
          <w:rFonts w:ascii="Arial" w:hAnsi="Arial" w:cs="Arial"/>
          <w:sz w:val="20"/>
          <w:szCs w:val="20"/>
        </w:rPr>
        <w:t>, nachdem sie im Vorjahreszeitraum</w:t>
      </w:r>
      <w:r w:rsidR="00FA6129">
        <w:rPr>
          <w:rFonts w:ascii="Arial" w:hAnsi="Arial" w:cs="Arial"/>
          <w:sz w:val="20"/>
          <w:szCs w:val="20"/>
        </w:rPr>
        <w:t xml:space="preserve"> von Mixed-</w:t>
      </w:r>
      <w:proofErr w:type="spellStart"/>
      <w:r w:rsidR="00FA6129">
        <w:rPr>
          <w:rFonts w:ascii="Arial" w:hAnsi="Arial" w:cs="Arial"/>
          <w:sz w:val="20"/>
          <w:szCs w:val="20"/>
        </w:rPr>
        <w:t>u</w:t>
      </w:r>
      <w:r w:rsidRPr="005F69D4">
        <w:rPr>
          <w:rFonts w:ascii="Arial" w:hAnsi="Arial" w:cs="Arial"/>
          <w:sz w:val="20"/>
          <w:szCs w:val="20"/>
        </w:rPr>
        <w:t>se</w:t>
      </w:r>
      <w:proofErr w:type="spellEnd"/>
      <w:r>
        <w:rPr>
          <w:rFonts w:ascii="Arial" w:hAnsi="Arial" w:cs="Arial"/>
          <w:sz w:val="20"/>
          <w:szCs w:val="20"/>
        </w:rPr>
        <w:t>-</w:t>
      </w:r>
      <w:r w:rsidRPr="005F69D4">
        <w:rPr>
          <w:rFonts w:ascii="Arial" w:hAnsi="Arial" w:cs="Arial"/>
          <w:sz w:val="20"/>
          <w:szCs w:val="20"/>
        </w:rPr>
        <w:t>Objekte</w:t>
      </w:r>
      <w:r>
        <w:rPr>
          <w:rFonts w:ascii="Arial" w:hAnsi="Arial" w:cs="Arial"/>
          <w:sz w:val="20"/>
          <w:szCs w:val="20"/>
        </w:rPr>
        <w:t>n</w:t>
      </w:r>
      <w:r w:rsidRPr="005F69D4">
        <w:rPr>
          <w:rFonts w:ascii="Arial" w:hAnsi="Arial" w:cs="Arial"/>
          <w:sz w:val="20"/>
          <w:szCs w:val="20"/>
        </w:rPr>
        <w:t xml:space="preserve"> </w:t>
      </w:r>
      <w:r w:rsidR="00FA6129">
        <w:rPr>
          <w:rFonts w:ascii="Arial" w:hAnsi="Arial" w:cs="Arial"/>
          <w:sz w:val="20"/>
          <w:szCs w:val="20"/>
        </w:rPr>
        <w:t>verdrängt wo</w:t>
      </w:r>
      <w:r>
        <w:rPr>
          <w:rFonts w:ascii="Arial" w:hAnsi="Arial" w:cs="Arial"/>
          <w:sz w:val="20"/>
          <w:szCs w:val="20"/>
        </w:rPr>
        <w:t>rden</w:t>
      </w:r>
      <w:r w:rsidR="00FA6129">
        <w:rPr>
          <w:rFonts w:ascii="Arial" w:hAnsi="Arial" w:cs="Arial"/>
          <w:sz w:val="20"/>
          <w:szCs w:val="20"/>
        </w:rPr>
        <w:t xml:space="preserve"> waren. Diese erreichten im 1. Jahresviertel 2021</w:t>
      </w:r>
      <w:r>
        <w:rPr>
          <w:rFonts w:ascii="Arial" w:hAnsi="Arial" w:cs="Arial"/>
          <w:sz w:val="20"/>
          <w:szCs w:val="20"/>
        </w:rPr>
        <w:t xml:space="preserve"> einen Anteil von 13 % </w:t>
      </w:r>
      <w:r w:rsidR="00FA6129">
        <w:rPr>
          <w:rFonts w:ascii="Arial" w:hAnsi="Arial" w:cs="Arial"/>
          <w:sz w:val="20"/>
          <w:szCs w:val="20"/>
        </w:rPr>
        <w:t xml:space="preserve">am Transaktionsvolumen </w:t>
      </w:r>
      <w:r>
        <w:rPr>
          <w:rFonts w:ascii="Arial" w:hAnsi="Arial" w:cs="Arial"/>
          <w:sz w:val="20"/>
          <w:szCs w:val="20"/>
        </w:rPr>
        <w:t xml:space="preserve">und damit den dritten Platz. Knapp davor auf Platz zwei mit 14 % lagen Einzelhandels-Immobilien. </w:t>
      </w:r>
    </w:p>
    <w:p w14:paraId="043732AA" w14:textId="5DF1DC84" w:rsidR="00991976" w:rsidRDefault="000A6AE3" w:rsidP="003372CA">
      <w:pPr>
        <w:pStyle w:val="Listenabsatz"/>
        <w:numPr>
          <w:ilvl w:val="0"/>
          <w:numId w:val="20"/>
        </w:numPr>
        <w:spacing w:after="0" w:line="36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1. Quartal war </w:t>
      </w:r>
      <w:r w:rsidR="00F20AAA">
        <w:rPr>
          <w:rFonts w:ascii="Arial" w:hAnsi="Arial" w:cs="Arial"/>
          <w:sz w:val="20"/>
          <w:szCs w:val="20"/>
        </w:rPr>
        <w:t xml:space="preserve">ausschließlich von </w:t>
      </w:r>
      <w:r w:rsidR="00F20AAA" w:rsidRPr="00E23C81">
        <w:rPr>
          <w:rFonts w:ascii="Arial" w:hAnsi="Arial" w:cs="Arial"/>
          <w:sz w:val="20"/>
          <w:szCs w:val="20"/>
          <w:u w:val="single"/>
        </w:rPr>
        <w:t>Einzel</w:t>
      </w:r>
      <w:r w:rsidRPr="00E23C81">
        <w:rPr>
          <w:rFonts w:ascii="Arial" w:hAnsi="Arial" w:cs="Arial"/>
          <w:sz w:val="20"/>
          <w:szCs w:val="20"/>
          <w:u w:val="single"/>
        </w:rPr>
        <w:t>transaktionen</w:t>
      </w:r>
      <w:r>
        <w:rPr>
          <w:rFonts w:ascii="Arial" w:hAnsi="Arial" w:cs="Arial"/>
          <w:sz w:val="20"/>
          <w:szCs w:val="20"/>
        </w:rPr>
        <w:t xml:space="preserve"> geprägt. Portfolioverkäufe fanden nicht statt.</w:t>
      </w:r>
    </w:p>
    <w:p w14:paraId="59345F56" w14:textId="05DCF573" w:rsidR="000A6AE3" w:rsidRDefault="000A6AE3" w:rsidP="003372CA">
      <w:pPr>
        <w:pStyle w:val="Listenabsatz"/>
        <w:numPr>
          <w:ilvl w:val="0"/>
          <w:numId w:val="20"/>
        </w:numPr>
        <w:spacing w:after="0" w:line="36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Verkauf des „Hamburg Süd-Haus</w:t>
      </w:r>
      <w:r w:rsidR="00FA6129"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 xml:space="preserve">“ von </w:t>
      </w:r>
      <w:r w:rsidR="00FA6129">
        <w:rPr>
          <w:rFonts w:ascii="Arial" w:hAnsi="Arial" w:cs="Arial"/>
          <w:sz w:val="20"/>
          <w:szCs w:val="20"/>
        </w:rPr>
        <w:t xml:space="preserve">Dr. </w:t>
      </w:r>
      <w:r w:rsidR="00E23C81">
        <w:rPr>
          <w:rFonts w:ascii="Arial" w:hAnsi="Arial" w:cs="Arial"/>
          <w:sz w:val="20"/>
          <w:szCs w:val="20"/>
        </w:rPr>
        <w:t xml:space="preserve">August </w:t>
      </w:r>
      <w:r>
        <w:rPr>
          <w:rFonts w:ascii="Arial" w:hAnsi="Arial" w:cs="Arial"/>
          <w:sz w:val="20"/>
          <w:szCs w:val="20"/>
        </w:rPr>
        <w:t>Oetker</w:t>
      </w:r>
      <w:r w:rsidR="00FA6129">
        <w:rPr>
          <w:rFonts w:ascii="Arial" w:hAnsi="Arial" w:cs="Arial"/>
          <w:sz w:val="20"/>
          <w:szCs w:val="20"/>
        </w:rPr>
        <w:t xml:space="preserve"> Nahrungsmittel</w:t>
      </w:r>
      <w:r>
        <w:rPr>
          <w:rFonts w:ascii="Arial" w:hAnsi="Arial" w:cs="Arial"/>
          <w:sz w:val="20"/>
          <w:szCs w:val="20"/>
        </w:rPr>
        <w:t xml:space="preserve"> an Union Investment </w:t>
      </w:r>
      <w:r w:rsidR="00F20AAA">
        <w:rPr>
          <w:rFonts w:ascii="Arial" w:hAnsi="Arial" w:cs="Arial"/>
          <w:sz w:val="20"/>
          <w:szCs w:val="20"/>
        </w:rPr>
        <w:t xml:space="preserve">für </w:t>
      </w:r>
      <w:r w:rsidR="00FA6129">
        <w:rPr>
          <w:rFonts w:ascii="Arial" w:hAnsi="Arial" w:cs="Arial"/>
          <w:sz w:val="20"/>
          <w:szCs w:val="20"/>
        </w:rPr>
        <w:t>mehr als</w:t>
      </w:r>
      <w:r w:rsidR="00F20AAA">
        <w:rPr>
          <w:rFonts w:ascii="Arial" w:hAnsi="Arial" w:cs="Arial"/>
          <w:sz w:val="20"/>
          <w:szCs w:val="20"/>
        </w:rPr>
        <w:t xml:space="preserve"> 150 Mio. € </w:t>
      </w:r>
      <w:r>
        <w:rPr>
          <w:rFonts w:ascii="Arial" w:hAnsi="Arial" w:cs="Arial"/>
          <w:sz w:val="20"/>
          <w:szCs w:val="20"/>
        </w:rPr>
        <w:t>war die einzige Transaktion</w:t>
      </w:r>
      <w:r w:rsidR="00FA6129">
        <w:rPr>
          <w:rFonts w:ascii="Arial" w:hAnsi="Arial" w:cs="Arial"/>
          <w:sz w:val="20"/>
          <w:szCs w:val="20"/>
        </w:rPr>
        <w:t xml:space="preserve"> im Segment</w:t>
      </w:r>
      <w:r>
        <w:rPr>
          <w:rFonts w:ascii="Arial" w:hAnsi="Arial" w:cs="Arial"/>
          <w:sz w:val="20"/>
          <w:szCs w:val="20"/>
        </w:rPr>
        <w:t xml:space="preserve"> über 100 Mio. €. Mit einem Anteil von 44 % dominierte die </w:t>
      </w:r>
      <w:r w:rsidRPr="00FA6129">
        <w:rPr>
          <w:rFonts w:ascii="Arial" w:hAnsi="Arial" w:cs="Arial"/>
          <w:sz w:val="20"/>
          <w:szCs w:val="20"/>
          <w:u w:val="single"/>
        </w:rPr>
        <w:t>Größenklasse</w:t>
      </w:r>
      <w:r>
        <w:rPr>
          <w:rFonts w:ascii="Arial" w:hAnsi="Arial" w:cs="Arial"/>
          <w:sz w:val="20"/>
          <w:szCs w:val="20"/>
        </w:rPr>
        <w:t xml:space="preserve"> zwischen 51 und 100 Mio. €.</w:t>
      </w:r>
    </w:p>
    <w:p w14:paraId="5339A8FE" w14:textId="6E9D1F0A" w:rsidR="00241526" w:rsidRDefault="00FA6129" w:rsidP="003372CA">
      <w:pPr>
        <w:pStyle w:val="Listenabsatz"/>
        <w:numPr>
          <w:ilvl w:val="0"/>
          <w:numId w:val="20"/>
        </w:numPr>
        <w:spacing w:after="0" w:line="36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Fondsmanager</w:t>
      </w:r>
      <w:r w:rsidR="00241526">
        <w:rPr>
          <w:rFonts w:ascii="Arial" w:hAnsi="Arial" w:cs="Arial"/>
          <w:sz w:val="20"/>
          <w:szCs w:val="20"/>
        </w:rPr>
        <w:t xml:space="preserve"> bildet</w:t>
      </w:r>
      <w:r>
        <w:rPr>
          <w:rFonts w:ascii="Arial" w:hAnsi="Arial" w:cs="Arial"/>
          <w:sz w:val="20"/>
          <w:szCs w:val="20"/>
        </w:rPr>
        <w:t xml:space="preserve">en die stärkste </w:t>
      </w:r>
      <w:r w:rsidRPr="00E23C81">
        <w:rPr>
          <w:rFonts w:ascii="Arial" w:hAnsi="Arial" w:cs="Arial"/>
          <w:sz w:val="20"/>
          <w:szCs w:val="20"/>
          <w:u w:val="single"/>
        </w:rPr>
        <w:t>Käufergruppe</w:t>
      </w:r>
      <w:r>
        <w:rPr>
          <w:rFonts w:ascii="Arial" w:hAnsi="Arial" w:cs="Arial"/>
          <w:sz w:val="20"/>
          <w:szCs w:val="20"/>
        </w:rPr>
        <w:t xml:space="preserve"> (36</w:t>
      </w:r>
      <w:r w:rsidR="00241526">
        <w:rPr>
          <w:rFonts w:ascii="Arial" w:hAnsi="Arial" w:cs="Arial"/>
          <w:sz w:val="20"/>
          <w:szCs w:val="20"/>
        </w:rPr>
        <w:t xml:space="preserve"> %), gefolgt von </w:t>
      </w:r>
      <w:r>
        <w:rPr>
          <w:rFonts w:ascii="Arial" w:hAnsi="Arial" w:cs="Arial"/>
          <w:sz w:val="20"/>
          <w:szCs w:val="20"/>
        </w:rPr>
        <w:t>Spezialfonds (27</w:t>
      </w:r>
      <w:r w:rsidR="00241526">
        <w:rPr>
          <w:rFonts w:ascii="Arial" w:hAnsi="Arial" w:cs="Arial"/>
          <w:sz w:val="20"/>
          <w:szCs w:val="20"/>
        </w:rPr>
        <w:t xml:space="preserve"> %). </w:t>
      </w:r>
      <w:r w:rsidR="00241526" w:rsidRPr="00241526">
        <w:rPr>
          <w:rFonts w:ascii="Arial" w:hAnsi="Arial" w:cs="Arial"/>
          <w:sz w:val="20"/>
          <w:szCs w:val="20"/>
        </w:rPr>
        <w:t xml:space="preserve">Als stärkste </w:t>
      </w:r>
      <w:r w:rsidR="00241526" w:rsidRPr="00E23C81">
        <w:rPr>
          <w:rFonts w:ascii="Arial" w:hAnsi="Arial" w:cs="Arial"/>
          <w:sz w:val="20"/>
          <w:szCs w:val="20"/>
          <w:u w:val="single"/>
        </w:rPr>
        <w:t>Verkäufergruppe</w:t>
      </w:r>
      <w:r w:rsidR="00241526" w:rsidRPr="00241526">
        <w:rPr>
          <w:rFonts w:ascii="Arial" w:hAnsi="Arial" w:cs="Arial"/>
          <w:sz w:val="20"/>
          <w:szCs w:val="20"/>
        </w:rPr>
        <w:t xml:space="preserve"> setzten sich </w:t>
      </w:r>
      <w:proofErr w:type="spellStart"/>
      <w:r>
        <w:rPr>
          <w:rFonts w:ascii="Arial" w:hAnsi="Arial" w:cs="Arial"/>
          <w:sz w:val="20"/>
          <w:szCs w:val="20"/>
        </w:rPr>
        <w:t>Corporates</w:t>
      </w:r>
      <w:proofErr w:type="spellEnd"/>
      <w:r>
        <w:rPr>
          <w:rFonts w:ascii="Arial" w:hAnsi="Arial" w:cs="Arial"/>
          <w:sz w:val="20"/>
          <w:szCs w:val="20"/>
        </w:rPr>
        <w:t>/Eigennutzer</w:t>
      </w:r>
      <w:r w:rsidR="00241526" w:rsidRPr="00241526">
        <w:rPr>
          <w:rFonts w:ascii="Arial" w:hAnsi="Arial" w:cs="Arial"/>
          <w:sz w:val="20"/>
          <w:szCs w:val="20"/>
        </w:rPr>
        <w:t xml:space="preserve"> mit </w:t>
      </w:r>
      <w:r>
        <w:rPr>
          <w:rFonts w:ascii="Arial" w:hAnsi="Arial" w:cs="Arial"/>
          <w:sz w:val="20"/>
          <w:szCs w:val="20"/>
        </w:rPr>
        <w:t>33</w:t>
      </w:r>
      <w:r w:rsidR="00241526" w:rsidRPr="00241526">
        <w:rPr>
          <w:rFonts w:ascii="Arial" w:hAnsi="Arial" w:cs="Arial"/>
          <w:sz w:val="20"/>
          <w:szCs w:val="20"/>
        </w:rPr>
        <w:t xml:space="preserve"> % durch.</w:t>
      </w:r>
    </w:p>
    <w:p w14:paraId="592B5525" w14:textId="56BD7D9C" w:rsidR="00F20AAA" w:rsidRDefault="00F20AAA" w:rsidP="003372CA">
      <w:pPr>
        <w:pStyle w:val="Listenabsatz"/>
        <w:numPr>
          <w:ilvl w:val="0"/>
          <w:numId w:val="20"/>
        </w:numPr>
        <w:spacing w:after="0" w:line="36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 Vergleich zu den Vorjahren waren </w:t>
      </w:r>
      <w:r w:rsidRPr="00E23C81">
        <w:rPr>
          <w:rFonts w:ascii="Arial" w:hAnsi="Arial" w:cs="Arial"/>
          <w:sz w:val="20"/>
          <w:szCs w:val="20"/>
          <w:u w:val="single"/>
        </w:rPr>
        <w:t>internationale Investoren</w:t>
      </w:r>
      <w:r>
        <w:rPr>
          <w:rFonts w:ascii="Arial" w:hAnsi="Arial" w:cs="Arial"/>
          <w:sz w:val="20"/>
          <w:szCs w:val="20"/>
        </w:rPr>
        <w:t xml:space="preserve"> </w:t>
      </w:r>
      <w:r w:rsidR="00FA6129">
        <w:rPr>
          <w:rFonts w:ascii="Arial" w:hAnsi="Arial" w:cs="Arial"/>
          <w:sz w:val="20"/>
          <w:szCs w:val="20"/>
        </w:rPr>
        <w:t>i</w:t>
      </w:r>
      <w:r w:rsidR="00A25CF0">
        <w:rPr>
          <w:rFonts w:ascii="Arial" w:hAnsi="Arial" w:cs="Arial"/>
          <w:sz w:val="20"/>
          <w:szCs w:val="20"/>
        </w:rPr>
        <w:t>m 1. Quartal</w:t>
      </w:r>
      <w:r w:rsidR="00FA6129">
        <w:rPr>
          <w:rFonts w:ascii="Arial" w:hAnsi="Arial" w:cs="Arial"/>
          <w:sz w:val="20"/>
          <w:szCs w:val="20"/>
        </w:rPr>
        <w:t xml:space="preserve"> 2021 in Hamburg kaum</w:t>
      </w:r>
      <w:r w:rsidR="00A25CF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aktiv</w:t>
      </w:r>
      <w:r w:rsidR="00FA6129">
        <w:rPr>
          <w:rFonts w:ascii="Arial" w:hAnsi="Arial" w:cs="Arial"/>
          <w:sz w:val="20"/>
          <w:szCs w:val="20"/>
        </w:rPr>
        <w:t xml:space="preserve"> (Anteil von 3 %)</w:t>
      </w:r>
      <w:r>
        <w:rPr>
          <w:rFonts w:ascii="Arial" w:hAnsi="Arial" w:cs="Arial"/>
          <w:sz w:val="20"/>
          <w:szCs w:val="20"/>
        </w:rPr>
        <w:t>.</w:t>
      </w:r>
      <w:r w:rsidR="006E3B3D">
        <w:rPr>
          <w:rFonts w:ascii="Arial" w:hAnsi="Arial" w:cs="Arial"/>
          <w:sz w:val="20"/>
          <w:szCs w:val="20"/>
        </w:rPr>
        <w:t xml:space="preserve"> </w:t>
      </w:r>
      <w:r w:rsidR="0069613C">
        <w:rPr>
          <w:rFonts w:ascii="Arial" w:hAnsi="Arial" w:cs="Arial"/>
          <w:sz w:val="20"/>
          <w:szCs w:val="20"/>
        </w:rPr>
        <w:t xml:space="preserve">Nationale Käufer </w:t>
      </w:r>
      <w:r w:rsidR="009B51DA">
        <w:rPr>
          <w:rFonts w:ascii="Arial" w:hAnsi="Arial" w:cs="Arial"/>
          <w:sz w:val="20"/>
          <w:szCs w:val="20"/>
        </w:rPr>
        <w:t xml:space="preserve">setzen sich </w:t>
      </w:r>
      <w:r w:rsidR="0069613C">
        <w:rPr>
          <w:rFonts w:ascii="Arial" w:hAnsi="Arial" w:cs="Arial"/>
          <w:sz w:val="20"/>
          <w:szCs w:val="20"/>
        </w:rPr>
        <w:t>aufgrund ihres hohen Anlagedrucks häufig</w:t>
      </w:r>
      <w:r w:rsidR="009B51DA">
        <w:rPr>
          <w:rFonts w:ascii="Arial" w:hAnsi="Arial" w:cs="Arial"/>
          <w:sz w:val="20"/>
          <w:szCs w:val="20"/>
        </w:rPr>
        <w:t>er</w:t>
      </w:r>
      <w:r w:rsidR="0069613C">
        <w:rPr>
          <w:rFonts w:ascii="Arial" w:hAnsi="Arial" w:cs="Arial"/>
          <w:sz w:val="20"/>
          <w:szCs w:val="20"/>
        </w:rPr>
        <w:t xml:space="preserve"> </w:t>
      </w:r>
      <w:r w:rsidR="009B51DA">
        <w:rPr>
          <w:rFonts w:ascii="Arial" w:hAnsi="Arial" w:cs="Arial"/>
          <w:sz w:val="20"/>
          <w:szCs w:val="20"/>
        </w:rPr>
        <w:t xml:space="preserve">in Bieterprozessen durch. Hinzu kommt, dass </w:t>
      </w:r>
      <w:r w:rsidR="0069613C">
        <w:rPr>
          <w:rFonts w:ascii="Arial" w:hAnsi="Arial" w:cs="Arial"/>
          <w:sz w:val="20"/>
          <w:szCs w:val="20"/>
        </w:rPr>
        <w:t>sie die Corona-bedingten Markteinflüsse angesichts ihrer geographischen Nähe besser einschätzen können als Investoren aus dem Ausland.</w:t>
      </w:r>
    </w:p>
    <w:p w14:paraId="79D54FF6" w14:textId="3E829FE8" w:rsidR="008A2BA4" w:rsidRPr="00241526" w:rsidRDefault="00241526" w:rsidP="003372CA">
      <w:pPr>
        <w:pStyle w:val="Listenabsatz"/>
        <w:numPr>
          <w:ilvl w:val="0"/>
          <w:numId w:val="20"/>
        </w:numPr>
        <w:spacing w:after="0" w:line="36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241526">
        <w:rPr>
          <w:rFonts w:ascii="Arial" w:hAnsi="Arial" w:cs="Arial"/>
          <w:sz w:val="20"/>
          <w:szCs w:val="20"/>
        </w:rPr>
        <w:t xml:space="preserve">Aufgrund der hohen Nachfrage gaben die </w:t>
      </w:r>
      <w:r w:rsidRPr="00F67EAF">
        <w:rPr>
          <w:rFonts w:ascii="Arial" w:hAnsi="Arial" w:cs="Arial"/>
          <w:sz w:val="20"/>
          <w:szCs w:val="20"/>
          <w:u w:val="single"/>
        </w:rPr>
        <w:t>Spitzenrenditen</w:t>
      </w:r>
      <w:r>
        <w:rPr>
          <w:rFonts w:ascii="Arial" w:hAnsi="Arial" w:cs="Arial"/>
          <w:sz w:val="20"/>
          <w:szCs w:val="20"/>
        </w:rPr>
        <w:t xml:space="preserve"> für Büro- und Logistik-Immobilien im Vergleich zum Vorjahresquartal weiter nach:</w:t>
      </w:r>
      <w:r w:rsidRPr="00241526">
        <w:rPr>
          <w:rFonts w:ascii="Arial" w:hAnsi="Arial" w:cs="Arial"/>
          <w:sz w:val="20"/>
          <w:szCs w:val="20"/>
        </w:rPr>
        <w:t xml:space="preserve"> </w:t>
      </w:r>
      <w:r w:rsidR="00064CAC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ie </w:t>
      </w:r>
      <w:r w:rsidRPr="00241526">
        <w:rPr>
          <w:rFonts w:ascii="Arial" w:hAnsi="Arial" w:cs="Arial"/>
          <w:sz w:val="20"/>
          <w:szCs w:val="20"/>
        </w:rPr>
        <w:t xml:space="preserve">Büro-Rendite </w:t>
      </w:r>
      <w:r>
        <w:rPr>
          <w:rFonts w:ascii="Arial" w:hAnsi="Arial" w:cs="Arial"/>
          <w:sz w:val="20"/>
          <w:szCs w:val="20"/>
        </w:rPr>
        <w:t xml:space="preserve">sank </w:t>
      </w:r>
      <w:r w:rsidR="00064CAC">
        <w:rPr>
          <w:rFonts w:ascii="Arial" w:hAnsi="Arial" w:cs="Arial"/>
          <w:sz w:val="20"/>
          <w:szCs w:val="20"/>
        </w:rPr>
        <w:t xml:space="preserve">von 2,80 </w:t>
      </w:r>
      <w:r w:rsidRPr="00241526">
        <w:rPr>
          <w:rFonts w:ascii="Arial" w:hAnsi="Arial" w:cs="Arial"/>
          <w:sz w:val="20"/>
          <w:szCs w:val="20"/>
        </w:rPr>
        <w:t xml:space="preserve">auf 2,70 %, </w:t>
      </w:r>
      <w:r>
        <w:rPr>
          <w:rFonts w:ascii="Arial" w:hAnsi="Arial" w:cs="Arial"/>
          <w:sz w:val="20"/>
          <w:szCs w:val="20"/>
        </w:rPr>
        <w:t xml:space="preserve">die </w:t>
      </w:r>
      <w:r w:rsidRPr="00241526">
        <w:rPr>
          <w:rFonts w:ascii="Arial" w:hAnsi="Arial" w:cs="Arial"/>
          <w:sz w:val="20"/>
          <w:szCs w:val="20"/>
        </w:rPr>
        <w:t>Rendite für Industrie-</w:t>
      </w:r>
      <w:r>
        <w:rPr>
          <w:rFonts w:ascii="Arial" w:hAnsi="Arial" w:cs="Arial"/>
          <w:sz w:val="20"/>
          <w:szCs w:val="20"/>
        </w:rPr>
        <w:t xml:space="preserve"> und </w:t>
      </w:r>
      <w:r w:rsidRPr="00241526">
        <w:rPr>
          <w:rFonts w:ascii="Arial" w:hAnsi="Arial" w:cs="Arial"/>
          <w:sz w:val="20"/>
          <w:szCs w:val="20"/>
        </w:rPr>
        <w:t>Logistik</w:t>
      </w:r>
      <w:r>
        <w:rPr>
          <w:rFonts w:ascii="Arial" w:hAnsi="Arial" w:cs="Arial"/>
          <w:sz w:val="20"/>
          <w:szCs w:val="20"/>
        </w:rPr>
        <w:t>-I</w:t>
      </w:r>
      <w:r w:rsidRPr="00241526">
        <w:rPr>
          <w:rFonts w:ascii="Arial" w:hAnsi="Arial" w:cs="Arial"/>
          <w:sz w:val="20"/>
          <w:szCs w:val="20"/>
        </w:rPr>
        <w:t xml:space="preserve">mmobilien </w:t>
      </w:r>
      <w:r w:rsidR="003F1A91">
        <w:rPr>
          <w:rFonts w:ascii="Arial" w:hAnsi="Arial" w:cs="Arial"/>
          <w:sz w:val="20"/>
          <w:szCs w:val="20"/>
        </w:rPr>
        <w:t xml:space="preserve">fiel </w:t>
      </w:r>
      <w:r w:rsidR="00064CAC">
        <w:rPr>
          <w:rFonts w:ascii="Arial" w:hAnsi="Arial" w:cs="Arial"/>
          <w:sz w:val="20"/>
          <w:szCs w:val="20"/>
        </w:rPr>
        <w:t>von 4,20</w:t>
      </w:r>
      <w:r w:rsidRPr="00241526">
        <w:rPr>
          <w:rFonts w:ascii="Arial" w:hAnsi="Arial" w:cs="Arial"/>
          <w:sz w:val="20"/>
          <w:szCs w:val="20"/>
        </w:rPr>
        <w:t xml:space="preserve"> auf 3,90</w:t>
      </w:r>
      <w:r>
        <w:rPr>
          <w:rFonts w:ascii="Arial" w:hAnsi="Arial" w:cs="Arial"/>
          <w:sz w:val="20"/>
          <w:szCs w:val="20"/>
        </w:rPr>
        <w:t> </w:t>
      </w:r>
      <w:r w:rsidRPr="00241526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>.</w:t>
      </w:r>
      <w:r w:rsidRPr="002415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Die </w:t>
      </w:r>
      <w:r w:rsidR="0069613C">
        <w:rPr>
          <w:rFonts w:ascii="Arial" w:hAnsi="Arial" w:cs="Arial"/>
          <w:sz w:val="20"/>
          <w:szCs w:val="20"/>
        </w:rPr>
        <w:t>Spitzenr</w:t>
      </w:r>
      <w:r>
        <w:rPr>
          <w:rFonts w:ascii="Arial" w:hAnsi="Arial" w:cs="Arial"/>
          <w:sz w:val="20"/>
          <w:szCs w:val="20"/>
        </w:rPr>
        <w:t xml:space="preserve">endite für </w:t>
      </w:r>
      <w:r w:rsidRPr="00241526">
        <w:rPr>
          <w:rFonts w:ascii="Arial" w:hAnsi="Arial" w:cs="Arial"/>
          <w:sz w:val="20"/>
          <w:szCs w:val="20"/>
        </w:rPr>
        <w:t>Geschäftshäuser blieb stabil bei 2,70 %.</w:t>
      </w:r>
    </w:p>
    <w:tbl>
      <w:tblPr>
        <w:tblStyle w:val="TableGrid2"/>
        <w:tblpPr w:leftFromText="141" w:rightFromText="141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3823"/>
        <w:gridCol w:w="1134"/>
      </w:tblGrid>
      <w:tr w:rsidR="00F67EAF" w:rsidRPr="006F49D0" w14:paraId="4C2432D5" w14:textId="77777777" w:rsidTr="00F67EAF">
        <w:trPr>
          <w:trHeight w:val="283"/>
        </w:trPr>
        <w:tc>
          <w:tcPr>
            <w:tcW w:w="0" w:type="auto"/>
            <w:shd w:val="clear" w:color="auto" w:fill="1F242B" w:themeFill="accent2"/>
          </w:tcPr>
          <w:p w14:paraId="4B0553A5" w14:textId="77777777" w:rsidR="00F67EAF" w:rsidRPr="004712BA" w:rsidRDefault="00F67EAF" w:rsidP="00F67EAF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Investmentmarkt </w:t>
            </w:r>
            <w:r w:rsidRPr="00800E2C">
              <w:rPr>
                <w:rFonts w:ascii="Arial" w:hAnsi="Arial" w:cs="Arial"/>
                <w:b/>
                <w:sz w:val="20"/>
                <w:szCs w:val="20"/>
              </w:rPr>
              <w:t>|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Hamburg</w:t>
            </w:r>
            <w:r>
              <w:t xml:space="preserve"> </w:t>
            </w:r>
            <w:r w:rsidRPr="00800E2C">
              <w:rPr>
                <w:rFonts w:ascii="Arial" w:hAnsi="Arial" w:cs="Arial"/>
                <w:b/>
                <w:sz w:val="20"/>
                <w:szCs w:val="20"/>
              </w:rPr>
              <w:t>|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  <w:shd w:val="clear" w:color="auto" w:fill="1F242B" w:themeFill="accent2"/>
          </w:tcPr>
          <w:p w14:paraId="2666ADBF" w14:textId="77777777" w:rsidR="00F67EAF" w:rsidRPr="004712BA" w:rsidRDefault="00F67EAF" w:rsidP="00F67EAF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712BA">
              <w:rPr>
                <w:rFonts w:ascii="Arial" w:hAnsi="Arial" w:cs="Arial"/>
                <w:b/>
                <w:sz w:val="18"/>
                <w:szCs w:val="16"/>
              </w:rPr>
              <w:t>Q</w:t>
            </w:r>
            <w:r>
              <w:rPr>
                <w:rFonts w:ascii="Arial" w:hAnsi="Arial" w:cs="Arial"/>
                <w:b/>
                <w:sz w:val="18"/>
                <w:szCs w:val="16"/>
              </w:rPr>
              <w:t>1</w:t>
            </w:r>
          </w:p>
        </w:tc>
      </w:tr>
      <w:tr w:rsidR="00F67EAF" w:rsidRPr="006F49D0" w14:paraId="4B06E1C6" w14:textId="77777777" w:rsidTr="00F67EAF">
        <w:trPr>
          <w:trHeight w:val="283"/>
        </w:trPr>
        <w:tc>
          <w:tcPr>
            <w:tcW w:w="3823" w:type="dxa"/>
          </w:tcPr>
          <w:p w14:paraId="23BEE2EF" w14:textId="77777777" w:rsidR="00F67EAF" w:rsidRPr="004712BA" w:rsidRDefault="00F67EAF" w:rsidP="00F67EAF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Transaktionsvolumen </w:t>
            </w:r>
            <w:r w:rsidRPr="00CF57DD">
              <w:rPr>
                <w:rFonts w:ascii="Arial" w:hAnsi="Arial" w:cs="Arial"/>
                <w:sz w:val="18"/>
                <w:szCs w:val="16"/>
              </w:rPr>
              <w:t>[</w:t>
            </w:r>
            <w:r w:rsidRPr="004712BA">
              <w:rPr>
                <w:rFonts w:ascii="Arial" w:hAnsi="Arial" w:cs="Arial"/>
                <w:sz w:val="18"/>
                <w:szCs w:val="16"/>
              </w:rPr>
              <w:t>Mio. €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6D149E39" w14:textId="77777777" w:rsidR="00F67EAF" w:rsidRPr="000B7D28" w:rsidRDefault="00F67EAF" w:rsidP="00F67EAF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700</w:t>
            </w:r>
          </w:p>
        </w:tc>
      </w:tr>
      <w:tr w:rsidR="00F67EAF" w:rsidRPr="006F49D0" w14:paraId="09A01916" w14:textId="77777777" w:rsidTr="00F67EAF">
        <w:trPr>
          <w:trHeight w:val="283"/>
        </w:trPr>
        <w:tc>
          <w:tcPr>
            <w:tcW w:w="3823" w:type="dxa"/>
          </w:tcPr>
          <w:p w14:paraId="62104683" w14:textId="77777777" w:rsidR="00F67EAF" w:rsidRPr="00A7575D" w:rsidRDefault="00F67EAF" w:rsidP="00F67EAF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vAlign w:val="center"/>
          </w:tcPr>
          <w:p w14:paraId="256E0AC6" w14:textId="77777777" w:rsidR="00F67EAF" w:rsidRPr="00BD6652" w:rsidRDefault="00F67EAF" w:rsidP="00F67EAF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-28</w:t>
            </w:r>
          </w:p>
        </w:tc>
      </w:tr>
      <w:tr w:rsidR="00F67EAF" w:rsidRPr="006F49D0" w14:paraId="225182B5" w14:textId="77777777" w:rsidTr="00F67EAF">
        <w:trPr>
          <w:trHeight w:val="283"/>
        </w:trPr>
        <w:tc>
          <w:tcPr>
            <w:tcW w:w="3823" w:type="dxa"/>
          </w:tcPr>
          <w:p w14:paraId="5DEF1B96" w14:textId="77777777" w:rsidR="00F67EAF" w:rsidRPr="00A7575D" w:rsidRDefault="00F67EAF" w:rsidP="00F67EAF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CF57DD">
              <w:rPr>
                <w:rFonts w:ascii="Arial" w:hAnsi="Arial" w:cs="Arial"/>
                <w:b/>
                <w:sz w:val="18"/>
                <w:szCs w:val="16"/>
              </w:rPr>
              <w:t>Anteil CBD</w:t>
            </w:r>
            <w:r>
              <w:rPr>
                <w:rFonts w:ascii="Arial" w:hAnsi="Arial" w:cs="Arial"/>
                <w:sz w:val="18"/>
                <w:szCs w:val="16"/>
              </w:rPr>
              <w:t xml:space="preserve"> [%]</w:t>
            </w:r>
          </w:p>
        </w:tc>
        <w:tc>
          <w:tcPr>
            <w:tcW w:w="1134" w:type="dxa"/>
            <w:vAlign w:val="center"/>
          </w:tcPr>
          <w:p w14:paraId="390224FB" w14:textId="77777777" w:rsidR="00F67EAF" w:rsidRPr="000B7D28" w:rsidRDefault="00F67EAF" w:rsidP="00F67EAF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46</w:t>
            </w:r>
          </w:p>
        </w:tc>
      </w:tr>
      <w:tr w:rsidR="00F67EAF" w:rsidRPr="006F49D0" w14:paraId="263CDC36" w14:textId="77777777" w:rsidTr="00F67EAF">
        <w:trPr>
          <w:trHeight w:val="283"/>
        </w:trPr>
        <w:tc>
          <w:tcPr>
            <w:tcW w:w="3823" w:type="dxa"/>
          </w:tcPr>
          <w:p w14:paraId="2C102535" w14:textId="77777777" w:rsidR="00F67EAF" w:rsidRPr="00CF57DD" w:rsidRDefault="00F67EAF" w:rsidP="00F67EAF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Anteil internationaler Investoren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vAlign w:val="center"/>
          </w:tcPr>
          <w:p w14:paraId="027038BA" w14:textId="77777777" w:rsidR="00F67EAF" w:rsidRPr="000B7D28" w:rsidRDefault="00F67EAF" w:rsidP="00F67EAF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</w:t>
            </w:r>
          </w:p>
        </w:tc>
      </w:tr>
      <w:tr w:rsidR="00F67EAF" w:rsidRPr="006F49D0" w14:paraId="6E4FA2FB" w14:textId="77777777" w:rsidTr="00F67EAF">
        <w:trPr>
          <w:trHeight w:val="283"/>
        </w:trPr>
        <w:tc>
          <w:tcPr>
            <w:tcW w:w="3823" w:type="dxa"/>
          </w:tcPr>
          <w:p w14:paraId="07D8D6A5" w14:textId="77777777" w:rsidR="00F67EAF" w:rsidRPr="004712BA" w:rsidRDefault="00F67EAF" w:rsidP="00F67EAF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A7575D">
              <w:rPr>
                <w:rFonts w:ascii="Arial" w:hAnsi="Arial" w:cs="Arial"/>
                <w:b/>
                <w:sz w:val="18"/>
                <w:szCs w:val="16"/>
              </w:rPr>
              <w:t xml:space="preserve">Netto-Spitzenrendite Büro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vAlign w:val="center"/>
          </w:tcPr>
          <w:p w14:paraId="24AF25F3" w14:textId="77777777" w:rsidR="00F67EAF" w:rsidRPr="000B7D28" w:rsidRDefault="00F67EAF" w:rsidP="00F67EAF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2,7</w:t>
            </w:r>
            <w:r w:rsidRPr="000B7D28">
              <w:rPr>
                <w:rFonts w:ascii="Arial" w:hAnsi="Arial" w:cs="Arial"/>
                <w:sz w:val="18"/>
                <w:szCs w:val="16"/>
              </w:rPr>
              <w:t>0</w:t>
            </w:r>
          </w:p>
        </w:tc>
      </w:tr>
      <w:tr w:rsidR="00F67EAF" w14:paraId="54D1641E" w14:textId="77777777" w:rsidTr="00F67EAF">
        <w:trPr>
          <w:trHeight w:val="283"/>
        </w:trPr>
        <w:tc>
          <w:tcPr>
            <w:tcW w:w="3823" w:type="dxa"/>
          </w:tcPr>
          <w:p w14:paraId="002C70DF" w14:textId="77777777" w:rsidR="00F67EAF" w:rsidRPr="00A7575D" w:rsidRDefault="00F67EAF" w:rsidP="00F67EAF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A7575D">
              <w:rPr>
                <w:rFonts w:ascii="Arial" w:hAnsi="Arial" w:cs="Arial"/>
                <w:sz w:val="18"/>
                <w:szCs w:val="16"/>
              </w:rPr>
              <w:t>%-Pkt.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43F2CDE3" w14:textId="3054DA72" w:rsidR="00F67EAF" w:rsidRPr="000B7D28" w:rsidRDefault="00F67EAF" w:rsidP="009750A4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-</w:t>
            </w:r>
            <w:r w:rsidR="009750A4">
              <w:rPr>
                <w:rFonts w:ascii="Arial" w:hAnsi="Arial" w:cs="Arial"/>
                <w:sz w:val="18"/>
                <w:szCs w:val="16"/>
              </w:rPr>
              <w:t>0</w:t>
            </w:r>
            <w:r w:rsidRPr="000B7D28">
              <w:rPr>
                <w:rFonts w:ascii="Arial" w:hAnsi="Arial" w:cs="Arial"/>
                <w:sz w:val="18"/>
                <w:szCs w:val="16"/>
              </w:rPr>
              <w:t>,</w:t>
            </w:r>
            <w:r w:rsidR="009750A4">
              <w:rPr>
                <w:rFonts w:ascii="Arial" w:hAnsi="Arial" w:cs="Arial"/>
                <w:sz w:val="18"/>
                <w:szCs w:val="16"/>
              </w:rPr>
              <w:t>1</w:t>
            </w:r>
            <w:r w:rsidRPr="000B7D28">
              <w:rPr>
                <w:rFonts w:ascii="Arial" w:hAnsi="Arial" w:cs="Arial"/>
                <w:sz w:val="18"/>
                <w:szCs w:val="16"/>
              </w:rPr>
              <w:t>0</w:t>
            </w:r>
          </w:p>
        </w:tc>
      </w:tr>
      <w:tr w:rsidR="00F67EAF" w:rsidRPr="006F49D0" w14:paraId="108BDDCF" w14:textId="77777777" w:rsidTr="00F67EAF">
        <w:trPr>
          <w:trHeight w:val="283"/>
        </w:trPr>
        <w:tc>
          <w:tcPr>
            <w:tcW w:w="3823" w:type="dxa"/>
          </w:tcPr>
          <w:p w14:paraId="7FFAB547" w14:textId="77777777" w:rsidR="00F67EAF" w:rsidRPr="004712BA" w:rsidRDefault="00F67EAF" w:rsidP="00F67EAF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A7575D">
              <w:rPr>
                <w:rFonts w:ascii="Arial" w:hAnsi="Arial" w:cs="Arial"/>
                <w:b/>
                <w:sz w:val="18"/>
                <w:szCs w:val="16"/>
              </w:rPr>
              <w:t xml:space="preserve">Netto-Spitzenrendite Geschäftshäuser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vAlign w:val="center"/>
          </w:tcPr>
          <w:p w14:paraId="50095197" w14:textId="77777777" w:rsidR="00F67EAF" w:rsidRPr="000B7D28" w:rsidRDefault="00F67EAF" w:rsidP="00F67EAF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2,7</w:t>
            </w:r>
            <w:r w:rsidRPr="000B7D28">
              <w:rPr>
                <w:rFonts w:ascii="Arial" w:hAnsi="Arial" w:cs="Arial"/>
                <w:sz w:val="18"/>
                <w:szCs w:val="16"/>
              </w:rPr>
              <w:t>0</w:t>
            </w:r>
          </w:p>
        </w:tc>
      </w:tr>
      <w:tr w:rsidR="00F67EAF" w14:paraId="12487751" w14:textId="77777777" w:rsidTr="00F67EAF">
        <w:trPr>
          <w:trHeight w:val="283"/>
        </w:trPr>
        <w:tc>
          <w:tcPr>
            <w:tcW w:w="3823" w:type="dxa"/>
          </w:tcPr>
          <w:p w14:paraId="60C8FA68" w14:textId="77777777" w:rsidR="00F67EAF" w:rsidRPr="00A7575D" w:rsidRDefault="00F67EAF" w:rsidP="00F67EAF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A7575D">
              <w:rPr>
                <w:rFonts w:ascii="Arial" w:hAnsi="Arial" w:cs="Arial"/>
                <w:sz w:val="18"/>
                <w:szCs w:val="16"/>
              </w:rPr>
              <w:t>%-Pkt.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193B4811" w14:textId="77777777" w:rsidR="00F67EAF" w:rsidRPr="000B7D28" w:rsidRDefault="00F67EAF" w:rsidP="00F67EAF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0B7D28">
              <w:rPr>
                <w:rFonts w:ascii="Arial" w:hAnsi="Arial" w:cs="Arial"/>
                <w:sz w:val="18"/>
                <w:szCs w:val="16"/>
              </w:rPr>
              <w:t>±0,00</w:t>
            </w:r>
          </w:p>
        </w:tc>
      </w:tr>
      <w:tr w:rsidR="00F67EAF" w:rsidRPr="006F49D0" w14:paraId="3684343E" w14:textId="77777777" w:rsidTr="00F67EAF">
        <w:trPr>
          <w:trHeight w:val="283"/>
        </w:trPr>
        <w:tc>
          <w:tcPr>
            <w:tcW w:w="3823" w:type="dxa"/>
          </w:tcPr>
          <w:p w14:paraId="01160851" w14:textId="77777777" w:rsidR="00F67EAF" w:rsidRPr="004712BA" w:rsidRDefault="00F67EAF" w:rsidP="00F67EAF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A7575D">
              <w:rPr>
                <w:rFonts w:ascii="Arial" w:hAnsi="Arial" w:cs="Arial"/>
                <w:b/>
                <w:sz w:val="18"/>
                <w:szCs w:val="16"/>
              </w:rPr>
              <w:t xml:space="preserve">Netto-Spitzenrendite Logistik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vAlign w:val="center"/>
          </w:tcPr>
          <w:p w14:paraId="4549AD25" w14:textId="77777777" w:rsidR="00F67EAF" w:rsidRPr="000B7D28" w:rsidRDefault="00F67EAF" w:rsidP="00F67EAF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  <w:r w:rsidRPr="000B7D28">
              <w:rPr>
                <w:rFonts w:ascii="Arial" w:hAnsi="Arial" w:cs="Arial"/>
                <w:sz w:val="18"/>
                <w:szCs w:val="16"/>
              </w:rPr>
              <w:t>,</w:t>
            </w:r>
            <w:r>
              <w:rPr>
                <w:rFonts w:ascii="Arial" w:hAnsi="Arial" w:cs="Arial"/>
                <w:sz w:val="18"/>
                <w:szCs w:val="16"/>
              </w:rPr>
              <w:t>9</w:t>
            </w:r>
            <w:r w:rsidRPr="000B7D28">
              <w:rPr>
                <w:rFonts w:ascii="Arial" w:hAnsi="Arial" w:cs="Arial"/>
                <w:sz w:val="18"/>
                <w:szCs w:val="16"/>
              </w:rPr>
              <w:t>0</w:t>
            </w:r>
          </w:p>
        </w:tc>
      </w:tr>
      <w:tr w:rsidR="00F67EAF" w14:paraId="1AE6011C" w14:textId="77777777" w:rsidTr="00F67EAF">
        <w:trPr>
          <w:trHeight w:val="283"/>
        </w:trPr>
        <w:tc>
          <w:tcPr>
            <w:tcW w:w="3823" w:type="dxa"/>
          </w:tcPr>
          <w:p w14:paraId="08D4FEA0" w14:textId="77777777" w:rsidR="00F67EAF" w:rsidRPr="00A7575D" w:rsidRDefault="00F67EAF" w:rsidP="00F67EAF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A7575D">
              <w:rPr>
                <w:rFonts w:ascii="Arial" w:hAnsi="Arial" w:cs="Arial"/>
                <w:sz w:val="18"/>
                <w:szCs w:val="16"/>
              </w:rPr>
              <w:t>%-Pkt.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6E38FA44" w14:textId="7B4221CA" w:rsidR="00F67EAF" w:rsidRPr="000B7D28" w:rsidRDefault="00F67EAF" w:rsidP="009750A4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0B7D28">
              <w:rPr>
                <w:rFonts w:ascii="Arial" w:hAnsi="Arial" w:cs="Arial"/>
                <w:sz w:val="18"/>
                <w:szCs w:val="16"/>
              </w:rPr>
              <w:t>-</w:t>
            </w:r>
            <w:r w:rsidR="009750A4">
              <w:rPr>
                <w:rFonts w:ascii="Arial" w:hAnsi="Arial" w:cs="Arial"/>
                <w:sz w:val="18"/>
                <w:szCs w:val="16"/>
              </w:rPr>
              <w:t>0</w:t>
            </w:r>
            <w:r w:rsidRPr="000B7D28">
              <w:rPr>
                <w:rFonts w:ascii="Arial" w:hAnsi="Arial" w:cs="Arial"/>
                <w:sz w:val="18"/>
                <w:szCs w:val="16"/>
              </w:rPr>
              <w:t>,</w:t>
            </w:r>
            <w:r w:rsidR="009750A4">
              <w:rPr>
                <w:rFonts w:ascii="Arial" w:hAnsi="Arial" w:cs="Arial"/>
                <w:sz w:val="18"/>
                <w:szCs w:val="16"/>
              </w:rPr>
              <w:t>3</w:t>
            </w:r>
            <w:bookmarkStart w:id="0" w:name="_GoBack"/>
            <w:bookmarkEnd w:id="0"/>
            <w:r w:rsidRPr="000B7D28">
              <w:rPr>
                <w:rFonts w:ascii="Arial" w:hAnsi="Arial" w:cs="Arial"/>
                <w:sz w:val="18"/>
                <w:szCs w:val="16"/>
              </w:rPr>
              <w:t>0</w:t>
            </w:r>
          </w:p>
        </w:tc>
      </w:tr>
      <w:tr w:rsidR="00F67EAF" w:rsidRPr="006F49D0" w14:paraId="73476F27" w14:textId="77777777" w:rsidTr="00F67EAF">
        <w:trPr>
          <w:trHeight w:val="283"/>
        </w:trPr>
        <w:tc>
          <w:tcPr>
            <w:tcW w:w="3823" w:type="dxa"/>
            <w:tcBorders>
              <w:bottom w:val="single" w:sz="4" w:space="0" w:color="auto"/>
            </w:tcBorders>
          </w:tcPr>
          <w:p w14:paraId="04C55323" w14:textId="77777777" w:rsidR="00F67EAF" w:rsidRPr="004712BA" w:rsidRDefault="00F67EAF" w:rsidP="00F67EAF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4712BA">
              <w:rPr>
                <w:rFonts w:ascii="Arial" w:hAnsi="Arial" w:cs="Arial"/>
                <w:b/>
                <w:sz w:val="18"/>
                <w:szCs w:val="16"/>
              </w:rPr>
              <w:t>Stärkste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proofErr w:type="spellStart"/>
            <w:r w:rsidRPr="004712BA">
              <w:rPr>
                <w:rFonts w:ascii="Arial" w:hAnsi="Arial" w:cs="Arial"/>
                <w:b/>
                <w:sz w:val="18"/>
                <w:szCs w:val="16"/>
              </w:rPr>
              <w:t>Assetklasse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1130F87" w14:textId="77777777" w:rsidR="00F67EAF" w:rsidRPr="000B7D28" w:rsidRDefault="00F67EAF" w:rsidP="00F67EAF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Büro</w:t>
            </w:r>
          </w:p>
        </w:tc>
      </w:tr>
      <w:tr w:rsidR="00F67EAF" w:rsidRPr="006F49D0" w14:paraId="4FA2101A" w14:textId="77777777" w:rsidTr="00F67EAF">
        <w:trPr>
          <w:trHeight w:val="283"/>
        </w:trPr>
        <w:tc>
          <w:tcPr>
            <w:tcW w:w="3823" w:type="dxa"/>
            <w:tcBorders>
              <w:bottom w:val="single" w:sz="4" w:space="0" w:color="auto"/>
            </w:tcBorders>
          </w:tcPr>
          <w:p w14:paraId="16802574" w14:textId="77777777" w:rsidR="00F67EAF" w:rsidRPr="004712BA" w:rsidRDefault="00F67EAF" w:rsidP="00F67EAF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4712BA">
              <w:rPr>
                <w:rFonts w:ascii="Arial" w:hAnsi="Arial" w:cs="Arial"/>
                <w:b/>
                <w:sz w:val="18"/>
                <w:szCs w:val="16"/>
              </w:rPr>
              <w:t>Stärkste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proofErr w:type="spellStart"/>
            <w:r w:rsidRPr="004712BA">
              <w:rPr>
                <w:rFonts w:ascii="Arial" w:hAnsi="Arial" w:cs="Arial"/>
                <w:b/>
                <w:sz w:val="18"/>
                <w:szCs w:val="16"/>
              </w:rPr>
              <w:t>Assetklasse</w:t>
            </w:r>
            <w:proofErr w:type="spellEnd"/>
            <w:r w:rsidRPr="004712BA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D299766" w14:textId="77777777" w:rsidR="00F67EAF" w:rsidRPr="000B7D28" w:rsidRDefault="00F67EAF" w:rsidP="00F67EAF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60</w:t>
            </w:r>
          </w:p>
        </w:tc>
      </w:tr>
    </w:tbl>
    <w:p w14:paraId="7AFFF209" w14:textId="65AB0B3E" w:rsidR="000A5ED1" w:rsidRPr="00B26FFD" w:rsidRDefault="009750A4" w:rsidP="0062200D">
      <w:pPr>
        <w:spacing w:after="0" w:line="360" w:lineRule="auto"/>
        <w:ind w:left="68"/>
        <w:textAlignment w:val="baseline"/>
        <w:rPr>
          <w:rFonts w:ascii="Arial" w:hAnsi="Arial" w:cs="Arial"/>
          <w:sz w:val="20"/>
          <w:szCs w:val="20"/>
        </w:rPr>
      </w:pPr>
      <w:r>
        <w:rPr>
          <w:noProof/>
        </w:rPr>
        <w:pict w14:anchorId="77FCBD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3.4pt;margin-top:6pt;width:226.65pt;height:159.95pt;z-index:251659264;mso-position-horizontal-relative:margin;mso-position-vertical-relative:margin" stroked="t" strokecolor="black [3213]">
            <v:imagedata r:id="rId8" o:title="Invest Q1"/>
            <w10:wrap type="square" anchorx="margin" anchory="margin"/>
          </v:shape>
        </w:pict>
      </w:r>
    </w:p>
    <w:p w14:paraId="47F53CCE" w14:textId="589E9DAA" w:rsidR="000A5ED1" w:rsidRDefault="000A5ED1" w:rsidP="000A5ED1">
      <w:pPr>
        <w:spacing w:after="0" w:line="360" w:lineRule="auto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00D1B637" w14:textId="77777777" w:rsidR="003372CA" w:rsidRDefault="003372CA" w:rsidP="008327E5">
      <w:pPr>
        <w:rPr>
          <w:rFonts w:ascii="Arial" w:hAnsi="Arial" w:cs="Arial"/>
          <w:b/>
          <w:sz w:val="20"/>
          <w:szCs w:val="20"/>
        </w:rPr>
      </w:pPr>
    </w:p>
    <w:p w14:paraId="328EF12E" w14:textId="77777777" w:rsidR="004E7F0F" w:rsidRPr="00A0600B" w:rsidRDefault="004E7F0F" w:rsidP="004E7F0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Ausgewählte bekannte Top-Transaktionen | Investmentmarkt Hamburg | 1.</w:t>
      </w:r>
      <w:r w:rsidRPr="00EE7FCA">
        <w:rPr>
          <w:rFonts w:ascii="Arial" w:hAnsi="Arial" w:cs="Arial"/>
          <w:b/>
          <w:sz w:val="20"/>
          <w:szCs w:val="20"/>
        </w:rPr>
        <w:t xml:space="preserve"> Quartal </w:t>
      </w:r>
      <w:r>
        <w:rPr>
          <w:rFonts w:ascii="Arial" w:hAnsi="Arial" w:cs="Arial"/>
          <w:b/>
          <w:sz w:val="20"/>
          <w:szCs w:val="20"/>
        </w:rPr>
        <w:t>2021</w:t>
      </w:r>
    </w:p>
    <w:tbl>
      <w:tblPr>
        <w:tblStyle w:val="TableGrid1"/>
        <w:tblpPr w:leftFromText="141" w:rightFromText="141" w:vertAnchor="text" w:horzAnchor="margin" w:tblpY="61"/>
        <w:tblW w:w="10154" w:type="dxa"/>
        <w:tblLayout w:type="fixed"/>
        <w:tblLook w:val="04A0" w:firstRow="1" w:lastRow="0" w:firstColumn="1" w:lastColumn="0" w:noHBand="0" w:noVBand="1"/>
      </w:tblPr>
      <w:tblGrid>
        <w:gridCol w:w="2499"/>
        <w:gridCol w:w="1276"/>
        <w:gridCol w:w="1276"/>
        <w:gridCol w:w="1815"/>
        <w:gridCol w:w="2154"/>
        <w:gridCol w:w="1134"/>
      </w:tblGrid>
      <w:tr w:rsidR="004E7F0F" w:rsidRPr="006F49D0" w14:paraId="3216EE8E" w14:textId="77777777" w:rsidTr="00327D2E">
        <w:trPr>
          <w:trHeight w:val="567"/>
        </w:trPr>
        <w:tc>
          <w:tcPr>
            <w:tcW w:w="2499" w:type="dxa"/>
            <w:shd w:val="clear" w:color="auto" w:fill="1F242B" w:themeFill="accent2"/>
            <w:vAlign w:val="center"/>
          </w:tcPr>
          <w:p w14:paraId="30C73659" w14:textId="77777777" w:rsidR="004E7F0F" w:rsidRDefault="004E7F0F" w:rsidP="00327D2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9F10F1">
              <w:rPr>
                <w:rFonts w:ascii="Arial" w:hAnsi="Arial" w:cs="Arial"/>
                <w:b/>
                <w:sz w:val="18"/>
                <w:szCs w:val="16"/>
              </w:rPr>
              <w:t>Projekt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9F10F1">
              <w:rPr>
                <w:rFonts w:ascii="Arial" w:hAnsi="Arial" w:cs="Arial"/>
                <w:b/>
                <w:sz w:val="18"/>
                <w:szCs w:val="16"/>
              </w:rPr>
              <w:t>/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9F10F1">
              <w:rPr>
                <w:rFonts w:ascii="Arial" w:hAnsi="Arial" w:cs="Arial"/>
                <w:b/>
                <w:sz w:val="18"/>
                <w:szCs w:val="16"/>
              </w:rPr>
              <w:t>Objekt</w:t>
            </w:r>
          </w:p>
          <w:p w14:paraId="657CB67E" w14:textId="77777777" w:rsidR="004E7F0F" w:rsidRPr="00C626E7" w:rsidRDefault="004E7F0F" w:rsidP="00327D2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Straße Nr. </w:t>
            </w:r>
          </w:p>
        </w:tc>
        <w:tc>
          <w:tcPr>
            <w:tcW w:w="1276" w:type="dxa"/>
            <w:shd w:val="clear" w:color="auto" w:fill="1F242B" w:themeFill="accent2"/>
          </w:tcPr>
          <w:p w14:paraId="7C71E885" w14:textId="77777777" w:rsidR="004E7F0F" w:rsidRPr="009F10F1" w:rsidRDefault="004E7F0F" w:rsidP="00327D2E">
            <w:pPr>
              <w:widowControl w:val="0"/>
              <w:spacing w:before="60" w:afterLines="60" w:after="144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Teilmarkt</w:t>
            </w:r>
          </w:p>
        </w:tc>
        <w:tc>
          <w:tcPr>
            <w:tcW w:w="1276" w:type="dxa"/>
            <w:shd w:val="clear" w:color="auto" w:fill="1F242B" w:themeFill="accent2"/>
          </w:tcPr>
          <w:p w14:paraId="38F233F9" w14:textId="77777777" w:rsidR="004E7F0F" w:rsidRPr="009F10F1" w:rsidRDefault="004E7F0F" w:rsidP="00327D2E">
            <w:pPr>
              <w:widowControl w:val="0"/>
              <w:spacing w:before="60" w:afterLines="60" w:after="144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Asset-klasse</w:t>
            </w:r>
          </w:p>
        </w:tc>
        <w:tc>
          <w:tcPr>
            <w:tcW w:w="1815" w:type="dxa"/>
            <w:shd w:val="clear" w:color="auto" w:fill="1F242B" w:themeFill="accent2"/>
            <w:vAlign w:val="center"/>
          </w:tcPr>
          <w:p w14:paraId="3EC0A276" w14:textId="77777777" w:rsidR="004E7F0F" w:rsidRPr="009F10F1" w:rsidRDefault="004E7F0F" w:rsidP="00327D2E">
            <w:pPr>
              <w:widowControl w:val="0"/>
              <w:spacing w:before="60" w:afterLines="60" w:after="144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Käufer</w:t>
            </w:r>
          </w:p>
        </w:tc>
        <w:tc>
          <w:tcPr>
            <w:tcW w:w="2154" w:type="dxa"/>
            <w:shd w:val="clear" w:color="auto" w:fill="1F242B" w:themeFill="accent2"/>
            <w:vAlign w:val="center"/>
          </w:tcPr>
          <w:p w14:paraId="7F255BE2" w14:textId="77777777" w:rsidR="004E7F0F" w:rsidRPr="009F10F1" w:rsidRDefault="004E7F0F" w:rsidP="00327D2E">
            <w:pPr>
              <w:widowControl w:val="0"/>
              <w:spacing w:before="60" w:afterLines="60" w:after="144"/>
              <w:rPr>
                <w:rFonts w:ascii="Arial" w:hAnsi="Arial" w:cs="Arial"/>
                <w:b/>
                <w:sz w:val="18"/>
                <w:szCs w:val="16"/>
              </w:rPr>
            </w:pPr>
            <w:r w:rsidRPr="009F10F1">
              <w:rPr>
                <w:rFonts w:ascii="Arial" w:hAnsi="Arial" w:cs="Arial"/>
                <w:b/>
                <w:sz w:val="18"/>
                <w:szCs w:val="16"/>
              </w:rPr>
              <w:t>Verkäufer</w:t>
            </w:r>
          </w:p>
        </w:tc>
        <w:tc>
          <w:tcPr>
            <w:tcW w:w="1134" w:type="dxa"/>
            <w:shd w:val="clear" w:color="auto" w:fill="1F242B" w:themeFill="accent2"/>
            <w:vAlign w:val="center"/>
          </w:tcPr>
          <w:p w14:paraId="5742F731" w14:textId="77777777" w:rsidR="004E7F0F" w:rsidRPr="009F10F1" w:rsidRDefault="004E7F0F" w:rsidP="00327D2E">
            <w:pPr>
              <w:widowControl w:val="0"/>
              <w:spacing w:before="60" w:after="0"/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Kaufpreis*</w:t>
            </w:r>
          </w:p>
          <w:p w14:paraId="3F120A03" w14:textId="77777777" w:rsidR="004E7F0F" w:rsidRPr="009F10F1" w:rsidRDefault="004E7F0F" w:rsidP="00327D2E">
            <w:pPr>
              <w:widowControl w:val="0"/>
              <w:spacing w:before="60" w:after="0"/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[ca. Mio. €]</w:t>
            </w:r>
          </w:p>
        </w:tc>
      </w:tr>
      <w:tr w:rsidR="004E7F0F" w:rsidRPr="00F2414C" w14:paraId="30FD5B1E" w14:textId="77777777" w:rsidTr="00327D2E">
        <w:trPr>
          <w:trHeight w:val="567"/>
        </w:trPr>
        <w:tc>
          <w:tcPr>
            <w:tcW w:w="2499" w:type="dxa"/>
            <w:shd w:val="clear" w:color="auto" w:fill="auto"/>
            <w:vAlign w:val="center"/>
          </w:tcPr>
          <w:p w14:paraId="34CA92C8" w14:textId="77777777" w:rsidR="004E7F0F" w:rsidRPr="00F67EAF" w:rsidRDefault="004E7F0F" w:rsidP="00327D2E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EA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„Hamburg Süd-Haus”, </w:t>
            </w:r>
          </w:p>
          <w:p w14:paraId="5A6DCA49" w14:textId="77777777" w:rsidR="004E7F0F" w:rsidRPr="00F67EAF" w:rsidRDefault="004E7F0F" w:rsidP="00327D2E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7EA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Willy-Brandt-Straße 59-63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F6453C" w14:textId="77777777" w:rsidR="004E7F0F" w:rsidRPr="000B7D28" w:rsidRDefault="004E7F0F" w:rsidP="00327D2E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0B7D2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City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CAEC28" w14:textId="77777777" w:rsidR="004E7F0F" w:rsidRPr="000B7D28" w:rsidRDefault="004E7F0F" w:rsidP="00327D2E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Büro</w:t>
            </w:r>
            <w:proofErr w:type="spellEnd"/>
          </w:p>
        </w:tc>
        <w:tc>
          <w:tcPr>
            <w:tcW w:w="1815" w:type="dxa"/>
            <w:shd w:val="clear" w:color="auto" w:fill="auto"/>
            <w:vAlign w:val="center"/>
          </w:tcPr>
          <w:p w14:paraId="7DD2A0CE" w14:textId="77777777" w:rsidR="004E7F0F" w:rsidRPr="000B7D28" w:rsidRDefault="004E7F0F" w:rsidP="00327D2E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Union Investment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146FFCB8" w14:textId="77777777" w:rsidR="004E7F0F" w:rsidRPr="000B7D28" w:rsidRDefault="004E7F0F" w:rsidP="00327D2E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Dr. August Oetker Nahrungsmittel</w:t>
            </w:r>
            <w:r w:rsidRPr="000B7D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3ED851" w14:textId="77777777" w:rsidR="004E7F0F" w:rsidRPr="000B7D28" w:rsidRDefault="004E7F0F" w:rsidP="00327D2E">
            <w:pPr>
              <w:widowControl w:val="0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&gt;150</w:t>
            </w:r>
          </w:p>
        </w:tc>
      </w:tr>
      <w:tr w:rsidR="004E7F0F" w:rsidRPr="006F49D0" w14:paraId="3C103812" w14:textId="77777777" w:rsidTr="00327D2E">
        <w:trPr>
          <w:trHeight w:val="567"/>
        </w:trPr>
        <w:tc>
          <w:tcPr>
            <w:tcW w:w="2499" w:type="dxa"/>
            <w:shd w:val="clear" w:color="auto" w:fill="auto"/>
            <w:vAlign w:val="center"/>
          </w:tcPr>
          <w:p w14:paraId="029D5084" w14:textId="77777777" w:rsidR="004E7F0F" w:rsidRPr="0061138B" w:rsidRDefault="004E7F0F" w:rsidP="00327D2E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1138B">
              <w:rPr>
                <w:rFonts w:ascii="Arial" w:hAnsi="Arial" w:cs="Arial"/>
                <w:sz w:val="18"/>
                <w:szCs w:val="18"/>
              </w:rPr>
              <w:t>„</w:t>
            </w:r>
            <w:r>
              <w:rPr>
                <w:rFonts w:ascii="Arial" w:hAnsi="Arial" w:cs="Arial"/>
                <w:sz w:val="18"/>
                <w:szCs w:val="18"/>
              </w:rPr>
              <w:t>Campus Stapelwerk</w:t>
            </w:r>
            <w:r w:rsidRPr="0061138B">
              <w:rPr>
                <w:rFonts w:ascii="Arial" w:hAnsi="Arial" w:cs="Arial"/>
                <w:sz w:val="18"/>
                <w:szCs w:val="18"/>
              </w:rPr>
              <w:t xml:space="preserve">“, </w:t>
            </w:r>
            <w:proofErr w:type="spellStart"/>
            <w:r w:rsidRPr="00914C4C">
              <w:rPr>
                <w:rFonts w:ascii="Arial" w:hAnsi="Arial" w:cs="Arial"/>
                <w:sz w:val="18"/>
                <w:szCs w:val="18"/>
              </w:rPr>
              <w:t>Meiendorfer</w:t>
            </w:r>
            <w:proofErr w:type="spellEnd"/>
            <w:r w:rsidRPr="00914C4C">
              <w:rPr>
                <w:rFonts w:ascii="Arial" w:hAnsi="Arial" w:cs="Arial"/>
                <w:sz w:val="18"/>
                <w:szCs w:val="18"/>
              </w:rPr>
              <w:t xml:space="preserve"> Straße 205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26776C" w14:textId="77777777" w:rsidR="004E7F0F" w:rsidRPr="0061138B" w:rsidRDefault="004E7F0F" w:rsidP="00327D2E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Hamburg Ost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C04F2B" w14:textId="77777777" w:rsidR="004E7F0F" w:rsidRPr="0061138B" w:rsidRDefault="004E7F0F" w:rsidP="00327D2E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Mixed-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use</w:t>
            </w:r>
            <w:proofErr w:type="spellEnd"/>
          </w:p>
        </w:tc>
        <w:tc>
          <w:tcPr>
            <w:tcW w:w="1815" w:type="dxa"/>
            <w:shd w:val="clear" w:color="auto" w:fill="auto"/>
            <w:vAlign w:val="center"/>
          </w:tcPr>
          <w:p w14:paraId="3AA9E270" w14:textId="77777777" w:rsidR="004E7F0F" w:rsidRPr="0061138B" w:rsidRDefault="004E7F0F" w:rsidP="00327D2E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Warburg-HIH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Invest</w:t>
            </w:r>
            <w:proofErr w:type="spellEnd"/>
            <w:r w:rsidRPr="0061138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2260B6E9" w14:textId="77777777" w:rsidR="004E7F0F" w:rsidRPr="0061138B" w:rsidRDefault="004E7F0F" w:rsidP="00327D2E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AURELIUS Equity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Opportunities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355C269" w14:textId="77777777" w:rsidR="004E7F0F" w:rsidRPr="0061138B" w:rsidRDefault="004E7F0F" w:rsidP="00327D2E">
            <w:pPr>
              <w:widowControl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</w:tr>
      <w:tr w:rsidR="004E7F0F" w:rsidRPr="006F49D0" w14:paraId="6A1C2365" w14:textId="77777777" w:rsidTr="00327D2E">
        <w:trPr>
          <w:trHeight w:val="567"/>
        </w:trPr>
        <w:tc>
          <w:tcPr>
            <w:tcW w:w="2499" w:type="dxa"/>
            <w:shd w:val="clear" w:color="auto" w:fill="auto"/>
            <w:vAlign w:val="center"/>
          </w:tcPr>
          <w:p w14:paraId="5543E32E" w14:textId="77777777" w:rsidR="004E7F0F" w:rsidRPr="000B7D28" w:rsidRDefault="004E7F0F" w:rsidP="00327D2E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Krohnstieg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Center“,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Krohnstieg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41-43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6F30FB" w14:textId="77777777" w:rsidR="004E7F0F" w:rsidRPr="000B7D28" w:rsidRDefault="004E7F0F" w:rsidP="00327D2E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Hamburg Ost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B6DBC8" w14:textId="77777777" w:rsidR="004E7F0F" w:rsidRPr="000B7D28" w:rsidRDefault="004E7F0F" w:rsidP="00327D2E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Einzelhandel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E1A7641" w14:textId="77777777" w:rsidR="004E7F0F" w:rsidRPr="000B7D28" w:rsidRDefault="004E7F0F" w:rsidP="00327D2E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Hahn Immobilien Beteiligung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783752FB" w14:textId="77777777" w:rsidR="004E7F0F" w:rsidRPr="000B7D28" w:rsidRDefault="004E7F0F" w:rsidP="00327D2E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HBB Hanseatische Betreuungs- und Beteiligungsgesellschaft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77704D" w14:textId="77777777" w:rsidR="004E7F0F" w:rsidRPr="000B7D28" w:rsidRDefault="004E7F0F" w:rsidP="00327D2E">
            <w:pPr>
              <w:widowControl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</w:tr>
      <w:tr w:rsidR="004E7F0F" w:rsidRPr="00F4684B" w14:paraId="04451D1D" w14:textId="77777777" w:rsidTr="00327D2E">
        <w:trPr>
          <w:trHeight w:val="567"/>
        </w:trPr>
        <w:tc>
          <w:tcPr>
            <w:tcW w:w="2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6C969" w14:textId="77777777" w:rsidR="004E7F0F" w:rsidRPr="000B7D28" w:rsidRDefault="004E7F0F" w:rsidP="00327D2E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„D10 Domkontor</w:t>
            </w:r>
            <w:r w:rsidRPr="000B7D28">
              <w:rPr>
                <w:rFonts w:ascii="Arial" w:hAnsi="Arial" w:cs="Arial"/>
                <w:sz w:val="18"/>
                <w:szCs w:val="18"/>
              </w:rPr>
              <w:t>“,</w:t>
            </w:r>
          </w:p>
          <w:p w14:paraId="51E99450" w14:textId="77777777" w:rsidR="004E7F0F" w:rsidRPr="000B7D28" w:rsidRDefault="004E7F0F" w:rsidP="00327D2E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Domstraße 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BB2BB" w14:textId="77777777" w:rsidR="004E7F0F" w:rsidRPr="000B7D28" w:rsidRDefault="004E7F0F" w:rsidP="00327D2E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47877" w14:textId="77777777" w:rsidR="004E7F0F" w:rsidRPr="000B7D28" w:rsidRDefault="004E7F0F" w:rsidP="00327D2E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7D28">
              <w:rPr>
                <w:rFonts w:ascii="Arial" w:hAnsi="Arial" w:cs="Arial"/>
                <w:sz w:val="18"/>
                <w:szCs w:val="18"/>
              </w:rPr>
              <w:t>Büro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E4079" w14:textId="77777777" w:rsidR="004E7F0F" w:rsidRPr="000B7D28" w:rsidRDefault="004E7F0F" w:rsidP="00327D2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Caleus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Capital Investors 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C5A98" w14:textId="77777777" w:rsidR="004E7F0F" w:rsidRPr="000B7D28" w:rsidRDefault="004E7F0F" w:rsidP="00327D2E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Savills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Investment Management</w:t>
            </w:r>
            <w:r w:rsidRPr="000B7D2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C3DA0" w14:textId="77777777" w:rsidR="004E7F0F" w:rsidRPr="000B7D28" w:rsidRDefault="004E7F0F" w:rsidP="00327D2E">
            <w:pPr>
              <w:widowControl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</w:tr>
      <w:tr w:rsidR="004E7F0F" w:rsidRPr="00F4684B" w14:paraId="0B57829C" w14:textId="77777777" w:rsidTr="00327D2E">
        <w:trPr>
          <w:trHeight w:val="567"/>
        </w:trPr>
        <w:tc>
          <w:tcPr>
            <w:tcW w:w="2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A89EB" w14:textId="77777777" w:rsidR="004E7F0F" w:rsidRDefault="004E7F0F" w:rsidP="00327D2E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„Die Bank“,</w:t>
            </w:r>
          </w:p>
          <w:p w14:paraId="7A09F8E6" w14:textId="77777777" w:rsidR="004E7F0F" w:rsidRDefault="004E7F0F" w:rsidP="00327D2E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Hohe Bleichen 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E8B69" w14:textId="77777777" w:rsidR="004E7F0F" w:rsidRDefault="004E7F0F" w:rsidP="00327D2E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571EBA" w14:textId="77777777" w:rsidR="004E7F0F" w:rsidRPr="000B7D28" w:rsidRDefault="004E7F0F" w:rsidP="00327D2E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Büro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2887A" w14:textId="77777777" w:rsidR="004E7F0F" w:rsidRDefault="004E7F0F" w:rsidP="00327D2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May &amp; Co. Wohn- und Gewerbebau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AB865" w14:textId="77777777" w:rsidR="004E7F0F" w:rsidRDefault="004E7F0F" w:rsidP="00327D2E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RFR Holding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0A8C6" w14:textId="77777777" w:rsidR="004E7F0F" w:rsidRDefault="004E7F0F" w:rsidP="00327D2E">
            <w:pPr>
              <w:widowControl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</w:tr>
    </w:tbl>
    <w:p w14:paraId="373A4382" w14:textId="77777777" w:rsidR="004E7F0F" w:rsidRDefault="004E7F0F" w:rsidP="004E7F0F">
      <w:pPr>
        <w:spacing w:after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D474C5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</w:t>
      </w:r>
      <w:r w:rsidRPr="00B4679D">
        <w:rPr>
          <w:rFonts w:ascii="Arial" w:hAnsi="Arial" w:cs="Arial"/>
          <w:sz w:val="16"/>
          <w:szCs w:val="16"/>
        </w:rPr>
        <w:t>Die aufgeführten Kaufpreise ba</w:t>
      </w:r>
      <w:r>
        <w:rPr>
          <w:rFonts w:ascii="Arial" w:hAnsi="Arial" w:cs="Arial"/>
          <w:sz w:val="16"/>
          <w:szCs w:val="16"/>
        </w:rPr>
        <w:t xml:space="preserve">sieren auf öffentlich verfügbaren Angaben; </w:t>
      </w:r>
      <w:r w:rsidRPr="00B4679D">
        <w:rPr>
          <w:rFonts w:ascii="Arial" w:hAnsi="Arial" w:cs="Arial"/>
          <w:sz w:val="16"/>
          <w:szCs w:val="16"/>
        </w:rPr>
        <w:t xml:space="preserve">wo solche fehlen, sind </w:t>
      </w:r>
      <w:r>
        <w:rPr>
          <w:rFonts w:ascii="Arial" w:hAnsi="Arial" w:cs="Arial"/>
          <w:sz w:val="16"/>
          <w:szCs w:val="16"/>
        </w:rPr>
        <w:t xml:space="preserve">die </w:t>
      </w:r>
      <w:r w:rsidRPr="00B4679D">
        <w:rPr>
          <w:rFonts w:ascii="Arial" w:hAnsi="Arial" w:cs="Arial"/>
          <w:sz w:val="16"/>
          <w:szCs w:val="16"/>
        </w:rPr>
        <w:t>Kaufpreise geschätzt</w:t>
      </w:r>
    </w:p>
    <w:p w14:paraId="513CABD7" w14:textId="77777777" w:rsidR="004E7F0F" w:rsidRDefault="004E7F0F" w:rsidP="004E7F0F">
      <w:pPr>
        <w:spacing w:after="0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F993A3D" w14:textId="77777777" w:rsidR="004E7F0F" w:rsidRPr="00897DBE" w:rsidRDefault="004E7F0F" w:rsidP="004E7F0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Der ausführliche </w:t>
      </w:r>
      <w:hyperlink r:id="rId9" w:history="1">
        <w:r w:rsidRPr="0062200D">
          <w:rPr>
            <w:rStyle w:val="Hyperlink"/>
            <w:rFonts w:ascii="Arial" w:eastAsia="Arial" w:hAnsi="Arial" w:cs="Arial"/>
            <w:sz w:val="20"/>
            <w:szCs w:val="20"/>
          </w:rPr>
          <w:t>Investment-Marktbericht Hamburg</w:t>
        </w:r>
      </w:hyperlink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steht in Kürze auf unserer </w:t>
      </w:r>
      <w:r w:rsidRPr="0062200D">
        <w:rPr>
          <w:rFonts w:ascii="Arial" w:eastAsia="Arial" w:hAnsi="Arial" w:cs="Arial"/>
          <w:sz w:val="20"/>
          <w:szCs w:val="20"/>
        </w:rPr>
        <w:t>Website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zum Download bereit.</w:t>
      </w:r>
    </w:p>
    <w:p w14:paraId="545BF58C" w14:textId="77777777" w:rsidR="004E7F0F" w:rsidRDefault="004E7F0F" w:rsidP="004E7F0F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14:paraId="66E7EF52" w14:textId="77777777" w:rsidR="004E7F0F" w:rsidRPr="0090748B" w:rsidRDefault="004E7F0F" w:rsidP="004E7F0F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90748B">
        <w:rPr>
          <w:rFonts w:ascii="Arial" w:hAnsi="Arial" w:cs="Arial"/>
          <w:b/>
          <w:sz w:val="16"/>
          <w:szCs w:val="16"/>
        </w:rPr>
        <w:t>Über Grossmann &amp; Berger</w:t>
      </w:r>
    </w:p>
    <w:p w14:paraId="6AD51978" w14:textId="77777777" w:rsidR="004E7F0F" w:rsidRPr="0090748B" w:rsidRDefault="004E7F0F" w:rsidP="004E7F0F">
      <w:pPr>
        <w:spacing w:after="0" w:line="360" w:lineRule="auto"/>
        <w:rPr>
          <w:rFonts w:ascii="Arial" w:hAnsi="Arial" w:cs="Arial"/>
          <w:snapToGrid w:val="0"/>
          <w:sz w:val="16"/>
          <w:szCs w:val="16"/>
        </w:rPr>
      </w:pPr>
      <w:r w:rsidRPr="009176F5">
        <w:rPr>
          <w:rFonts w:ascii="Arial" w:hAnsi="Arial" w:cs="Arial"/>
          <w:snapToGrid w:val="0"/>
          <w:sz w:val="16"/>
          <w:szCs w:val="16"/>
        </w:rPr>
        <w:t xml:space="preserve">Die </w:t>
      </w:r>
      <w:hyperlink r:id="rId10" w:history="1">
        <w:r w:rsidRPr="009176F5">
          <w:rPr>
            <w:rStyle w:val="Hyperlink"/>
            <w:rFonts w:ascii="Arial" w:hAnsi="Arial" w:cs="Arial"/>
            <w:snapToGrid w:val="0"/>
            <w:sz w:val="16"/>
            <w:szCs w:val="16"/>
          </w:rPr>
          <w:t>Grossmann &amp; Berger GmbH</w:t>
        </w:r>
      </w:hyperlink>
      <w:r w:rsidRPr="009176F5">
        <w:rPr>
          <w:rFonts w:ascii="Arial" w:hAnsi="Arial" w:cs="Arial"/>
          <w:snapToGrid w:val="0"/>
          <w:sz w:val="16"/>
          <w:szCs w:val="16"/>
        </w:rPr>
        <w:t xml:space="preserve"> ist einer der führenden Immobiliendienstleister für den Verkauf und die Vermietung von Gewerbe- und Wohn-Immobilien in Norddeutschland. Mit Hauptsitz in Hamburg, einer Niederlassung in Berlin und insgesamt vierzehn Immobilienshops ist das Unternehmen mit </w:t>
      </w:r>
      <w:r>
        <w:rPr>
          <w:rFonts w:ascii="Arial" w:hAnsi="Arial" w:cs="Arial"/>
          <w:snapToGrid w:val="0"/>
          <w:sz w:val="16"/>
          <w:szCs w:val="16"/>
        </w:rPr>
        <w:t>rund</w:t>
      </w:r>
      <w:r w:rsidRPr="009176F5">
        <w:rPr>
          <w:rFonts w:ascii="Arial" w:hAnsi="Arial" w:cs="Arial"/>
          <w:snapToGrid w:val="0"/>
          <w:sz w:val="16"/>
          <w:szCs w:val="16"/>
        </w:rPr>
        <w:t xml:space="preserve"> 190 Mitarbeitern flächendeckend im norddeutschen Markt präsent. Dank der über 85-jährigen Erfahrung verfügt Grossmann &amp; Berger über umfassende Immobilienkompetenz.</w:t>
      </w:r>
      <w:r>
        <w:rPr>
          <w:rFonts w:ascii="Arial" w:hAnsi="Arial" w:cs="Arial"/>
          <w:snapToGrid w:val="0"/>
          <w:sz w:val="16"/>
          <w:szCs w:val="16"/>
        </w:rPr>
        <w:t xml:space="preserve"> </w:t>
      </w:r>
      <w:r w:rsidRPr="009176F5">
        <w:rPr>
          <w:rFonts w:ascii="Arial" w:hAnsi="Arial" w:cs="Arial"/>
          <w:sz w:val="16"/>
          <w:szCs w:val="16"/>
        </w:rPr>
        <w:t xml:space="preserve">Grossmann &amp; Berger ist ein Beteiligungsunternehmen der HASPA-Gruppe, zu der mit der Hamburger Sparkasse (Haspa) auch Deutschlands größte Sparkasse gehört. Zudem ist das Unternehmen Gründungsmitglied des deutschlandweiten Gewerbeimmobiliennetzwerks </w:t>
      </w:r>
      <w:hyperlink r:id="rId11" w:history="1">
        <w:r w:rsidRPr="009176F5">
          <w:rPr>
            <w:rStyle w:val="Hyperlink"/>
            <w:rFonts w:ascii="Arial" w:hAnsi="Arial" w:cs="Arial"/>
            <w:sz w:val="16"/>
            <w:szCs w:val="16"/>
          </w:rPr>
          <w:t>German Property Partners</w:t>
        </w:r>
      </w:hyperlink>
      <w:r w:rsidRPr="009176F5">
        <w:rPr>
          <w:rFonts w:ascii="Arial" w:hAnsi="Arial" w:cs="Arial"/>
          <w:sz w:val="16"/>
          <w:szCs w:val="16"/>
        </w:rPr>
        <w:t xml:space="preserve"> (GPP) und der Arbeitsgemeinschaft </w:t>
      </w:r>
      <w:proofErr w:type="spellStart"/>
      <w:r w:rsidRPr="009176F5">
        <w:rPr>
          <w:rFonts w:ascii="Arial" w:hAnsi="Arial" w:cs="Arial"/>
          <w:sz w:val="16"/>
          <w:szCs w:val="16"/>
        </w:rPr>
        <w:t>ImmobilienVermittler</w:t>
      </w:r>
      <w:proofErr w:type="spellEnd"/>
      <w:r w:rsidRPr="009176F5">
        <w:rPr>
          <w:rFonts w:ascii="Arial" w:hAnsi="Arial" w:cs="Arial"/>
          <w:sz w:val="16"/>
          <w:szCs w:val="16"/>
        </w:rPr>
        <w:t xml:space="preserve"> Banken Bausparkassen e.V. (IVBB).</w:t>
      </w:r>
      <w:r w:rsidRPr="009176F5">
        <w:rPr>
          <w:rFonts w:ascii="Arial" w:hAnsi="Arial" w:cs="Arial"/>
          <w:snapToGrid w:val="0"/>
          <w:sz w:val="16"/>
          <w:szCs w:val="16"/>
        </w:rPr>
        <w:t xml:space="preserve"> </w:t>
      </w:r>
      <w:r>
        <w:rPr>
          <w:rFonts w:ascii="Arial" w:hAnsi="Arial" w:cs="Arial"/>
          <w:snapToGrid w:val="0"/>
          <w:sz w:val="16"/>
          <w:szCs w:val="16"/>
        </w:rPr>
        <w:t xml:space="preserve"> </w:t>
      </w:r>
    </w:p>
    <w:p w14:paraId="0C3EF407" w14:textId="77777777" w:rsidR="004E7F0F" w:rsidRDefault="004E7F0F" w:rsidP="004E7F0F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6246584" w14:textId="77777777" w:rsidR="004E7F0F" w:rsidRPr="00FD140F" w:rsidRDefault="004E7F0F" w:rsidP="004E7F0F">
      <w:pPr>
        <w:spacing w:after="0" w:line="36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225C9">
        <w:rPr>
          <w:rFonts w:ascii="Arial" w:hAnsi="Arial" w:cs="Arial"/>
          <w:sz w:val="16"/>
          <w:szCs w:val="16"/>
        </w:rPr>
        <w:t xml:space="preserve">Die </w:t>
      </w:r>
      <w:hyperlink r:id="rId12" w:history="1">
        <w:r w:rsidRPr="006225C9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6225C9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3" w:history="1">
        <w:r w:rsidRPr="006225C9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6225C9">
        <w:rPr>
          <w:rFonts w:ascii="Arial" w:hAnsi="Arial" w:cs="Arial"/>
          <w:sz w:val="16"/>
          <w:szCs w:val="16"/>
        </w:rPr>
        <w:t xml:space="preserve"> sowie die dazugehörigen </w:t>
      </w:r>
      <w:hyperlink r:id="rId14" w:history="1">
        <w:r w:rsidRPr="006225C9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6225C9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5" w:history="1">
        <w:r w:rsidRPr="006225C9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>
        <w:rPr>
          <w:rFonts w:ascii="Arial" w:hAnsi="Arial" w:cs="Arial"/>
          <w:sz w:val="16"/>
          <w:szCs w:val="16"/>
        </w:rPr>
        <w:t xml:space="preserve"> mit dem Betreff „Abmeldung aus Presseverteiler".</w:t>
      </w:r>
    </w:p>
    <w:p w14:paraId="51C1AA4D" w14:textId="1F9BAED5" w:rsidR="00046FEC" w:rsidRPr="00FD140F" w:rsidRDefault="00046FEC" w:rsidP="004E7F0F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sectPr w:rsidR="00046FEC" w:rsidRPr="00FD140F" w:rsidSect="00D83CB7">
      <w:headerReference w:type="default" r:id="rId16"/>
      <w:footerReference w:type="default" r:id="rId17"/>
      <w:headerReference w:type="first" r:id="rId18"/>
      <w:footerReference w:type="first" r:id="rId19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4C78B" w14:textId="77777777" w:rsidR="006261DF" w:rsidRDefault="006261DF">
      <w:r>
        <w:separator/>
      </w:r>
    </w:p>
  </w:endnote>
  <w:endnote w:type="continuationSeparator" w:id="0">
    <w:p w14:paraId="4B4AB812" w14:textId="77777777" w:rsidR="006261DF" w:rsidRDefault="0062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ark OT Light">
    <w:panose1 w:val="020B0504020201010104"/>
    <w:charset w:val="00"/>
    <w:family w:val="swiss"/>
    <w:notTrueType/>
    <w:pitch w:val="variable"/>
    <w:sig w:usb0="A00000EF" w:usb1="5000FCFB" w:usb2="00000000" w:usb3="00000000" w:csb0="00000001" w:csb1="00000000"/>
  </w:font>
  <w:font w:name="Mark OT">
    <w:panose1 w:val="020B0504020201010104"/>
    <w:charset w:val="00"/>
    <w:family w:val="swiss"/>
    <w:notTrueType/>
    <w:pitch w:val="variable"/>
    <w:sig w:usb0="A00000EF" w:usb1="5000FCF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E402D" w14:textId="7A14304B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Pr="00D83CB7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Pr="00D83CB7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="00BD6652">
      <w:rPr>
        <w:rFonts w:ascii="Arial" w:hAnsi="Arial" w:cs="Arial"/>
        <w:color w:val="918F90"/>
        <w:sz w:val="18"/>
        <w:szCs w:val="18"/>
      </w:rPr>
      <w:t xml:space="preserve"> 9 | </w:t>
    </w:r>
    <w:r w:rsidRPr="00D83CB7">
      <w:rPr>
        <w:rFonts w:ascii="Arial" w:hAnsi="Arial" w:cs="Arial"/>
        <w:color w:val="918F90"/>
        <w:sz w:val="18"/>
        <w:szCs w:val="18"/>
      </w:rPr>
      <w:t>20354 Hamburg | Tel. +49 (0)40/350 80 2-0 | www.grossmann-berger.de</w:t>
    </w:r>
  </w:p>
  <w:p w14:paraId="5440A7EF" w14:textId="054908BB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9750A4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9750A4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709B1" w14:textId="77777777"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3C8AE65D" wp14:editId="37B4444B">
          <wp:simplePos x="0" y="0"/>
          <wp:positionH relativeFrom="column">
            <wp:posOffset>-617220</wp:posOffset>
          </wp:positionH>
          <wp:positionV relativeFrom="page">
            <wp:posOffset>9429750</wp:posOffset>
          </wp:positionV>
          <wp:extent cx="7346950" cy="1197610"/>
          <wp:effectExtent l="0" t="0" r="6350" b="2540"/>
          <wp:wrapThrough wrapText="bothSides">
            <wp:wrapPolygon edited="0">
              <wp:start x="19322" y="0"/>
              <wp:lineTo x="19322" y="5497"/>
              <wp:lineTo x="0" y="5841"/>
              <wp:lineTo x="0" y="21302"/>
              <wp:lineTo x="21563" y="21302"/>
              <wp:lineTo x="21563" y="5841"/>
              <wp:lineTo x="20723" y="5497"/>
              <wp:lineTo x="20723" y="0"/>
              <wp:lineTo x="19322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CAC64" w14:textId="77777777" w:rsidR="006261DF" w:rsidRDefault="006261DF">
      <w:r>
        <w:separator/>
      </w:r>
    </w:p>
  </w:footnote>
  <w:footnote w:type="continuationSeparator" w:id="0">
    <w:p w14:paraId="36C151B1" w14:textId="77777777" w:rsidR="006261DF" w:rsidRDefault="0062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9A270" w14:textId="1353DA7E" w:rsidR="006138CB" w:rsidRPr="009E3ADA" w:rsidRDefault="003E27B4" w:rsidP="006138CB">
    <w:pPr>
      <w:jc w:val="right"/>
      <w:rPr>
        <w:rFonts w:ascii="Arial" w:hAnsi="Arial" w:cs="Arial"/>
        <w:color w:val="918F90"/>
        <w:sz w:val="28"/>
        <w:szCs w:val="28"/>
      </w:rPr>
    </w:pPr>
    <w:r>
      <w:rPr>
        <w:rFonts w:ascii="Times New Roman" w:hAnsi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F1C8E7" wp14:editId="565DED62">
              <wp:simplePos x="0" y="0"/>
              <wp:positionH relativeFrom="margin">
                <wp:posOffset>-74930</wp:posOffset>
              </wp:positionH>
              <wp:positionV relativeFrom="paragraph">
                <wp:posOffset>42530</wp:posOffset>
              </wp:positionV>
              <wp:extent cx="4779010" cy="281940"/>
              <wp:effectExtent l="0" t="0" r="0" b="381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901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DF3728" w14:textId="562C64A5" w:rsidR="003E27B4" w:rsidRDefault="003E27B4" w:rsidP="003E27B4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 w:rsidR="0011140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Britt 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 2-</w:t>
                          </w:r>
                          <w:r w:rsidR="0011140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993 | b.finke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F1C8E7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-5.9pt;margin-top:3.35pt;width:376.3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" filled="f" stroked="f">
              <v:textbox>
                <w:txbxContent>
                  <w:p w14:paraId="49DF3728" w14:textId="562C64A5" w:rsidR="003E27B4" w:rsidRDefault="003E27B4" w:rsidP="003E27B4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 w:rsidR="0011140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Britt 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 2-</w:t>
                    </w:r>
                    <w:r w:rsidR="0011140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993 | </w:t>
                    </w:r>
                    <w:proofErr w:type="spellStart"/>
                    <w:r w:rsidR="00111400">
                      <w:rPr>
                        <w:rFonts w:ascii="Arial" w:hAnsi="Arial" w:cs="Arial"/>
                        <w:sz w:val="16"/>
                        <w:szCs w:val="16"/>
                      </w:rPr>
                      <w:t>b.finke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25B9848C" w14:textId="77777777"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758FA" w14:textId="61381213" w:rsidR="00D83CB7" w:rsidRDefault="00CE7D16" w:rsidP="000C770D">
    <w:pPr>
      <w:jc w:val="right"/>
      <w:rPr>
        <w:rFonts w:ascii="Arial" w:hAnsi="Arial" w:cs="Arial"/>
        <w:color w:val="918F90"/>
        <w:sz w:val="28"/>
        <w:szCs w:val="28"/>
      </w:rPr>
    </w:pPr>
    <w:r>
      <w:rPr>
        <w:rFonts w:ascii="Times New Roman" w:hAnsi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2EA495" wp14:editId="55D8E217">
              <wp:simplePos x="0" y="0"/>
              <wp:positionH relativeFrom="margin">
                <wp:posOffset>-92267</wp:posOffset>
              </wp:positionH>
              <wp:positionV relativeFrom="paragraph">
                <wp:posOffset>9525</wp:posOffset>
              </wp:positionV>
              <wp:extent cx="4779010" cy="281940"/>
              <wp:effectExtent l="0" t="0" r="0" b="381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901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6CAEDD" w14:textId="383B12D1" w:rsidR="00CE7D16" w:rsidRDefault="00CE7D16" w:rsidP="00CE7D1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11140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Britt 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 2-</w:t>
                          </w:r>
                          <w:r w:rsidR="0011140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993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11140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b.finke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2EA495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left:0;text-align:left;margin-left:-7.25pt;margin-top:.75pt;width:376.3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" filled="f" stroked="f">
              <v:textbox>
                <w:txbxContent>
                  <w:p w14:paraId="296CAEDD" w14:textId="383B12D1" w:rsidR="00CE7D16" w:rsidRDefault="00CE7D16" w:rsidP="00CE7D1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111400">
                      <w:rPr>
                        <w:rFonts w:ascii="Arial" w:hAnsi="Arial" w:cs="Arial"/>
                        <w:sz w:val="16"/>
                        <w:szCs w:val="16"/>
                      </w:rPr>
                      <w:t>Britt 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 2-</w:t>
                    </w:r>
                    <w:r w:rsidR="00111400">
                      <w:rPr>
                        <w:rFonts w:ascii="Arial" w:hAnsi="Arial" w:cs="Arial"/>
                        <w:sz w:val="16"/>
                        <w:szCs w:val="16"/>
                      </w:rPr>
                      <w:t>993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proofErr w:type="spellStart"/>
                    <w:r w:rsidR="00111400">
                      <w:rPr>
                        <w:rFonts w:ascii="Arial" w:hAnsi="Arial" w:cs="Arial"/>
                        <w:sz w:val="16"/>
                        <w:szCs w:val="16"/>
                      </w:rPr>
                      <w:t>b.finke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47ED31F5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F305C1"/>
    <w:multiLevelType w:val="hybridMultilevel"/>
    <w:tmpl w:val="BD4E0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A2E2B"/>
    <w:multiLevelType w:val="hybridMultilevel"/>
    <w:tmpl w:val="8C66C3F0"/>
    <w:lvl w:ilvl="0" w:tplc="B84AA822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96C5D"/>
    <w:multiLevelType w:val="hybridMultilevel"/>
    <w:tmpl w:val="0FA2F5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5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6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054B7C"/>
    <w:multiLevelType w:val="hybridMultilevel"/>
    <w:tmpl w:val="2AC65C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FF56F7"/>
    <w:multiLevelType w:val="hybridMultilevel"/>
    <w:tmpl w:val="F8825B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8"/>
  </w:num>
  <w:num w:numId="14">
    <w:abstractNumId w:val="15"/>
  </w:num>
  <w:num w:numId="15">
    <w:abstractNumId w:val="16"/>
  </w:num>
  <w:num w:numId="16">
    <w:abstractNumId w:val="11"/>
  </w:num>
  <w:num w:numId="17">
    <w:abstractNumId w:val="13"/>
  </w:num>
  <w:num w:numId="18">
    <w:abstractNumId w:val="17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72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0392D"/>
    <w:rsid w:val="000159FE"/>
    <w:rsid w:val="00022F16"/>
    <w:rsid w:val="00023D78"/>
    <w:rsid w:val="00027644"/>
    <w:rsid w:val="0003075C"/>
    <w:rsid w:val="00034842"/>
    <w:rsid w:val="000418C7"/>
    <w:rsid w:val="00046FEC"/>
    <w:rsid w:val="00060743"/>
    <w:rsid w:val="000615E2"/>
    <w:rsid w:val="000623C0"/>
    <w:rsid w:val="00064A03"/>
    <w:rsid w:val="00064CAC"/>
    <w:rsid w:val="00066796"/>
    <w:rsid w:val="0006773E"/>
    <w:rsid w:val="00075002"/>
    <w:rsid w:val="000766D7"/>
    <w:rsid w:val="0007670A"/>
    <w:rsid w:val="00080F27"/>
    <w:rsid w:val="00081461"/>
    <w:rsid w:val="000834E2"/>
    <w:rsid w:val="000A517C"/>
    <w:rsid w:val="000A5ED1"/>
    <w:rsid w:val="000A6AE3"/>
    <w:rsid w:val="000A72C3"/>
    <w:rsid w:val="000B0335"/>
    <w:rsid w:val="000B1606"/>
    <w:rsid w:val="000B3315"/>
    <w:rsid w:val="000B3A6C"/>
    <w:rsid w:val="000B7D28"/>
    <w:rsid w:val="000C74B2"/>
    <w:rsid w:val="000C770D"/>
    <w:rsid w:val="000D48D4"/>
    <w:rsid w:val="000D7F9A"/>
    <w:rsid w:val="000E03F3"/>
    <w:rsid w:val="000E49CB"/>
    <w:rsid w:val="000E7BC7"/>
    <w:rsid w:val="000F5742"/>
    <w:rsid w:val="0010158E"/>
    <w:rsid w:val="001029C4"/>
    <w:rsid w:val="00111400"/>
    <w:rsid w:val="0011486D"/>
    <w:rsid w:val="00117D5D"/>
    <w:rsid w:val="00117EF7"/>
    <w:rsid w:val="00121E33"/>
    <w:rsid w:val="00126550"/>
    <w:rsid w:val="00127DF7"/>
    <w:rsid w:val="001324D6"/>
    <w:rsid w:val="00132522"/>
    <w:rsid w:val="00135BD2"/>
    <w:rsid w:val="00135E09"/>
    <w:rsid w:val="00154825"/>
    <w:rsid w:val="0017364E"/>
    <w:rsid w:val="0017516B"/>
    <w:rsid w:val="00176F1D"/>
    <w:rsid w:val="0018068D"/>
    <w:rsid w:val="00180801"/>
    <w:rsid w:val="001871BC"/>
    <w:rsid w:val="001A2ABE"/>
    <w:rsid w:val="001A360C"/>
    <w:rsid w:val="001B577C"/>
    <w:rsid w:val="001C0A59"/>
    <w:rsid w:val="001D14DA"/>
    <w:rsid w:val="001D43BB"/>
    <w:rsid w:val="001D645F"/>
    <w:rsid w:val="001D64B8"/>
    <w:rsid w:val="001E1172"/>
    <w:rsid w:val="001E6995"/>
    <w:rsid w:val="001F1513"/>
    <w:rsid w:val="001F1ECE"/>
    <w:rsid w:val="001F3C3A"/>
    <w:rsid w:val="0020062D"/>
    <w:rsid w:val="00201E4A"/>
    <w:rsid w:val="00205769"/>
    <w:rsid w:val="00212FEC"/>
    <w:rsid w:val="002131BB"/>
    <w:rsid w:val="00213F07"/>
    <w:rsid w:val="00214952"/>
    <w:rsid w:val="0022086D"/>
    <w:rsid w:val="00227E31"/>
    <w:rsid w:val="00230F81"/>
    <w:rsid w:val="002341EE"/>
    <w:rsid w:val="002353AA"/>
    <w:rsid w:val="00237341"/>
    <w:rsid w:val="00241526"/>
    <w:rsid w:val="00242D24"/>
    <w:rsid w:val="002462B6"/>
    <w:rsid w:val="00251FC5"/>
    <w:rsid w:val="00252F40"/>
    <w:rsid w:val="00253412"/>
    <w:rsid w:val="00254C6F"/>
    <w:rsid w:val="002550BA"/>
    <w:rsid w:val="00255679"/>
    <w:rsid w:val="0027266B"/>
    <w:rsid w:val="00274734"/>
    <w:rsid w:val="00277361"/>
    <w:rsid w:val="00281E80"/>
    <w:rsid w:val="002834B0"/>
    <w:rsid w:val="00283671"/>
    <w:rsid w:val="00284A5D"/>
    <w:rsid w:val="00284E27"/>
    <w:rsid w:val="00294B7D"/>
    <w:rsid w:val="002A1973"/>
    <w:rsid w:val="002A59CD"/>
    <w:rsid w:val="002B14F6"/>
    <w:rsid w:val="002B7C7F"/>
    <w:rsid w:val="002C055A"/>
    <w:rsid w:val="002C2392"/>
    <w:rsid w:val="002C450A"/>
    <w:rsid w:val="002D1C5C"/>
    <w:rsid w:val="002D1E20"/>
    <w:rsid w:val="002E2A92"/>
    <w:rsid w:val="002E6860"/>
    <w:rsid w:val="002F0411"/>
    <w:rsid w:val="002F767E"/>
    <w:rsid w:val="00301F3A"/>
    <w:rsid w:val="003044F7"/>
    <w:rsid w:val="00304D7A"/>
    <w:rsid w:val="003079E3"/>
    <w:rsid w:val="00313876"/>
    <w:rsid w:val="003246F0"/>
    <w:rsid w:val="00325E2A"/>
    <w:rsid w:val="00326066"/>
    <w:rsid w:val="00326349"/>
    <w:rsid w:val="003272F3"/>
    <w:rsid w:val="003372CA"/>
    <w:rsid w:val="0034064A"/>
    <w:rsid w:val="00345716"/>
    <w:rsid w:val="00346814"/>
    <w:rsid w:val="0034786C"/>
    <w:rsid w:val="00347A18"/>
    <w:rsid w:val="00350D85"/>
    <w:rsid w:val="00351477"/>
    <w:rsid w:val="003517C9"/>
    <w:rsid w:val="00351DCD"/>
    <w:rsid w:val="0035408E"/>
    <w:rsid w:val="00357EC4"/>
    <w:rsid w:val="003627E1"/>
    <w:rsid w:val="00365AF8"/>
    <w:rsid w:val="00370000"/>
    <w:rsid w:val="00373507"/>
    <w:rsid w:val="0038230E"/>
    <w:rsid w:val="00382529"/>
    <w:rsid w:val="0038350F"/>
    <w:rsid w:val="00396CE0"/>
    <w:rsid w:val="003A00C9"/>
    <w:rsid w:val="003A25A4"/>
    <w:rsid w:val="003B19F4"/>
    <w:rsid w:val="003B49E4"/>
    <w:rsid w:val="003B4CCF"/>
    <w:rsid w:val="003B6CD4"/>
    <w:rsid w:val="003C1693"/>
    <w:rsid w:val="003C5218"/>
    <w:rsid w:val="003C6AB4"/>
    <w:rsid w:val="003E099F"/>
    <w:rsid w:val="003E27B4"/>
    <w:rsid w:val="003E4DF9"/>
    <w:rsid w:val="003F1A91"/>
    <w:rsid w:val="003F665D"/>
    <w:rsid w:val="0040086D"/>
    <w:rsid w:val="004017D8"/>
    <w:rsid w:val="00405D59"/>
    <w:rsid w:val="00411E03"/>
    <w:rsid w:val="004123B1"/>
    <w:rsid w:val="00417F4D"/>
    <w:rsid w:val="004269AC"/>
    <w:rsid w:val="00426E13"/>
    <w:rsid w:val="004303A1"/>
    <w:rsid w:val="00440DC9"/>
    <w:rsid w:val="004450C4"/>
    <w:rsid w:val="00445DF9"/>
    <w:rsid w:val="004506D2"/>
    <w:rsid w:val="00456F40"/>
    <w:rsid w:val="004609BD"/>
    <w:rsid w:val="004661EE"/>
    <w:rsid w:val="00466741"/>
    <w:rsid w:val="00470064"/>
    <w:rsid w:val="0047198B"/>
    <w:rsid w:val="004818CE"/>
    <w:rsid w:val="004966E3"/>
    <w:rsid w:val="004A2BEA"/>
    <w:rsid w:val="004A3C64"/>
    <w:rsid w:val="004A5AEA"/>
    <w:rsid w:val="004B2694"/>
    <w:rsid w:val="004B2FDA"/>
    <w:rsid w:val="004B480A"/>
    <w:rsid w:val="004B5A6D"/>
    <w:rsid w:val="004C0CA2"/>
    <w:rsid w:val="004D50C0"/>
    <w:rsid w:val="004D772A"/>
    <w:rsid w:val="004E339B"/>
    <w:rsid w:val="004E4273"/>
    <w:rsid w:val="004E4562"/>
    <w:rsid w:val="004E7F0F"/>
    <w:rsid w:val="004F077F"/>
    <w:rsid w:val="004F78B4"/>
    <w:rsid w:val="005023DD"/>
    <w:rsid w:val="00503D8C"/>
    <w:rsid w:val="00511179"/>
    <w:rsid w:val="0051170E"/>
    <w:rsid w:val="00511F14"/>
    <w:rsid w:val="0051485A"/>
    <w:rsid w:val="00522B84"/>
    <w:rsid w:val="00531A7F"/>
    <w:rsid w:val="00534BAD"/>
    <w:rsid w:val="005360E8"/>
    <w:rsid w:val="005412D0"/>
    <w:rsid w:val="005428C5"/>
    <w:rsid w:val="00543C55"/>
    <w:rsid w:val="0054412E"/>
    <w:rsid w:val="0055393B"/>
    <w:rsid w:val="005554C7"/>
    <w:rsid w:val="00556F58"/>
    <w:rsid w:val="0055704F"/>
    <w:rsid w:val="00567D57"/>
    <w:rsid w:val="00571004"/>
    <w:rsid w:val="0057685F"/>
    <w:rsid w:val="00577B63"/>
    <w:rsid w:val="00582B99"/>
    <w:rsid w:val="00590903"/>
    <w:rsid w:val="005A617A"/>
    <w:rsid w:val="005B0FC9"/>
    <w:rsid w:val="005B24B2"/>
    <w:rsid w:val="005B66D3"/>
    <w:rsid w:val="005B7D91"/>
    <w:rsid w:val="005C422A"/>
    <w:rsid w:val="005C4556"/>
    <w:rsid w:val="005C5302"/>
    <w:rsid w:val="005D307B"/>
    <w:rsid w:val="005E362E"/>
    <w:rsid w:val="005E43B3"/>
    <w:rsid w:val="005F69D4"/>
    <w:rsid w:val="005F7593"/>
    <w:rsid w:val="006029D7"/>
    <w:rsid w:val="00606BFF"/>
    <w:rsid w:val="00606E35"/>
    <w:rsid w:val="0061109D"/>
    <w:rsid w:val="0061138B"/>
    <w:rsid w:val="00612AA0"/>
    <w:rsid w:val="006138CB"/>
    <w:rsid w:val="006142A4"/>
    <w:rsid w:val="0062200D"/>
    <w:rsid w:val="006224C4"/>
    <w:rsid w:val="006225EA"/>
    <w:rsid w:val="006261DF"/>
    <w:rsid w:val="00631936"/>
    <w:rsid w:val="006321DC"/>
    <w:rsid w:val="00641270"/>
    <w:rsid w:val="00642074"/>
    <w:rsid w:val="006424F8"/>
    <w:rsid w:val="00656049"/>
    <w:rsid w:val="00672C84"/>
    <w:rsid w:val="00681CAB"/>
    <w:rsid w:val="00682CFC"/>
    <w:rsid w:val="006842EF"/>
    <w:rsid w:val="00685030"/>
    <w:rsid w:val="00692D4F"/>
    <w:rsid w:val="00693E35"/>
    <w:rsid w:val="0069559B"/>
    <w:rsid w:val="00695E58"/>
    <w:rsid w:val="0069613C"/>
    <w:rsid w:val="0069757D"/>
    <w:rsid w:val="006A1329"/>
    <w:rsid w:val="006A66F9"/>
    <w:rsid w:val="006B4303"/>
    <w:rsid w:val="006D024C"/>
    <w:rsid w:val="006E3B3D"/>
    <w:rsid w:val="006E5C9C"/>
    <w:rsid w:val="006F1774"/>
    <w:rsid w:val="006F292B"/>
    <w:rsid w:val="006F6A03"/>
    <w:rsid w:val="00713D81"/>
    <w:rsid w:val="00717A20"/>
    <w:rsid w:val="00720DFF"/>
    <w:rsid w:val="007265F3"/>
    <w:rsid w:val="00730E23"/>
    <w:rsid w:val="00753311"/>
    <w:rsid w:val="00754513"/>
    <w:rsid w:val="00762CC5"/>
    <w:rsid w:val="00762F85"/>
    <w:rsid w:val="00767063"/>
    <w:rsid w:val="007906B4"/>
    <w:rsid w:val="007970A0"/>
    <w:rsid w:val="00797E4F"/>
    <w:rsid w:val="007A314C"/>
    <w:rsid w:val="007A3CB9"/>
    <w:rsid w:val="007B215B"/>
    <w:rsid w:val="007B4617"/>
    <w:rsid w:val="007C26B6"/>
    <w:rsid w:val="007C2D96"/>
    <w:rsid w:val="007E759D"/>
    <w:rsid w:val="007F2DBE"/>
    <w:rsid w:val="007F33B6"/>
    <w:rsid w:val="007F642D"/>
    <w:rsid w:val="007F756A"/>
    <w:rsid w:val="00800E2C"/>
    <w:rsid w:val="0080214D"/>
    <w:rsid w:val="00812471"/>
    <w:rsid w:val="008261A5"/>
    <w:rsid w:val="008327E5"/>
    <w:rsid w:val="0083382E"/>
    <w:rsid w:val="00844AAC"/>
    <w:rsid w:val="0085354A"/>
    <w:rsid w:val="00855325"/>
    <w:rsid w:val="00862E34"/>
    <w:rsid w:val="008634F3"/>
    <w:rsid w:val="008652FA"/>
    <w:rsid w:val="00865915"/>
    <w:rsid w:val="008661AA"/>
    <w:rsid w:val="00871832"/>
    <w:rsid w:val="00875E9B"/>
    <w:rsid w:val="00876FCA"/>
    <w:rsid w:val="00886CCE"/>
    <w:rsid w:val="008942C6"/>
    <w:rsid w:val="00896B33"/>
    <w:rsid w:val="00897DBE"/>
    <w:rsid w:val="008A2995"/>
    <w:rsid w:val="008A2BA4"/>
    <w:rsid w:val="008A62FB"/>
    <w:rsid w:val="008A77B7"/>
    <w:rsid w:val="008B0F67"/>
    <w:rsid w:val="008B297B"/>
    <w:rsid w:val="008B3833"/>
    <w:rsid w:val="008C0535"/>
    <w:rsid w:val="008C0BCD"/>
    <w:rsid w:val="008C0BD9"/>
    <w:rsid w:val="008C608D"/>
    <w:rsid w:val="008D1F37"/>
    <w:rsid w:val="008E14BE"/>
    <w:rsid w:val="008E461D"/>
    <w:rsid w:val="008E5520"/>
    <w:rsid w:val="008F08E5"/>
    <w:rsid w:val="008F097F"/>
    <w:rsid w:val="008F0EA4"/>
    <w:rsid w:val="008F10B9"/>
    <w:rsid w:val="008F38F6"/>
    <w:rsid w:val="008F5213"/>
    <w:rsid w:val="008F67E7"/>
    <w:rsid w:val="008F6B2D"/>
    <w:rsid w:val="009000CF"/>
    <w:rsid w:val="009050B3"/>
    <w:rsid w:val="00906FC5"/>
    <w:rsid w:val="0090748B"/>
    <w:rsid w:val="00914C4C"/>
    <w:rsid w:val="00920C9C"/>
    <w:rsid w:val="00922754"/>
    <w:rsid w:val="00925781"/>
    <w:rsid w:val="009258D0"/>
    <w:rsid w:val="00934D87"/>
    <w:rsid w:val="00935AB3"/>
    <w:rsid w:val="009635CF"/>
    <w:rsid w:val="009646C4"/>
    <w:rsid w:val="009668BB"/>
    <w:rsid w:val="009734CE"/>
    <w:rsid w:val="00974CB0"/>
    <w:rsid w:val="00975085"/>
    <w:rsid w:val="009750A4"/>
    <w:rsid w:val="0098460C"/>
    <w:rsid w:val="00991976"/>
    <w:rsid w:val="0099413E"/>
    <w:rsid w:val="00996E1A"/>
    <w:rsid w:val="009B1E02"/>
    <w:rsid w:val="009B4392"/>
    <w:rsid w:val="009B51DA"/>
    <w:rsid w:val="009B7D09"/>
    <w:rsid w:val="009C0784"/>
    <w:rsid w:val="009C2CB9"/>
    <w:rsid w:val="009C51DF"/>
    <w:rsid w:val="009D24DA"/>
    <w:rsid w:val="009D5D75"/>
    <w:rsid w:val="009E0C0B"/>
    <w:rsid w:val="009E572D"/>
    <w:rsid w:val="009F32A2"/>
    <w:rsid w:val="009F54CE"/>
    <w:rsid w:val="009F70FE"/>
    <w:rsid w:val="00A0600B"/>
    <w:rsid w:val="00A06264"/>
    <w:rsid w:val="00A1639A"/>
    <w:rsid w:val="00A215C9"/>
    <w:rsid w:val="00A25474"/>
    <w:rsid w:val="00A25CF0"/>
    <w:rsid w:val="00A5364B"/>
    <w:rsid w:val="00A615E0"/>
    <w:rsid w:val="00A65E2B"/>
    <w:rsid w:val="00A70878"/>
    <w:rsid w:val="00A73C12"/>
    <w:rsid w:val="00A74AA0"/>
    <w:rsid w:val="00A7546D"/>
    <w:rsid w:val="00A7613D"/>
    <w:rsid w:val="00A77100"/>
    <w:rsid w:val="00A81626"/>
    <w:rsid w:val="00A8357B"/>
    <w:rsid w:val="00A848FC"/>
    <w:rsid w:val="00A975B1"/>
    <w:rsid w:val="00AA4D97"/>
    <w:rsid w:val="00AB424B"/>
    <w:rsid w:val="00AD17B7"/>
    <w:rsid w:val="00AF08D2"/>
    <w:rsid w:val="00B01A1B"/>
    <w:rsid w:val="00B02242"/>
    <w:rsid w:val="00B069C5"/>
    <w:rsid w:val="00B06D1B"/>
    <w:rsid w:val="00B077D5"/>
    <w:rsid w:val="00B16A78"/>
    <w:rsid w:val="00B200E4"/>
    <w:rsid w:val="00B26FFD"/>
    <w:rsid w:val="00B31E12"/>
    <w:rsid w:val="00B31F77"/>
    <w:rsid w:val="00B35B6D"/>
    <w:rsid w:val="00B35DC6"/>
    <w:rsid w:val="00B51699"/>
    <w:rsid w:val="00B53FAF"/>
    <w:rsid w:val="00B55D98"/>
    <w:rsid w:val="00B63153"/>
    <w:rsid w:val="00B6527D"/>
    <w:rsid w:val="00B73B3A"/>
    <w:rsid w:val="00B74507"/>
    <w:rsid w:val="00B75718"/>
    <w:rsid w:val="00B75E7E"/>
    <w:rsid w:val="00B81257"/>
    <w:rsid w:val="00B9324B"/>
    <w:rsid w:val="00B93817"/>
    <w:rsid w:val="00B9391B"/>
    <w:rsid w:val="00B9682D"/>
    <w:rsid w:val="00BA0B96"/>
    <w:rsid w:val="00BA52C9"/>
    <w:rsid w:val="00BB15DA"/>
    <w:rsid w:val="00BB340D"/>
    <w:rsid w:val="00BB6626"/>
    <w:rsid w:val="00BC2A3A"/>
    <w:rsid w:val="00BC64EC"/>
    <w:rsid w:val="00BC7971"/>
    <w:rsid w:val="00BC7BF3"/>
    <w:rsid w:val="00BD073D"/>
    <w:rsid w:val="00BD6001"/>
    <w:rsid w:val="00BD6652"/>
    <w:rsid w:val="00BD75E0"/>
    <w:rsid w:val="00BE10CC"/>
    <w:rsid w:val="00BE4198"/>
    <w:rsid w:val="00BF029A"/>
    <w:rsid w:val="00BF3AFD"/>
    <w:rsid w:val="00C1606C"/>
    <w:rsid w:val="00C16E16"/>
    <w:rsid w:val="00C23180"/>
    <w:rsid w:val="00C26F94"/>
    <w:rsid w:val="00C41492"/>
    <w:rsid w:val="00C502EC"/>
    <w:rsid w:val="00C50874"/>
    <w:rsid w:val="00C702B5"/>
    <w:rsid w:val="00C70389"/>
    <w:rsid w:val="00C904B6"/>
    <w:rsid w:val="00C90A75"/>
    <w:rsid w:val="00C96DF4"/>
    <w:rsid w:val="00CA0F2C"/>
    <w:rsid w:val="00CA6A66"/>
    <w:rsid w:val="00CC1337"/>
    <w:rsid w:val="00CC2514"/>
    <w:rsid w:val="00CC48DF"/>
    <w:rsid w:val="00CC6FB9"/>
    <w:rsid w:val="00CD4A91"/>
    <w:rsid w:val="00CD6BD0"/>
    <w:rsid w:val="00CD70E7"/>
    <w:rsid w:val="00CD7363"/>
    <w:rsid w:val="00CE0964"/>
    <w:rsid w:val="00CE0C1F"/>
    <w:rsid w:val="00CE3191"/>
    <w:rsid w:val="00CE455F"/>
    <w:rsid w:val="00CE4A15"/>
    <w:rsid w:val="00CE5195"/>
    <w:rsid w:val="00CE6B63"/>
    <w:rsid w:val="00CE74B4"/>
    <w:rsid w:val="00CE7D16"/>
    <w:rsid w:val="00CF0BF9"/>
    <w:rsid w:val="00CF2E86"/>
    <w:rsid w:val="00CF5957"/>
    <w:rsid w:val="00D0004A"/>
    <w:rsid w:val="00D04BA2"/>
    <w:rsid w:val="00D077B0"/>
    <w:rsid w:val="00D157A0"/>
    <w:rsid w:val="00D22D42"/>
    <w:rsid w:val="00D24AF1"/>
    <w:rsid w:val="00D31447"/>
    <w:rsid w:val="00D35A6D"/>
    <w:rsid w:val="00D36D8D"/>
    <w:rsid w:val="00D45711"/>
    <w:rsid w:val="00D47190"/>
    <w:rsid w:val="00D500FC"/>
    <w:rsid w:val="00D50EC4"/>
    <w:rsid w:val="00D51597"/>
    <w:rsid w:val="00D5326E"/>
    <w:rsid w:val="00D55867"/>
    <w:rsid w:val="00D57410"/>
    <w:rsid w:val="00D634A3"/>
    <w:rsid w:val="00D72339"/>
    <w:rsid w:val="00D73E47"/>
    <w:rsid w:val="00D74ABB"/>
    <w:rsid w:val="00D83CB7"/>
    <w:rsid w:val="00D976B3"/>
    <w:rsid w:val="00D97FA8"/>
    <w:rsid w:val="00DB289A"/>
    <w:rsid w:val="00DB4363"/>
    <w:rsid w:val="00DB66BD"/>
    <w:rsid w:val="00DC07C5"/>
    <w:rsid w:val="00DC7B25"/>
    <w:rsid w:val="00DD340F"/>
    <w:rsid w:val="00DD39EA"/>
    <w:rsid w:val="00DD6B73"/>
    <w:rsid w:val="00DE23F8"/>
    <w:rsid w:val="00DE7CC2"/>
    <w:rsid w:val="00E007DD"/>
    <w:rsid w:val="00E04392"/>
    <w:rsid w:val="00E05CF6"/>
    <w:rsid w:val="00E077DE"/>
    <w:rsid w:val="00E112C9"/>
    <w:rsid w:val="00E1314C"/>
    <w:rsid w:val="00E158F7"/>
    <w:rsid w:val="00E16ABE"/>
    <w:rsid w:val="00E2087E"/>
    <w:rsid w:val="00E2356E"/>
    <w:rsid w:val="00E23C81"/>
    <w:rsid w:val="00E2636D"/>
    <w:rsid w:val="00E34976"/>
    <w:rsid w:val="00E36818"/>
    <w:rsid w:val="00E47B97"/>
    <w:rsid w:val="00E5203C"/>
    <w:rsid w:val="00E634CC"/>
    <w:rsid w:val="00E81727"/>
    <w:rsid w:val="00E82F0E"/>
    <w:rsid w:val="00E84DFB"/>
    <w:rsid w:val="00E90673"/>
    <w:rsid w:val="00E95ABF"/>
    <w:rsid w:val="00E95F89"/>
    <w:rsid w:val="00E96FAC"/>
    <w:rsid w:val="00EA0382"/>
    <w:rsid w:val="00EA129F"/>
    <w:rsid w:val="00EB7A31"/>
    <w:rsid w:val="00EC08DC"/>
    <w:rsid w:val="00ED0582"/>
    <w:rsid w:val="00ED1262"/>
    <w:rsid w:val="00ED7374"/>
    <w:rsid w:val="00EE31F6"/>
    <w:rsid w:val="00EE36DC"/>
    <w:rsid w:val="00EE6896"/>
    <w:rsid w:val="00EF06B5"/>
    <w:rsid w:val="00F044EE"/>
    <w:rsid w:val="00F20069"/>
    <w:rsid w:val="00F20AAA"/>
    <w:rsid w:val="00F21201"/>
    <w:rsid w:val="00F2414C"/>
    <w:rsid w:val="00F3320B"/>
    <w:rsid w:val="00F40E92"/>
    <w:rsid w:val="00F41947"/>
    <w:rsid w:val="00F435AA"/>
    <w:rsid w:val="00F45370"/>
    <w:rsid w:val="00F511B7"/>
    <w:rsid w:val="00F60A04"/>
    <w:rsid w:val="00F63C5D"/>
    <w:rsid w:val="00F67EAF"/>
    <w:rsid w:val="00F7191D"/>
    <w:rsid w:val="00F72E52"/>
    <w:rsid w:val="00F730FC"/>
    <w:rsid w:val="00F76C6A"/>
    <w:rsid w:val="00F83BF1"/>
    <w:rsid w:val="00F90CB9"/>
    <w:rsid w:val="00F91D23"/>
    <w:rsid w:val="00F91DD8"/>
    <w:rsid w:val="00F97373"/>
    <w:rsid w:val="00FA0254"/>
    <w:rsid w:val="00FA59F1"/>
    <w:rsid w:val="00FA6129"/>
    <w:rsid w:val="00FA6854"/>
    <w:rsid w:val="00FB064F"/>
    <w:rsid w:val="00FB0F6B"/>
    <w:rsid w:val="00FB144F"/>
    <w:rsid w:val="00FB159A"/>
    <w:rsid w:val="00FB4D77"/>
    <w:rsid w:val="00FC40F0"/>
    <w:rsid w:val="00FC497D"/>
    <w:rsid w:val="00FD076B"/>
    <w:rsid w:val="00FD140F"/>
    <w:rsid w:val="00FD39DE"/>
    <w:rsid w:val="00FE4B61"/>
    <w:rsid w:val="00FF3782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2385"/>
    <o:shapelayout v:ext="edit">
      <o:idmap v:ext="edit" data="1"/>
    </o:shapelayout>
  </w:shapeDefaults>
  <w:decimalSymbol w:val=","/>
  <w:listSeparator w:val=";"/>
  <w14:docId w14:val="5CF9775E"/>
  <w15:docId w15:val="{42C1A1D1-9BB6-4C62-A4E2-63B31A0B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7670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D9100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nhideWhenUsed/>
    <w:qFormat/>
    <w:locked/>
    <w:rsid w:val="007670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E600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92A4C2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locked/>
    <w:rsid w:val="00382529"/>
    <w:rPr>
      <w:b/>
      <w:bCs/>
    </w:rPr>
  </w:style>
  <w:style w:type="table" w:styleId="Tabellenraster">
    <w:name w:val="Table Grid"/>
    <w:basedOn w:val="NormaleTabelle"/>
    <w:uiPriority w:val="59"/>
    <w:locked/>
    <w:rsid w:val="002C0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sstextNL">
    <w:name w:val="Fliesstext NL"/>
    <w:basedOn w:val="Standard"/>
    <w:uiPriority w:val="99"/>
    <w:rsid w:val="002C055A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Mark OT Light" w:hAnsi="Mark OT Light" w:cs="Mark OT Light"/>
      <w:color w:val="000000"/>
      <w:spacing w:val="-4"/>
      <w:sz w:val="18"/>
      <w:szCs w:val="18"/>
      <w:lang w:eastAsia="de-DE"/>
    </w:rPr>
  </w:style>
  <w:style w:type="paragraph" w:customStyle="1" w:styleId="GrafikHeadlineNL">
    <w:name w:val="Grafik Headline NL"/>
    <w:basedOn w:val="FliesstextNL"/>
    <w:uiPriority w:val="99"/>
    <w:rsid w:val="002C055A"/>
    <w:rPr>
      <w:rFonts w:ascii="Mark OT" w:hAnsi="Mark OT" w:cs="Mark OT"/>
      <w:b/>
      <w:bCs/>
    </w:rPr>
  </w:style>
  <w:style w:type="paragraph" w:customStyle="1" w:styleId="HeadlineNL">
    <w:name w:val="Headline NL"/>
    <w:basedOn w:val="FliesstextNL"/>
    <w:uiPriority w:val="99"/>
    <w:rsid w:val="002C055A"/>
    <w:pPr>
      <w:spacing w:line="400" w:lineRule="atLeast"/>
    </w:pPr>
    <w:rPr>
      <w:rFonts w:ascii="Mark OT" w:hAnsi="Mark OT" w:cs="Mark OT"/>
      <w:b/>
      <w:bCs/>
      <w:spacing w:val="0"/>
      <w:sz w:val="28"/>
      <w:szCs w:val="28"/>
    </w:rPr>
  </w:style>
  <w:style w:type="paragraph" w:customStyle="1" w:styleId="SublineNL">
    <w:name w:val="Subline NL"/>
    <w:basedOn w:val="FliesstextNL"/>
    <w:uiPriority w:val="99"/>
    <w:rsid w:val="002C055A"/>
    <w:pPr>
      <w:spacing w:line="320" w:lineRule="atLeast"/>
    </w:pPr>
    <w:rPr>
      <w:spacing w:val="0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7D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7D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7D57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7D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7D57"/>
    <w:rPr>
      <w:b/>
      <w:bCs/>
      <w:sz w:val="20"/>
      <w:szCs w:val="20"/>
      <w:lang w:eastAsia="en-US"/>
    </w:rPr>
  </w:style>
  <w:style w:type="table" w:customStyle="1" w:styleId="TableGrid1">
    <w:name w:val="Table Grid1"/>
    <w:basedOn w:val="NormaleTabelle"/>
    <w:next w:val="Tabellenraster"/>
    <w:uiPriority w:val="59"/>
    <w:rsid w:val="001E117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1E117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767063"/>
    <w:rPr>
      <w:rFonts w:asciiTheme="majorHAnsi" w:eastAsiaTheme="majorEastAsia" w:hAnsiTheme="majorHAnsi" w:cstheme="majorBidi"/>
      <w:color w:val="BD9100" w:themeColor="accent1" w:themeShade="BF"/>
      <w:sz w:val="32"/>
      <w:szCs w:val="32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767063"/>
    <w:rPr>
      <w:rFonts w:asciiTheme="majorHAnsi" w:eastAsiaTheme="majorEastAsia" w:hAnsiTheme="majorHAnsi" w:cstheme="majorBidi"/>
      <w:color w:val="7E600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71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23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rossmann-berger.de/news/pressemappe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rossmann-berger.de/datenschutz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ermanpropertypartners.de/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sse@grossmann-berger.de" TargetMode="External"/><Relationship Id="rId10" Type="http://schemas.openxmlformats.org/officeDocument/2006/relationships/hyperlink" Target="https://www.grossmann-berger.de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grossmann-berger.de/marktbericht/gewerbe/hamburg-investment/" TargetMode="External"/><Relationship Id="rId14" Type="http://schemas.openxmlformats.org/officeDocument/2006/relationships/hyperlink" Target="file:///\\file01\Marketing\Presse\5_PresseMITTEILUNGEN\Marktbericht%20Investment\2021\2021_Q1\20180517_Dokumentation%20der%20Verarbeitungstaetigkeit%20nach%20DSGVO_Presse.doc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G&amp;B Farben für Word_2019">
  <a:themeElements>
    <a:clrScheme name="G&amp;B Farben">
      <a:dk1>
        <a:srgbClr val="000000"/>
      </a:dk1>
      <a:lt1>
        <a:sysClr val="window" lastClr="FFFFFF"/>
      </a:lt1>
      <a:dk2>
        <a:srgbClr val="1F242B"/>
      </a:dk2>
      <a:lt2>
        <a:srgbClr val="E4E2E4"/>
      </a:lt2>
      <a:accent1>
        <a:srgbClr val="FDC300"/>
      </a:accent1>
      <a:accent2>
        <a:srgbClr val="1F242B"/>
      </a:accent2>
      <a:accent3>
        <a:srgbClr val="FFD444"/>
      </a:accent3>
      <a:accent4>
        <a:srgbClr val="FFE17E"/>
      </a:accent4>
      <a:accent5>
        <a:srgbClr val="838490"/>
      </a:accent5>
      <a:accent6>
        <a:srgbClr val="E4E2E4"/>
      </a:accent6>
      <a:hlink>
        <a:srgbClr val="4A5A73"/>
      </a:hlink>
      <a:folHlink>
        <a:srgbClr val="92A4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B775B-67A6-43C5-A9BA-F1C26DA74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Britt Finke</cp:lastModifiedBy>
  <cp:revision>3</cp:revision>
  <cp:lastPrinted>2020-01-08T13:10:00Z</cp:lastPrinted>
  <dcterms:created xsi:type="dcterms:W3CDTF">2021-04-06T08:24:00Z</dcterms:created>
  <dcterms:modified xsi:type="dcterms:W3CDTF">2021-04-06T08:25:00Z</dcterms:modified>
</cp:coreProperties>
</file>