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034" w14:textId="3548B7D4" w:rsidR="000D48D4" w:rsidRDefault="00424033" w:rsidP="00365AF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Berlin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1.</w:t>
      </w:r>
      <w:r w:rsidR="00B9324B" w:rsidRPr="00B9324B">
        <w:rPr>
          <w:rFonts w:ascii="Arial" w:hAnsi="Arial" w:cs="Arial"/>
          <w:b/>
        </w:rPr>
        <w:t xml:space="preserve"> Quartal 20</w:t>
      </w:r>
      <w:r w:rsidR="00BD6652">
        <w:rPr>
          <w:rFonts w:ascii="Arial" w:hAnsi="Arial" w:cs="Arial"/>
          <w:b/>
        </w:rPr>
        <w:t>21</w:t>
      </w:r>
      <w:r w:rsidR="0054412E">
        <w:rPr>
          <w:rFonts w:ascii="Arial" w:hAnsi="Arial" w:cs="Arial"/>
          <w:b/>
        </w:rPr>
        <w:br/>
      </w:r>
      <w:r w:rsidR="00B3325C">
        <w:rPr>
          <w:rFonts w:ascii="Arial" w:hAnsi="Arial" w:cs="Arial"/>
          <w:b/>
          <w:sz w:val="28"/>
          <w:szCs w:val="28"/>
        </w:rPr>
        <w:t>Verhaltener Jahresauftakt durch gebremste Marktdynamik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3AF7B110" w14:textId="7EF76847" w:rsidR="00DC07C5" w:rsidRPr="00DC07C5" w:rsidRDefault="00424033" w:rsidP="00F91D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Berlin</w:t>
      </w:r>
      <w:r w:rsidR="00E90673" w:rsidRPr="00AB424B">
        <w:rPr>
          <w:rFonts w:ascii="Arial" w:hAnsi="Arial" w:cs="Arial"/>
          <w:b/>
          <w:sz w:val="20"/>
          <w:szCs w:val="20"/>
        </w:rPr>
        <w:t xml:space="preserve">, </w:t>
      </w:r>
      <w:r w:rsidR="005148A7">
        <w:rPr>
          <w:rFonts w:ascii="Arial" w:hAnsi="Arial" w:cs="Arial"/>
          <w:b/>
          <w:sz w:val="20"/>
          <w:szCs w:val="20"/>
        </w:rPr>
        <w:t>15</w:t>
      </w:r>
      <w:r w:rsidR="00B31F77">
        <w:rPr>
          <w:rFonts w:ascii="Arial" w:hAnsi="Arial" w:cs="Arial"/>
          <w:b/>
          <w:sz w:val="20"/>
          <w:szCs w:val="20"/>
        </w:rPr>
        <w:t>.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9668BB" w:rsidRPr="00AB424B">
        <w:rPr>
          <w:rFonts w:ascii="Arial" w:hAnsi="Arial" w:cs="Arial"/>
          <w:b/>
          <w:sz w:val="20"/>
          <w:szCs w:val="20"/>
        </w:rPr>
        <w:t>April</w:t>
      </w:r>
      <w:r w:rsidR="00132522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b/>
          <w:sz w:val="20"/>
          <w:szCs w:val="20"/>
        </w:rPr>
        <w:t>20</w:t>
      </w:r>
      <w:r w:rsidR="00BD6652">
        <w:rPr>
          <w:rFonts w:ascii="Arial" w:hAnsi="Arial" w:cs="Arial"/>
          <w:b/>
          <w:sz w:val="20"/>
          <w:szCs w:val="20"/>
        </w:rPr>
        <w:t>21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sz w:val="20"/>
          <w:szCs w:val="20"/>
        </w:rPr>
        <w:t>–</w:t>
      </w:r>
      <w:r w:rsidR="00797E4F" w:rsidRPr="00AB424B">
        <w:rPr>
          <w:rFonts w:ascii="Arial" w:hAnsi="Arial" w:cs="Arial"/>
          <w:b/>
          <w:sz w:val="20"/>
          <w:szCs w:val="20"/>
        </w:rPr>
        <w:t xml:space="preserve"> </w:t>
      </w:r>
      <w:r w:rsidR="00DC07C5">
        <w:rPr>
          <w:rFonts w:ascii="Arial" w:hAnsi="Arial" w:cs="Arial"/>
          <w:sz w:val="20"/>
          <w:szCs w:val="20"/>
        </w:rPr>
        <w:t xml:space="preserve">Nach </w:t>
      </w:r>
      <w:r w:rsidR="00DC46A8">
        <w:rPr>
          <w:rFonts w:ascii="Arial" w:hAnsi="Arial" w:cs="Arial"/>
          <w:sz w:val="20"/>
          <w:szCs w:val="20"/>
        </w:rPr>
        <w:t xml:space="preserve">dem Rekordwert im Vorjahresquartal fiel das Transaktionsvolumen für gewerbliche Immobilieninvestments in Berlin </w:t>
      </w:r>
      <w:r w:rsidR="00CD5CAB">
        <w:rPr>
          <w:rFonts w:ascii="Arial" w:hAnsi="Arial" w:cs="Arial"/>
          <w:sz w:val="20"/>
          <w:szCs w:val="20"/>
        </w:rPr>
        <w:t>in den ersten drei Monaten</w:t>
      </w:r>
      <w:r w:rsidR="00DC46A8">
        <w:rPr>
          <w:rFonts w:ascii="Arial" w:hAnsi="Arial" w:cs="Arial"/>
          <w:sz w:val="20"/>
          <w:szCs w:val="20"/>
        </w:rPr>
        <w:t xml:space="preserve"> 2021 erwartungsgemäß niedriger aus. </w:t>
      </w:r>
      <w:r w:rsidR="00087A17">
        <w:rPr>
          <w:rFonts w:ascii="Arial" w:hAnsi="Arial" w:cs="Arial"/>
          <w:sz w:val="20"/>
          <w:szCs w:val="20"/>
        </w:rPr>
        <w:t>Mit 850 </w:t>
      </w:r>
      <w:r w:rsidR="00DC46A8">
        <w:rPr>
          <w:rFonts w:ascii="Arial" w:hAnsi="Arial" w:cs="Arial"/>
          <w:sz w:val="20"/>
          <w:szCs w:val="20"/>
        </w:rPr>
        <w:t xml:space="preserve">Mio. € </w:t>
      </w:r>
      <w:r w:rsidR="00CD5CAB">
        <w:rPr>
          <w:rFonts w:ascii="Arial" w:hAnsi="Arial" w:cs="Arial"/>
          <w:sz w:val="20"/>
          <w:szCs w:val="20"/>
        </w:rPr>
        <w:t>lag</w:t>
      </w:r>
      <w:r w:rsidR="00F84E8C">
        <w:rPr>
          <w:rFonts w:ascii="Arial" w:hAnsi="Arial" w:cs="Arial"/>
          <w:sz w:val="20"/>
          <w:szCs w:val="20"/>
        </w:rPr>
        <w:t xml:space="preserve"> der Umsatz</w:t>
      </w:r>
      <w:r w:rsidR="00DC46A8">
        <w:rPr>
          <w:rFonts w:ascii="Arial" w:hAnsi="Arial" w:cs="Arial"/>
          <w:sz w:val="20"/>
          <w:szCs w:val="20"/>
        </w:rPr>
        <w:t xml:space="preserve"> </w:t>
      </w:r>
      <w:r w:rsidR="00F84E8C">
        <w:rPr>
          <w:rFonts w:ascii="Arial" w:hAnsi="Arial" w:cs="Arial"/>
          <w:sz w:val="20"/>
          <w:szCs w:val="20"/>
        </w:rPr>
        <w:t xml:space="preserve">um </w:t>
      </w:r>
      <w:r w:rsidR="00DC46A8">
        <w:rPr>
          <w:rFonts w:ascii="Arial" w:hAnsi="Arial" w:cs="Arial"/>
          <w:sz w:val="20"/>
          <w:szCs w:val="20"/>
        </w:rPr>
        <w:t xml:space="preserve">67 % </w:t>
      </w:r>
      <w:r w:rsidR="00F84E8C">
        <w:rPr>
          <w:rFonts w:ascii="Arial" w:hAnsi="Arial" w:cs="Arial"/>
          <w:sz w:val="20"/>
          <w:szCs w:val="20"/>
        </w:rPr>
        <w:t>unter dem Vorjahres</w:t>
      </w:r>
      <w:r w:rsidR="00CD5CAB">
        <w:rPr>
          <w:rFonts w:ascii="Arial" w:hAnsi="Arial" w:cs="Arial"/>
          <w:sz w:val="20"/>
          <w:szCs w:val="20"/>
        </w:rPr>
        <w:t>wert (2,6 Mrd. €)</w:t>
      </w:r>
      <w:r w:rsidR="00087A17">
        <w:rPr>
          <w:rFonts w:ascii="Arial" w:hAnsi="Arial" w:cs="Arial"/>
          <w:sz w:val="20"/>
          <w:szCs w:val="20"/>
        </w:rPr>
        <w:t xml:space="preserve">. Ähnlich niedrig war das Umsatzniveau zuletzt 2018. </w:t>
      </w:r>
      <w:r w:rsidR="00087A17" w:rsidRPr="00087A17">
        <w:rPr>
          <w:rFonts w:ascii="Arial" w:hAnsi="Arial" w:cs="Arial"/>
          <w:i/>
          <w:sz w:val="20"/>
          <w:szCs w:val="20"/>
        </w:rPr>
        <w:t xml:space="preserve">„Grundsätzlich ist ein schwacher Jahresauftakt für den Berliner Investmentmarkt nicht unüblich. </w:t>
      </w:r>
      <w:r w:rsidR="00CD5CAB">
        <w:rPr>
          <w:rFonts w:ascii="Arial" w:hAnsi="Arial" w:cs="Arial"/>
          <w:i/>
          <w:sz w:val="20"/>
          <w:szCs w:val="20"/>
        </w:rPr>
        <w:t>Das historisch hohe</w:t>
      </w:r>
      <w:r w:rsidR="003F7E7E">
        <w:rPr>
          <w:rFonts w:ascii="Arial" w:hAnsi="Arial" w:cs="Arial"/>
          <w:i/>
          <w:sz w:val="20"/>
          <w:szCs w:val="20"/>
        </w:rPr>
        <w:t xml:space="preserve"> </w:t>
      </w:r>
      <w:r w:rsidR="00CD5CAB">
        <w:rPr>
          <w:rFonts w:ascii="Arial" w:hAnsi="Arial" w:cs="Arial"/>
          <w:i/>
          <w:sz w:val="20"/>
          <w:szCs w:val="20"/>
        </w:rPr>
        <w:t>Transaktionsvolumen der</w:t>
      </w:r>
      <w:r w:rsidR="00B3325C">
        <w:rPr>
          <w:rFonts w:ascii="Arial" w:hAnsi="Arial" w:cs="Arial"/>
          <w:i/>
          <w:sz w:val="20"/>
          <w:szCs w:val="20"/>
        </w:rPr>
        <w:t xml:space="preserve"> ersten Quartale</w:t>
      </w:r>
      <w:r w:rsidR="003F7E7E">
        <w:rPr>
          <w:rFonts w:ascii="Arial" w:hAnsi="Arial" w:cs="Arial"/>
          <w:i/>
          <w:sz w:val="20"/>
          <w:szCs w:val="20"/>
        </w:rPr>
        <w:t xml:space="preserve"> </w:t>
      </w:r>
      <w:r w:rsidR="00087A17" w:rsidRPr="00087A17">
        <w:rPr>
          <w:rFonts w:ascii="Arial" w:hAnsi="Arial" w:cs="Arial"/>
          <w:i/>
          <w:sz w:val="20"/>
          <w:szCs w:val="20"/>
        </w:rPr>
        <w:t xml:space="preserve">2019 und 2020 </w:t>
      </w:r>
      <w:r w:rsidR="00CD5CAB">
        <w:rPr>
          <w:rFonts w:ascii="Arial" w:hAnsi="Arial" w:cs="Arial"/>
          <w:i/>
          <w:sz w:val="20"/>
          <w:szCs w:val="20"/>
        </w:rPr>
        <w:t>stellt eine</w:t>
      </w:r>
      <w:r w:rsidR="003F7E7E">
        <w:rPr>
          <w:rFonts w:ascii="Arial" w:hAnsi="Arial" w:cs="Arial"/>
          <w:i/>
          <w:sz w:val="20"/>
          <w:szCs w:val="20"/>
        </w:rPr>
        <w:t xml:space="preserve"> </w:t>
      </w:r>
      <w:r w:rsidR="00CD5CAB">
        <w:rPr>
          <w:rFonts w:ascii="Arial" w:hAnsi="Arial" w:cs="Arial"/>
          <w:i/>
          <w:sz w:val="20"/>
          <w:szCs w:val="20"/>
        </w:rPr>
        <w:t>absolute Ausnahme dar</w:t>
      </w:r>
      <w:r w:rsidR="00087A17" w:rsidRPr="00087A17">
        <w:rPr>
          <w:rFonts w:ascii="Arial" w:hAnsi="Arial" w:cs="Arial"/>
          <w:i/>
          <w:sz w:val="20"/>
          <w:szCs w:val="20"/>
        </w:rPr>
        <w:t xml:space="preserve">. </w:t>
      </w:r>
      <w:r w:rsidR="00CD5CAB">
        <w:rPr>
          <w:rFonts w:ascii="Arial" w:hAnsi="Arial" w:cs="Arial"/>
          <w:i/>
          <w:sz w:val="20"/>
          <w:szCs w:val="20"/>
        </w:rPr>
        <w:t>Für 2021 e</w:t>
      </w:r>
      <w:r w:rsidR="00087A17" w:rsidRPr="00087A17">
        <w:rPr>
          <w:rFonts w:ascii="Arial" w:hAnsi="Arial" w:cs="Arial"/>
          <w:i/>
          <w:sz w:val="20"/>
          <w:szCs w:val="20"/>
        </w:rPr>
        <w:t>rwarten</w:t>
      </w:r>
      <w:r w:rsidR="00CD5CAB">
        <w:rPr>
          <w:rFonts w:ascii="Arial" w:hAnsi="Arial" w:cs="Arial"/>
          <w:i/>
          <w:sz w:val="20"/>
          <w:szCs w:val="20"/>
        </w:rPr>
        <w:t xml:space="preserve"> wir</w:t>
      </w:r>
      <w:r w:rsidR="00087A17" w:rsidRPr="00087A17">
        <w:rPr>
          <w:rFonts w:ascii="Arial" w:hAnsi="Arial" w:cs="Arial"/>
          <w:i/>
          <w:sz w:val="20"/>
          <w:szCs w:val="20"/>
        </w:rPr>
        <w:t>, dass größere Transaktionen erst im zweiten und dritten Quartal begonnen werden“</w:t>
      </w:r>
      <w:r w:rsidR="00087A17">
        <w:rPr>
          <w:rFonts w:ascii="Arial" w:hAnsi="Arial" w:cs="Arial"/>
          <w:sz w:val="20"/>
          <w:szCs w:val="20"/>
        </w:rPr>
        <w:t xml:space="preserve">, erläutert </w:t>
      </w:r>
      <w:r w:rsidR="00087A17" w:rsidRPr="00087A17">
        <w:rPr>
          <w:rFonts w:ascii="Arial" w:hAnsi="Arial" w:cs="Arial"/>
          <w:b/>
          <w:sz w:val="20"/>
          <w:szCs w:val="20"/>
        </w:rPr>
        <w:t>Holger Michaelis</w:t>
      </w:r>
      <w:r w:rsidR="00087A17">
        <w:rPr>
          <w:rFonts w:ascii="Arial" w:hAnsi="Arial" w:cs="Arial"/>
          <w:sz w:val="20"/>
          <w:szCs w:val="20"/>
        </w:rPr>
        <w:t>, Geschäftsführer von Grossmann &amp; Berger, Mitglie</w:t>
      </w:r>
      <w:r w:rsidR="003F7E7E">
        <w:rPr>
          <w:rFonts w:ascii="Arial" w:hAnsi="Arial" w:cs="Arial"/>
          <w:sz w:val="20"/>
          <w:szCs w:val="20"/>
        </w:rPr>
        <w:t>d von German Property Partners (</w:t>
      </w:r>
      <w:r w:rsidR="00087A17">
        <w:rPr>
          <w:rFonts w:ascii="Arial" w:hAnsi="Arial" w:cs="Arial"/>
          <w:sz w:val="20"/>
          <w:szCs w:val="20"/>
        </w:rPr>
        <w:t>GPP).</w:t>
      </w:r>
      <w:r w:rsidR="00DC46A8">
        <w:rPr>
          <w:rFonts w:ascii="Arial" w:hAnsi="Arial" w:cs="Arial"/>
          <w:sz w:val="20"/>
          <w:szCs w:val="20"/>
        </w:rPr>
        <w:t xml:space="preserve"> </w:t>
      </w:r>
      <w:r w:rsidR="003F7E7E" w:rsidRPr="0086528D">
        <w:rPr>
          <w:rFonts w:ascii="Arial" w:hAnsi="Arial" w:cs="Arial"/>
          <w:i/>
          <w:sz w:val="20"/>
          <w:szCs w:val="20"/>
        </w:rPr>
        <w:t>„Einige Investoren, insbesondere internationale Käufer, zeigen sich momentan angesichts der anhaltenden Pandemielage weiter zurückhaltend. In Verbindung mit einer hohen Produktknappheit bremst dies die aktuelle Marktdynamik etwas aus“,</w:t>
      </w:r>
      <w:r w:rsidR="003F7E7E">
        <w:rPr>
          <w:rFonts w:ascii="Arial" w:hAnsi="Arial" w:cs="Arial"/>
          <w:sz w:val="20"/>
          <w:szCs w:val="20"/>
        </w:rPr>
        <w:t xml:space="preserve"> </w:t>
      </w:r>
      <w:r w:rsidR="0086528D">
        <w:rPr>
          <w:rFonts w:ascii="Arial" w:hAnsi="Arial" w:cs="Arial"/>
          <w:sz w:val="20"/>
          <w:szCs w:val="20"/>
        </w:rPr>
        <w:t xml:space="preserve">so </w:t>
      </w:r>
      <w:r w:rsidR="0086528D" w:rsidRPr="0086528D">
        <w:rPr>
          <w:rFonts w:ascii="Arial" w:hAnsi="Arial" w:cs="Arial"/>
          <w:b/>
          <w:sz w:val="20"/>
          <w:szCs w:val="20"/>
        </w:rPr>
        <w:t>Michaelis</w:t>
      </w:r>
      <w:r w:rsidR="0086528D">
        <w:rPr>
          <w:rFonts w:ascii="Arial" w:hAnsi="Arial" w:cs="Arial"/>
          <w:sz w:val="20"/>
          <w:szCs w:val="20"/>
        </w:rPr>
        <w:t>.</w:t>
      </w:r>
      <w:r w:rsidR="003F7E7E">
        <w:rPr>
          <w:rFonts w:ascii="Arial" w:hAnsi="Arial" w:cs="Arial"/>
          <w:sz w:val="20"/>
          <w:szCs w:val="20"/>
        </w:rPr>
        <w:t xml:space="preserve"> </w:t>
      </w:r>
    </w:p>
    <w:p w14:paraId="2CE8AC6A" w14:textId="0A72C4E5" w:rsidR="00906FC5" w:rsidRPr="00D35A6D" w:rsidRDefault="00906FC5" w:rsidP="00906FC5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79CA357A" w14:textId="58F908D1" w:rsidR="000A5ED1" w:rsidRPr="00D35A6D" w:rsidRDefault="00365AF8" w:rsidP="00365AF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0B95B7E0" w14:textId="5153A078" w:rsidR="00991976" w:rsidRPr="009F1A62" w:rsidRDefault="00991976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9F1A62">
        <w:rPr>
          <w:rFonts w:ascii="Arial" w:hAnsi="Arial" w:cs="Arial"/>
          <w:sz w:val="20"/>
          <w:szCs w:val="20"/>
        </w:rPr>
        <w:t xml:space="preserve">Büro-Immobilien </w:t>
      </w:r>
      <w:r w:rsidR="009F1A62" w:rsidRPr="009F1A62">
        <w:rPr>
          <w:rFonts w:ascii="Arial" w:hAnsi="Arial" w:cs="Arial"/>
          <w:sz w:val="20"/>
          <w:szCs w:val="20"/>
        </w:rPr>
        <w:t>stellten mit 41 % die nach wie vor größte Assetklasse, wenngleich sich ihr Anteil im Vorjahresvergleich (68 %) deutlich reduziert</w:t>
      </w:r>
      <w:r w:rsidR="00CD5CAB">
        <w:rPr>
          <w:rFonts w:ascii="Arial" w:hAnsi="Arial" w:cs="Arial"/>
          <w:sz w:val="20"/>
          <w:szCs w:val="20"/>
        </w:rPr>
        <w:t>e</w:t>
      </w:r>
      <w:r w:rsidR="009F1A62" w:rsidRPr="009F1A62">
        <w:rPr>
          <w:rFonts w:ascii="Arial" w:hAnsi="Arial" w:cs="Arial"/>
          <w:sz w:val="20"/>
          <w:szCs w:val="20"/>
        </w:rPr>
        <w:t>.</w:t>
      </w:r>
      <w:r w:rsidRPr="009F1A62">
        <w:rPr>
          <w:rFonts w:ascii="Arial" w:hAnsi="Arial" w:cs="Arial"/>
          <w:sz w:val="20"/>
          <w:szCs w:val="20"/>
        </w:rPr>
        <w:t xml:space="preserve"> </w:t>
      </w:r>
    </w:p>
    <w:p w14:paraId="59345F56" w14:textId="7694BC62" w:rsidR="000A6AE3" w:rsidRDefault="009F1A62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9F1A62">
        <w:rPr>
          <w:rFonts w:ascii="Arial" w:hAnsi="Arial" w:cs="Arial"/>
          <w:sz w:val="20"/>
          <w:szCs w:val="20"/>
        </w:rPr>
        <w:t>Mit einem Anteil von 31</w:t>
      </w:r>
      <w:r w:rsidR="000A6AE3" w:rsidRPr="009F1A62">
        <w:rPr>
          <w:rFonts w:ascii="Arial" w:hAnsi="Arial" w:cs="Arial"/>
          <w:sz w:val="20"/>
          <w:szCs w:val="20"/>
        </w:rPr>
        <w:t xml:space="preserve"> % </w:t>
      </w:r>
      <w:r w:rsidRPr="009F1A62">
        <w:rPr>
          <w:rFonts w:ascii="Arial" w:hAnsi="Arial" w:cs="Arial"/>
          <w:sz w:val="20"/>
          <w:szCs w:val="20"/>
        </w:rPr>
        <w:t>führte</w:t>
      </w:r>
      <w:r w:rsidR="000A6AE3" w:rsidRPr="009F1A62">
        <w:rPr>
          <w:rFonts w:ascii="Arial" w:hAnsi="Arial" w:cs="Arial"/>
          <w:sz w:val="20"/>
          <w:szCs w:val="20"/>
        </w:rPr>
        <w:t xml:space="preserve"> die </w:t>
      </w:r>
      <w:r w:rsidR="000A6AE3" w:rsidRPr="009F1A62">
        <w:rPr>
          <w:rFonts w:ascii="Arial" w:hAnsi="Arial" w:cs="Arial"/>
          <w:sz w:val="20"/>
          <w:szCs w:val="20"/>
          <w:u w:val="single"/>
        </w:rPr>
        <w:t>Größenklasse</w:t>
      </w:r>
      <w:r w:rsidR="000A6AE3" w:rsidRPr="009F1A62">
        <w:rPr>
          <w:rFonts w:ascii="Arial" w:hAnsi="Arial" w:cs="Arial"/>
          <w:sz w:val="20"/>
          <w:szCs w:val="20"/>
        </w:rPr>
        <w:t xml:space="preserve"> </w:t>
      </w:r>
      <w:r w:rsidRPr="009F1A62">
        <w:rPr>
          <w:rFonts w:ascii="Arial" w:hAnsi="Arial" w:cs="Arial"/>
          <w:sz w:val="20"/>
          <w:szCs w:val="20"/>
        </w:rPr>
        <w:t>ab</w:t>
      </w:r>
      <w:r w:rsidR="000A6AE3" w:rsidRPr="009F1A62">
        <w:rPr>
          <w:rFonts w:ascii="Arial" w:hAnsi="Arial" w:cs="Arial"/>
          <w:sz w:val="20"/>
          <w:szCs w:val="20"/>
        </w:rPr>
        <w:t xml:space="preserve"> 100 Mio. €</w:t>
      </w:r>
      <w:r w:rsidR="00360D71">
        <w:rPr>
          <w:rFonts w:ascii="Arial" w:hAnsi="Arial" w:cs="Arial"/>
          <w:sz w:val="20"/>
          <w:szCs w:val="20"/>
        </w:rPr>
        <w:t xml:space="preserve"> leicht vor den nachfolgenden Größenklassen</w:t>
      </w:r>
      <w:r w:rsidR="000A6AE3" w:rsidRPr="009F1A62">
        <w:rPr>
          <w:rFonts w:ascii="Arial" w:hAnsi="Arial" w:cs="Arial"/>
          <w:sz w:val="20"/>
          <w:szCs w:val="20"/>
        </w:rPr>
        <w:t>.</w:t>
      </w:r>
    </w:p>
    <w:p w14:paraId="430BFC54" w14:textId="59A357EC" w:rsidR="00360D71" w:rsidRPr="009F1A62" w:rsidRDefault="00360D71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Projektentwickler (26 %) und Spezialfonds (25 %) bildeten die stärksten </w:t>
      </w:r>
      <w:r w:rsidRPr="00360D71">
        <w:rPr>
          <w:rFonts w:ascii="Arial" w:hAnsi="Arial" w:cs="Arial"/>
          <w:sz w:val="20"/>
          <w:szCs w:val="20"/>
          <w:u w:val="single"/>
        </w:rPr>
        <w:t>Käufergruppen</w:t>
      </w:r>
      <w:r>
        <w:rPr>
          <w:rFonts w:ascii="Arial" w:hAnsi="Arial" w:cs="Arial"/>
          <w:sz w:val="20"/>
          <w:szCs w:val="20"/>
        </w:rPr>
        <w:t xml:space="preserve">. Dominierten im Vorjahresquartal noch die Börsennotierten Immobilieninvestment-AG/REITs (65 %) unter den </w:t>
      </w:r>
      <w:r w:rsidRPr="00F84E8C">
        <w:rPr>
          <w:rFonts w:ascii="Arial" w:hAnsi="Arial" w:cs="Arial"/>
          <w:sz w:val="20"/>
          <w:szCs w:val="20"/>
          <w:u w:val="single"/>
        </w:rPr>
        <w:t>Verkäufern</w:t>
      </w:r>
      <w:r>
        <w:rPr>
          <w:rFonts w:ascii="Arial" w:hAnsi="Arial" w:cs="Arial"/>
          <w:sz w:val="20"/>
          <w:szCs w:val="20"/>
        </w:rPr>
        <w:t xml:space="preserve">, schrumpfte ihr Anteil im 1. Quartal 2021 auf 3 %. An ihre Stelle rückten nun Private Anleger mit 34 %. </w:t>
      </w:r>
    </w:p>
    <w:p w14:paraId="592B5525" w14:textId="5EB6BDF0" w:rsidR="00F20AAA" w:rsidRPr="00CB317E" w:rsidRDefault="005148A7" w:rsidP="003372CA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die Corona-bedingten Reisebeschränkungen sind derzeit </w:t>
      </w:r>
      <w:r w:rsidR="008830F9">
        <w:rPr>
          <w:rFonts w:ascii="Arial" w:hAnsi="Arial" w:cs="Arial"/>
          <w:sz w:val="20"/>
          <w:szCs w:val="20"/>
        </w:rPr>
        <w:t xml:space="preserve">Besichtigungen </w:t>
      </w:r>
      <w:r>
        <w:rPr>
          <w:rFonts w:ascii="Arial" w:hAnsi="Arial" w:cs="Arial"/>
          <w:sz w:val="20"/>
          <w:szCs w:val="20"/>
        </w:rPr>
        <w:t>für internationale K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äufer kaum möglich, weshalb ihr</w:t>
      </w:r>
      <w:r w:rsidR="00CB317E" w:rsidRPr="00CB317E">
        <w:rPr>
          <w:rFonts w:ascii="Arial" w:hAnsi="Arial" w:cs="Arial"/>
          <w:sz w:val="20"/>
          <w:szCs w:val="20"/>
        </w:rPr>
        <w:t xml:space="preserve"> Volumenanteil signifikant auf 22 % zurück</w:t>
      </w:r>
      <w:r w:rsidRPr="00CB317E">
        <w:rPr>
          <w:rFonts w:ascii="Arial" w:hAnsi="Arial" w:cs="Arial"/>
          <w:sz w:val="20"/>
          <w:szCs w:val="20"/>
        </w:rPr>
        <w:t>ging</w:t>
      </w:r>
      <w:r>
        <w:rPr>
          <w:rFonts w:ascii="Arial" w:hAnsi="Arial" w:cs="Arial"/>
          <w:sz w:val="20"/>
          <w:szCs w:val="20"/>
        </w:rPr>
        <w:t xml:space="preserve"> (Q1/2020:</w:t>
      </w:r>
      <w:r w:rsidR="00CB317E" w:rsidRPr="00CB317E">
        <w:rPr>
          <w:rFonts w:ascii="Arial" w:hAnsi="Arial" w:cs="Arial"/>
          <w:sz w:val="20"/>
          <w:szCs w:val="20"/>
        </w:rPr>
        <w:t xml:space="preserve"> 87 %</w:t>
      </w:r>
      <w:r>
        <w:rPr>
          <w:rFonts w:ascii="Arial" w:hAnsi="Arial" w:cs="Arial"/>
          <w:sz w:val="20"/>
          <w:szCs w:val="20"/>
        </w:rPr>
        <w:t>)</w:t>
      </w:r>
      <w:r w:rsidR="00CB317E" w:rsidRPr="00CB317E">
        <w:rPr>
          <w:rFonts w:ascii="Arial" w:hAnsi="Arial" w:cs="Arial"/>
          <w:sz w:val="20"/>
          <w:szCs w:val="20"/>
        </w:rPr>
        <w:t>.</w:t>
      </w:r>
    </w:p>
    <w:p w14:paraId="0BCA5672" w14:textId="770DC7BC" w:rsidR="0086528D" w:rsidRDefault="0086528D" w:rsidP="0086528D">
      <w:pPr>
        <w:pStyle w:val="Listenabsatz"/>
        <w:numPr>
          <w:ilvl w:val="0"/>
          <w:numId w:val="20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746A51">
        <w:rPr>
          <w:rFonts w:ascii="Arial" w:hAnsi="Arial" w:cs="Arial"/>
          <w:sz w:val="20"/>
          <w:szCs w:val="20"/>
        </w:rPr>
        <w:t xml:space="preserve">Die </w:t>
      </w:r>
      <w:r w:rsidRPr="0086528D">
        <w:rPr>
          <w:rFonts w:ascii="Arial" w:hAnsi="Arial" w:cs="Arial"/>
          <w:sz w:val="20"/>
          <w:szCs w:val="20"/>
          <w:u w:val="single"/>
        </w:rPr>
        <w:t>Spitzenrendite</w:t>
      </w:r>
      <w:r w:rsidRPr="00746A51">
        <w:rPr>
          <w:rFonts w:ascii="Arial" w:hAnsi="Arial" w:cs="Arial"/>
          <w:sz w:val="20"/>
          <w:szCs w:val="20"/>
        </w:rPr>
        <w:t xml:space="preserve"> für Büro</w:t>
      </w:r>
      <w:r>
        <w:rPr>
          <w:rFonts w:ascii="Arial" w:hAnsi="Arial" w:cs="Arial"/>
          <w:sz w:val="20"/>
          <w:szCs w:val="20"/>
        </w:rPr>
        <w:t xml:space="preserve">s (2,7 %) und Geschäftshäuser (2,8 %) blieb unverändert gegenüber dem Vorjahrsniveau. Die Spitzenrendite für Logistik gab um 0,05 Prozentpunkte auf 3,75 % nach.     </w:t>
      </w:r>
    </w:p>
    <w:tbl>
      <w:tblPr>
        <w:tblStyle w:val="TableGrid2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F67EAF" w:rsidRPr="006F49D0" w14:paraId="4C2432D5" w14:textId="77777777" w:rsidTr="00F67EAF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4B0553A5" w14:textId="0C2D69E4" w:rsidR="00F67EAF" w:rsidRPr="004712BA" w:rsidRDefault="00F67EAF" w:rsidP="00F67EAF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="00424033">
              <w:rPr>
                <w:rFonts w:ascii="Arial" w:hAnsi="Arial" w:cs="Arial"/>
                <w:b/>
                <w:sz w:val="20"/>
                <w:szCs w:val="20"/>
              </w:rPr>
              <w:t xml:space="preserve"> Berlin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1F242B" w:themeFill="accent2"/>
          </w:tcPr>
          <w:p w14:paraId="2666ADBF" w14:textId="77777777" w:rsidR="00F67EAF" w:rsidRPr="004712BA" w:rsidRDefault="00F67EAF" w:rsidP="00F67EAF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F67EAF" w:rsidRPr="006F49D0" w14:paraId="4B06E1C6" w14:textId="77777777" w:rsidTr="00F67EAF">
        <w:trPr>
          <w:trHeight w:val="283"/>
        </w:trPr>
        <w:tc>
          <w:tcPr>
            <w:tcW w:w="3823" w:type="dxa"/>
          </w:tcPr>
          <w:p w14:paraId="23BEE2EF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D149E39" w14:textId="27792AA9" w:rsidR="00F67EAF" w:rsidRPr="000B7D28" w:rsidRDefault="00424033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850</w:t>
            </w:r>
          </w:p>
        </w:tc>
      </w:tr>
      <w:tr w:rsidR="00F67EAF" w:rsidRPr="006F49D0" w14:paraId="09A01916" w14:textId="77777777" w:rsidTr="00F67EAF">
        <w:trPr>
          <w:trHeight w:val="283"/>
        </w:trPr>
        <w:tc>
          <w:tcPr>
            <w:tcW w:w="3823" w:type="dxa"/>
          </w:tcPr>
          <w:p w14:paraId="62104683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56E0AC6" w14:textId="36E89E87" w:rsidR="00F67EAF" w:rsidRPr="00BD6652" w:rsidRDefault="00424033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-67</w:t>
            </w:r>
          </w:p>
        </w:tc>
      </w:tr>
      <w:tr w:rsidR="00F67EAF" w:rsidRPr="006F49D0" w14:paraId="225182B5" w14:textId="77777777" w:rsidTr="00F67EAF">
        <w:trPr>
          <w:trHeight w:val="283"/>
        </w:trPr>
        <w:tc>
          <w:tcPr>
            <w:tcW w:w="3823" w:type="dxa"/>
          </w:tcPr>
          <w:p w14:paraId="5DEF1B96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390224FB" w14:textId="02D23875" w:rsidR="00F67EAF" w:rsidRPr="000B7D28" w:rsidRDefault="00424033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</w:tr>
      <w:tr w:rsidR="00F67EAF" w:rsidRPr="006F49D0" w14:paraId="263CDC36" w14:textId="77777777" w:rsidTr="00F67EAF">
        <w:trPr>
          <w:trHeight w:val="283"/>
        </w:trPr>
        <w:tc>
          <w:tcPr>
            <w:tcW w:w="3823" w:type="dxa"/>
          </w:tcPr>
          <w:p w14:paraId="2C102535" w14:textId="77777777" w:rsidR="00F67EAF" w:rsidRPr="00CF57D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027038BA" w14:textId="638088C0" w:rsidR="00F67EAF" w:rsidRPr="000B7D28" w:rsidRDefault="00424033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32</w:t>
            </w:r>
          </w:p>
        </w:tc>
      </w:tr>
      <w:tr w:rsidR="00F67EAF" w:rsidRPr="006F49D0" w14:paraId="6E4FA2FB" w14:textId="77777777" w:rsidTr="00F67EAF">
        <w:trPr>
          <w:trHeight w:val="283"/>
        </w:trPr>
        <w:tc>
          <w:tcPr>
            <w:tcW w:w="3823" w:type="dxa"/>
          </w:tcPr>
          <w:p w14:paraId="07D8D6A5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4AF25F3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2,7</w:t>
            </w:r>
            <w:r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14:paraId="54D1641E" w14:textId="77777777" w:rsidTr="00F67EAF">
        <w:trPr>
          <w:trHeight w:val="283"/>
        </w:trPr>
        <w:tc>
          <w:tcPr>
            <w:tcW w:w="3823" w:type="dxa"/>
          </w:tcPr>
          <w:p w14:paraId="002C70DF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3F2CDE3" w14:textId="109071FE" w:rsidR="00F67EAF" w:rsidRPr="000B7D28" w:rsidRDefault="00424033" w:rsidP="009750A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±</w:t>
            </w:r>
            <w:r w:rsidR="009750A4">
              <w:rPr>
                <w:rFonts w:ascii="Arial" w:hAnsi="Arial" w:cs="Arial"/>
                <w:sz w:val="18"/>
                <w:szCs w:val="16"/>
              </w:rPr>
              <w:t>0</w:t>
            </w:r>
            <w:r w:rsidR="00F67EAF" w:rsidRPr="000B7D28">
              <w:rPr>
                <w:rFonts w:ascii="Arial" w:hAnsi="Arial" w:cs="Arial"/>
                <w:sz w:val="18"/>
                <w:szCs w:val="16"/>
              </w:rPr>
              <w:t>,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  <w:r w:rsidR="00F67EAF"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:rsidRPr="006F49D0" w14:paraId="108BDDCF" w14:textId="77777777" w:rsidTr="00F67EAF">
        <w:trPr>
          <w:trHeight w:val="283"/>
        </w:trPr>
        <w:tc>
          <w:tcPr>
            <w:tcW w:w="3823" w:type="dxa"/>
          </w:tcPr>
          <w:p w14:paraId="7FFAB547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50095197" w14:textId="7FA13006" w:rsidR="00F67EAF" w:rsidRPr="000B7D28" w:rsidRDefault="00424033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2,8</w:t>
            </w:r>
            <w:r w:rsidR="00F67EAF"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F67EAF" w14:paraId="12487751" w14:textId="77777777" w:rsidTr="00F67EAF">
        <w:trPr>
          <w:trHeight w:val="283"/>
        </w:trPr>
        <w:tc>
          <w:tcPr>
            <w:tcW w:w="3823" w:type="dxa"/>
          </w:tcPr>
          <w:p w14:paraId="60C8FA68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193B4811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F67EAF" w:rsidRPr="006F49D0" w14:paraId="3684343E" w14:textId="77777777" w:rsidTr="00F67EAF">
        <w:trPr>
          <w:trHeight w:val="283"/>
        </w:trPr>
        <w:tc>
          <w:tcPr>
            <w:tcW w:w="3823" w:type="dxa"/>
          </w:tcPr>
          <w:p w14:paraId="01160851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549AD25" w14:textId="1A6D4EF2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0B7D28">
              <w:rPr>
                <w:rFonts w:ascii="Arial" w:hAnsi="Arial" w:cs="Arial"/>
                <w:sz w:val="18"/>
                <w:szCs w:val="16"/>
              </w:rPr>
              <w:t>,</w:t>
            </w:r>
            <w:r w:rsidR="00424033">
              <w:rPr>
                <w:rFonts w:ascii="Arial" w:hAnsi="Arial" w:cs="Arial"/>
                <w:sz w:val="18"/>
                <w:szCs w:val="16"/>
              </w:rPr>
              <w:t>75</w:t>
            </w:r>
          </w:p>
        </w:tc>
      </w:tr>
      <w:tr w:rsidR="00F67EAF" w14:paraId="1AE6011C" w14:textId="77777777" w:rsidTr="00F67EAF">
        <w:trPr>
          <w:trHeight w:val="283"/>
        </w:trPr>
        <w:tc>
          <w:tcPr>
            <w:tcW w:w="3823" w:type="dxa"/>
          </w:tcPr>
          <w:p w14:paraId="08D4FEA0" w14:textId="77777777" w:rsidR="00F67EAF" w:rsidRPr="00A7575D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6E38FA44" w14:textId="0E47CE3B" w:rsidR="00F67EAF" w:rsidRPr="000B7D28" w:rsidRDefault="00F67EAF" w:rsidP="009750A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-</w:t>
            </w:r>
            <w:r w:rsidR="009750A4">
              <w:rPr>
                <w:rFonts w:ascii="Arial" w:hAnsi="Arial" w:cs="Arial"/>
                <w:sz w:val="18"/>
                <w:szCs w:val="16"/>
              </w:rPr>
              <w:t>0</w:t>
            </w:r>
            <w:r w:rsidRPr="000B7D28">
              <w:rPr>
                <w:rFonts w:ascii="Arial" w:hAnsi="Arial" w:cs="Arial"/>
                <w:sz w:val="18"/>
                <w:szCs w:val="16"/>
              </w:rPr>
              <w:t>,0</w:t>
            </w:r>
            <w:r w:rsidR="00424033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F67EAF" w:rsidRPr="006F49D0" w14:paraId="73476F27" w14:textId="77777777" w:rsidTr="00F67EA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04C55323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130F87" w14:textId="77777777" w:rsidR="00F67EAF" w:rsidRPr="000B7D28" w:rsidRDefault="00F67EAF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F67EAF" w:rsidRPr="006F49D0" w14:paraId="4FA2101A" w14:textId="77777777" w:rsidTr="00F67EAF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6802574" w14:textId="77777777" w:rsidR="00F67EAF" w:rsidRPr="004712BA" w:rsidRDefault="00F67EAF" w:rsidP="00F67EAF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299766" w14:textId="4337F84F" w:rsidR="00F67EAF" w:rsidRPr="000B7D28" w:rsidRDefault="00424033" w:rsidP="00F67EAF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</w:tr>
    </w:tbl>
    <w:p w14:paraId="7AFFF209" w14:textId="780B4E38" w:rsidR="000A5ED1" w:rsidRPr="00B26FFD" w:rsidRDefault="008830F9" w:rsidP="0062200D">
      <w:pPr>
        <w:spacing w:after="0" w:line="360" w:lineRule="auto"/>
        <w:ind w:left="68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pict w14:anchorId="1870B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2.8pt;margin-top:461.7pt;width:226.75pt;height:165.2pt;z-index:251659264;mso-position-horizontal-relative:margin;mso-position-vertical-relative:margin" stroked="t" strokecolor="black [3213]">
            <v:imagedata r:id="rId8" o:title="TAV Berlin 2017-2021"/>
            <w10:wrap type="square" anchorx="margin" anchory="margin"/>
          </v:shape>
        </w:pict>
      </w:r>
    </w:p>
    <w:p w14:paraId="47F53CCE" w14:textId="31CF4809" w:rsidR="000A5ED1" w:rsidRDefault="000A5ED1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28EF12E" w14:textId="181AFD77" w:rsidR="004E7F0F" w:rsidRPr="00A0600B" w:rsidRDefault="004E7F0F" w:rsidP="004E7F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Ausgewählte bekannte Top-Transaktionen | Investmentmarkt </w:t>
      </w:r>
      <w:r w:rsidR="00424033">
        <w:rPr>
          <w:rFonts w:ascii="Arial" w:hAnsi="Arial" w:cs="Arial"/>
          <w:b/>
          <w:sz w:val="20"/>
          <w:szCs w:val="20"/>
        </w:rPr>
        <w:t>Berlin</w:t>
      </w:r>
      <w:r>
        <w:rPr>
          <w:rFonts w:ascii="Arial" w:hAnsi="Arial" w:cs="Arial"/>
          <w:b/>
          <w:sz w:val="20"/>
          <w:szCs w:val="20"/>
        </w:rPr>
        <w:t xml:space="preserve"> | 1.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2021</w:t>
      </w:r>
    </w:p>
    <w:tbl>
      <w:tblPr>
        <w:tblStyle w:val="TableGrid1"/>
        <w:tblpPr w:leftFromText="141" w:rightFromText="141" w:vertAnchor="text" w:horzAnchor="margin" w:tblpY="61"/>
        <w:tblW w:w="10154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228"/>
        <w:gridCol w:w="1815"/>
        <w:gridCol w:w="2154"/>
        <w:gridCol w:w="1134"/>
      </w:tblGrid>
      <w:tr w:rsidR="004E7F0F" w:rsidRPr="006F49D0" w14:paraId="3216EE8E" w14:textId="77777777" w:rsidTr="00351DE2">
        <w:trPr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30C73659" w14:textId="77777777" w:rsidR="004E7F0F" w:rsidRDefault="004E7F0F" w:rsidP="00327D2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657CB67E" w14:textId="77777777" w:rsidR="004E7F0F" w:rsidRPr="00C626E7" w:rsidRDefault="004E7F0F" w:rsidP="00327D2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560" w:type="dxa"/>
            <w:shd w:val="clear" w:color="auto" w:fill="1F242B" w:themeFill="accent2"/>
          </w:tcPr>
          <w:p w14:paraId="7C71E885" w14:textId="77777777" w:rsidR="004E7F0F" w:rsidRPr="009F10F1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1228" w:type="dxa"/>
            <w:shd w:val="clear" w:color="auto" w:fill="1F242B" w:themeFill="accent2"/>
          </w:tcPr>
          <w:p w14:paraId="38F233F9" w14:textId="77777777" w:rsidR="004E7F0F" w:rsidRPr="009F10F1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1815" w:type="dxa"/>
            <w:shd w:val="clear" w:color="auto" w:fill="1F242B" w:themeFill="accent2"/>
            <w:vAlign w:val="center"/>
          </w:tcPr>
          <w:p w14:paraId="3EC0A276" w14:textId="77777777" w:rsidR="004E7F0F" w:rsidRPr="00351DE2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51DE2">
              <w:rPr>
                <w:rFonts w:ascii="Arial" w:hAnsi="Arial" w:cs="Arial"/>
                <w:b/>
                <w:sz w:val="18"/>
                <w:szCs w:val="18"/>
              </w:rPr>
              <w:t>Käufer</w:t>
            </w:r>
          </w:p>
        </w:tc>
        <w:tc>
          <w:tcPr>
            <w:tcW w:w="2154" w:type="dxa"/>
            <w:shd w:val="clear" w:color="auto" w:fill="1F242B" w:themeFill="accent2"/>
            <w:vAlign w:val="center"/>
          </w:tcPr>
          <w:p w14:paraId="7F255BE2" w14:textId="77777777" w:rsidR="004E7F0F" w:rsidRPr="00351DE2" w:rsidRDefault="004E7F0F" w:rsidP="00327D2E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51DE2">
              <w:rPr>
                <w:rFonts w:ascii="Arial" w:hAnsi="Arial" w:cs="Arial"/>
                <w:b/>
                <w:sz w:val="18"/>
                <w:szCs w:val="18"/>
              </w:rPr>
              <w:t>Verkäufer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5742F731" w14:textId="77777777" w:rsidR="004E7F0F" w:rsidRPr="009F10F1" w:rsidRDefault="004E7F0F" w:rsidP="00327D2E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3F120A03" w14:textId="77777777" w:rsidR="004E7F0F" w:rsidRPr="009F10F1" w:rsidRDefault="004E7F0F" w:rsidP="00327D2E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351DE2" w:rsidRPr="00F2414C" w14:paraId="30FD5B1E" w14:textId="77777777" w:rsidTr="00351DE2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7FF8DFF5" w14:textId="77777777" w:rsidR="00351DE2" w:rsidRDefault="00351DE2" w:rsidP="00351DE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„Alte Post“,</w:t>
            </w:r>
          </w:p>
          <w:p w14:paraId="5A6DCA49" w14:textId="334DE3FD" w:rsidR="00351DE2" w:rsidRPr="00F67EAF" w:rsidRDefault="00351DE2" w:rsidP="00351DE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Karl-Marx-Straße 97-99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F6453C" w14:textId="5D464C19" w:rsidR="00351DE2" w:rsidRPr="000B7D28" w:rsidRDefault="00351DE2" w:rsidP="00351DE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Peripherie-Süd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2CAEC28" w14:textId="74425476" w:rsidR="00351DE2" w:rsidRPr="000B7D28" w:rsidRDefault="00351DE2" w:rsidP="00351DE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Industrie/ Gewerbe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DD2A0CE" w14:textId="21E8DCCD" w:rsidR="00351DE2" w:rsidRPr="00351DE2" w:rsidRDefault="00351DE2" w:rsidP="00351DE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51DE2">
              <w:rPr>
                <w:rFonts w:ascii="Arial" w:hAnsi="Arial" w:cs="Arial"/>
                <w:sz w:val="18"/>
                <w:szCs w:val="18"/>
              </w:rPr>
              <w:t>Ivanhoé Cambridge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46FFCB8" w14:textId="7D6B6C2D" w:rsidR="00351DE2" w:rsidRPr="00351DE2" w:rsidRDefault="00351DE2" w:rsidP="00351DE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DE2">
              <w:rPr>
                <w:rFonts w:ascii="Arial" w:hAnsi="Arial" w:cs="Arial"/>
                <w:sz w:val="18"/>
                <w:szCs w:val="18"/>
              </w:rPr>
              <w:t>Commodus Real Estate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ED851" w14:textId="2088C314" w:rsidR="00351DE2" w:rsidRPr="000B7D28" w:rsidRDefault="00351DE2" w:rsidP="00351DE2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4E7F0F" w:rsidRPr="006F49D0" w14:paraId="3C103812" w14:textId="77777777" w:rsidTr="00351DE2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74C3791F" w14:textId="77777777" w:rsidR="004E7F0F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Nike,</w:t>
            </w:r>
          </w:p>
          <w:p w14:paraId="029D5084" w14:textId="2D918F8F" w:rsidR="00351DE2" w:rsidRPr="0061138B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Warschauer Straße 70a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26776C" w14:textId="3EA12E30" w:rsidR="004E7F0F" w:rsidRPr="0061138B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Friedrichshain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6C04F2B" w14:textId="3231EE4C" w:rsidR="004E7F0F" w:rsidRPr="0061138B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AA9E270" w14:textId="23DBCAD3" w:rsidR="004E7F0F" w:rsidRPr="0061138B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 I.S. für Spezialfonds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260B6E9" w14:textId="241CEFD2" w:rsidR="004E7F0F" w:rsidRPr="0061138B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Patrizia Deutschland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5C269" w14:textId="6F24E10A" w:rsidR="004E7F0F" w:rsidRPr="0061138B" w:rsidRDefault="00351DE2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4E7F0F" w:rsidRPr="006F49D0" w14:paraId="6A1C2365" w14:textId="77777777" w:rsidTr="00351DE2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D05ED12" w14:textId="77777777" w:rsidR="004E7F0F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Klarna-Headquarter,</w:t>
            </w:r>
          </w:p>
          <w:p w14:paraId="5543E32E" w14:textId="26FDA65E" w:rsidR="00351DE2" w:rsidRPr="000B7D28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Chausseestraße 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6F30FB" w14:textId="0D4002AA" w:rsidR="004E7F0F" w:rsidRPr="000B7D28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Mitte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CB6DBC8" w14:textId="1F6D357C" w:rsidR="004E7F0F" w:rsidRPr="000B7D28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1A7641" w14:textId="3BEAFC95" w:rsidR="004E7F0F" w:rsidRPr="000B7D28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 I.S. für Spezialfonds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83752FB" w14:textId="4254CBA9" w:rsidR="004E7F0F" w:rsidRPr="000B7D28" w:rsidRDefault="00351DE2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Patrizia Deutschland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7704D" w14:textId="45D00DB6" w:rsidR="004E7F0F" w:rsidRPr="000B7D28" w:rsidRDefault="00351DE2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</w:tbl>
    <w:p w14:paraId="373A4382" w14:textId="77777777" w:rsidR="004E7F0F" w:rsidRDefault="004E7F0F" w:rsidP="004E7F0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</w:p>
    <w:p w14:paraId="513CABD7" w14:textId="77777777" w:rsidR="004E7F0F" w:rsidRDefault="004E7F0F" w:rsidP="004E7F0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9000075" w14:textId="77777777" w:rsidR="005148A7" w:rsidRDefault="005148A7" w:rsidP="004E7F0F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F993A3D" w14:textId="384BA4DA" w:rsidR="004E7F0F" w:rsidRPr="00897DBE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hyperlink r:id="rId9" w:history="1">
        <w:r w:rsidR="00351DE2" w:rsidRPr="00DC46A8">
          <w:rPr>
            <w:rStyle w:val="Hyperlink"/>
            <w:rFonts w:ascii="Arial" w:eastAsia="Arial" w:hAnsi="Arial" w:cs="Arial"/>
            <w:sz w:val="20"/>
            <w:szCs w:val="20"/>
          </w:rPr>
          <w:t>Investment-Marktbericht Berlin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r w:rsidRPr="0062200D"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545BF58C" w14:textId="77777777" w:rsidR="004E7F0F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6E7EF52" w14:textId="77777777" w:rsidR="004E7F0F" w:rsidRPr="0090748B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6AD51978" w14:textId="77777777" w:rsidR="004E7F0F" w:rsidRPr="0090748B" w:rsidRDefault="004E7F0F" w:rsidP="004E7F0F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9176F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9176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9176F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vierzehn Immobilienshops ist das Unternehmen mit </w:t>
      </w:r>
      <w:r>
        <w:rPr>
          <w:rFonts w:ascii="Arial" w:hAnsi="Arial" w:cs="Arial"/>
          <w:snapToGrid w:val="0"/>
          <w:sz w:val="16"/>
          <w:szCs w:val="16"/>
        </w:rPr>
        <w:t>rund</w:t>
      </w:r>
      <w:r w:rsidRPr="009176F5">
        <w:rPr>
          <w:rFonts w:ascii="Arial" w:hAnsi="Arial" w:cs="Arial"/>
          <w:snapToGrid w:val="0"/>
          <w:sz w:val="16"/>
          <w:szCs w:val="16"/>
        </w:rPr>
        <w:t xml:space="preserve"> 190 Mitarbeitern flächendeckend im norddeutschen Markt präsent. Dank der über 85-jährigen Erfahrung verfügt Grossmann &amp; Berger über umfassende Immobilienkompetenz.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9176F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9176F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9176F5">
        <w:rPr>
          <w:rFonts w:ascii="Arial" w:hAnsi="Arial" w:cs="Arial"/>
          <w:sz w:val="16"/>
          <w:szCs w:val="16"/>
        </w:rPr>
        <w:t xml:space="preserve"> (GPP) und der Arbeitsgemeinschaft ImmobilienVermittler Banken Bausparkassen e.V. (IVBB).</w:t>
      </w:r>
      <w:r w:rsidRPr="009176F5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0C3EF407" w14:textId="77777777" w:rsidR="004E7F0F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246584" w14:textId="77777777" w:rsidR="004E7F0F" w:rsidRPr="00FD140F" w:rsidRDefault="004E7F0F" w:rsidP="004E7F0F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p w14:paraId="51C1AA4D" w14:textId="1F9BAED5" w:rsidR="00046FEC" w:rsidRPr="00FD140F" w:rsidRDefault="00046FEC" w:rsidP="004E7F0F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046FEC" w:rsidRPr="00FD140F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altName w:val="Mark OT"/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A14304B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>| Bleichenbrücke</w:t>
    </w:r>
    <w:r w:rsidR="00BD665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4DEC447C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8830F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8830F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6E9C7BA2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620 | 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6E9C7BA2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620 | </w:t>
                    </w:r>
                    <w:proofErr w:type="spellStart"/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7B988460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240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7B988460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620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424033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E2B"/>
    <w:multiLevelType w:val="hybridMultilevel"/>
    <w:tmpl w:val="8C66C3F0"/>
    <w:lvl w:ilvl="0" w:tplc="B84AA82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92D"/>
    <w:rsid w:val="000159FE"/>
    <w:rsid w:val="00022F16"/>
    <w:rsid w:val="00023D78"/>
    <w:rsid w:val="00027644"/>
    <w:rsid w:val="0003075C"/>
    <w:rsid w:val="00034842"/>
    <w:rsid w:val="000418C7"/>
    <w:rsid w:val="00046FEC"/>
    <w:rsid w:val="00060743"/>
    <w:rsid w:val="000615E2"/>
    <w:rsid w:val="000623C0"/>
    <w:rsid w:val="00064A03"/>
    <w:rsid w:val="00064CAC"/>
    <w:rsid w:val="00066796"/>
    <w:rsid w:val="0006773E"/>
    <w:rsid w:val="00075002"/>
    <w:rsid w:val="000766D7"/>
    <w:rsid w:val="0007670A"/>
    <w:rsid w:val="00080F27"/>
    <w:rsid w:val="00081461"/>
    <w:rsid w:val="000834E2"/>
    <w:rsid w:val="00087A17"/>
    <w:rsid w:val="000A517C"/>
    <w:rsid w:val="000A5ED1"/>
    <w:rsid w:val="000A6AE3"/>
    <w:rsid w:val="000A72C3"/>
    <w:rsid w:val="000B0335"/>
    <w:rsid w:val="000B1606"/>
    <w:rsid w:val="000B3315"/>
    <w:rsid w:val="000B3A6C"/>
    <w:rsid w:val="000B7D28"/>
    <w:rsid w:val="000C74B2"/>
    <w:rsid w:val="000C770D"/>
    <w:rsid w:val="000D48D4"/>
    <w:rsid w:val="000D7F9A"/>
    <w:rsid w:val="000E03F3"/>
    <w:rsid w:val="000E49CB"/>
    <w:rsid w:val="000E7BC7"/>
    <w:rsid w:val="000F5742"/>
    <w:rsid w:val="0010158E"/>
    <w:rsid w:val="001029C4"/>
    <w:rsid w:val="00111400"/>
    <w:rsid w:val="0011486D"/>
    <w:rsid w:val="00117D5D"/>
    <w:rsid w:val="00117EF7"/>
    <w:rsid w:val="00121E33"/>
    <w:rsid w:val="00126550"/>
    <w:rsid w:val="00127DF7"/>
    <w:rsid w:val="001324D6"/>
    <w:rsid w:val="00132522"/>
    <w:rsid w:val="00135BD2"/>
    <w:rsid w:val="00135E09"/>
    <w:rsid w:val="00154825"/>
    <w:rsid w:val="0017364E"/>
    <w:rsid w:val="0017516B"/>
    <w:rsid w:val="00176F1D"/>
    <w:rsid w:val="0018068D"/>
    <w:rsid w:val="00180801"/>
    <w:rsid w:val="001871BC"/>
    <w:rsid w:val="001A2ABE"/>
    <w:rsid w:val="001A360C"/>
    <w:rsid w:val="001B577C"/>
    <w:rsid w:val="001C0A59"/>
    <w:rsid w:val="001D14DA"/>
    <w:rsid w:val="001D43BB"/>
    <w:rsid w:val="001D645F"/>
    <w:rsid w:val="001D64B8"/>
    <w:rsid w:val="001E1172"/>
    <w:rsid w:val="001E6995"/>
    <w:rsid w:val="001F1513"/>
    <w:rsid w:val="001F1ECE"/>
    <w:rsid w:val="001F3C3A"/>
    <w:rsid w:val="0020062D"/>
    <w:rsid w:val="00201E4A"/>
    <w:rsid w:val="00205769"/>
    <w:rsid w:val="00212FEC"/>
    <w:rsid w:val="002131BB"/>
    <w:rsid w:val="00213F07"/>
    <w:rsid w:val="00214952"/>
    <w:rsid w:val="0022086D"/>
    <w:rsid w:val="00227E31"/>
    <w:rsid w:val="00230F81"/>
    <w:rsid w:val="002341EE"/>
    <w:rsid w:val="002353AA"/>
    <w:rsid w:val="00237341"/>
    <w:rsid w:val="00241526"/>
    <w:rsid w:val="00242D24"/>
    <w:rsid w:val="002462B6"/>
    <w:rsid w:val="00251FC5"/>
    <w:rsid w:val="00252F40"/>
    <w:rsid w:val="00253412"/>
    <w:rsid w:val="00254C6F"/>
    <w:rsid w:val="002550BA"/>
    <w:rsid w:val="00255679"/>
    <w:rsid w:val="0027266B"/>
    <w:rsid w:val="00274734"/>
    <w:rsid w:val="00277361"/>
    <w:rsid w:val="00281E80"/>
    <w:rsid w:val="002834B0"/>
    <w:rsid w:val="00283671"/>
    <w:rsid w:val="00284A5D"/>
    <w:rsid w:val="00284E27"/>
    <w:rsid w:val="00294B7D"/>
    <w:rsid w:val="002A1973"/>
    <w:rsid w:val="002A59CD"/>
    <w:rsid w:val="002B14F6"/>
    <w:rsid w:val="002B7C7F"/>
    <w:rsid w:val="002C055A"/>
    <w:rsid w:val="002C2392"/>
    <w:rsid w:val="002C450A"/>
    <w:rsid w:val="002D1C5C"/>
    <w:rsid w:val="002D1E20"/>
    <w:rsid w:val="002E2A92"/>
    <w:rsid w:val="002E6860"/>
    <w:rsid w:val="002F0411"/>
    <w:rsid w:val="002F767E"/>
    <w:rsid w:val="00301F3A"/>
    <w:rsid w:val="003044F7"/>
    <w:rsid w:val="00304D7A"/>
    <w:rsid w:val="003079E3"/>
    <w:rsid w:val="00313876"/>
    <w:rsid w:val="003246F0"/>
    <w:rsid w:val="00325E2A"/>
    <w:rsid w:val="00326066"/>
    <w:rsid w:val="00326349"/>
    <w:rsid w:val="003272F3"/>
    <w:rsid w:val="003372CA"/>
    <w:rsid w:val="0034064A"/>
    <w:rsid w:val="00345716"/>
    <w:rsid w:val="00346814"/>
    <w:rsid w:val="0034786C"/>
    <w:rsid w:val="00347A18"/>
    <w:rsid w:val="00350D85"/>
    <w:rsid w:val="00351477"/>
    <w:rsid w:val="003517C9"/>
    <w:rsid w:val="00351DCD"/>
    <w:rsid w:val="00351DE2"/>
    <w:rsid w:val="0035408E"/>
    <w:rsid w:val="00357EC4"/>
    <w:rsid w:val="00360D71"/>
    <w:rsid w:val="003627E1"/>
    <w:rsid w:val="00365AF8"/>
    <w:rsid w:val="00370000"/>
    <w:rsid w:val="00373507"/>
    <w:rsid w:val="0038230E"/>
    <w:rsid w:val="00382529"/>
    <w:rsid w:val="0038350F"/>
    <w:rsid w:val="00396CE0"/>
    <w:rsid w:val="003A00C9"/>
    <w:rsid w:val="003A25A4"/>
    <w:rsid w:val="003B19F4"/>
    <w:rsid w:val="003B49E4"/>
    <w:rsid w:val="003B4CCF"/>
    <w:rsid w:val="003B6CD4"/>
    <w:rsid w:val="003C1693"/>
    <w:rsid w:val="003C5218"/>
    <w:rsid w:val="003C6AB4"/>
    <w:rsid w:val="003E099F"/>
    <w:rsid w:val="003E27B4"/>
    <w:rsid w:val="003E4DF9"/>
    <w:rsid w:val="003F1A91"/>
    <w:rsid w:val="003F665D"/>
    <w:rsid w:val="003F7E7E"/>
    <w:rsid w:val="0040086D"/>
    <w:rsid w:val="004017D8"/>
    <w:rsid w:val="00405D59"/>
    <w:rsid w:val="00411E03"/>
    <w:rsid w:val="004123B1"/>
    <w:rsid w:val="00417F4D"/>
    <w:rsid w:val="00424033"/>
    <w:rsid w:val="004269AC"/>
    <w:rsid w:val="00426E13"/>
    <w:rsid w:val="004303A1"/>
    <w:rsid w:val="00440DC9"/>
    <w:rsid w:val="004450C4"/>
    <w:rsid w:val="00445DF9"/>
    <w:rsid w:val="004506D2"/>
    <w:rsid w:val="00456F40"/>
    <w:rsid w:val="004609BD"/>
    <w:rsid w:val="004661EE"/>
    <w:rsid w:val="00466741"/>
    <w:rsid w:val="00470064"/>
    <w:rsid w:val="0047198B"/>
    <w:rsid w:val="004818CE"/>
    <w:rsid w:val="004966E3"/>
    <w:rsid w:val="004A2BEA"/>
    <w:rsid w:val="004A3C64"/>
    <w:rsid w:val="004A5AEA"/>
    <w:rsid w:val="004B2694"/>
    <w:rsid w:val="004B2FDA"/>
    <w:rsid w:val="004B480A"/>
    <w:rsid w:val="004B5A6D"/>
    <w:rsid w:val="004C0CA2"/>
    <w:rsid w:val="004D50C0"/>
    <w:rsid w:val="004D772A"/>
    <w:rsid w:val="004E339B"/>
    <w:rsid w:val="004E4273"/>
    <w:rsid w:val="004E4562"/>
    <w:rsid w:val="004E7F0F"/>
    <w:rsid w:val="004F077F"/>
    <w:rsid w:val="004F78B4"/>
    <w:rsid w:val="005023DD"/>
    <w:rsid w:val="00503D8C"/>
    <w:rsid w:val="00511179"/>
    <w:rsid w:val="0051170E"/>
    <w:rsid w:val="00511F14"/>
    <w:rsid w:val="00512BAE"/>
    <w:rsid w:val="0051485A"/>
    <w:rsid w:val="005148A7"/>
    <w:rsid w:val="00522B84"/>
    <w:rsid w:val="00531A7F"/>
    <w:rsid w:val="00534BAD"/>
    <w:rsid w:val="005360E8"/>
    <w:rsid w:val="005412D0"/>
    <w:rsid w:val="005428C5"/>
    <w:rsid w:val="00543C55"/>
    <w:rsid w:val="0054412E"/>
    <w:rsid w:val="0055393B"/>
    <w:rsid w:val="005554C7"/>
    <w:rsid w:val="00556F58"/>
    <w:rsid w:val="0055704F"/>
    <w:rsid w:val="00567D57"/>
    <w:rsid w:val="00571004"/>
    <w:rsid w:val="0057685F"/>
    <w:rsid w:val="00577B63"/>
    <w:rsid w:val="00582B99"/>
    <w:rsid w:val="00590903"/>
    <w:rsid w:val="005A617A"/>
    <w:rsid w:val="005B0FC9"/>
    <w:rsid w:val="005B24B2"/>
    <w:rsid w:val="005B66D3"/>
    <w:rsid w:val="005B7D91"/>
    <w:rsid w:val="005C422A"/>
    <w:rsid w:val="005C4556"/>
    <w:rsid w:val="005C5302"/>
    <w:rsid w:val="005D307B"/>
    <w:rsid w:val="005E362E"/>
    <w:rsid w:val="005E43B3"/>
    <w:rsid w:val="005F69D4"/>
    <w:rsid w:val="005F7593"/>
    <w:rsid w:val="006029D7"/>
    <w:rsid w:val="00606BFF"/>
    <w:rsid w:val="00606E35"/>
    <w:rsid w:val="0061109D"/>
    <w:rsid w:val="0061138B"/>
    <w:rsid w:val="00612AA0"/>
    <w:rsid w:val="006138CB"/>
    <w:rsid w:val="006142A4"/>
    <w:rsid w:val="0062200D"/>
    <w:rsid w:val="006224C4"/>
    <w:rsid w:val="006225EA"/>
    <w:rsid w:val="006261DF"/>
    <w:rsid w:val="00631936"/>
    <w:rsid w:val="006321DC"/>
    <w:rsid w:val="00641270"/>
    <w:rsid w:val="00642074"/>
    <w:rsid w:val="006424F8"/>
    <w:rsid w:val="00656049"/>
    <w:rsid w:val="00672C84"/>
    <w:rsid w:val="00681CAB"/>
    <w:rsid w:val="00682CFC"/>
    <w:rsid w:val="006842EF"/>
    <w:rsid w:val="00685030"/>
    <w:rsid w:val="00692D4F"/>
    <w:rsid w:val="00693E35"/>
    <w:rsid w:val="0069559B"/>
    <w:rsid w:val="00695E58"/>
    <w:rsid w:val="0069613C"/>
    <w:rsid w:val="0069757D"/>
    <w:rsid w:val="006A1329"/>
    <w:rsid w:val="006A66F9"/>
    <w:rsid w:val="006B4303"/>
    <w:rsid w:val="006D024C"/>
    <w:rsid w:val="006E3B3D"/>
    <w:rsid w:val="006E5C9C"/>
    <w:rsid w:val="006F00F2"/>
    <w:rsid w:val="006F1774"/>
    <w:rsid w:val="006F292B"/>
    <w:rsid w:val="006F6A03"/>
    <w:rsid w:val="00713D81"/>
    <w:rsid w:val="00717A20"/>
    <w:rsid w:val="00720DFF"/>
    <w:rsid w:val="007265F3"/>
    <w:rsid w:val="00730E23"/>
    <w:rsid w:val="00753311"/>
    <w:rsid w:val="00754513"/>
    <w:rsid w:val="00762CC5"/>
    <w:rsid w:val="00762F85"/>
    <w:rsid w:val="00767063"/>
    <w:rsid w:val="007906B4"/>
    <w:rsid w:val="007970A0"/>
    <w:rsid w:val="00797E4F"/>
    <w:rsid w:val="007A314C"/>
    <w:rsid w:val="007A3CB9"/>
    <w:rsid w:val="007B215B"/>
    <w:rsid w:val="007B4617"/>
    <w:rsid w:val="007C26B6"/>
    <w:rsid w:val="007C2D96"/>
    <w:rsid w:val="007E0FB6"/>
    <w:rsid w:val="007E759D"/>
    <w:rsid w:val="007F2DBE"/>
    <w:rsid w:val="007F33B6"/>
    <w:rsid w:val="007F642D"/>
    <w:rsid w:val="007F756A"/>
    <w:rsid w:val="00800E2C"/>
    <w:rsid w:val="0080214D"/>
    <w:rsid w:val="00812471"/>
    <w:rsid w:val="008261A5"/>
    <w:rsid w:val="008327E5"/>
    <w:rsid w:val="0083382E"/>
    <w:rsid w:val="00844AAC"/>
    <w:rsid w:val="0085354A"/>
    <w:rsid w:val="00855325"/>
    <w:rsid w:val="00862E34"/>
    <w:rsid w:val="008634F3"/>
    <w:rsid w:val="0086528D"/>
    <w:rsid w:val="008652FA"/>
    <w:rsid w:val="00865915"/>
    <w:rsid w:val="008661AA"/>
    <w:rsid w:val="00871832"/>
    <w:rsid w:val="00875E9B"/>
    <w:rsid w:val="00876FCA"/>
    <w:rsid w:val="008830F9"/>
    <w:rsid w:val="00886CCE"/>
    <w:rsid w:val="008942C6"/>
    <w:rsid w:val="00896B33"/>
    <w:rsid w:val="00897DBE"/>
    <w:rsid w:val="008A2995"/>
    <w:rsid w:val="008A2BA4"/>
    <w:rsid w:val="008A62FB"/>
    <w:rsid w:val="008A77B7"/>
    <w:rsid w:val="008B0F67"/>
    <w:rsid w:val="008B297B"/>
    <w:rsid w:val="008B3833"/>
    <w:rsid w:val="008C0535"/>
    <w:rsid w:val="008C0BCD"/>
    <w:rsid w:val="008C0BD9"/>
    <w:rsid w:val="008C608D"/>
    <w:rsid w:val="008D1F37"/>
    <w:rsid w:val="008E14BE"/>
    <w:rsid w:val="008E461D"/>
    <w:rsid w:val="008E5520"/>
    <w:rsid w:val="008F08E5"/>
    <w:rsid w:val="008F097F"/>
    <w:rsid w:val="008F0EA4"/>
    <w:rsid w:val="008F10B9"/>
    <w:rsid w:val="008F38F6"/>
    <w:rsid w:val="008F5213"/>
    <w:rsid w:val="008F67E7"/>
    <w:rsid w:val="008F6B2D"/>
    <w:rsid w:val="009000CF"/>
    <w:rsid w:val="009050B3"/>
    <w:rsid w:val="00906FC5"/>
    <w:rsid w:val="0090748B"/>
    <w:rsid w:val="00914C4C"/>
    <w:rsid w:val="00920C9C"/>
    <w:rsid w:val="00922754"/>
    <w:rsid w:val="00925781"/>
    <w:rsid w:val="009258D0"/>
    <w:rsid w:val="00934D87"/>
    <w:rsid w:val="00935AB3"/>
    <w:rsid w:val="009635CF"/>
    <w:rsid w:val="009646C4"/>
    <w:rsid w:val="009668BB"/>
    <w:rsid w:val="009734CE"/>
    <w:rsid w:val="00974CB0"/>
    <w:rsid w:val="00975085"/>
    <w:rsid w:val="009750A4"/>
    <w:rsid w:val="0098460C"/>
    <w:rsid w:val="00991976"/>
    <w:rsid w:val="0099413E"/>
    <w:rsid w:val="00996E1A"/>
    <w:rsid w:val="009B1E02"/>
    <w:rsid w:val="009B4392"/>
    <w:rsid w:val="009B51DA"/>
    <w:rsid w:val="009B7D09"/>
    <w:rsid w:val="009C0784"/>
    <w:rsid w:val="009C2CB9"/>
    <w:rsid w:val="009C51DF"/>
    <w:rsid w:val="009D24DA"/>
    <w:rsid w:val="009D5D75"/>
    <w:rsid w:val="009E0C0B"/>
    <w:rsid w:val="009E572D"/>
    <w:rsid w:val="009F1A62"/>
    <w:rsid w:val="009F32A2"/>
    <w:rsid w:val="009F54CE"/>
    <w:rsid w:val="009F70FE"/>
    <w:rsid w:val="00A0600B"/>
    <w:rsid w:val="00A06264"/>
    <w:rsid w:val="00A1639A"/>
    <w:rsid w:val="00A215C9"/>
    <w:rsid w:val="00A25474"/>
    <w:rsid w:val="00A25CF0"/>
    <w:rsid w:val="00A5364B"/>
    <w:rsid w:val="00A615E0"/>
    <w:rsid w:val="00A65E2B"/>
    <w:rsid w:val="00A70878"/>
    <w:rsid w:val="00A73C12"/>
    <w:rsid w:val="00A74AA0"/>
    <w:rsid w:val="00A7546D"/>
    <w:rsid w:val="00A7613D"/>
    <w:rsid w:val="00A77100"/>
    <w:rsid w:val="00A81626"/>
    <w:rsid w:val="00A8357B"/>
    <w:rsid w:val="00A848FC"/>
    <w:rsid w:val="00A975B1"/>
    <w:rsid w:val="00AA4D97"/>
    <w:rsid w:val="00AB424B"/>
    <w:rsid w:val="00AD17B7"/>
    <w:rsid w:val="00AF08D2"/>
    <w:rsid w:val="00B01A1B"/>
    <w:rsid w:val="00B02242"/>
    <w:rsid w:val="00B069C5"/>
    <w:rsid w:val="00B06D1B"/>
    <w:rsid w:val="00B077D5"/>
    <w:rsid w:val="00B16A78"/>
    <w:rsid w:val="00B200E4"/>
    <w:rsid w:val="00B26FFD"/>
    <w:rsid w:val="00B31E12"/>
    <w:rsid w:val="00B31F77"/>
    <w:rsid w:val="00B3325C"/>
    <w:rsid w:val="00B35B6D"/>
    <w:rsid w:val="00B35DC6"/>
    <w:rsid w:val="00B35DD7"/>
    <w:rsid w:val="00B51699"/>
    <w:rsid w:val="00B53FAF"/>
    <w:rsid w:val="00B55D98"/>
    <w:rsid w:val="00B63153"/>
    <w:rsid w:val="00B6527D"/>
    <w:rsid w:val="00B73B3A"/>
    <w:rsid w:val="00B74507"/>
    <w:rsid w:val="00B75718"/>
    <w:rsid w:val="00B75E7E"/>
    <w:rsid w:val="00B81257"/>
    <w:rsid w:val="00B9324B"/>
    <w:rsid w:val="00B93817"/>
    <w:rsid w:val="00B9391B"/>
    <w:rsid w:val="00B9682D"/>
    <w:rsid w:val="00BA0B96"/>
    <w:rsid w:val="00BA52C9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6652"/>
    <w:rsid w:val="00BD75E0"/>
    <w:rsid w:val="00BE10CC"/>
    <w:rsid w:val="00BE4198"/>
    <w:rsid w:val="00BF029A"/>
    <w:rsid w:val="00BF3AFD"/>
    <w:rsid w:val="00C1606C"/>
    <w:rsid w:val="00C16E16"/>
    <w:rsid w:val="00C23180"/>
    <w:rsid w:val="00C26F94"/>
    <w:rsid w:val="00C41492"/>
    <w:rsid w:val="00C502EC"/>
    <w:rsid w:val="00C50874"/>
    <w:rsid w:val="00C702B5"/>
    <w:rsid w:val="00C70389"/>
    <w:rsid w:val="00C904B6"/>
    <w:rsid w:val="00C90A75"/>
    <w:rsid w:val="00C96DF4"/>
    <w:rsid w:val="00CA0F2C"/>
    <w:rsid w:val="00CA6A66"/>
    <w:rsid w:val="00CB317E"/>
    <w:rsid w:val="00CC1337"/>
    <w:rsid w:val="00CC2514"/>
    <w:rsid w:val="00CC48DF"/>
    <w:rsid w:val="00CC6FB9"/>
    <w:rsid w:val="00CD4A91"/>
    <w:rsid w:val="00CD5CAB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CF6C58"/>
    <w:rsid w:val="00D0004A"/>
    <w:rsid w:val="00D04BA2"/>
    <w:rsid w:val="00D077B0"/>
    <w:rsid w:val="00D157A0"/>
    <w:rsid w:val="00D22D42"/>
    <w:rsid w:val="00D24AF1"/>
    <w:rsid w:val="00D31447"/>
    <w:rsid w:val="00D35A6D"/>
    <w:rsid w:val="00D36D8D"/>
    <w:rsid w:val="00D45711"/>
    <w:rsid w:val="00D47190"/>
    <w:rsid w:val="00D500FC"/>
    <w:rsid w:val="00D50EC4"/>
    <w:rsid w:val="00D51597"/>
    <w:rsid w:val="00D5326E"/>
    <w:rsid w:val="00D55867"/>
    <w:rsid w:val="00D57410"/>
    <w:rsid w:val="00D634A3"/>
    <w:rsid w:val="00D72339"/>
    <w:rsid w:val="00D73E47"/>
    <w:rsid w:val="00D74ABB"/>
    <w:rsid w:val="00D83CB7"/>
    <w:rsid w:val="00D976B3"/>
    <w:rsid w:val="00D97FA8"/>
    <w:rsid w:val="00DB289A"/>
    <w:rsid w:val="00DB4363"/>
    <w:rsid w:val="00DB66BD"/>
    <w:rsid w:val="00DC07C5"/>
    <w:rsid w:val="00DC46A8"/>
    <w:rsid w:val="00DC7B25"/>
    <w:rsid w:val="00DD340F"/>
    <w:rsid w:val="00DD39EA"/>
    <w:rsid w:val="00DD6B73"/>
    <w:rsid w:val="00DE23F8"/>
    <w:rsid w:val="00DE7CC2"/>
    <w:rsid w:val="00E007DD"/>
    <w:rsid w:val="00E04392"/>
    <w:rsid w:val="00E05CF6"/>
    <w:rsid w:val="00E077DE"/>
    <w:rsid w:val="00E112C9"/>
    <w:rsid w:val="00E1314C"/>
    <w:rsid w:val="00E158F7"/>
    <w:rsid w:val="00E16ABE"/>
    <w:rsid w:val="00E2087E"/>
    <w:rsid w:val="00E2356E"/>
    <w:rsid w:val="00E23C81"/>
    <w:rsid w:val="00E2636D"/>
    <w:rsid w:val="00E34976"/>
    <w:rsid w:val="00E36818"/>
    <w:rsid w:val="00E47B97"/>
    <w:rsid w:val="00E5203C"/>
    <w:rsid w:val="00E634CC"/>
    <w:rsid w:val="00E81727"/>
    <w:rsid w:val="00E82F0E"/>
    <w:rsid w:val="00E84DFB"/>
    <w:rsid w:val="00E90673"/>
    <w:rsid w:val="00E95ABF"/>
    <w:rsid w:val="00E95F89"/>
    <w:rsid w:val="00E96FAC"/>
    <w:rsid w:val="00EA0382"/>
    <w:rsid w:val="00EA129F"/>
    <w:rsid w:val="00EB7A31"/>
    <w:rsid w:val="00EC08DC"/>
    <w:rsid w:val="00ED0582"/>
    <w:rsid w:val="00ED1262"/>
    <w:rsid w:val="00ED7374"/>
    <w:rsid w:val="00EE31F6"/>
    <w:rsid w:val="00EE36DC"/>
    <w:rsid w:val="00EE6896"/>
    <w:rsid w:val="00EF06B5"/>
    <w:rsid w:val="00F044EE"/>
    <w:rsid w:val="00F20069"/>
    <w:rsid w:val="00F20AAA"/>
    <w:rsid w:val="00F21201"/>
    <w:rsid w:val="00F2414C"/>
    <w:rsid w:val="00F3320B"/>
    <w:rsid w:val="00F40E92"/>
    <w:rsid w:val="00F41947"/>
    <w:rsid w:val="00F435AA"/>
    <w:rsid w:val="00F45370"/>
    <w:rsid w:val="00F511B7"/>
    <w:rsid w:val="00F60A04"/>
    <w:rsid w:val="00F63C5D"/>
    <w:rsid w:val="00F67EAF"/>
    <w:rsid w:val="00F7191D"/>
    <w:rsid w:val="00F72E52"/>
    <w:rsid w:val="00F730FC"/>
    <w:rsid w:val="00F76C6A"/>
    <w:rsid w:val="00F83BF1"/>
    <w:rsid w:val="00F84E8C"/>
    <w:rsid w:val="00F90CB9"/>
    <w:rsid w:val="00F91D23"/>
    <w:rsid w:val="00F91DD8"/>
    <w:rsid w:val="00F97373"/>
    <w:rsid w:val="00FA0254"/>
    <w:rsid w:val="00FA59F1"/>
    <w:rsid w:val="00FA6129"/>
    <w:rsid w:val="00FA6854"/>
    <w:rsid w:val="00FB064F"/>
    <w:rsid w:val="00FB0F6B"/>
    <w:rsid w:val="00FB144F"/>
    <w:rsid w:val="00FB159A"/>
    <w:rsid w:val="00FB4D77"/>
    <w:rsid w:val="00FC40F0"/>
    <w:rsid w:val="00FC497D"/>
    <w:rsid w:val="00FD076B"/>
    <w:rsid w:val="00FD140F"/>
    <w:rsid w:val="00FD39DE"/>
    <w:rsid w:val="00FE4B61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7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berlin-investment/" TargetMode="External"/><Relationship Id="rId14" Type="http://schemas.openxmlformats.org/officeDocument/2006/relationships/hyperlink" Target="file:///\\file01\Marketing\Presse\5_PresseMITTEILUNGEN\Marktbericht%20Investment\2021\2021_Q1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AF15-67CF-4152-BE47-C828B6A3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4435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Berit Friedrich</cp:lastModifiedBy>
  <cp:revision>15</cp:revision>
  <cp:lastPrinted>2020-01-08T13:10:00Z</cp:lastPrinted>
  <dcterms:created xsi:type="dcterms:W3CDTF">2021-04-09T11:32:00Z</dcterms:created>
  <dcterms:modified xsi:type="dcterms:W3CDTF">2021-04-14T10:07:00Z</dcterms:modified>
</cp:coreProperties>
</file>