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F363" w14:textId="16249BD8" w:rsidR="001E1172" w:rsidRPr="00246FA0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724905">
        <w:rPr>
          <w:rFonts w:ascii="Arial" w:hAnsi="Arial" w:cs="Arial"/>
          <w:b/>
        </w:rPr>
        <w:t xml:space="preserve">Hamburg: Industrie- und </w:t>
      </w:r>
      <w:r w:rsidR="00514293" w:rsidRPr="00724905">
        <w:rPr>
          <w:rFonts w:ascii="Arial" w:hAnsi="Arial" w:cs="Arial"/>
          <w:b/>
        </w:rPr>
        <w:t>Logistikmarkt 1.</w:t>
      </w:r>
      <w:r w:rsidR="00115984" w:rsidRPr="00724905">
        <w:rPr>
          <w:rFonts w:ascii="Arial" w:hAnsi="Arial" w:cs="Arial"/>
          <w:b/>
        </w:rPr>
        <w:t>-4</w:t>
      </w:r>
      <w:r w:rsidR="00F45290" w:rsidRPr="00724905">
        <w:rPr>
          <w:rFonts w:ascii="Arial" w:hAnsi="Arial" w:cs="Arial"/>
          <w:b/>
        </w:rPr>
        <w:t>.</w:t>
      </w:r>
      <w:r w:rsidRPr="00724905">
        <w:rPr>
          <w:rFonts w:ascii="Arial" w:hAnsi="Arial" w:cs="Arial"/>
          <w:b/>
        </w:rPr>
        <w:t xml:space="preserve"> Quartal 20</w:t>
      </w:r>
      <w:r w:rsidR="00B762EB" w:rsidRPr="00724905">
        <w:rPr>
          <w:rFonts w:ascii="Arial" w:hAnsi="Arial" w:cs="Arial"/>
          <w:b/>
        </w:rPr>
        <w:t>22</w:t>
      </w:r>
      <w:r w:rsidRPr="00724905">
        <w:rPr>
          <w:rFonts w:ascii="Arial" w:hAnsi="Arial" w:cs="Arial"/>
          <w:b/>
        </w:rPr>
        <w:br/>
      </w:r>
      <w:r w:rsidR="00340421" w:rsidRPr="00246FA0">
        <w:rPr>
          <w:rFonts w:ascii="Arial" w:hAnsi="Arial" w:cs="Arial"/>
          <w:b/>
          <w:sz w:val="28"/>
          <w:szCs w:val="28"/>
        </w:rPr>
        <w:t xml:space="preserve">Same </w:t>
      </w:r>
      <w:proofErr w:type="spellStart"/>
      <w:r w:rsidR="00340421" w:rsidRPr="00246FA0">
        <w:rPr>
          <w:rFonts w:ascii="Arial" w:hAnsi="Arial" w:cs="Arial"/>
          <w:b/>
          <w:sz w:val="28"/>
          <w:szCs w:val="28"/>
        </w:rPr>
        <w:t>procedure</w:t>
      </w:r>
      <w:proofErr w:type="spellEnd"/>
      <w:r w:rsidR="00340421" w:rsidRPr="00246F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40421" w:rsidRPr="00246FA0">
        <w:rPr>
          <w:rFonts w:ascii="Arial" w:hAnsi="Arial" w:cs="Arial"/>
          <w:b/>
          <w:sz w:val="28"/>
          <w:szCs w:val="28"/>
        </w:rPr>
        <w:t>throughout</w:t>
      </w:r>
      <w:proofErr w:type="spellEnd"/>
      <w:r w:rsidR="00340421" w:rsidRPr="00246FA0">
        <w:rPr>
          <w:rFonts w:ascii="Arial" w:hAnsi="Arial" w:cs="Arial"/>
          <w:b/>
          <w:sz w:val="28"/>
          <w:szCs w:val="28"/>
        </w:rPr>
        <w:t xml:space="preserve"> 2022: </w:t>
      </w:r>
      <w:r w:rsidR="00340421" w:rsidRPr="00340421">
        <w:rPr>
          <w:rFonts w:ascii="Arial" w:hAnsi="Arial" w:cs="Arial"/>
          <w:b/>
          <w:sz w:val="28"/>
          <w:szCs w:val="28"/>
        </w:rPr>
        <w:t>Fl</w:t>
      </w:r>
      <w:r w:rsidR="00340421">
        <w:rPr>
          <w:rFonts w:ascii="Arial" w:hAnsi="Arial" w:cs="Arial"/>
          <w:b/>
          <w:sz w:val="28"/>
          <w:szCs w:val="28"/>
        </w:rPr>
        <w:t>ächenangebot runter, Mieten rauf</w:t>
      </w:r>
    </w:p>
    <w:p w14:paraId="5188EF63" w14:textId="77777777" w:rsidR="00590903" w:rsidRPr="00246FA0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547B51" w14:textId="75FA17CD" w:rsidR="009A3457" w:rsidRPr="00F2157F" w:rsidRDefault="000F726E" w:rsidP="0028298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6A554D">
        <w:rPr>
          <w:rFonts w:ascii="Arial" w:hAnsi="Arial" w:cs="Arial"/>
          <w:b/>
          <w:sz w:val="20"/>
          <w:szCs w:val="20"/>
        </w:rPr>
        <w:t>26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115984">
        <w:rPr>
          <w:rFonts w:ascii="Arial" w:hAnsi="Arial" w:cs="Arial"/>
          <w:b/>
          <w:sz w:val="20"/>
          <w:szCs w:val="20"/>
        </w:rPr>
        <w:t>Januar 2023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626D43">
        <w:rPr>
          <w:rFonts w:ascii="Arial" w:hAnsi="Arial" w:cs="Arial"/>
          <w:b/>
          <w:sz w:val="20"/>
          <w:szCs w:val="20"/>
        </w:rPr>
        <w:t xml:space="preserve"> </w:t>
      </w:r>
      <w:r w:rsidR="003923CD">
        <w:rPr>
          <w:rFonts w:ascii="Arial" w:hAnsi="Arial" w:cs="Arial"/>
          <w:sz w:val="20"/>
          <w:szCs w:val="20"/>
        </w:rPr>
        <w:t xml:space="preserve">Mit 525.000 m² übertraf der Flächenumsatz </w:t>
      </w:r>
      <w:r w:rsidR="00626D43">
        <w:rPr>
          <w:rFonts w:ascii="Arial" w:hAnsi="Arial" w:cs="Arial"/>
          <w:sz w:val="20"/>
          <w:szCs w:val="20"/>
        </w:rPr>
        <w:t xml:space="preserve">für Industrie- und Logistikflächen in Hamburg und Umland </w:t>
      </w:r>
      <w:r w:rsidR="003923CD">
        <w:rPr>
          <w:rFonts w:ascii="Arial" w:hAnsi="Arial" w:cs="Arial"/>
          <w:sz w:val="20"/>
          <w:szCs w:val="20"/>
        </w:rPr>
        <w:t>zum Jahresende das Zehn-Jahres-Mittel</w:t>
      </w:r>
      <w:r w:rsidR="00CE2041">
        <w:rPr>
          <w:rFonts w:ascii="Arial" w:hAnsi="Arial" w:cs="Arial"/>
          <w:sz w:val="20"/>
          <w:szCs w:val="20"/>
        </w:rPr>
        <w:t xml:space="preserve"> (507.300 m²)</w:t>
      </w:r>
      <w:r w:rsidR="00377A09">
        <w:rPr>
          <w:rFonts w:ascii="Arial" w:hAnsi="Arial" w:cs="Arial"/>
          <w:sz w:val="20"/>
          <w:szCs w:val="20"/>
        </w:rPr>
        <w:t xml:space="preserve"> und fiel gleichzeitig </w:t>
      </w:r>
      <w:r w:rsidR="0020444E">
        <w:rPr>
          <w:rFonts w:ascii="Arial" w:hAnsi="Arial" w:cs="Arial"/>
          <w:sz w:val="20"/>
          <w:szCs w:val="20"/>
        </w:rPr>
        <w:t xml:space="preserve">um 17 % niedriger aus als </w:t>
      </w:r>
      <w:r w:rsidR="00626D43">
        <w:rPr>
          <w:rFonts w:ascii="Arial" w:hAnsi="Arial" w:cs="Arial"/>
          <w:sz w:val="20"/>
          <w:szCs w:val="20"/>
        </w:rPr>
        <w:t>das Vorjahress</w:t>
      </w:r>
      <w:r w:rsidR="0020444E">
        <w:rPr>
          <w:rFonts w:ascii="Arial" w:hAnsi="Arial" w:cs="Arial"/>
          <w:sz w:val="20"/>
          <w:szCs w:val="20"/>
        </w:rPr>
        <w:t>pitzenergebnis. Geprägt wurde das Marktgeschehen hauptsächlich durch Großverträge über 10.001 m²</w:t>
      </w:r>
      <w:r w:rsidR="00D63F53">
        <w:rPr>
          <w:rFonts w:ascii="Arial" w:hAnsi="Arial" w:cs="Arial"/>
          <w:sz w:val="20"/>
          <w:szCs w:val="20"/>
        </w:rPr>
        <w:t>. Das Segment kam auf einen</w:t>
      </w:r>
      <w:r w:rsidR="0020444E">
        <w:rPr>
          <w:rFonts w:ascii="Arial" w:hAnsi="Arial" w:cs="Arial"/>
          <w:sz w:val="20"/>
          <w:szCs w:val="20"/>
        </w:rPr>
        <w:t xml:space="preserve"> Anteil am Flächenumsatz von 62 %. </w:t>
      </w:r>
      <w:r w:rsidR="0020444E" w:rsidRPr="0020444E">
        <w:rPr>
          <w:rFonts w:ascii="Arial" w:hAnsi="Arial" w:cs="Arial"/>
          <w:i/>
          <w:sz w:val="20"/>
          <w:szCs w:val="20"/>
        </w:rPr>
        <w:t xml:space="preserve">„Da diese Verträge überwiegend </w:t>
      </w:r>
      <w:r w:rsidR="00724905">
        <w:rPr>
          <w:rFonts w:ascii="Arial" w:hAnsi="Arial" w:cs="Arial"/>
          <w:i/>
          <w:sz w:val="20"/>
          <w:szCs w:val="20"/>
        </w:rPr>
        <w:t>in</w:t>
      </w:r>
      <w:r w:rsidR="00D63F53">
        <w:rPr>
          <w:rFonts w:ascii="Arial" w:hAnsi="Arial" w:cs="Arial"/>
          <w:i/>
          <w:sz w:val="20"/>
          <w:szCs w:val="20"/>
        </w:rPr>
        <w:t xml:space="preserve"> Neubauprojekte</w:t>
      </w:r>
      <w:r w:rsidR="00724905">
        <w:rPr>
          <w:rFonts w:ascii="Arial" w:hAnsi="Arial" w:cs="Arial"/>
          <w:i/>
          <w:sz w:val="20"/>
          <w:szCs w:val="20"/>
        </w:rPr>
        <w:t>n</w:t>
      </w:r>
      <w:r w:rsidR="0020444E" w:rsidRPr="0020444E">
        <w:rPr>
          <w:rFonts w:ascii="Arial" w:hAnsi="Arial" w:cs="Arial"/>
          <w:i/>
          <w:sz w:val="20"/>
          <w:szCs w:val="20"/>
        </w:rPr>
        <w:t xml:space="preserve"> abgeschlossen wurden, erreichten die Mieten Rekordhöhen“,</w:t>
      </w:r>
      <w:r w:rsidR="0020444E">
        <w:rPr>
          <w:rFonts w:ascii="Arial" w:hAnsi="Arial" w:cs="Arial"/>
          <w:sz w:val="20"/>
          <w:szCs w:val="20"/>
        </w:rPr>
        <w:t xml:space="preserve"> führt </w:t>
      </w:r>
      <w:r w:rsidR="0020444E" w:rsidRPr="0020444E">
        <w:rPr>
          <w:rFonts w:ascii="Arial" w:hAnsi="Arial" w:cs="Arial"/>
          <w:b/>
          <w:sz w:val="20"/>
          <w:szCs w:val="20"/>
        </w:rPr>
        <w:t xml:space="preserve">Felix </w:t>
      </w:r>
      <w:proofErr w:type="spellStart"/>
      <w:r w:rsidR="0020444E" w:rsidRPr="0020444E">
        <w:rPr>
          <w:rFonts w:ascii="Arial" w:hAnsi="Arial" w:cs="Arial"/>
          <w:b/>
          <w:sz w:val="20"/>
          <w:szCs w:val="20"/>
        </w:rPr>
        <w:t>Krumreich</w:t>
      </w:r>
      <w:proofErr w:type="spellEnd"/>
      <w:r w:rsidR="0020444E">
        <w:rPr>
          <w:rFonts w:ascii="Arial" w:hAnsi="Arial" w:cs="Arial"/>
          <w:sz w:val="20"/>
          <w:szCs w:val="20"/>
        </w:rPr>
        <w:t xml:space="preserve"> aus, Immobilienberater Industrie &amp; Logistik bei GPP-Mitglied Grossmann &amp; Berger. </w:t>
      </w:r>
      <w:r w:rsidR="00340421">
        <w:rPr>
          <w:rFonts w:ascii="Arial" w:hAnsi="Arial" w:cs="Arial"/>
          <w:sz w:val="20"/>
          <w:szCs w:val="20"/>
        </w:rPr>
        <w:t>Entsprechend kletterte die Spitzenmiete im Jahresvergleich von 6,40 auf nun 7,50 €/m²/Monat.</w:t>
      </w:r>
      <w:r w:rsidR="0090510E">
        <w:rPr>
          <w:rFonts w:ascii="Arial" w:hAnsi="Arial" w:cs="Arial"/>
          <w:sz w:val="20"/>
          <w:szCs w:val="20"/>
        </w:rPr>
        <w:t xml:space="preserve"> </w:t>
      </w:r>
      <w:r w:rsidR="0090510E" w:rsidRPr="00D63F53">
        <w:rPr>
          <w:rFonts w:ascii="Arial" w:hAnsi="Arial" w:cs="Arial"/>
          <w:i/>
          <w:sz w:val="20"/>
          <w:szCs w:val="20"/>
        </w:rPr>
        <w:t>„</w:t>
      </w:r>
      <w:r w:rsidR="00724905">
        <w:rPr>
          <w:rFonts w:ascii="Arial" w:hAnsi="Arial" w:cs="Arial"/>
          <w:i/>
          <w:sz w:val="20"/>
          <w:szCs w:val="20"/>
        </w:rPr>
        <w:t xml:space="preserve">Die Auftragslage von </w:t>
      </w:r>
      <w:r w:rsidR="00E01438">
        <w:rPr>
          <w:rFonts w:ascii="Arial" w:hAnsi="Arial" w:cs="Arial"/>
          <w:i/>
          <w:sz w:val="20"/>
          <w:szCs w:val="20"/>
        </w:rPr>
        <w:t>Logistiker</w:t>
      </w:r>
      <w:r w:rsidR="00724905">
        <w:rPr>
          <w:rFonts w:ascii="Arial" w:hAnsi="Arial" w:cs="Arial"/>
          <w:i/>
          <w:sz w:val="20"/>
          <w:szCs w:val="20"/>
        </w:rPr>
        <w:t>n</w:t>
      </w:r>
      <w:r w:rsidR="00E01438">
        <w:rPr>
          <w:rFonts w:ascii="Arial" w:hAnsi="Arial" w:cs="Arial"/>
          <w:i/>
          <w:sz w:val="20"/>
          <w:szCs w:val="20"/>
        </w:rPr>
        <w:t xml:space="preserve"> und </w:t>
      </w:r>
      <w:r w:rsidR="00E566E7" w:rsidRPr="00D63F53">
        <w:rPr>
          <w:rFonts w:ascii="Arial" w:hAnsi="Arial" w:cs="Arial"/>
          <w:i/>
          <w:sz w:val="20"/>
          <w:szCs w:val="20"/>
        </w:rPr>
        <w:t xml:space="preserve">Handelsunternehmen </w:t>
      </w:r>
      <w:r w:rsidR="00724905">
        <w:rPr>
          <w:rFonts w:ascii="Arial" w:hAnsi="Arial" w:cs="Arial"/>
          <w:i/>
          <w:sz w:val="20"/>
          <w:szCs w:val="20"/>
        </w:rPr>
        <w:t xml:space="preserve">in Hamburg und Umland ist </w:t>
      </w:r>
      <w:r w:rsidR="00E566E7">
        <w:rPr>
          <w:rFonts w:ascii="Arial" w:hAnsi="Arial" w:cs="Arial"/>
          <w:i/>
          <w:sz w:val="20"/>
          <w:szCs w:val="20"/>
        </w:rPr>
        <w:t xml:space="preserve">weiterhin </w:t>
      </w:r>
      <w:r w:rsidR="00724905">
        <w:rPr>
          <w:rFonts w:ascii="Arial" w:hAnsi="Arial" w:cs="Arial"/>
          <w:i/>
          <w:sz w:val="20"/>
          <w:szCs w:val="20"/>
        </w:rPr>
        <w:t xml:space="preserve">sehr gut. 2023 </w:t>
      </w:r>
      <w:r w:rsidR="00E566E7">
        <w:rPr>
          <w:rFonts w:ascii="Arial" w:hAnsi="Arial" w:cs="Arial"/>
          <w:i/>
          <w:sz w:val="20"/>
          <w:szCs w:val="20"/>
        </w:rPr>
        <w:t xml:space="preserve">dürften </w:t>
      </w:r>
      <w:r w:rsidR="00724905">
        <w:rPr>
          <w:rFonts w:ascii="Arial" w:hAnsi="Arial" w:cs="Arial"/>
          <w:i/>
          <w:sz w:val="20"/>
          <w:szCs w:val="20"/>
        </w:rPr>
        <w:t>sie allerdings</w:t>
      </w:r>
      <w:r w:rsidR="00E566E7">
        <w:rPr>
          <w:rFonts w:ascii="Arial" w:hAnsi="Arial" w:cs="Arial"/>
          <w:i/>
          <w:sz w:val="20"/>
          <w:szCs w:val="20"/>
        </w:rPr>
        <w:t xml:space="preserve"> einige </w:t>
      </w:r>
      <w:r w:rsidR="00724905">
        <w:rPr>
          <w:rFonts w:ascii="Arial" w:hAnsi="Arial" w:cs="Arial"/>
          <w:i/>
          <w:sz w:val="20"/>
          <w:szCs w:val="20"/>
        </w:rPr>
        <w:t>Schwierigkeiten</w:t>
      </w:r>
      <w:r w:rsidR="00E566E7">
        <w:rPr>
          <w:rFonts w:ascii="Arial" w:hAnsi="Arial" w:cs="Arial"/>
          <w:i/>
          <w:sz w:val="20"/>
          <w:szCs w:val="20"/>
        </w:rPr>
        <w:t xml:space="preserve"> haben, Expansionspläne </w:t>
      </w:r>
      <w:r w:rsidR="00E01438">
        <w:rPr>
          <w:rFonts w:ascii="Arial" w:hAnsi="Arial" w:cs="Arial"/>
          <w:i/>
          <w:sz w:val="20"/>
          <w:szCs w:val="20"/>
        </w:rPr>
        <w:t>oder Flächene</w:t>
      </w:r>
      <w:r w:rsidR="00E566E7">
        <w:rPr>
          <w:rFonts w:ascii="Arial" w:hAnsi="Arial" w:cs="Arial"/>
          <w:i/>
          <w:sz w:val="20"/>
          <w:szCs w:val="20"/>
        </w:rPr>
        <w:t xml:space="preserve">rweiterungen umzusetzen. Denn mittlerweile sind </w:t>
      </w:r>
      <w:r w:rsidR="0090510E" w:rsidRPr="00D63F53">
        <w:rPr>
          <w:rFonts w:ascii="Arial" w:hAnsi="Arial" w:cs="Arial"/>
          <w:i/>
          <w:sz w:val="20"/>
          <w:szCs w:val="20"/>
        </w:rPr>
        <w:t xml:space="preserve">auch die Projektflächen nahezu </w:t>
      </w:r>
      <w:r w:rsidR="00E566E7">
        <w:rPr>
          <w:rFonts w:ascii="Arial" w:hAnsi="Arial" w:cs="Arial"/>
          <w:i/>
          <w:sz w:val="20"/>
          <w:szCs w:val="20"/>
        </w:rPr>
        <w:t xml:space="preserve">komplett </w:t>
      </w:r>
      <w:r w:rsidR="0090510E" w:rsidRPr="00D63F53">
        <w:rPr>
          <w:rFonts w:ascii="Arial" w:hAnsi="Arial" w:cs="Arial"/>
          <w:i/>
          <w:sz w:val="20"/>
          <w:szCs w:val="20"/>
        </w:rPr>
        <w:t>absorbiert</w:t>
      </w:r>
      <w:r w:rsidR="00D63F53" w:rsidRPr="00D63F53">
        <w:rPr>
          <w:rFonts w:ascii="Arial" w:hAnsi="Arial" w:cs="Arial"/>
          <w:i/>
          <w:sz w:val="20"/>
          <w:szCs w:val="20"/>
        </w:rPr>
        <w:t>.</w:t>
      </w:r>
      <w:r w:rsidR="00E566E7">
        <w:rPr>
          <w:rFonts w:ascii="Arial" w:hAnsi="Arial" w:cs="Arial"/>
          <w:i/>
          <w:sz w:val="20"/>
          <w:szCs w:val="20"/>
        </w:rPr>
        <w:t xml:space="preserve"> </w:t>
      </w:r>
      <w:r w:rsidR="00724905">
        <w:rPr>
          <w:rFonts w:ascii="Arial" w:hAnsi="Arial" w:cs="Arial"/>
          <w:i/>
          <w:sz w:val="20"/>
          <w:szCs w:val="20"/>
        </w:rPr>
        <w:t>Vorausgesetzt natürlich, die Globalparameter bleiben unverändert.</w:t>
      </w:r>
      <w:r w:rsidR="00D63F53" w:rsidRPr="00D63F53">
        <w:rPr>
          <w:rFonts w:ascii="Arial" w:hAnsi="Arial" w:cs="Arial"/>
          <w:i/>
          <w:sz w:val="20"/>
          <w:szCs w:val="20"/>
        </w:rPr>
        <w:t>“</w:t>
      </w:r>
      <w:r w:rsidR="00D63F53">
        <w:rPr>
          <w:rFonts w:ascii="Arial" w:hAnsi="Arial" w:cs="Arial"/>
          <w:sz w:val="20"/>
          <w:szCs w:val="20"/>
        </w:rPr>
        <w:t xml:space="preserve"> </w:t>
      </w:r>
    </w:p>
    <w:p w14:paraId="7D0B7770" w14:textId="77777777"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F1F98D" w14:textId="77777777"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850234B" w14:textId="26EB9DFA" w:rsidR="004A4AA9" w:rsidRDefault="009862C9" w:rsidP="005D1236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Zum Jahresende </w:t>
      </w:r>
      <w:r w:rsidRPr="00724905">
        <w:rPr>
          <w:rFonts w:ascii="Arial" w:eastAsiaTheme="minorHAnsi" w:hAnsi="Arial" w:cs="Arial"/>
          <w:sz w:val="20"/>
          <w:szCs w:val="20"/>
        </w:rPr>
        <w:t xml:space="preserve">entfiel </w:t>
      </w:r>
      <w:r>
        <w:rPr>
          <w:rFonts w:ascii="Arial" w:eastAsiaTheme="minorHAnsi" w:hAnsi="Arial" w:cs="Arial"/>
          <w:sz w:val="20"/>
          <w:szCs w:val="20"/>
        </w:rPr>
        <w:t>e</w:t>
      </w:r>
      <w:r w:rsidR="00724905" w:rsidRPr="00724905">
        <w:rPr>
          <w:rFonts w:ascii="Arial" w:eastAsiaTheme="minorHAnsi" w:hAnsi="Arial" w:cs="Arial"/>
          <w:sz w:val="20"/>
          <w:szCs w:val="20"/>
        </w:rPr>
        <w:t xml:space="preserve">in Viertel des Flächenumsatzes auf </w:t>
      </w:r>
      <w:r w:rsidR="004A4AA9" w:rsidRPr="002A7FFD">
        <w:rPr>
          <w:rFonts w:ascii="Arial" w:eastAsiaTheme="minorHAnsi" w:hAnsi="Arial" w:cs="Arial"/>
          <w:sz w:val="20"/>
          <w:szCs w:val="20"/>
          <w:u w:val="single"/>
        </w:rPr>
        <w:t>Eigennutzer</w:t>
      </w:r>
      <w:r w:rsidRPr="009862C9">
        <w:rPr>
          <w:rFonts w:ascii="Arial" w:eastAsiaTheme="minorHAnsi" w:hAnsi="Arial" w:cs="Arial"/>
          <w:sz w:val="20"/>
          <w:szCs w:val="20"/>
        </w:rPr>
        <w:t xml:space="preserve"> (</w:t>
      </w:r>
      <w:r>
        <w:rPr>
          <w:rFonts w:ascii="Arial" w:eastAsiaTheme="minorHAnsi" w:hAnsi="Arial" w:cs="Arial"/>
          <w:sz w:val="20"/>
          <w:szCs w:val="20"/>
        </w:rPr>
        <w:t xml:space="preserve">4Q </w:t>
      </w:r>
      <w:r w:rsidR="00724905">
        <w:rPr>
          <w:rFonts w:ascii="Arial" w:eastAsiaTheme="minorHAnsi" w:hAnsi="Arial" w:cs="Arial"/>
          <w:sz w:val="20"/>
          <w:szCs w:val="20"/>
        </w:rPr>
        <w:t>2021</w:t>
      </w:r>
      <w:r>
        <w:rPr>
          <w:rFonts w:ascii="Arial" w:eastAsiaTheme="minorHAnsi" w:hAnsi="Arial" w:cs="Arial"/>
          <w:sz w:val="20"/>
          <w:szCs w:val="20"/>
        </w:rPr>
        <w:t>:</w:t>
      </w:r>
      <w:r w:rsidR="00724905">
        <w:rPr>
          <w:rFonts w:ascii="Arial" w:eastAsiaTheme="minorHAnsi" w:hAnsi="Arial" w:cs="Arial"/>
          <w:sz w:val="20"/>
          <w:szCs w:val="20"/>
        </w:rPr>
        <w:t xml:space="preserve"> 12 %</w:t>
      </w:r>
      <w:r>
        <w:rPr>
          <w:rFonts w:ascii="Arial" w:eastAsiaTheme="minorHAnsi" w:hAnsi="Arial" w:cs="Arial"/>
          <w:sz w:val="20"/>
          <w:szCs w:val="20"/>
        </w:rPr>
        <w:t>)</w:t>
      </w:r>
      <w:r w:rsidR="00724905">
        <w:rPr>
          <w:rFonts w:ascii="Arial" w:eastAsiaTheme="minorHAnsi" w:hAnsi="Arial" w:cs="Arial"/>
          <w:sz w:val="20"/>
          <w:szCs w:val="20"/>
        </w:rPr>
        <w:t>.</w:t>
      </w:r>
      <w:r>
        <w:rPr>
          <w:rFonts w:ascii="Arial" w:eastAsiaTheme="minorHAnsi" w:hAnsi="Arial" w:cs="Arial"/>
          <w:sz w:val="20"/>
          <w:szCs w:val="20"/>
        </w:rPr>
        <w:t xml:space="preserve"> Vier der 16 Eigennutzer-Geschäfte hatten Volumina über 10.001 m².</w:t>
      </w:r>
      <w:r w:rsidR="005B5D36">
        <w:rPr>
          <w:rFonts w:ascii="Arial" w:eastAsiaTheme="minorHAnsi" w:hAnsi="Arial" w:cs="Arial"/>
          <w:sz w:val="20"/>
          <w:szCs w:val="20"/>
        </w:rPr>
        <w:t xml:space="preserve"> Größter Abschluss eines Eigennutzers im 4. Quartal war der Baubeginn für das</w:t>
      </w:r>
      <w:r w:rsidR="00761ADC">
        <w:rPr>
          <w:rFonts w:ascii="Arial" w:eastAsiaTheme="minorHAnsi" w:hAnsi="Arial" w:cs="Arial"/>
          <w:sz w:val="20"/>
          <w:szCs w:val="20"/>
        </w:rPr>
        <w:t xml:space="preserve"> neue</w:t>
      </w:r>
      <w:r w:rsidR="005B5D36">
        <w:rPr>
          <w:rFonts w:ascii="Arial" w:eastAsiaTheme="minorHAnsi" w:hAnsi="Arial" w:cs="Arial"/>
          <w:sz w:val="20"/>
          <w:szCs w:val="20"/>
        </w:rPr>
        <w:t xml:space="preserve"> Edeka Frucht</w:t>
      </w:r>
      <w:r w:rsidR="002747E2">
        <w:rPr>
          <w:rFonts w:ascii="Arial" w:eastAsiaTheme="minorHAnsi" w:hAnsi="Arial" w:cs="Arial"/>
          <w:sz w:val="20"/>
          <w:szCs w:val="20"/>
        </w:rPr>
        <w:t>kontor in der Dessauer Straße</w:t>
      </w:r>
      <w:r w:rsidR="005B5D36">
        <w:rPr>
          <w:rFonts w:ascii="Arial" w:eastAsiaTheme="minorHAnsi" w:hAnsi="Arial" w:cs="Arial"/>
          <w:sz w:val="20"/>
          <w:szCs w:val="20"/>
        </w:rPr>
        <w:t xml:space="preserve"> mit einem Volumen von 16.800 m².</w:t>
      </w:r>
      <w:r w:rsidR="00761ADC">
        <w:rPr>
          <w:rFonts w:ascii="Arial" w:eastAsiaTheme="minorHAnsi" w:hAnsi="Arial" w:cs="Arial"/>
          <w:sz w:val="20"/>
          <w:szCs w:val="20"/>
        </w:rPr>
        <w:t xml:space="preserve"> Auf dem Kleinen </w:t>
      </w:r>
      <w:proofErr w:type="spellStart"/>
      <w:r w:rsidR="00761ADC">
        <w:rPr>
          <w:rFonts w:ascii="Arial" w:eastAsiaTheme="minorHAnsi" w:hAnsi="Arial" w:cs="Arial"/>
          <w:sz w:val="20"/>
          <w:szCs w:val="20"/>
        </w:rPr>
        <w:t>Grasbrook</w:t>
      </w:r>
      <w:proofErr w:type="spellEnd"/>
      <w:r w:rsidR="00761ADC">
        <w:rPr>
          <w:rFonts w:ascii="Arial" w:eastAsiaTheme="minorHAnsi" w:hAnsi="Arial" w:cs="Arial"/>
          <w:sz w:val="20"/>
          <w:szCs w:val="20"/>
        </w:rPr>
        <w:t xml:space="preserve"> plant </w:t>
      </w:r>
      <w:r w:rsidR="0085713A">
        <w:rPr>
          <w:rFonts w:ascii="Arial" w:eastAsiaTheme="minorHAnsi" w:hAnsi="Arial" w:cs="Arial"/>
          <w:sz w:val="20"/>
          <w:szCs w:val="20"/>
        </w:rPr>
        <w:t>der Lebensmittelhändler</w:t>
      </w:r>
      <w:r w:rsidR="00761ADC">
        <w:rPr>
          <w:rFonts w:ascii="Arial" w:eastAsiaTheme="minorHAnsi" w:hAnsi="Arial" w:cs="Arial"/>
          <w:sz w:val="20"/>
          <w:szCs w:val="20"/>
        </w:rPr>
        <w:t xml:space="preserve"> </w:t>
      </w:r>
      <w:r w:rsidR="002747E2">
        <w:rPr>
          <w:rFonts w:ascii="Arial" w:eastAsiaTheme="minorHAnsi" w:hAnsi="Arial" w:cs="Arial"/>
          <w:sz w:val="20"/>
          <w:szCs w:val="20"/>
        </w:rPr>
        <w:t xml:space="preserve">zusätzlich zu seinem dort bereits bestehenden Fruchtkontor </w:t>
      </w:r>
      <w:r w:rsidR="00761ADC">
        <w:rPr>
          <w:rFonts w:ascii="Arial" w:eastAsiaTheme="minorHAnsi" w:hAnsi="Arial" w:cs="Arial"/>
          <w:sz w:val="20"/>
          <w:szCs w:val="20"/>
        </w:rPr>
        <w:t>e</w:t>
      </w:r>
      <w:r w:rsidR="00A0231C">
        <w:rPr>
          <w:rFonts w:ascii="Arial" w:eastAsiaTheme="minorHAnsi" w:hAnsi="Arial" w:cs="Arial"/>
          <w:sz w:val="20"/>
          <w:szCs w:val="20"/>
        </w:rPr>
        <w:t>in neues Logistikdrehkreuz für F</w:t>
      </w:r>
      <w:r w:rsidR="00761ADC">
        <w:rPr>
          <w:rFonts w:ascii="Arial" w:eastAsiaTheme="minorHAnsi" w:hAnsi="Arial" w:cs="Arial"/>
          <w:sz w:val="20"/>
          <w:szCs w:val="20"/>
        </w:rPr>
        <w:t>risch</w:t>
      </w:r>
      <w:r w:rsidR="00A0231C">
        <w:rPr>
          <w:rFonts w:ascii="Arial" w:eastAsiaTheme="minorHAnsi" w:hAnsi="Arial" w:cs="Arial"/>
          <w:sz w:val="20"/>
          <w:szCs w:val="20"/>
        </w:rPr>
        <w:t>o</w:t>
      </w:r>
      <w:r w:rsidR="00761ADC">
        <w:rPr>
          <w:rFonts w:ascii="Arial" w:eastAsiaTheme="minorHAnsi" w:hAnsi="Arial" w:cs="Arial"/>
          <w:sz w:val="20"/>
          <w:szCs w:val="20"/>
        </w:rPr>
        <w:t xml:space="preserve">bst und </w:t>
      </w:r>
      <w:r w:rsidR="00A0231C">
        <w:rPr>
          <w:rFonts w:ascii="Arial" w:eastAsiaTheme="minorHAnsi" w:hAnsi="Arial" w:cs="Arial"/>
          <w:sz w:val="20"/>
          <w:szCs w:val="20"/>
        </w:rPr>
        <w:t>-g</w:t>
      </w:r>
      <w:r w:rsidR="00761ADC">
        <w:rPr>
          <w:rFonts w:ascii="Arial" w:eastAsiaTheme="minorHAnsi" w:hAnsi="Arial" w:cs="Arial"/>
          <w:sz w:val="20"/>
          <w:szCs w:val="20"/>
        </w:rPr>
        <w:t xml:space="preserve">emüse </w:t>
      </w:r>
      <w:r w:rsidR="0085713A">
        <w:rPr>
          <w:rFonts w:ascii="Arial" w:eastAsiaTheme="minorHAnsi" w:hAnsi="Arial" w:cs="Arial"/>
          <w:sz w:val="20"/>
          <w:szCs w:val="20"/>
        </w:rPr>
        <w:t xml:space="preserve">aus rund 80 Ländern </w:t>
      </w:r>
      <w:r w:rsidR="00761ADC">
        <w:rPr>
          <w:rFonts w:ascii="Arial" w:eastAsiaTheme="minorHAnsi" w:hAnsi="Arial" w:cs="Arial"/>
          <w:sz w:val="20"/>
          <w:szCs w:val="20"/>
        </w:rPr>
        <w:t>nebst Bananenreiferei.</w:t>
      </w:r>
    </w:p>
    <w:p w14:paraId="47969C7F" w14:textId="2513A86C" w:rsidR="002578C6" w:rsidRPr="002578C6" w:rsidRDefault="009862C9" w:rsidP="005D1236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9862C9">
        <w:rPr>
          <w:rFonts w:ascii="Arial" w:eastAsiaTheme="minorHAnsi" w:hAnsi="Arial" w:cs="Arial"/>
          <w:sz w:val="20"/>
          <w:szCs w:val="20"/>
        </w:rPr>
        <w:t xml:space="preserve">Im Rahmen des </w:t>
      </w:r>
      <w:r w:rsidR="002578C6" w:rsidRPr="002578C6">
        <w:rPr>
          <w:rFonts w:ascii="Arial" w:eastAsiaTheme="minorHAnsi" w:hAnsi="Arial" w:cs="Arial"/>
          <w:sz w:val="20"/>
          <w:szCs w:val="20"/>
          <w:u w:val="single"/>
        </w:rPr>
        <w:t xml:space="preserve">größten </w:t>
      </w:r>
      <w:r w:rsidR="0085713A">
        <w:rPr>
          <w:rFonts w:ascii="Arial" w:eastAsiaTheme="minorHAnsi" w:hAnsi="Arial" w:cs="Arial"/>
          <w:sz w:val="20"/>
          <w:szCs w:val="20"/>
          <w:u w:val="single"/>
        </w:rPr>
        <w:t>Mietvertrags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7527D2">
        <w:rPr>
          <w:rFonts w:ascii="Arial" w:eastAsiaTheme="minorHAnsi" w:hAnsi="Arial" w:cs="Arial"/>
          <w:sz w:val="20"/>
          <w:szCs w:val="20"/>
        </w:rPr>
        <w:t xml:space="preserve">im 4. Quartal </w:t>
      </w:r>
      <w:r w:rsidR="0085713A">
        <w:rPr>
          <w:rFonts w:ascii="Arial" w:eastAsiaTheme="minorHAnsi" w:hAnsi="Arial" w:cs="Arial"/>
          <w:sz w:val="20"/>
          <w:szCs w:val="20"/>
        </w:rPr>
        <w:t>sicherte sich</w:t>
      </w:r>
      <w:r>
        <w:rPr>
          <w:rFonts w:ascii="Arial" w:eastAsiaTheme="minorHAnsi" w:hAnsi="Arial" w:cs="Arial"/>
          <w:sz w:val="20"/>
          <w:szCs w:val="20"/>
        </w:rPr>
        <w:t xml:space="preserve"> Airbus 30.</w:t>
      </w:r>
      <w:r w:rsidR="002747E2">
        <w:rPr>
          <w:rFonts w:ascii="Arial" w:eastAsiaTheme="minorHAnsi" w:hAnsi="Arial" w:cs="Arial"/>
          <w:sz w:val="20"/>
          <w:szCs w:val="20"/>
        </w:rPr>
        <w:t>000</w:t>
      </w:r>
      <w:r>
        <w:rPr>
          <w:rFonts w:ascii="Arial" w:eastAsiaTheme="minorHAnsi" w:hAnsi="Arial" w:cs="Arial"/>
          <w:sz w:val="20"/>
          <w:szCs w:val="20"/>
        </w:rPr>
        <w:t xml:space="preserve"> m² Hallenfläche </w:t>
      </w:r>
      <w:r w:rsidR="007527D2">
        <w:rPr>
          <w:rFonts w:ascii="Arial" w:eastAsiaTheme="minorHAnsi" w:hAnsi="Arial" w:cs="Arial"/>
          <w:sz w:val="20"/>
          <w:szCs w:val="20"/>
        </w:rPr>
        <w:t xml:space="preserve">im </w:t>
      </w:r>
      <w:proofErr w:type="spellStart"/>
      <w:r w:rsidR="00850B17">
        <w:rPr>
          <w:rFonts w:ascii="Arial" w:eastAsiaTheme="minorHAnsi" w:hAnsi="Arial" w:cs="Arial"/>
          <w:sz w:val="20"/>
          <w:szCs w:val="20"/>
        </w:rPr>
        <w:t>Waltershofer</w:t>
      </w:r>
      <w:proofErr w:type="spellEnd"/>
      <w:r w:rsidR="002747E2">
        <w:rPr>
          <w:rFonts w:ascii="Arial" w:eastAsiaTheme="minorHAnsi" w:hAnsi="Arial" w:cs="Arial"/>
          <w:sz w:val="20"/>
          <w:szCs w:val="20"/>
        </w:rPr>
        <w:t xml:space="preserve"> Hafengebiet im Teilmarkt Hamburg Süd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7527D2">
        <w:rPr>
          <w:rFonts w:ascii="Arial" w:eastAsiaTheme="minorHAnsi" w:hAnsi="Arial" w:cs="Arial"/>
          <w:sz w:val="20"/>
          <w:szCs w:val="20"/>
        </w:rPr>
        <w:t>unweit von seinem</w:t>
      </w:r>
      <w:r w:rsidR="003A4054">
        <w:rPr>
          <w:rFonts w:ascii="Arial" w:eastAsiaTheme="minorHAnsi" w:hAnsi="Arial" w:cs="Arial"/>
          <w:sz w:val="20"/>
          <w:szCs w:val="20"/>
        </w:rPr>
        <w:t xml:space="preserve"> Produktionss</w:t>
      </w:r>
      <w:r w:rsidR="0085713A">
        <w:rPr>
          <w:rFonts w:ascii="Arial" w:eastAsiaTheme="minorHAnsi" w:hAnsi="Arial" w:cs="Arial"/>
          <w:sz w:val="20"/>
          <w:szCs w:val="20"/>
        </w:rPr>
        <w:t>tandort</w:t>
      </w:r>
      <w:r w:rsidR="007527D2">
        <w:rPr>
          <w:rFonts w:ascii="Arial" w:eastAsiaTheme="minorHAnsi" w:hAnsi="Arial" w:cs="Arial"/>
          <w:sz w:val="20"/>
          <w:szCs w:val="20"/>
        </w:rPr>
        <w:t>.</w:t>
      </w:r>
      <w:r>
        <w:rPr>
          <w:rFonts w:ascii="Arial" w:eastAsiaTheme="minorHAnsi" w:hAnsi="Arial" w:cs="Arial"/>
          <w:sz w:val="20"/>
          <w:szCs w:val="20"/>
          <w:u w:val="single"/>
        </w:rPr>
        <w:t xml:space="preserve"> </w:t>
      </w:r>
      <w:r w:rsidR="002578C6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66E57DF" w14:textId="2693AD9F" w:rsidR="00537DEF" w:rsidRPr="00537DEF" w:rsidRDefault="0085713A" w:rsidP="005D1236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85713A">
        <w:rPr>
          <w:rFonts w:ascii="Arial" w:hAnsi="Arial" w:cs="Arial"/>
          <w:sz w:val="20"/>
          <w:szCs w:val="20"/>
        </w:rPr>
        <w:t xml:space="preserve">Auch die </w:t>
      </w:r>
      <w:r w:rsidR="003375D4" w:rsidRPr="00537DEF">
        <w:rPr>
          <w:rFonts w:ascii="Arial" w:hAnsi="Arial" w:cs="Arial"/>
          <w:sz w:val="20"/>
          <w:szCs w:val="20"/>
          <w:u w:val="single"/>
        </w:rPr>
        <w:t>Durchschnitts</w:t>
      </w:r>
      <w:r>
        <w:rPr>
          <w:rFonts w:ascii="Arial" w:hAnsi="Arial" w:cs="Arial"/>
          <w:sz w:val="20"/>
          <w:szCs w:val="20"/>
          <w:u w:val="single"/>
        </w:rPr>
        <w:t>miete</w:t>
      </w:r>
      <w:r w:rsidRPr="0085713A">
        <w:rPr>
          <w:rFonts w:ascii="Arial" w:hAnsi="Arial" w:cs="Arial"/>
          <w:sz w:val="20"/>
          <w:szCs w:val="20"/>
        </w:rPr>
        <w:t xml:space="preserve"> legte im Jahresvergleich von 2021 auf 2022 zu, wenngleich mit </w:t>
      </w:r>
      <w:r>
        <w:rPr>
          <w:rFonts w:ascii="Arial" w:hAnsi="Arial" w:cs="Arial"/>
          <w:sz w:val="20"/>
          <w:szCs w:val="20"/>
        </w:rPr>
        <w:t>+</w:t>
      </w:r>
      <w:r w:rsidRPr="0085713A">
        <w:rPr>
          <w:rFonts w:ascii="Arial" w:hAnsi="Arial" w:cs="Arial"/>
          <w:sz w:val="20"/>
          <w:szCs w:val="20"/>
        </w:rPr>
        <w:t xml:space="preserve">9,4 % auf 5,80 </w:t>
      </w:r>
      <w:r>
        <w:rPr>
          <w:rFonts w:ascii="Arial" w:hAnsi="Arial" w:cs="Arial"/>
          <w:sz w:val="20"/>
          <w:szCs w:val="20"/>
        </w:rPr>
        <w:t>€/m²/Monat</w:t>
      </w:r>
      <w:r w:rsidR="003375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deutlich weniger als </w:t>
      </w:r>
      <w:r w:rsidR="003375D4">
        <w:rPr>
          <w:rFonts w:ascii="Arial" w:hAnsi="Arial" w:cs="Arial"/>
          <w:sz w:val="20"/>
          <w:szCs w:val="20"/>
        </w:rPr>
        <w:t xml:space="preserve">die </w:t>
      </w:r>
      <w:r w:rsidR="003375D4" w:rsidRPr="00537DEF">
        <w:rPr>
          <w:rFonts w:ascii="Arial" w:hAnsi="Arial" w:cs="Arial"/>
          <w:sz w:val="20"/>
          <w:szCs w:val="20"/>
          <w:u w:val="single"/>
        </w:rPr>
        <w:t>Spitzenmiete</w:t>
      </w:r>
      <w:r w:rsidR="003375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 +17,2 %</w:t>
      </w:r>
    </w:p>
    <w:p w14:paraId="4B8D6D7C" w14:textId="5F3AA7A5" w:rsidR="00707260" w:rsidRDefault="0085713A" w:rsidP="001125E9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85713A">
        <w:rPr>
          <w:rFonts w:ascii="Arial" w:eastAsiaTheme="minorHAnsi" w:hAnsi="Arial" w:cs="Arial"/>
          <w:sz w:val="20"/>
          <w:szCs w:val="20"/>
        </w:rPr>
        <w:t xml:space="preserve">Mit einem Anteil am Flächenumsatz von 50 % dominierte die </w:t>
      </w:r>
      <w:r w:rsidR="00720DED" w:rsidRPr="00707260">
        <w:rPr>
          <w:rFonts w:ascii="Arial" w:eastAsiaTheme="minorHAnsi" w:hAnsi="Arial" w:cs="Arial"/>
          <w:sz w:val="20"/>
          <w:szCs w:val="20"/>
          <w:u w:val="single"/>
        </w:rPr>
        <w:t>Branche</w:t>
      </w:r>
      <w:r w:rsidR="00720DED" w:rsidRPr="00707260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der Handelsunternehmen 2022 (4Q 2021: 26 %) das </w:t>
      </w:r>
      <w:r w:rsidR="002A38F8">
        <w:rPr>
          <w:rFonts w:ascii="Arial" w:eastAsiaTheme="minorHAnsi" w:hAnsi="Arial" w:cs="Arial"/>
          <w:sz w:val="20"/>
          <w:szCs w:val="20"/>
        </w:rPr>
        <w:t xml:space="preserve">Hamburger </w:t>
      </w:r>
      <w:r>
        <w:rPr>
          <w:rFonts w:ascii="Arial" w:eastAsiaTheme="minorHAnsi" w:hAnsi="Arial" w:cs="Arial"/>
          <w:sz w:val="20"/>
          <w:szCs w:val="20"/>
        </w:rPr>
        <w:t xml:space="preserve">Marktgeschehen. </w:t>
      </w:r>
      <w:r w:rsidR="002A38F8">
        <w:rPr>
          <w:rFonts w:ascii="Arial" w:eastAsiaTheme="minorHAnsi" w:hAnsi="Arial" w:cs="Arial"/>
          <w:sz w:val="20"/>
          <w:szCs w:val="20"/>
        </w:rPr>
        <w:t xml:space="preserve">Zehn der 16 Abschlüsse über 10.001 m² wurden von Unternehmen dieser Branche getätigt. </w:t>
      </w:r>
      <w:r>
        <w:rPr>
          <w:rFonts w:ascii="Arial" w:eastAsiaTheme="minorHAnsi" w:hAnsi="Arial" w:cs="Arial"/>
          <w:sz w:val="20"/>
          <w:szCs w:val="20"/>
        </w:rPr>
        <w:t>Logistiker kamen auf einen Anteil von 33 % (4Q 2021: 47 %).</w:t>
      </w:r>
    </w:p>
    <w:p w14:paraId="2AC05E80" w14:textId="220C2CAB" w:rsidR="00E455D7" w:rsidRPr="00707260" w:rsidRDefault="002A38F8" w:rsidP="001125E9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 w:rsidRPr="002A38F8">
        <w:rPr>
          <w:rFonts w:ascii="Arial" w:eastAsiaTheme="minorHAnsi" w:hAnsi="Arial" w:cs="Arial"/>
          <w:sz w:val="20"/>
          <w:szCs w:val="20"/>
        </w:rPr>
        <w:t xml:space="preserve">Der </w:t>
      </w:r>
      <w:r>
        <w:rPr>
          <w:rFonts w:ascii="Arial" w:eastAsiaTheme="minorHAnsi" w:hAnsi="Arial" w:cs="Arial"/>
          <w:sz w:val="20"/>
          <w:szCs w:val="20"/>
          <w:u w:val="single"/>
        </w:rPr>
        <w:t>Teilma</w:t>
      </w:r>
      <w:r w:rsidR="00C024D1" w:rsidRPr="00707260">
        <w:rPr>
          <w:rFonts w:ascii="Arial" w:eastAsiaTheme="minorHAnsi" w:hAnsi="Arial" w:cs="Arial"/>
          <w:sz w:val="20"/>
          <w:szCs w:val="20"/>
          <w:u w:val="single"/>
        </w:rPr>
        <w:t>rkt</w:t>
      </w:r>
      <w:r>
        <w:rPr>
          <w:rFonts w:ascii="Arial" w:eastAsiaTheme="minorHAnsi" w:hAnsi="Arial" w:cs="Arial"/>
          <w:sz w:val="20"/>
          <w:szCs w:val="20"/>
        </w:rPr>
        <w:t xml:space="preserve"> Hamburg </w:t>
      </w:r>
      <w:r w:rsidRPr="002A38F8">
        <w:rPr>
          <w:rFonts w:ascii="Arial" w:eastAsiaTheme="minorHAnsi" w:hAnsi="Arial" w:cs="Arial"/>
          <w:sz w:val="20"/>
          <w:szCs w:val="20"/>
        </w:rPr>
        <w:t xml:space="preserve">Süd </w:t>
      </w:r>
      <w:r w:rsidR="002747E2">
        <w:rPr>
          <w:rFonts w:ascii="Arial" w:eastAsiaTheme="minorHAnsi" w:hAnsi="Arial" w:cs="Arial"/>
          <w:sz w:val="20"/>
          <w:szCs w:val="20"/>
        </w:rPr>
        <w:t>erreichte</w:t>
      </w:r>
      <w:r w:rsidRPr="002A38F8">
        <w:rPr>
          <w:rFonts w:ascii="Arial" w:eastAsiaTheme="minorHAnsi" w:hAnsi="Arial" w:cs="Arial"/>
          <w:sz w:val="20"/>
          <w:szCs w:val="20"/>
        </w:rPr>
        <w:t xml:space="preserve"> nach 27 % vor einem Jahr Ende 2022 </w:t>
      </w:r>
      <w:r>
        <w:rPr>
          <w:rFonts w:ascii="Arial" w:eastAsiaTheme="minorHAnsi" w:hAnsi="Arial" w:cs="Arial"/>
          <w:sz w:val="20"/>
          <w:szCs w:val="20"/>
        </w:rPr>
        <w:t xml:space="preserve">mit </w:t>
      </w:r>
      <w:r w:rsidRPr="002A38F8">
        <w:rPr>
          <w:rFonts w:ascii="Arial" w:eastAsiaTheme="minorHAnsi" w:hAnsi="Arial" w:cs="Arial"/>
          <w:sz w:val="20"/>
          <w:szCs w:val="20"/>
        </w:rPr>
        <w:t xml:space="preserve">29 % </w:t>
      </w:r>
      <w:r>
        <w:rPr>
          <w:rFonts w:ascii="Arial" w:eastAsiaTheme="minorHAnsi" w:hAnsi="Arial" w:cs="Arial"/>
          <w:sz w:val="20"/>
          <w:szCs w:val="20"/>
        </w:rPr>
        <w:t xml:space="preserve">erneut den höchsten </w:t>
      </w:r>
      <w:r w:rsidRPr="002A38F8">
        <w:rPr>
          <w:rFonts w:ascii="Arial" w:eastAsiaTheme="minorHAnsi" w:hAnsi="Arial" w:cs="Arial"/>
          <w:sz w:val="20"/>
          <w:szCs w:val="20"/>
        </w:rPr>
        <w:t xml:space="preserve">Anteil am Flächenumsatz. </w:t>
      </w:r>
      <w:r>
        <w:rPr>
          <w:rFonts w:ascii="Arial" w:eastAsiaTheme="minorHAnsi" w:hAnsi="Arial" w:cs="Arial"/>
          <w:sz w:val="20"/>
          <w:szCs w:val="20"/>
        </w:rPr>
        <w:t xml:space="preserve">Mit 17 bzw. 15 % </w:t>
      </w:r>
      <w:r w:rsidR="002747E2">
        <w:rPr>
          <w:rFonts w:ascii="Arial" w:eastAsiaTheme="minorHAnsi" w:hAnsi="Arial" w:cs="Arial"/>
          <w:sz w:val="20"/>
          <w:szCs w:val="20"/>
        </w:rPr>
        <w:t>folgten</w:t>
      </w:r>
      <w:r>
        <w:rPr>
          <w:rFonts w:ascii="Arial" w:eastAsiaTheme="minorHAnsi" w:hAnsi="Arial" w:cs="Arial"/>
          <w:sz w:val="20"/>
          <w:szCs w:val="20"/>
        </w:rPr>
        <w:t xml:space="preserve"> die Teilmärkte Hamburg Ost und Umland Nord-Ost.</w:t>
      </w:r>
      <w:r w:rsidR="00C024D1" w:rsidRPr="002A38F8">
        <w:rPr>
          <w:rFonts w:ascii="Arial" w:eastAsiaTheme="minorHAnsi" w:hAnsi="Arial" w:cs="Arial"/>
          <w:sz w:val="20"/>
          <w:szCs w:val="20"/>
        </w:rPr>
        <w:t xml:space="preserve"> </w:t>
      </w:r>
      <w:r w:rsidR="00707260">
        <w:rPr>
          <w:rFonts w:ascii="Arial" w:eastAsiaTheme="minorHAnsi" w:hAnsi="Arial" w:cs="Arial"/>
          <w:sz w:val="20"/>
          <w:szCs w:val="20"/>
        </w:rPr>
        <w:br/>
      </w:r>
      <w:r w:rsidR="009619D1">
        <w:rPr>
          <w:rFonts w:ascii="Arial" w:eastAsiaTheme="minorHAnsi" w:hAnsi="Arial" w:cs="Arial"/>
          <w:sz w:val="20"/>
          <w:szCs w:val="20"/>
        </w:rPr>
        <w:br/>
      </w:r>
      <w:r w:rsidR="00707260">
        <w:rPr>
          <w:rFonts w:ascii="Arial" w:eastAsiaTheme="minorHAnsi" w:hAnsi="Arial" w:cs="Arial"/>
          <w:sz w:val="20"/>
          <w:szCs w:val="20"/>
        </w:rPr>
        <w:br/>
      </w:r>
      <w:r w:rsidR="008C6670" w:rsidRPr="00707260">
        <w:rPr>
          <w:rFonts w:ascii="Arial" w:eastAsiaTheme="minorHAnsi" w:hAnsi="Arial" w:cs="Arial"/>
          <w:sz w:val="20"/>
          <w:szCs w:val="20"/>
        </w:rPr>
        <w:br/>
      </w:r>
    </w:p>
    <w:tbl>
      <w:tblPr>
        <w:tblStyle w:val="TableGrid2"/>
        <w:tblpPr w:leftFromText="141" w:rightFromText="141" w:vertAnchor="text" w:horzAnchor="margin" w:tblpY="106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9A3457" w:rsidRPr="006F49D0" w14:paraId="0BAC8A2E" w14:textId="77777777" w:rsidTr="00BE2424">
        <w:trPr>
          <w:trHeight w:val="255"/>
        </w:trPr>
        <w:tc>
          <w:tcPr>
            <w:tcW w:w="3539" w:type="dxa"/>
            <w:shd w:val="clear" w:color="auto" w:fill="1F242B" w:themeFill="accent2"/>
            <w:vAlign w:val="center"/>
          </w:tcPr>
          <w:p w14:paraId="71EBB413" w14:textId="77777777" w:rsidR="009A3457" w:rsidRPr="00587FDA" w:rsidRDefault="00587FDA" w:rsidP="0088636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A3457"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616335">
              <w:rPr>
                <w:rFonts w:ascii="Arial" w:hAnsi="Arial" w:cs="Arial"/>
                <w:b/>
                <w:sz w:val="18"/>
                <w:szCs w:val="20"/>
              </w:rPr>
              <w:t xml:space="preserve"> Umland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7A683B01" w14:textId="4948E35F" w:rsidR="009A3457" w:rsidRPr="004712BA" w:rsidRDefault="00A76566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2022</w:t>
            </w:r>
            <w:r w:rsidR="00616335">
              <w:rPr>
                <w:rFonts w:ascii="Arial" w:hAnsi="Arial" w:cs="Arial"/>
                <w:b/>
                <w:sz w:val="18"/>
                <w:szCs w:val="16"/>
              </w:rPr>
              <w:t xml:space="preserve"> | </w:t>
            </w:r>
            <w:r w:rsidR="00514293" w:rsidRPr="00F32201">
              <w:rPr>
                <w:rFonts w:ascii="Arial" w:hAnsi="Arial" w:cs="Arial"/>
                <w:b/>
                <w:sz w:val="18"/>
                <w:szCs w:val="16"/>
              </w:rPr>
              <w:t>Q1</w:t>
            </w:r>
            <w:r w:rsidR="008D4D39">
              <w:rPr>
                <w:rFonts w:ascii="Arial" w:hAnsi="Arial" w:cs="Arial"/>
                <w:b/>
                <w:sz w:val="18"/>
                <w:szCs w:val="16"/>
              </w:rPr>
              <w:t>-4</w:t>
            </w:r>
          </w:p>
        </w:tc>
      </w:tr>
      <w:tr w:rsidR="009A3457" w:rsidRPr="006F49D0" w14:paraId="70DF3AA6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53DC114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713A7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5D250936" w14:textId="714C28BA" w:rsidR="009A3457" w:rsidRPr="006A554D" w:rsidRDefault="006A554D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525</w:t>
            </w:r>
            <w:r w:rsidR="00E04869"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.000</w:t>
            </w:r>
          </w:p>
        </w:tc>
      </w:tr>
      <w:tr w:rsidR="009A3457" w:rsidRPr="006F49D0" w14:paraId="043AFEFC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3ED9F0EF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49FCD9C4" w14:textId="54F26B5B" w:rsidR="009A3457" w:rsidRPr="006A554D" w:rsidRDefault="008E38C1" w:rsidP="00126EB1">
            <w:pPr>
              <w:widowControl w:val="0"/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-</w:t>
            </w:r>
            <w:r w:rsidR="006A554D"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17</w:t>
            </w:r>
          </w:p>
        </w:tc>
      </w:tr>
      <w:tr w:rsidR="009A3457" w:rsidRPr="006F49D0" w14:paraId="0E732110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6654C7A9" w14:textId="77777777"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D7C8E7C" w14:textId="325DE45C" w:rsidR="009A3457" w:rsidRPr="006A554D" w:rsidRDefault="006A554D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25</w:t>
            </w:r>
          </w:p>
        </w:tc>
      </w:tr>
      <w:tr w:rsidR="009A3457" w:rsidRPr="006F49D0" w14:paraId="7D6C7858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1C81982" w14:textId="77777777"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22A77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122A77">
              <w:rPr>
                <w:rFonts w:ascii="Arial" w:hAnsi="Arial" w:cs="Arial"/>
                <w:sz w:val="18"/>
                <w:szCs w:val="16"/>
              </w:rPr>
              <w:t>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248780FF" w14:textId="70B933BC" w:rsidR="009A3457" w:rsidRPr="006A554D" w:rsidRDefault="008E38C1" w:rsidP="00A76566">
            <w:pPr>
              <w:widowControl w:val="0"/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2747E2">
              <w:rPr>
                <w:rFonts w:ascii="Arial" w:hAnsi="Arial" w:cs="Arial"/>
                <w:sz w:val="18"/>
                <w:szCs w:val="16"/>
              </w:rPr>
              <w:t>+1</w:t>
            </w:r>
            <w:r w:rsidR="002747E2" w:rsidRPr="002747E2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9A3457" w:rsidRPr="006F49D0" w14:paraId="40BC7CB1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4551D3A3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6F30DDDE" w14:textId="0CBF62D7" w:rsidR="009A3457" w:rsidRPr="006A554D" w:rsidRDefault="006A554D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7,5</w:t>
            </w:r>
            <w:r w:rsidR="00D46C16"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</w:p>
        </w:tc>
      </w:tr>
      <w:tr w:rsidR="009A3457" w14:paraId="74A56634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A0873A3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148E5D1" w14:textId="00C084C3" w:rsidR="009A3457" w:rsidRPr="006A554D" w:rsidRDefault="00E04869" w:rsidP="006A554D">
            <w:pPr>
              <w:widowControl w:val="0"/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6A554D"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17,2</w:t>
            </w:r>
          </w:p>
        </w:tc>
      </w:tr>
      <w:tr w:rsidR="009A3457" w:rsidRPr="006F49D0" w14:paraId="12FCA4FB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84ECC95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14:paraId="520B34FD" w14:textId="25D54D85" w:rsidR="009A3457" w:rsidRPr="006A554D" w:rsidRDefault="00D46C16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5,8</w:t>
            </w:r>
            <w:r w:rsidR="00E04869"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</w:p>
        </w:tc>
      </w:tr>
      <w:tr w:rsidR="009A3457" w14:paraId="6162EAD9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151E736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3E1FB4AB" w14:textId="134AA652" w:rsidR="009A3457" w:rsidRPr="006A554D" w:rsidRDefault="003F03F9" w:rsidP="006A554D">
            <w:pPr>
              <w:widowControl w:val="0"/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6A554D" w:rsidRPr="006A554D">
              <w:rPr>
                <w:rFonts w:ascii="Arial" w:hAnsi="Arial" w:cs="Arial"/>
                <w:color w:val="000000" w:themeColor="text1"/>
                <w:sz w:val="18"/>
                <w:szCs w:val="16"/>
              </w:rPr>
              <w:t>9,4</w:t>
            </w:r>
          </w:p>
        </w:tc>
      </w:tr>
      <w:tr w:rsidR="00395ED5" w:rsidRPr="006F49D0" w14:paraId="13A0ED8E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2AD86D43" w14:textId="77777777"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14:paraId="4BE4626E" w14:textId="7697E8A2" w:rsidR="00395ED5" w:rsidRPr="006A554D" w:rsidRDefault="00723B02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A554D">
              <w:rPr>
                <w:rFonts w:ascii="Arial" w:hAnsi="Arial" w:cs="Arial"/>
                <w:sz w:val="18"/>
                <w:szCs w:val="16"/>
              </w:rPr>
              <w:t>Hamburg Süd</w:t>
            </w:r>
          </w:p>
        </w:tc>
      </w:tr>
      <w:tr w:rsidR="00395ED5" w14:paraId="52AFAC85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FC62107" w14:textId="77777777"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14:paraId="0EEDC51D" w14:textId="71370E06" w:rsidR="00395ED5" w:rsidRPr="006A554D" w:rsidRDefault="006A554D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A554D">
              <w:rPr>
                <w:rFonts w:ascii="Arial" w:hAnsi="Arial" w:cs="Arial"/>
                <w:sz w:val="18"/>
                <w:szCs w:val="16"/>
              </w:rPr>
              <w:t>29</w:t>
            </w:r>
          </w:p>
        </w:tc>
      </w:tr>
      <w:tr w:rsidR="009A3457" w:rsidRPr="006F49D0" w14:paraId="5E737EA1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87A52FE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CEAA99" w14:textId="7CDC887F" w:rsidR="009A3457" w:rsidRPr="006A554D" w:rsidRDefault="008E38C1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A554D">
              <w:rPr>
                <w:rFonts w:ascii="Arial" w:hAnsi="Arial" w:cs="Arial"/>
                <w:sz w:val="18"/>
                <w:szCs w:val="16"/>
              </w:rPr>
              <w:t>Handel</w:t>
            </w:r>
          </w:p>
        </w:tc>
      </w:tr>
      <w:tr w:rsidR="009A3457" w:rsidRPr="006F49D0" w14:paraId="6AE22D82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CDD888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F89E6A" w14:textId="138784CA" w:rsidR="009A3457" w:rsidRPr="006A554D" w:rsidRDefault="006A554D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A554D">
              <w:rPr>
                <w:rFonts w:ascii="Arial" w:hAnsi="Arial" w:cs="Arial"/>
                <w:sz w:val="18"/>
                <w:szCs w:val="16"/>
              </w:rPr>
              <w:t>50</w:t>
            </w:r>
          </w:p>
        </w:tc>
      </w:tr>
    </w:tbl>
    <w:p w14:paraId="411FDB89" w14:textId="37EC0584" w:rsidR="00514293" w:rsidRDefault="002747E2" w:rsidP="000C43E8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03F69F4" wp14:editId="1B30237A">
            <wp:simplePos x="0" y="0"/>
            <wp:positionH relativeFrom="column">
              <wp:posOffset>3475990</wp:posOffset>
            </wp:positionH>
            <wp:positionV relativeFrom="paragraph">
              <wp:posOffset>68685</wp:posOffset>
            </wp:positionV>
            <wp:extent cx="2597150" cy="2237740"/>
            <wp:effectExtent l="19050" t="19050" r="12700" b="1016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tegrafik für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2377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6F">
        <w:rPr>
          <w:rFonts w:ascii="Arial" w:hAnsi="Arial" w:cs="Arial"/>
          <w:b/>
          <w:sz w:val="20"/>
          <w:szCs w:val="20"/>
        </w:rPr>
        <w:tab/>
      </w:r>
    </w:p>
    <w:p w14:paraId="73FCBFF3" w14:textId="1F1F26D0" w:rsidR="00581456" w:rsidRDefault="00581456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A1EC59" w14:textId="64487056" w:rsidR="008C6670" w:rsidRDefault="008C6670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E635255" w14:textId="77777777" w:rsidR="000C43E8" w:rsidRDefault="000C43E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1A36C5A" w14:textId="34538984" w:rsidR="009A3457" w:rsidRPr="004C4080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514293">
        <w:rPr>
          <w:rFonts w:ascii="Arial" w:hAnsi="Arial" w:cs="Arial"/>
          <w:b/>
          <w:sz w:val="20"/>
          <w:szCs w:val="20"/>
        </w:rPr>
        <w:t xml:space="preserve">bekannte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BF3C49">
        <w:rPr>
          <w:rFonts w:ascii="Arial" w:hAnsi="Arial" w:cs="Arial"/>
          <w:b/>
          <w:sz w:val="20"/>
          <w:szCs w:val="20"/>
        </w:rPr>
        <w:t>Abschlüsse</w:t>
      </w:r>
      <w:r w:rsidR="00E455D7">
        <w:rPr>
          <w:rFonts w:ascii="Arial" w:hAnsi="Arial" w:cs="Arial"/>
          <w:b/>
          <w:sz w:val="20"/>
          <w:szCs w:val="20"/>
        </w:rPr>
        <w:t xml:space="preserve"> | </w:t>
      </w:r>
      <w:r w:rsidR="005C29E5">
        <w:rPr>
          <w:rFonts w:ascii="Arial" w:eastAsiaTheme="minorHAnsi" w:hAnsi="Arial" w:cs="Arial"/>
          <w:b/>
          <w:sz w:val="20"/>
          <w:szCs w:val="20"/>
        </w:rPr>
        <w:t xml:space="preserve">Industrie &amp;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Logistik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 w:rsidR="005C29E5">
        <w:rPr>
          <w:rFonts w:ascii="Arial" w:hAnsi="Arial" w:cs="Arial"/>
          <w:b/>
          <w:sz w:val="20"/>
          <w:szCs w:val="20"/>
        </w:rPr>
        <w:t>&amp;</w:t>
      </w:r>
      <w:r w:rsidR="003A22D7">
        <w:rPr>
          <w:rFonts w:ascii="Arial" w:hAnsi="Arial" w:cs="Arial"/>
          <w:b/>
          <w:sz w:val="20"/>
          <w:szCs w:val="20"/>
        </w:rPr>
        <w:t xml:space="preserve"> Umland </w:t>
      </w:r>
      <w:r w:rsidR="000F726E">
        <w:rPr>
          <w:rFonts w:ascii="Arial" w:hAnsi="Arial" w:cs="Arial"/>
          <w:b/>
          <w:sz w:val="20"/>
          <w:szCs w:val="20"/>
        </w:rPr>
        <w:t>|</w:t>
      </w:r>
      <w:r w:rsidR="00BF3C49">
        <w:rPr>
          <w:rFonts w:ascii="Arial" w:hAnsi="Arial" w:cs="Arial"/>
          <w:b/>
          <w:sz w:val="20"/>
          <w:szCs w:val="20"/>
        </w:rPr>
        <w:t xml:space="preserve"> </w:t>
      </w:r>
      <w:r w:rsidR="00A76566">
        <w:rPr>
          <w:rFonts w:ascii="Arial" w:hAnsi="Arial" w:cs="Arial"/>
          <w:b/>
          <w:sz w:val="20"/>
          <w:szCs w:val="20"/>
        </w:rPr>
        <w:t>2022 Q1</w:t>
      </w:r>
      <w:r w:rsidR="008D4D39">
        <w:rPr>
          <w:rFonts w:ascii="Arial" w:hAnsi="Arial" w:cs="Arial"/>
          <w:b/>
          <w:sz w:val="20"/>
          <w:szCs w:val="20"/>
        </w:rPr>
        <w:t>-4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187"/>
        <w:gridCol w:w="2149"/>
        <w:gridCol w:w="3038"/>
        <w:gridCol w:w="2275"/>
        <w:gridCol w:w="985"/>
      </w:tblGrid>
      <w:tr w:rsidR="00C36C38" w:rsidRPr="0017364E" w14:paraId="2FDA1885" w14:textId="77777777" w:rsidTr="001A2246">
        <w:trPr>
          <w:trHeight w:val="542"/>
        </w:trPr>
        <w:tc>
          <w:tcPr>
            <w:tcW w:w="1187" w:type="dxa"/>
            <w:shd w:val="clear" w:color="auto" w:fill="1F242B" w:themeFill="accent2"/>
          </w:tcPr>
          <w:p w14:paraId="35808679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149" w:type="dxa"/>
            <w:shd w:val="clear" w:color="auto" w:fill="1F242B" w:themeFill="accent2"/>
          </w:tcPr>
          <w:p w14:paraId="1EB39844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3038" w:type="dxa"/>
            <w:shd w:val="clear" w:color="auto" w:fill="1F242B" w:themeFill="accent2"/>
          </w:tcPr>
          <w:p w14:paraId="6AE5270B" w14:textId="4B1A2302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275" w:type="dxa"/>
            <w:shd w:val="clear" w:color="auto" w:fill="1F242B" w:themeFill="accent2"/>
          </w:tcPr>
          <w:p w14:paraId="7417AFA1" w14:textId="1F3BB6A8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985" w:type="dxa"/>
            <w:shd w:val="clear" w:color="auto" w:fill="1F242B" w:themeFill="accent2"/>
          </w:tcPr>
          <w:p w14:paraId="4BB99D36" w14:textId="77777777" w:rsidR="00C36C38" w:rsidRPr="00873089" w:rsidRDefault="00C36C38" w:rsidP="00D1136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14:paraId="2AD105D9" w14:textId="77777777" w:rsidR="00C36C38" w:rsidRPr="00627692" w:rsidRDefault="00627692" w:rsidP="00D11364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46C16" w:rsidRPr="0017364E" w14:paraId="68A68125" w14:textId="77777777" w:rsidTr="001A2246">
        <w:trPr>
          <w:trHeight w:val="542"/>
        </w:trPr>
        <w:tc>
          <w:tcPr>
            <w:tcW w:w="1187" w:type="dxa"/>
            <w:shd w:val="clear" w:color="auto" w:fill="auto"/>
            <w:vAlign w:val="center"/>
          </w:tcPr>
          <w:p w14:paraId="0D39C9C0" w14:textId="0A1526D6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Stelle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CFD76F4" w14:textId="244B0EF3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Harburger Straße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22C9754A" w14:textId="05F23870" w:rsidR="00D46C16" w:rsidRDefault="00D46C16" w:rsidP="00BE24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Logistikzentrum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5A55B18" w14:textId="2F05B5D5" w:rsidR="00D46C16" w:rsidRDefault="00D46C16" w:rsidP="00A31B4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Aldi</w:t>
            </w:r>
            <w:r w:rsidR="001A2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2246" w:rsidRPr="001A2246">
              <w:rPr>
                <w:rFonts w:ascii="Arial" w:hAnsi="Arial" w:cs="Arial"/>
                <w:b/>
                <w:sz w:val="16"/>
                <w:szCs w:val="16"/>
              </w:rPr>
              <w:t>(EN)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A47EEF" w14:textId="3883FBF6" w:rsidR="00D46C16" w:rsidRDefault="00D46C1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42.500</w:t>
            </w:r>
          </w:p>
        </w:tc>
      </w:tr>
      <w:tr w:rsidR="006A554D" w:rsidRPr="0017364E" w14:paraId="0ACB685E" w14:textId="77777777" w:rsidTr="006A554D">
        <w:trPr>
          <w:trHeight w:val="542"/>
        </w:trPr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7A55B14" w14:textId="1C6A31B2" w:rsidR="006A554D" w:rsidRDefault="006A554D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1DA3F598" w14:textId="6E54EAAA" w:rsidR="006A554D" w:rsidRDefault="002747E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Teilmarkt Hamburg Süd</w:t>
            </w: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14:paraId="36118E47" w14:textId="3987D2F9" w:rsidR="006A554D" w:rsidRDefault="005B5D36" w:rsidP="00BE24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C73F7">
              <w:rPr>
                <w:rFonts w:ascii="Arial" w:hAnsi="Arial" w:cs="Arial"/>
                <w:sz w:val="16"/>
                <w:szCs w:val="16"/>
              </w:rPr>
              <w:t>Bestands-Logistikzentrum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14:paraId="5A8C0D43" w14:textId="2D5EE161" w:rsidR="006A554D" w:rsidRDefault="006A554D" w:rsidP="00A31B4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Airbus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9E5AA84" w14:textId="154CA64F" w:rsidR="006A554D" w:rsidRDefault="006A554D" w:rsidP="002747E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  <w:r w:rsidR="002747E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723B02" w:rsidRPr="0017364E" w14:paraId="69D3244D" w14:textId="77777777" w:rsidTr="001A2246">
        <w:trPr>
          <w:trHeight w:val="542"/>
        </w:trPr>
        <w:tc>
          <w:tcPr>
            <w:tcW w:w="1187" w:type="dxa"/>
            <w:shd w:val="clear" w:color="auto" w:fill="auto"/>
            <w:vAlign w:val="center"/>
          </w:tcPr>
          <w:p w14:paraId="412CEF0C" w14:textId="17CD2BAD" w:rsidR="00723B02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Geesthacht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3DB82F0" w14:textId="1F538C86" w:rsidR="00192487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Düneberger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Straße 70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473B1A63" w14:textId="16920D9C" w:rsidR="00192487" w:rsidRPr="00154797" w:rsidRDefault="00ED765A" w:rsidP="00BE24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Ehemalige Norddeutsche Teppichfabrik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17022B4" w14:textId="2DF01E76" w:rsidR="00723B02" w:rsidRDefault="00126EB1" w:rsidP="00A31B4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Pfaff Logistik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F02BF6" w14:textId="7B584CBE" w:rsidR="00723B02" w:rsidRDefault="00A7656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29.500</w:t>
            </w:r>
          </w:p>
        </w:tc>
      </w:tr>
      <w:tr w:rsidR="00D46C16" w:rsidRPr="0017364E" w14:paraId="1BCBC91F" w14:textId="77777777" w:rsidTr="008D4D39">
        <w:trPr>
          <w:trHeight w:val="542"/>
        </w:trPr>
        <w:tc>
          <w:tcPr>
            <w:tcW w:w="1187" w:type="dxa"/>
            <w:shd w:val="clear" w:color="auto" w:fill="auto"/>
            <w:vAlign w:val="center"/>
          </w:tcPr>
          <w:p w14:paraId="01A3BA39" w14:textId="7A34781F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Kaltenkirchen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12BD3DC" w14:textId="0AECD4D0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Werner-von-Siemens-Straße 10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096B466A" w14:textId="6B049AD9" w:rsidR="00D46C16" w:rsidRPr="00154797" w:rsidRDefault="00750125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Neubau</w:t>
            </w:r>
            <w:r w:rsidR="00707260">
              <w:rPr>
                <w:rFonts w:ascii="Arial" w:hAnsi="Arial" w:cs="Arial"/>
                <w:sz w:val="16"/>
                <w:szCs w:val="16"/>
              </w:rPr>
              <w:t>-Logistikzentrum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37904EA" w14:textId="05BF70CA" w:rsidR="00D46C16" w:rsidRDefault="00D46C1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Picnic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14:paraId="04BE839D" w14:textId="5584AE62" w:rsidR="00D46C16" w:rsidRDefault="00D46C1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25.300</w:t>
            </w:r>
          </w:p>
        </w:tc>
      </w:tr>
      <w:tr w:rsidR="009C5E5C" w:rsidRPr="0017364E" w14:paraId="632D8050" w14:textId="77777777" w:rsidTr="001A2246">
        <w:trPr>
          <w:trHeight w:val="542"/>
        </w:trPr>
        <w:tc>
          <w:tcPr>
            <w:tcW w:w="1187" w:type="dxa"/>
            <w:shd w:val="clear" w:color="auto" w:fill="auto"/>
            <w:vAlign w:val="center"/>
          </w:tcPr>
          <w:p w14:paraId="5CEB731E" w14:textId="3CE99B28" w:rsidR="009C5E5C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FAC26B5" w14:textId="4492E690" w:rsidR="009C5E5C" w:rsidRPr="004C4080" w:rsidRDefault="001753A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Reiherstieg-Hauptdeich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76566">
              <w:rPr>
                <w:rFonts w:ascii="Arial" w:hAnsi="Arial" w:cs="Arial"/>
                <w:sz w:val="16"/>
                <w:szCs w:val="16"/>
              </w:rPr>
              <w:t>39-47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1A55BB4F" w14:textId="6B6195C3" w:rsidR="009C5E5C" w:rsidRPr="00154797" w:rsidRDefault="004C4080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4797">
              <w:rPr>
                <w:rFonts w:ascii="Arial" w:hAnsi="Arial" w:cs="Arial"/>
                <w:sz w:val="16"/>
                <w:szCs w:val="16"/>
              </w:rPr>
              <w:t>„</w:t>
            </w:r>
            <w:r w:rsidR="00ED765A">
              <w:rPr>
                <w:rFonts w:ascii="Arial" w:hAnsi="Arial" w:cs="Arial"/>
                <w:sz w:val="16"/>
                <w:szCs w:val="16"/>
              </w:rPr>
              <w:t>Mach</w:t>
            </w:r>
            <w:r w:rsidR="00A76566">
              <w:rPr>
                <w:rFonts w:ascii="Arial" w:hAnsi="Arial" w:cs="Arial"/>
                <w:sz w:val="16"/>
                <w:szCs w:val="16"/>
              </w:rPr>
              <w:t xml:space="preserve">2 / </w:t>
            </w:r>
            <w:proofErr w:type="spellStart"/>
            <w:r w:rsidR="00A76566">
              <w:rPr>
                <w:rFonts w:ascii="Arial" w:hAnsi="Arial" w:cs="Arial"/>
                <w:sz w:val="16"/>
                <w:szCs w:val="16"/>
              </w:rPr>
              <w:t>Four</w:t>
            </w:r>
            <w:proofErr w:type="spellEnd"/>
            <w:r w:rsidR="00A765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76566">
              <w:rPr>
                <w:rFonts w:ascii="Arial" w:hAnsi="Arial" w:cs="Arial"/>
                <w:sz w:val="16"/>
                <w:szCs w:val="16"/>
              </w:rPr>
              <w:t>Parx</w:t>
            </w:r>
            <w:proofErr w:type="spellEnd"/>
            <w:r w:rsidR="00A76566">
              <w:rPr>
                <w:rFonts w:ascii="Arial" w:hAnsi="Arial" w:cs="Arial"/>
                <w:sz w:val="16"/>
                <w:szCs w:val="16"/>
              </w:rPr>
              <w:t xml:space="preserve"> Hamburg</w:t>
            </w:r>
            <w:r w:rsidRPr="00154797">
              <w:rPr>
                <w:rFonts w:ascii="Arial" w:hAnsi="Arial" w:cs="Arial"/>
                <w:sz w:val="16"/>
                <w:szCs w:val="16"/>
              </w:rPr>
              <w:t>“</w:t>
            </w:r>
            <w:r w:rsidR="00A76566">
              <w:rPr>
                <w:rFonts w:ascii="Arial" w:hAnsi="Arial" w:cs="Arial"/>
                <w:sz w:val="16"/>
                <w:szCs w:val="16"/>
              </w:rPr>
              <w:t>,</w:t>
            </w:r>
            <w:r w:rsidR="001753A7">
              <w:rPr>
                <w:rFonts w:ascii="Arial" w:hAnsi="Arial" w:cs="Arial"/>
                <w:sz w:val="16"/>
                <w:szCs w:val="16"/>
              </w:rPr>
              <w:br/>
            </w:r>
            <w:r w:rsidR="00154797" w:rsidRPr="006021B6">
              <w:rPr>
                <w:rFonts w:ascii="Arial" w:hAnsi="Arial" w:cs="Arial"/>
                <w:sz w:val="16"/>
                <w:szCs w:val="16"/>
              </w:rPr>
              <w:t>Neubau-Logistikhalle</w:t>
            </w:r>
            <w:r w:rsidR="00BA1A9C" w:rsidRPr="006021B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5FF7919" w14:textId="505E0793" w:rsidR="009C5E5C" w:rsidRPr="004C4080" w:rsidRDefault="00126EB1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JYSK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D5A527" w14:textId="2578732F" w:rsidR="009C5E5C" w:rsidRPr="004C4080" w:rsidRDefault="006A608F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</w:tr>
    </w:tbl>
    <w:p w14:paraId="025D18C3" w14:textId="77777777" w:rsidR="008E38C1" w:rsidRPr="00154797" w:rsidRDefault="008E38C1" w:rsidP="008E38C1">
      <w:pPr>
        <w:spacing w:after="0" w:line="36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54797">
        <w:rPr>
          <w:rFonts w:ascii="Arial" w:eastAsia="Arial" w:hAnsi="Arial" w:cs="Arial"/>
          <w:color w:val="000000" w:themeColor="text1"/>
          <w:sz w:val="16"/>
          <w:szCs w:val="16"/>
        </w:rPr>
        <w:t>Neue Deals sind farblich hervorgehoben</w:t>
      </w:r>
    </w:p>
    <w:p w14:paraId="66526736" w14:textId="77777777" w:rsidR="008E38C1" w:rsidRDefault="008E38C1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5C7E3C4" w14:textId="6C577059" w:rsidR="006E5C9C" w:rsidRDefault="00A76566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Der</w:t>
      </w:r>
      <w:r w:rsidR="00D46C1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45290" w:rsidRPr="00D46C16">
          <w:rPr>
            <w:rStyle w:val="Hyperlink"/>
            <w:rFonts w:ascii="Arial" w:hAnsi="Arial" w:cs="Arial"/>
            <w:sz w:val="20"/>
            <w:szCs w:val="20"/>
          </w:rPr>
          <w:t>Marktbericht</w:t>
        </w:r>
        <w:r w:rsidR="00F45290" w:rsidRPr="00D46C16">
          <w:rPr>
            <w:rStyle w:val="Hyperlink"/>
            <w:rFonts w:ascii="Arial" w:eastAsia="Arial" w:hAnsi="Arial" w:cs="Arial"/>
            <w:sz w:val="20"/>
            <w:szCs w:val="20"/>
          </w:rPr>
          <w:t xml:space="preserve"> Industrie &amp; Logistik </w:t>
        </w:r>
        <w:r w:rsidR="00514293" w:rsidRPr="00D46C16">
          <w:rPr>
            <w:rStyle w:val="Hyperlink"/>
            <w:rFonts w:ascii="Arial" w:eastAsia="Arial" w:hAnsi="Arial" w:cs="Arial"/>
            <w:sz w:val="20"/>
            <w:szCs w:val="20"/>
          </w:rPr>
          <w:t xml:space="preserve">Hamburg </w:t>
        </w:r>
        <w:r w:rsidR="00F45290" w:rsidRPr="00D46C16">
          <w:rPr>
            <w:rStyle w:val="Hyperlink"/>
            <w:rFonts w:ascii="Arial" w:eastAsia="Arial" w:hAnsi="Arial" w:cs="Arial"/>
            <w:sz w:val="20"/>
            <w:szCs w:val="20"/>
          </w:rPr>
          <w:t>2022/Q</w:t>
        </w:r>
        <w:r w:rsidR="00D46C16" w:rsidRPr="00D46C16">
          <w:rPr>
            <w:rStyle w:val="Hyperlink"/>
            <w:rFonts w:ascii="Arial" w:eastAsia="Arial" w:hAnsi="Arial" w:cs="Arial"/>
            <w:sz w:val="20"/>
            <w:szCs w:val="20"/>
          </w:rPr>
          <w:t>4</w:t>
        </w:r>
      </w:hyperlink>
      <w:r w:rsidR="00F4529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619D1">
        <w:rPr>
          <w:rFonts w:ascii="Arial" w:eastAsia="Arial" w:hAnsi="Arial" w:cs="Arial"/>
          <w:color w:val="000000" w:themeColor="text1"/>
          <w:sz w:val="20"/>
          <w:szCs w:val="20"/>
        </w:rPr>
        <w:t>steht</w:t>
      </w:r>
      <w:r w:rsid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F03F9">
        <w:rPr>
          <w:rFonts w:ascii="Arial" w:eastAsia="Arial" w:hAnsi="Arial" w:cs="Arial"/>
          <w:color w:val="000000" w:themeColor="text1"/>
          <w:sz w:val="20"/>
          <w:szCs w:val="20"/>
        </w:rPr>
        <w:t>als Download-PDF</w:t>
      </w:r>
      <w:r w:rsidR="003F03F9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500A5" w:rsidRPr="006D360D">
        <w:rPr>
          <w:rFonts w:ascii="Arial" w:eastAsia="Arial" w:hAnsi="Arial" w:cs="Arial"/>
          <w:color w:val="000000" w:themeColor="text1"/>
          <w:sz w:val="20"/>
          <w:szCs w:val="20"/>
        </w:rPr>
        <w:t>auf unserer Website</w:t>
      </w:r>
      <w:r w:rsidR="009619D1">
        <w:rPr>
          <w:rFonts w:ascii="Arial" w:eastAsia="Arial" w:hAnsi="Arial" w:cs="Arial"/>
          <w:color w:val="000000" w:themeColor="text1"/>
          <w:sz w:val="20"/>
          <w:szCs w:val="20"/>
        </w:rPr>
        <w:t xml:space="preserve"> bereit</w:t>
      </w:r>
      <w:r w:rsidR="00E36AA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079D55C" w14:textId="77777777" w:rsidR="00514293" w:rsidRDefault="00514293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84199FB" w14:textId="77777777" w:rsidR="0069237A" w:rsidRPr="0090748B" w:rsidRDefault="0069237A" w:rsidP="0069237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47BCFDA3" w14:textId="77777777" w:rsidR="0069237A" w:rsidRPr="00521AA1" w:rsidRDefault="0069237A" w:rsidP="0069237A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</w:t>
      </w:r>
      <w:bookmarkStart w:id="0" w:name="_GoBack"/>
      <w:bookmarkEnd w:id="0"/>
      <w:r w:rsidRPr="00521AA1">
        <w:rPr>
          <w:rFonts w:ascii="Arial" w:hAnsi="Arial" w:cs="Arial"/>
          <w:snapToGrid w:val="0"/>
          <w:sz w:val="16"/>
          <w:szCs w:val="16"/>
        </w:rPr>
        <w:t>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385B2CAF" w14:textId="77777777" w:rsidR="0069237A" w:rsidRPr="00521AA1" w:rsidRDefault="0069237A" w:rsidP="0069237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CCE0094" w14:textId="77777777" w:rsidR="0069237A" w:rsidRDefault="0069237A" w:rsidP="0069237A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B5501F7" w14:textId="2F919056" w:rsidR="00503D8C" w:rsidRPr="0069237A" w:rsidRDefault="0069237A" w:rsidP="0069237A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69237A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3CCF" w14:textId="77777777" w:rsidR="006261DF" w:rsidRDefault="006261DF">
      <w:r>
        <w:separator/>
      </w:r>
    </w:p>
  </w:endnote>
  <w:endnote w:type="continuationSeparator" w:id="0">
    <w:p w14:paraId="14854E2A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E4DE" w14:textId="35B43FAD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05C3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05C3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2523E5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2523E5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161708D2" w14:textId="63E0400D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246FA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246FA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F838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E89235B" wp14:editId="0E1E20DF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695C" w14:textId="77777777" w:rsidR="006261DF" w:rsidRDefault="006261DF">
      <w:r>
        <w:separator/>
      </w:r>
    </w:p>
  </w:footnote>
  <w:footnote w:type="continuationSeparator" w:id="0">
    <w:p w14:paraId="019878D3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1852" w14:textId="77777777"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BAE9B7" wp14:editId="6A6E2B17">
              <wp:simplePos x="0" y="0"/>
              <wp:positionH relativeFrom="margin">
                <wp:posOffset>-92075</wp:posOffset>
              </wp:positionH>
              <wp:positionV relativeFrom="paragraph">
                <wp:posOffset>30703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FB114" w14:textId="4CB68D7B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2523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2523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AE9B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2.4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CxqKu83QAA&#10;AAgBAAAPAAAAAAAAAAAAAAAAAGUEAABkcnMvZG93bnJldi54bWxQSwUGAAAAAAQABADzAAAAbwUA&#10;AAAA&#10;" filled="f" stroked="f">
              <v:textbox>
                <w:txbxContent>
                  <w:p w14:paraId="34DFB114" w14:textId="4CB68D7B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2523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2523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22F114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5D4E" w14:textId="77777777"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2CF69" wp14:editId="52804C30">
              <wp:simplePos x="0" y="0"/>
              <wp:positionH relativeFrom="margin">
                <wp:posOffset>-85725</wp:posOffset>
              </wp:positionH>
              <wp:positionV relativeFrom="paragraph">
                <wp:posOffset>20543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5B96" w14:textId="59815738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</w:t>
                          </w:r>
                          <w:r w:rsidR="002523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2523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CF6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6.75pt;margin-top:1.6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" filled="f" stroked="f">
              <v:textbox>
                <w:txbxContent>
                  <w:p w14:paraId="7E2A5B96" w14:textId="59815738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</w:t>
                    </w:r>
                    <w:r w:rsidR="002523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2523E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034665C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034E41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49B"/>
    <w:rsid w:val="00011A38"/>
    <w:rsid w:val="000159FE"/>
    <w:rsid w:val="00016DDB"/>
    <w:rsid w:val="00021042"/>
    <w:rsid w:val="00022F16"/>
    <w:rsid w:val="00023D78"/>
    <w:rsid w:val="0003075C"/>
    <w:rsid w:val="00037015"/>
    <w:rsid w:val="00041728"/>
    <w:rsid w:val="00044CC7"/>
    <w:rsid w:val="00045187"/>
    <w:rsid w:val="00050ADA"/>
    <w:rsid w:val="00050E03"/>
    <w:rsid w:val="00057266"/>
    <w:rsid w:val="00060743"/>
    <w:rsid w:val="00066796"/>
    <w:rsid w:val="000720D7"/>
    <w:rsid w:val="000766D7"/>
    <w:rsid w:val="0007670A"/>
    <w:rsid w:val="00082C21"/>
    <w:rsid w:val="00082FDC"/>
    <w:rsid w:val="00083FC2"/>
    <w:rsid w:val="00091B06"/>
    <w:rsid w:val="00095029"/>
    <w:rsid w:val="000A0C99"/>
    <w:rsid w:val="000A1F83"/>
    <w:rsid w:val="000A5ED1"/>
    <w:rsid w:val="000B1606"/>
    <w:rsid w:val="000B3315"/>
    <w:rsid w:val="000C43E8"/>
    <w:rsid w:val="000C770D"/>
    <w:rsid w:val="000D06E3"/>
    <w:rsid w:val="000D56BE"/>
    <w:rsid w:val="000E03F3"/>
    <w:rsid w:val="000E0716"/>
    <w:rsid w:val="000E3494"/>
    <w:rsid w:val="000E7BC7"/>
    <w:rsid w:val="000F726E"/>
    <w:rsid w:val="001029C4"/>
    <w:rsid w:val="00105EAA"/>
    <w:rsid w:val="0011079D"/>
    <w:rsid w:val="0011486D"/>
    <w:rsid w:val="00115984"/>
    <w:rsid w:val="00120853"/>
    <w:rsid w:val="00121E33"/>
    <w:rsid w:val="0012238F"/>
    <w:rsid w:val="00122A77"/>
    <w:rsid w:val="0012329F"/>
    <w:rsid w:val="00123619"/>
    <w:rsid w:val="00126550"/>
    <w:rsid w:val="00126EB1"/>
    <w:rsid w:val="00127639"/>
    <w:rsid w:val="001324D6"/>
    <w:rsid w:val="00135BD2"/>
    <w:rsid w:val="00135E09"/>
    <w:rsid w:val="0014179B"/>
    <w:rsid w:val="00141FCC"/>
    <w:rsid w:val="00142B3C"/>
    <w:rsid w:val="00143170"/>
    <w:rsid w:val="00143504"/>
    <w:rsid w:val="00143D29"/>
    <w:rsid w:val="00154797"/>
    <w:rsid w:val="00154825"/>
    <w:rsid w:val="0015550E"/>
    <w:rsid w:val="00162BD4"/>
    <w:rsid w:val="00163DB4"/>
    <w:rsid w:val="00170928"/>
    <w:rsid w:val="0017364E"/>
    <w:rsid w:val="0017516B"/>
    <w:rsid w:val="001753A7"/>
    <w:rsid w:val="00176F1D"/>
    <w:rsid w:val="0018068D"/>
    <w:rsid w:val="00181313"/>
    <w:rsid w:val="00185026"/>
    <w:rsid w:val="0018568C"/>
    <w:rsid w:val="001871BC"/>
    <w:rsid w:val="00192487"/>
    <w:rsid w:val="001A2246"/>
    <w:rsid w:val="001A2ABE"/>
    <w:rsid w:val="001A360C"/>
    <w:rsid w:val="001A6053"/>
    <w:rsid w:val="001A7E51"/>
    <w:rsid w:val="001C4F70"/>
    <w:rsid w:val="001C72E7"/>
    <w:rsid w:val="001D14DA"/>
    <w:rsid w:val="001E1172"/>
    <w:rsid w:val="001E1BA2"/>
    <w:rsid w:val="001E6995"/>
    <w:rsid w:val="001F0C02"/>
    <w:rsid w:val="001F1513"/>
    <w:rsid w:val="001F3388"/>
    <w:rsid w:val="0020444E"/>
    <w:rsid w:val="00205769"/>
    <w:rsid w:val="00212FEC"/>
    <w:rsid w:val="002131BB"/>
    <w:rsid w:val="0022086D"/>
    <w:rsid w:val="00223A7F"/>
    <w:rsid w:val="00226799"/>
    <w:rsid w:val="00227E31"/>
    <w:rsid w:val="00230F81"/>
    <w:rsid w:val="002341EE"/>
    <w:rsid w:val="00237341"/>
    <w:rsid w:val="00246FA0"/>
    <w:rsid w:val="00251750"/>
    <w:rsid w:val="002523E5"/>
    <w:rsid w:val="00252F48"/>
    <w:rsid w:val="00254C6F"/>
    <w:rsid w:val="00255679"/>
    <w:rsid w:val="002578C6"/>
    <w:rsid w:val="00262F5F"/>
    <w:rsid w:val="00264489"/>
    <w:rsid w:val="002677B9"/>
    <w:rsid w:val="0027266B"/>
    <w:rsid w:val="002747E2"/>
    <w:rsid w:val="00274D58"/>
    <w:rsid w:val="00281E80"/>
    <w:rsid w:val="00282986"/>
    <w:rsid w:val="002834B0"/>
    <w:rsid w:val="00283671"/>
    <w:rsid w:val="00284A5D"/>
    <w:rsid w:val="00284E27"/>
    <w:rsid w:val="0029137A"/>
    <w:rsid w:val="00294B7D"/>
    <w:rsid w:val="002A1973"/>
    <w:rsid w:val="002A2641"/>
    <w:rsid w:val="002A38F8"/>
    <w:rsid w:val="002A4913"/>
    <w:rsid w:val="002A7502"/>
    <w:rsid w:val="002A7FFD"/>
    <w:rsid w:val="002B14F6"/>
    <w:rsid w:val="002B1B51"/>
    <w:rsid w:val="002C055A"/>
    <w:rsid w:val="002C2392"/>
    <w:rsid w:val="002D1C5C"/>
    <w:rsid w:val="002D1E20"/>
    <w:rsid w:val="002E5576"/>
    <w:rsid w:val="002E6200"/>
    <w:rsid w:val="002E6860"/>
    <w:rsid w:val="002F0411"/>
    <w:rsid w:val="002F317E"/>
    <w:rsid w:val="002F4176"/>
    <w:rsid w:val="002F4A7D"/>
    <w:rsid w:val="002F767E"/>
    <w:rsid w:val="00301F3A"/>
    <w:rsid w:val="00305878"/>
    <w:rsid w:val="003109D2"/>
    <w:rsid w:val="0031494D"/>
    <w:rsid w:val="003246F0"/>
    <w:rsid w:val="00325E2A"/>
    <w:rsid w:val="003272F3"/>
    <w:rsid w:val="003338B5"/>
    <w:rsid w:val="0033490B"/>
    <w:rsid w:val="003375D4"/>
    <w:rsid w:val="003377DF"/>
    <w:rsid w:val="00340421"/>
    <w:rsid w:val="003421A6"/>
    <w:rsid w:val="00345716"/>
    <w:rsid w:val="0034786C"/>
    <w:rsid w:val="003517C9"/>
    <w:rsid w:val="00357EC4"/>
    <w:rsid w:val="00361A4A"/>
    <w:rsid w:val="003627E1"/>
    <w:rsid w:val="00363EAC"/>
    <w:rsid w:val="00365FE2"/>
    <w:rsid w:val="00370000"/>
    <w:rsid w:val="003704BA"/>
    <w:rsid w:val="003709DA"/>
    <w:rsid w:val="00373507"/>
    <w:rsid w:val="00375B11"/>
    <w:rsid w:val="00377A09"/>
    <w:rsid w:val="00381BED"/>
    <w:rsid w:val="0038230E"/>
    <w:rsid w:val="00382529"/>
    <w:rsid w:val="003923CD"/>
    <w:rsid w:val="0039259C"/>
    <w:rsid w:val="00395564"/>
    <w:rsid w:val="00395ED5"/>
    <w:rsid w:val="00395FA7"/>
    <w:rsid w:val="0039600D"/>
    <w:rsid w:val="003A00C9"/>
    <w:rsid w:val="003A22D7"/>
    <w:rsid w:val="003A25A4"/>
    <w:rsid w:val="003A4054"/>
    <w:rsid w:val="003A4DDA"/>
    <w:rsid w:val="003A6BDC"/>
    <w:rsid w:val="003B40F8"/>
    <w:rsid w:val="003B49E4"/>
    <w:rsid w:val="003B4CCF"/>
    <w:rsid w:val="003B6CD4"/>
    <w:rsid w:val="003C21F2"/>
    <w:rsid w:val="003C6AB4"/>
    <w:rsid w:val="003C7E40"/>
    <w:rsid w:val="003D01C2"/>
    <w:rsid w:val="003D0A8A"/>
    <w:rsid w:val="003D1B49"/>
    <w:rsid w:val="003D2BB6"/>
    <w:rsid w:val="003D58A6"/>
    <w:rsid w:val="003D5CFE"/>
    <w:rsid w:val="003D6FF9"/>
    <w:rsid w:val="003E099F"/>
    <w:rsid w:val="003E15F5"/>
    <w:rsid w:val="003E48E3"/>
    <w:rsid w:val="003E4DF9"/>
    <w:rsid w:val="003F03F9"/>
    <w:rsid w:val="003F5967"/>
    <w:rsid w:val="003F665D"/>
    <w:rsid w:val="003F7C37"/>
    <w:rsid w:val="0040086D"/>
    <w:rsid w:val="004017D8"/>
    <w:rsid w:val="00404594"/>
    <w:rsid w:val="00404D58"/>
    <w:rsid w:val="00411E03"/>
    <w:rsid w:val="004123B1"/>
    <w:rsid w:val="004303A1"/>
    <w:rsid w:val="00440DC9"/>
    <w:rsid w:val="004433EA"/>
    <w:rsid w:val="004450C4"/>
    <w:rsid w:val="00446638"/>
    <w:rsid w:val="004506D2"/>
    <w:rsid w:val="00451530"/>
    <w:rsid w:val="00455FC3"/>
    <w:rsid w:val="00456F40"/>
    <w:rsid w:val="004609BD"/>
    <w:rsid w:val="00464B04"/>
    <w:rsid w:val="004661EE"/>
    <w:rsid w:val="00466741"/>
    <w:rsid w:val="00470064"/>
    <w:rsid w:val="00474753"/>
    <w:rsid w:val="004761F0"/>
    <w:rsid w:val="00476E2B"/>
    <w:rsid w:val="004843A0"/>
    <w:rsid w:val="004875DB"/>
    <w:rsid w:val="004A27D9"/>
    <w:rsid w:val="004A2BEA"/>
    <w:rsid w:val="004A3C64"/>
    <w:rsid w:val="004A4AA9"/>
    <w:rsid w:val="004A5AD1"/>
    <w:rsid w:val="004A5AEA"/>
    <w:rsid w:val="004B2FDA"/>
    <w:rsid w:val="004B45A2"/>
    <w:rsid w:val="004B480A"/>
    <w:rsid w:val="004C0CA2"/>
    <w:rsid w:val="004C4080"/>
    <w:rsid w:val="004C48C8"/>
    <w:rsid w:val="004C6712"/>
    <w:rsid w:val="004C6E6E"/>
    <w:rsid w:val="004D50C0"/>
    <w:rsid w:val="004D772A"/>
    <w:rsid w:val="004E339B"/>
    <w:rsid w:val="004E4273"/>
    <w:rsid w:val="004E4562"/>
    <w:rsid w:val="004E51E0"/>
    <w:rsid w:val="004E7B3E"/>
    <w:rsid w:val="004F077F"/>
    <w:rsid w:val="004F091E"/>
    <w:rsid w:val="004F1311"/>
    <w:rsid w:val="004F4066"/>
    <w:rsid w:val="005023DD"/>
    <w:rsid w:val="00503D8C"/>
    <w:rsid w:val="00510F37"/>
    <w:rsid w:val="00514293"/>
    <w:rsid w:val="00522B84"/>
    <w:rsid w:val="00530EB4"/>
    <w:rsid w:val="00531A7F"/>
    <w:rsid w:val="00531AD3"/>
    <w:rsid w:val="00534BAD"/>
    <w:rsid w:val="005360E8"/>
    <w:rsid w:val="00537DEF"/>
    <w:rsid w:val="005428C5"/>
    <w:rsid w:val="00543C55"/>
    <w:rsid w:val="00550954"/>
    <w:rsid w:val="0055393B"/>
    <w:rsid w:val="005554C7"/>
    <w:rsid w:val="00556F58"/>
    <w:rsid w:val="005606A6"/>
    <w:rsid w:val="00561301"/>
    <w:rsid w:val="005645FF"/>
    <w:rsid w:val="00567D57"/>
    <w:rsid w:val="005743D2"/>
    <w:rsid w:val="00577799"/>
    <w:rsid w:val="00580EB7"/>
    <w:rsid w:val="00581456"/>
    <w:rsid w:val="00582B99"/>
    <w:rsid w:val="005860E2"/>
    <w:rsid w:val="00586256"/>
    <w:rsid w:val="00587FDA"/>
    <w:rsid w:val="00590903"/>
    <w:rsid w:val="0059148B"/>
    <w:rsid w:val="005A5CB3"/>
    <w:rsid w:val="005A617A"/>
    <w:rsid w:val="005A76EE"/>
    <w:rsid w:val="005B0FC9"/>
    <w:rsid w:val="005B5D36"/>
    <w:rsid w:val="005B66D3"/>
    <w:rsid w:val="005C100F"/>
    <w:rsid w:val="005C29E5"/>
    <w:rsid w:val="005C4556"/>
    <w:rsid w:val="005C5302"/>
    <w:rsid w:val="005D307B"/>
    <w:rsid w:val="005D515A"/>
    <w:rsid w:val="005D7B79"/>
    <w:rsid w:val="005E362E"/>
    <w:rsid w:val="005F2CA6"/>
    <w:rsid w:val="005F2D3C"/>
    <w:rsid w:val="005F7593"/>
    <w:rsid w:val="006021B6"/>
    <w:rsid w:val="006029D7"/>
    <w:rsid w:val="00603A68"/>
    <w:rsid w:val="006071DC"/>
    <w:rsid w:val="0061109D"/>
    <w:rsid w:val="00612AA0"/>
    <w:rsid w:val="006138CB"/>
    <w:rsid w:val="00615DC2"/>
    <w:rsid w:val="00615FA2"/>
    <w:rsid w:val="00616335"/>
    <w:rsid w:val="0062106E"/>
    <w:rsid w:val="006224C4"/>
    <w:rsid w:val="006225EA"/>
    <w:rsid w:val="006261DF"/>
    <w:rsid w:val="00626D43"/>
    <w:rsid w:val="00627588"/>
    <w:rsid w:val="00627692"/>
    <w:rsid w:val="00630694"/>
    <w:rsid w:val="00632543"/>
    <w:rsid w:val="006335A9"/>
    <w:rsid w:val="00634517"/>
    <w:rsid w:val="00641270"/>
    <w:rsid w:val="00642074"/>
    <w:rsid w:val="006424F8"/>
    <w:rsid w:val="00642832"/>
    <w:rsid w:val="00646A18"/>
    <w:rsid w:val="00647950"/>
    <w:rsid w:val="00662F19"/>
    <w:rsid w:val="006752B2"/>
    <w:rsid w:val="00681CAB"/>
    <w:rsid w:val="006842EF"/>
    <w:rsid w:val="0068555F"/>
    <w:rsid w:val="00687256"/>
    <w:rsid w:val="0069237A"/>
    <w:rsid w:val="006928C4"/>
    <w:rsid w:val="00692D1D"/>
    <w:rsid w:val="0069320C"/>
    <w:rsid w:val="00693566"/>
    <w:rsid w:val="00695E58"/>
    <w:rsid w:val="006966CB"/>
    <w:rsid w:val="0069757D"/>
    <w:rsid w:val="006A1329"/>
    <w:rsid w:val="006A554D"/>
    <w:rsid w:val="006A608F"/>
    <w:rsid w:val="006A66F9"/>
    <w:rsid w:val="006A7604"/>
    <w:rsid w:val="006C1DD8"/>
    <w:rsid w:val="006D024C"/>
    <w:rsid w:val="006D0A0A"/>
    <w:rsid w:val="006D12FB"/>
    <w:rsid w:val="006D360D"/>
    <w:rsid w:val="006D58B9"/>
    <w:rsid w:val="006E03AB"/>
    <w:rsid w:val="006E5C9C"/>
    <w:rsid w:val="006F1774"/>
    <w:rsid w:val="006F46E0"/>
    <w:rsid w:val="006F625D"/>
    <w:rsid w:val="0070224E"/>
    <w:rsid w:val="00704C9B"/>
    <w:rsid w:val="00707260"/>
    <w:rsid w:val="00711ECC"/>
    <w:rsid w:val="00715FB9"/>
    <w:rsid w:val="00717A20"/>
    <w:rsid w:val="00720DED"/>
    <w:rsid w:val="00720DFF"/>
    <w:rsid w:val="00723B02"/>
    <w:rsid w:val="00724905"/>
    <w:rsid w:val="00730E23"/>
    <w:rsid w:val="0073257C"/>
    <w:rsid w:val="007333A7"/>
    <w:rsid w:val="0074780F"/>
    <w:rsid w:val="00750125"/>
    <w:rsid w:val="007527D2"/>
    <w:rsid w:val="0075428A"/>
    <w:rsid w:val="00761ADC"/>
    <w:rsid w:val="00762CC5"/>
    <w:rsid w:val="00764E36"/>
    <w:rsid w:val="00765C4B"/>
    <w:rsid w:val="0076692B"/>
    <w:rsid w:val="00767B8E"/>
    <w:rsid w:val="0078628E"/>
    <w:rsid w:val="00786781"/>
    <w:rsid w:val="00787037"/>
    <w:rsid w:val="007906B4"/>
    <w:rsid w:val="007970A0"/>
    <w:rsid w:val="007A592B"/>
    <w:rsid w:val="007B215B"/>
    <w:rsid w:val="007B4617"/>
    <w:rsid w:val="007B7BAD"/>
    <w:rsid w:val="007C2AF5"/>
    <w:rsid w:val="007C3BBA"/>
    <w:rsid w:val="007C5B5E"/>
    <w:rsid w:val="007C73F7"/>
    <w:rsid w:val="007C7AA5"/>
    <w:rsid w:val="007D1FC4"/>
    <w:rsid w:val="007E0DED"/>
    <w:rsid w:val="007E28C6"/>
    <w:rsid w:val="007E3B34"/>
    <w:rsid w:val="007E41BA"/>
    <w:rsid w:val="007E5BB9"/>
    <w:rsid w:val="007E759D"/>
    <w:rsid w:val="007E78E9"/>
    <w:rsid w:val="007F2DBE"/>
    <w:rsid w:val="007F33B6"/>
    <w:rsid w:val="007F3DCE"/>
    <w:rsid w:val="007F5D65"/>
    <w:rsid w:val="007F642D"/>
    <w:rsid w:val="007F756A"/>
    <w:rsid w:val="0080256B"/>
    <w:rsid w:val="008044B3"/>
    <w:rsid w:val="0080777B"/>
    <w:rsid w:val="00812471"/>
    <w:rsid w:val="00816064"/>
    <w:rsid w:val="00824727"/>
    <w:rsid w:val="00824D33"/>
    <w:rsid w:val="008261A5"/>
    <w:rsid w:val="0083382E"/>
    <w:rsid w:val="008414A6"/>
    <w:rsid w:val="00842F5E"/>
    <w:rsid w:val="00850B17"/>
    <w:rsid w:val="00850B30"/>
    <w:rsid w:val="00855325"/>
    <w:rsid w:val="00855494"/>
    <w:rsid w:val="00855D4A"/>
    <w:rsid w:val="0085713A"/>
    <w:rsid w:val="00862E34"/>
    <w:rsid w:val="0086403E"/>
    <w:rsid w:val="00865915"/>
    <w:rsid w:val="008715FE"/>
    <w:rsid w:val="00871832"/>
    <w:rsid w:val="008740D8"/>
    <w:rsid w:val="0087446E"/>
    <w:rsid w:val="00874930"/>
    <w:rsid w:val="008775C5"/>
    <w:rsid w:val="00883410"/>
    <w:rsid w:val="00886360"/>
    <w:rsid w:val="00886953"/>
    <w:rsid w:val="00886CCE"/>
    <w:rsid w:val="008942C6"/>
    <w:rsid w:val="00896B33"/>
    <w:rsid w:val="00896D24"/>
    <w:rsid w:val="008A486B"/>
    <w:rsid w:val="008A62FB"/>
    <w:rsid w:val="008A77B7"/>
    <w:rsid w:val="008B0F67"/>
    <w:rsid w:val="008C0F8D"/>
    <w:rsid w:val="008C5C1A"/>
    <w:rsid w:val="008C608D"/>
    <w:rsid w:val="008C6670"/>
    <w:rsid w:val="008C7E5F"/>
    <w:rsid w:val="008D4D39"/>
    <w:rsid w:val="008E38C1"/>
    <w:rsid w:val="008E3AE2"/>
    <w:rsid w:val="008E461D"/>
    <w:rsid w:val="008E65DC"/>
    <w:rsid w:val="008F08E5"/>
    <w:rsid w:val="008F0EA4"/>
    <w:rsid w:val="008F38F6"/>
    <w:rsid w:val="008F5213"/>
    <w:rsid w:val="008F594E"/>
    <w:rsid w:val="009000CF"/>
    <w:rsid w:val="0090510E"/>
    <w:rsid w:val="0090574E"/>
    <w:rsid w:val="009073C7"/>
    <w:rsid w:val="0090748B"/>
    <w:rsid w:val="009101A6"/>
    <w:rsid w:val="00920C9C"/>
    <w:rsid w:val="00922754"/>
    <w:rsid w:val="00925781"/>
    <w:rsid w:val="009258D0"/>
    <w:rsid w:val="00926F5D"/>
    <w:rsid w:val="0092736D"/>
    <w:rsid w:val="00932E7E"/>
    <w:rsid w:val="00935AB3"/>
    <w:rsid w:val="0094505A"/>
    <w:rsid w:val="009526DF"/>
    <w:rsid w:val="009553B8"/>
    <w:rsid w:val="00956905"/>
    <w:rsid w:val="009619D1"/>
    <w:rsid w:val="00963140"/>
    <w:rsid w:val="009646C4"/>
    <w:rsid w:val="00965108"/>
    <w:rsid w:val="009734CE"/>
    <w:rsid w:val="00974E78"/>
    <w:rsid w:val="00976B5A"/>
    <w:rsid w:val="00982387"/>
    <w:rsid w:val="009827B0"/>
    <w:rsid w:val="0098460C"/>
    <w:rsid w:val="009862C9"/>
    <w:rsid w:val="00986F4C"/>
    <w:rsid w:val="009919C7"/>
    <w:rsid w:val="0099386F"/>
    <w:rsid w:val="0099413E"/>
    <w:rsid w:val="00995237"/>
    <w:rsid w:val="00996E1A"/>
    <w:rsid w:val="009A3457"/>
    <w:rsid w:val="009A504F"/>
    <w:rsid w:val="009A6689"/>
    <w:rsid w:val="009B1E98"/>
    <w:rsid w:val="009B42CF"/>
    <w:rsid w:val="009B4392"/>
    <w:rsid w:val="009B6D79"/>
    <w:rsid w:val="009B7D09"/>
    <w:rsid w:val="009C0678"/>
    <w:rsid w:val="009C5E5C"/>
    <w:rsid w:val="009D24DA"/>
    <w:rsid w:val="009D35EC"/>
    <w:rsid w:val="009D5D75"/>
    <w:rsid w:val="009D684A"/>
    <w:rsid w:val="009E0858"/>
    <w:rsid w:val="009E0C0B"/>
    <w:rsid w:val="009E5167"/>
    <w:rsid w:val="009E6514"/>
    <w:rsid w:val="009F32A2"/>
    <w:rsid w:val="009F54CE"/>
    <w:rsid w:val="00A0231C"/>
    <w:rsid w:val="00A02793"/>
    <w:rsid w:val="00A05C3F"/>
    <w:rsid w:val="00A06264"/>
    <w:rsid w:val="00A103B0"/>
    <w:rsid w:val="00A1639A"/>
    <w:rsid w:val="00A215C9"/>
    <w:rsid w:val="00A31B4D"/>
    <w:rsid w:val="00A42A17"/>
    <w:rsid w:val="00A443FF"/>
    <w:rsid w:val="00A46F56"/>
    <w:rsid w:val="00A5364B"/>
    <w:rsid w:val="00A615E0"/>
    <w:rsid w:val="00A65E2B"/>
    <w:rsid w:val="00A74AA0"/>
    <w:rsid w:val="00A7546D"/>
    <w:rsid w:val="00A75699"/>
    <w:rsid w:val="00A76566"/>
    <w:rsid w:val="00A77100"/>
    <w:rsid w:val="00A81D4D"/>
    <w:rsid w:val="00A85F19"/>
    <w:rsid w:val="00A8792D"/>
    <w:rsid w:val="00A90C63"/>
    <w:rsid w:val="00AA38B1"/>
    <w:rsid w:val="00AA4D97"/>
    <w:rsid w:val="00AB6E54"/>
    <w:rsid w:val="00AC168C"/>
    <w:rsid w:val="00AC41D5"/>
    <w:rsid w:val="00AD17B7"/>
    <w:rsid w:val="00AD7C39"/>
    <w:rsid w:val="00AE4157"/>
    <w:rsid w:val="00AF08D2"/>
    <w:rsid w:val="00AF1FB0"/>
    <w:rsid w:val="00AF362A"/>
    <w:rsid w:val="00B02941"/>
    <w:rsid w:val="00B04801"/>
    <w:rsid w:val="00B06306"/>
    <w:rsid w:val="00B069C5"/>
    <w:rsid w:val="00B06D1B"/>
    <w:rsid w:val="00B077D5"/>
    <w:rsid w:val="00B079DF"/>
    <w:rsid w:val="00B136DC"/>
    <w:rsid w:val="00B16A78"/>
    <w:rsid w:val="00B200E4"/>
    <w:rsid w:val="00B210A4"/>
    <w:rsid w:val="00B24E92"/>
    <w:rsid w:val="00B26FFD"/>
    <w:rsid w:val="00B35B6D"/>
    <w:rsid w:val="00B35DC6"/>
    <w:rsid w:val="00B4182C"/>
    <w:rsid w:val="00B42B8C"/>
    <w:rsid w:val="00B42F67"/>
    <w:rsid w:val="00B4491B"/>
    <w:rsid w:val="00B46EE2"/>
    <w:rsid w:val="00B500A5"/>
    <w:rsid w:val="00B51699"/>
    <w:rsid w:val="00B53FAF"/>
    <w:rsid w:val="00B60999"/>
    <w:rsid w:val="00B63153"/>
    <w:rsid w:val="00B6527D"/>
    <w:rsid w:val="00B7396A"/>
    <w:rsid w:val="00B73B3A"/>
    <w:rsid w:val="00B74507"/>
    <w:rsid w:val="00B7542D"/>
    <w:rsid w:val="00B75718"/>
    <w:rsid w:val="00B75E7E"/>
    <w:rsid w:val="00B762EB"/>
    <w:rsid w:val="00B76927"/>
    <w:rsid w:val="00B81D29"/>
    <w:rsid w:val="00B85FF2"/>
    <w:rsid w:val="00B93817"/>
    <w:rsid w:val="00B9391B"/>
    <w:rsid w:val="00B9682D"/>
    <w:rsid w:val="00BA0849"/>
    <w:rsid w:val="00BA0B96"/>
    <w:rsid w:val="00BA1A9C"/>
    <w:rsid w:val="00BA21A3"/>
    <w:rsid w:val="00BB06B9"/>
    <w:rsid w:val="00BB15DA"/>
    <w:rsid w:val="00BB340D"/>
    <w:rsid w:val="00BC2A3A"/>
    <w:rsid w:val="00BC3E27"/>
    <w:rsid w:val="00BC64EC"/>
    <w:rsid w:val="00BD029E"/>
    <w:rsid w:val="00BD073D"/>
    <w:rsid w:val="00BD0D66"/>
    <w:rsid w:val="00BD2E2F"/>
    <w:rsid w:val="00BE2424"/>
    <w:rsid w:val="00BE4198"/>
    <w:rsid w:val="00BF31E4"/>
    <w:rsid w:val="00BF3AFD"/>
    <w:rsid w:val="00BF3C49"/>
    <w:rsid w:val="00BF6593"/>
    <w:rsid w:val="00C024D1"/>
    <w:rsid w:val="00C12F1D"/>
    <w:rsid w:val="00C1606C"/>
    <w:rsid w:val="00C23180"/>
    <w:rsid w:val="00C245F2"/>
    <w:rsid w:val="00C26F94"/>
    <w:rsid w:val="00C2798B"/>
    <w:rsid w:val="00C36C38"/>
    <w:rsid w:val="00C41492"/>
    <w:rsid w:val="00C47179"/>
    <w:rsid w:val="00C502EC"/>
    <w:rsid w:val="00C50874"/>
    <w:rsid w:val="00C51419"/>
    <w:rsid w:val="00C702B5"/>
    <w:rsid w:val="00C70389"/>
    <w:rsid w:val="00C73AFA"/>
    <w:rsid w:val="00C748A6"/>
    <w:rsid w:val="00C8454D"/>
    <w:rsid w:val="00C904B6"/>
    <w:rsid w:val="00C90A75"/>
    <w:rsid w:val="00C96DF4"/>
    <w:rsid w:val="00CA6A66"/>
    <w:rsid w:val="00CB18EE"/>
    <w:rsid w:val="00CB6245"/>
    <w:rsid w:val="00CC1337"/>
    <w:rsid w:val="00CC2514"/>
    <w:rsid w:val="00CC48DF"/>
    <w:rsid w:val="00CD1CCD"/>
    <w:rsid w:val="00CD4275"/>
    <w:rsid w:val="00CD4A91"/>
    <w:rsid w:val="00CD70E7"/>
    <w:rsid w:val="00CD7363"/>
    <w:rsid w:val="00CE0964"/>
    <w:rsid w:val="00CE0C1F"/>
    <w:rsid w:val="00CE2041"/>
    <w:rsid w:val="00CE41E1"/>
    <w:rsid w:val="00CE455F"/>
    <w:rsid w:val="00CF0BF9"/>
    <w:rsid w:val="00CF5957"/>
    <w:rsid w:val="00CF7CBD"/>
    <w:rsid w:val="00D01D40"/>
    <w:rsid w:val="00D02460"/>
    <w:rsid w:val="00D02D0D"/>
    <w:rsid w:val="00D04BA2"/>
    <w:rsid w:val="00D077B0"/>
    <w:rsid w:val="00D10B6F"/>
    <w:rsid w:val="00D11364"/>
    <w:rsid w:val="00D13F86"/>
    <w:rsid w:val="00D1602C"/>
    <w:rsid w:val="00D1670A"/>
    <w:rsid w:val="00D22D42"/>
    <w:rsid w:val="00D232F7"/>
    <w:rsid w:val="00D252B7"/>
    <w:rsid w:val="00D36D8D"/>
    <w:rsid w:val="00D45711"/>
    <w:rsid w:val="00D46C16"/>
    <w:rsid w:val="00D500FC"/>
    <w:rsid w:val="00D51597"/>
    <w:rsid w:val="00D5326E"/>
    <w:rsid w:val="00D55867"/>
    <w:rsid w:val="00D5605B"/>
    <w:rsid w:val="00D634A3"/>
    <w:rsid w:val="00D63F53"/>
    <w:rsid w:val="00D64886"/>
    <w:rsid w:val="00D7059B"/>
    <w:rsid w:val="00D713A7"/>
    <w:rsid w:val="00D72339"/>
    <w:rsid w:val="00D73E47"/>
    <w:rsid w:val="00D74ABB"/>
    <w:rsid w:val="00D77B6E"/>
    <w:rsid w:val="00D83CB0"/>
    <w:rsid w:val="00D83CB7"/>
    <w:rsid w:val="00D85C58"/>
    <w:rsid w:val="00D97FA8"/>
    <w:rsid w:val="00DA0CFD"/>
    <w:rsid w:val="00DA2E1E"/>
    <w:rsid w:val="00DA3063"/>
    <w:rsid w:val="00DA75EB"/>
    <w:rsid w:val="00DB4363"/>
    <w:rsid w:val="00DC7B25"/>
    <w:rsid w:val="00DD422D"/>
    <w:rsid w:val="00DD5942"/>
    <w:rsid w:val="00DD652C"/>
    <w:rsid w:val="00DD6B73"/>
    <w:rsid w:val="00DE23F8"/>
    <w:rsid w:val="00DE4EB3"/>
    <w:rsid w:val="00DE7CC2"/>
    <w:rsid w:val="00DF5A23"/>
    <w:rsid w:val="00E01438"/>
    <w:rsid w:val="00E036F9"/>
    <w:rsid w:val="00E04521"/>
    <w:rsid w:val="00E04869"/>
    <w:rsid w:val="00E05CF6"/>
    <w:rsid w:val="00E112C9"/>
    <w:rsid w:val="00E12C06"/>
    <w:rsid w:val="00E1314C"/>
    <w:rsid w:val="00E138AB"/>
    <w:rsid w:val="00E149C4"/>
    <w:rsid w:val="00E158F7"/>
    <w:rsid w:val="00E175DE"/>
    <w:rsid w:val="00E2087E"/>
    <w:rsid w:val="00E21D2A"/>
    <w:rsid w:val="00E21FF0"/>
    <w:rsid w:val="00E2470E"/>
    <w:rsid w:val="00E2636D"/>
    <w:rsid w:val="00E33631"/>
    <w:rsid w:val="00E34976"/>
    <w:rsid w:val="00E36818"/>
    <w:rsid w:val="00E36AA4"/>
    <w:rsid w:val="00E37B23"/>
    <w:rsid w:val="00E455D7"/>
    <w:rsid w:val="00E47B97"/>
    <w:rsid w:val="00E5010B"/>
    <w:rsid w:val="00E5203C"/>
    <w:rsid w:val="00E55438"/>
    <w:rsid w:val="00E55B40"/>
    <w:rsid w:val="00E566E7"/>
    <w:rsid w:val="00E634CC"/>
    <w:rsid w:val="00E63C8F"/>
    <w:rsid w:val="00E64B2E"/>
    <w:rsid w:val="00E66497"/>
    <w:rsid w:val="00E66DFA"/>
    <w:rsid w:val="00E70EF5"/>
    <w:rsid w:val="00E71245"/>
    <w:rsid w:val="00E76BD6"/>
    <w:rsid w:val="00E82F0E"/>
    <w:rsid w:val="00E90644"/>
    <w:rsid w:val="00E9292D"/>
    <w:rsid w:val="00E93505"/>
    <w:rsid w:val="00E95F89"/>
    <w:rsid w:val="00E96FAC"/>
    <w:rsid w:val="00EA0E0A"/>
    <w:rsid w:val="00EA129F"/>
    <w:rsid w:val="00EA1CAA"/>
    <w:rsid w:val="00EA3F39"/>
    <w:rsid w:val="00EA46CC"/>
    <w:rsid w:val="00EA48AA"/>
    <w:rsid w:val="00EB07A3"/>
    <w:rsid w:val="00EB7A31"/>
    <w:rsid w:val="00EC287C"/>
    <w:rsid w:val="00EC3FDE"/>
    <w:rsid w:val="00ED0582"/>
    <w:rsid w:val="00ED1262"/>
    <w:rsid w:val="00ED4B64"/>
    <w:rsid w:val="00ED7374"/>
    <w:rsid w:val="00ED765A"/>
    <w:rsid w:val="00EE12FE"/>
    <w:rsid w:val="00EE31F6"/>
    <w:rsid w:val="00EE36DC"/>
    <w:rsid w:val="00EE40C6"/>
    <w:rsid w:val="00EF47B8"/>
    <w:rsid w:val="00F00071"/>
    <w:rsid w:val="00F044EE"/>
    <w:rsid w:val="00F04B03"/>
    <w:rsid w:val="00F06C93"/>
    <w:rsid w:val="00F073AD"/>
    <w:rsid w:val="00F16065"/>
    <w:rsid w:val="00F20A3B"/>
    <w:rsid w:val="00F2157F"/>
    <w:rsid w:val="00F25B1B"/>
    <w:rsid w:val="00F32201"/>
    <w:rsid w:val="00F32F9E"/>
    <w:rsid w:val="00F3320B"/>
    <w:rsid w:val="00F40E92"/>
    <w:rsid w:val="00F41947"/>
    <w:rsid w:val="00F41DEB"/>
    <w:rsid w:val="00F435AA"/>
    <w:rsid w:val="00F43A2F"/>
    <w:rsid w:val="00F45290"/>
    <w:rsid w:val="00F46168"/>
    <w:rsid w:val="00F6611E"/>
    <w:rsid w:val="00F67646"/>
    <w:rsid w:val="00F71846"/>
    <w:rsid w:val="00F75698"/>
    <w:rsid w:val="00F76C6A"/>
    <w:rsid w:val="00F83BF1"/>
    <w:rsid w:val="00F856C4"/>
    <w:rsid w:val="00F869C3"/>
    <w:rsid w:val="00F90CB9"/>
    <w:rsid w:val="00F93E08"/>
    <w:rsid w:val="00F96C69"/>
    <w:rsid w:val="00F97373"/>
    <w:rsid w:val="00F97F03"/>
    <w:rsid w:val="00FA0254"/>
    <w:rsid w:val="00FA6854"/>
    <w:rsid w:val="00FB01B9"/>
    <w:rsid w:val="00FB064F"/>
    <w:rsid w:val="00FB0F6B"/>
    <w:rsid w:val="00FB144F"/>
    <w:rsid w:val="00FB159A"/>
    <w:rsid w:val="00FB4D77"/>
    <w:rsid w:val="00FB5719"/>
    <w:rsid w:val="00FB7BBA"/>
    <w:rsid w:val="00FC007A"/>
    <w:rsid w:val="00FC497D"/>
    <w:rsid w:val="00FC7510"/>
    <w:rsid w:val="00FD076B"/>
    <w:rsid w:val="00FD15D2"/>
    <w:rsid w:val="00FD70F1"/>
    <w:rsid w:val="00FE1986"/>
    <w:rsid w:val="00FE231B"/>
    <w:rsid w:val="00FE43D5"/>
    <w:rsid w:val="00FF1EC5"/>
    <w:rsid w:val="00FF271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,"/>
  <w:listSeparator w:val=";"/>
  <w14:docId w14:val="122740B3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edia/g-b/uploads/marktbericht-industrie-logistik-2022-q1-4-hamburg.pdf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C50A-2725-41D8-9313-DEBE992D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6</cp:revision>
  <cp:lastPrinted>2023-01-25T10:13:00Z</cp:lastPrinted>
  <dcterms:created xsi:type="dcterms:W3CDTF">2023-01-25T09:24:00Z</dcterms:created>
  <dcterms:modified xsi:type="dcterms:W3CDTF">2023-01-25T13:39:00Z</dcterms:modified>
</cp:coreProperties>
</file>