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72" w:rsidRPr="0080256B" w:rsidRDefault="003A22D7" w:rsidP="001E1172">
      <w:pPr>
        <w:spacing w:after="0" w:line="360" w:lineRule="auto"/>
        <w:rPr>
          <w:rFonts w:ascii="Arial" w:hAnsi="Arial" w:cs="Arial"/>
          <w:b/>
        </w:rPr>
      </w:pPr>
      <w:r w:rsidRPr="0080256B">
        <w:rPr>
          <w:rFonts w:ascii="Arial" w:hAnsi="Arial" w:cs="Arial"/>
          <w:b/>
        </w:rPr>
        <w:t xml:space="preserve">Hamburg: Industrie- und </w:t>
      </w:r>
      <w:r>
        <w:rPr>
          <w:rFonts w:ascii="Arial" w:hAnsi="Arial" w:cs="Arial"/>
          <w:b/>
        </w:rPr>
        <w:t>Logistikmarkt 1.-4.</w:t>
      </w:r>
      <w:r w:rsidRPr="0080256B">
        <w:rPr>
          <w:rFonts w:ascii="Arial" w:hAnsi="Arial" w:cs="Arial"/>
          <w:b/>
        </w:rPr>
        <w:t xml:space="preserve"> Quartal 20</w:t>
      </w:r>
      <w:r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br/>
      </w:r>
      <w:r w:rsidR="0015550E">
        <w:rPr>
          <w:rFonts w:ascii="Arial" w:hAnsi="Arial" w:cs="Arial"/>
          <w:b/>
          <w:sz w:val="28"/>
          <w:szCs w:val="28"/>
        </w:rPr>
        <w:t xml:space="preserve">Eigennutzer-Baustarts prägen 2020 das Marktgeschehen </w:t>
      </w:r>
    </w:p>
    <w:p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A3457" w:rsidRDefault="000F726E" w:rsidP="00363EA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15550E">
        <w:rPr>
          <w:rFonts w:ascii="Arial" w:hAnsi="Arial" w:cs="Arial"/>
          <w:b/>
          <w:sz w:val="20"/>
          <w:szCs w:val="20"/>
        </w:rPr>
        <w:t>28</w:t>
      </w:r>
      <w:r w:rsidR="009A3457" w:rsidRPr="00063A33">
        <w:rPr>
          <w:rFonts w:ascii="Arial" w:hAnsi="Arial" w:cs="Arial"/>
          <w:b/>
          <w:sz w:val="20"/>
          <w:szCs w:val="20"/>
        </w:rPr>
        <w:t xml:space="preserve">. </w:t>
      </w:r>
      <w:r w:rsidR="006F625D">
        <w:rPr>
          <w:rFonts w:ascii="Arial" w:hAnsi="Arial" w:cs="Arial"/>
          <w:b/>
          <w:sz w:val="20"/>
          <w:szCs w:val="20"/>
        </w:rPr>
        <w:t>Januar 2020</w:t>
      </w:r>
      <w:r w:rsidR="009A3457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9A3457">
        <w:rPr>
          <w:rFonts w:ascii="Arial" w:hAnsi="Arial" w:cs="Arial"/>
          <w:sz w:val="20"/>
          <w:szCs w:val="20"/>
        </w:rPr>
        <w:t xml:space="preserve"> </w:t>
      </w:r>
      <w:r w:rsidR="00363EAC">
        <w:rPr>
          <w:rFonts w:ascii="Arial" w:hAnsi="Arial" w:cs="Arial"/>
          <w:sz w:val="20"/>
          <w:szCs w:val="20"/>
        </w:rPr>
        <w:t xml:space="preserve">Die Trends vom 3. Quartal 2020 bestimmten den Markt für Industrie- und Logistikflächen in Hamburg und Umland auch im Schlussquartal. Ungeachtet der Corona-Pandemie </w:t>
      </w:r>
      <w:r w:rsidR="00D02D0D">
        <w:rPr>
          <w:rFonts w:ascii="Arial" w:hAnsi="Arial" w:cs="Arial"/>
          <w:sz w:val="20"/>
          <w:szCs w:val="20"/>
        </w:rPr>
        <w:t>kletterte</w:t>
      </w:r>
      <w:r w:rsidR="00363EAC">
        <w:rPr>
          <w:rFonts w:ascii="Arial" w:hAnsi="Arial" w:cs="Arial"/>
          <w:sz w:val="20"/>
          <w:szCs w:val="20"/>
        </w:rPr>
        <w:t xml:space="preserve"> der Flächenumsatz </w:t>
      </w:r>
      <w:r w:rsidR="00BC3E27">
        <w:rPr>
          <w:rFonts w:ascii="Arial" w:hAnsi="Arial" w:cs="Arial"/>
          <w:sz w:val="20"/>
          <w:szCs w:val="20"/>
        </w:rPr>
        <w:t xml:space="preserve">Ende 2020 </w:t>
      </w:r>
      <w:r w:rsidR="00363EAC">
        <w:rPr>
          <w:rFonts w:ascii="Arial" w:hAnsi="Arial" w:cs="Arial"/>
          <w:sz w:val="20"/>
          <w:szCs w:val="20"/>
        </w:rPr>
        <w:t xml:space="preserve">verglichen mit Ende 2019 um über ein Drittel nach oben. Das Jahresergebnis </w:t>
      </w:r>
      <w:r w:rsidR="00D02D0D">
        <w:rPr>
          <w:rFonts w:ascii="Arial" w:hAnsi="Arial" w:cs="Arial"/>
          <w:sz w:val="20"/>
          <w:szCs w:val="20"/>
        </w:rPr>
        <w:t>betrug</w:t>
      </w:r>
      <w:r w:rsidR="00363EAC">
        <w:rPr>
          <w:rFonts w:ascii="Arial" w:hAnsi="Arial" w:cs="Arial"/>
          <w:sz w:val="20"/>
          <w:szCs w:val="20"/>
        </w:rPr>
        <w:t xml:space="preserve"> 480.000 m²</w:t>
      </w:r>
      <w:r w:rsidR="00D02D0D">
        <w:rPr>
          <w:rFonts w:ascii="Arial" w:hAnsi="Arial" w:cs="Arial"/>
          <w:sz w:val="20"/>
          <w:szCs w:val="20"/>
        </w:rPr>
        <w:t xml:space="preserve">. Getragen wurde </w:t>
      </w:r>
      <w:r w:rsidR="00F93E08">
        <w:rPr>
          <w:rFonts w:ascii="Arial" w:hAnsi="Arial" w:cs="Arial"/>
          <w:sz w:val="20"/>
          <w:szCs w:val="20"/>
        </w:rPr>
        <w:t>es</w:t>
      </w:r>
      <w:r w:rsidR="00D02D0D">
        <w:rPr>
          <w:rFonts w:ascii="Arial" w:hAnsi="Arial" w:cs="Arial"/>
          <w:sz w:val="20"/>
          <w:szCs w:val="20"/>
        </w:rPr>
        <w:t xml:space="preserve"> von Eigennutzern, </w:t>
      </w:r>
      <w:r w:rsidR="00C12F1D">
        <w:rPr>
          <w:rFonts w:ascii="Arial" w:hAnsi="Arial" w:cs="Arial"/>
          <w:sz w:val="20"/>
          <w:szCs w:val="20"/>
        </w:rPr>
        <w:t>deren Anteil am Flächenumsatz innerhalb eines Jahres von nur 15 auf 51 % zulegte</w:t>
      </w:r>
      <w:r w:rsidR="00D02D0D">
        <w:rPr>
          <w:rFonts w:ascii="Arial" w:hAnsi="Arial" w:cs="Arial"/>
          <w:sz w:val="20"/>
          <w:szCs w:val="20"/>
        </w:rPr>
        <w:t xml:space="preserve">. </w:t>
      </w:r>
      <w:r w:rsidR="00D02D0D" w:rsidRPr="003D0A8A">
        <w:rPr>
          <w:rFonts w:ascii="Arial" w:hAnsi="Arial" w:cs="Arial"/>
          <w:i/>
          <w:sz w:val="20"/>
          <w:szCs w:val="20"/>
        </w:rPr>
        <w:t>„</w:t>
      </w:r>
      <w:r w:rsidR="00122A77">
        <w:rPr>
          <w:rFonts w:ascii="Arial" w:hAnsi="Arial" w:cs="Arial"/>
          <w:i/>
          <w:sz w:val="20"/>
          <w:szCs w:val="20"/>
        </w:rPr>
        <w:t xml:space="preserve">Dass 2020 so viele </w:t>
      </w:r>
      <w:r w:rsidR="00F93E08">
        <w:rPr>
          <w:rFonts w:ascii="Arial" w:hAnsi="Arial" w:cs="Arial"/>
          <w:i/>
          <w:sz w:val="20"/>
          <w:szCs w:val="20"/>
        </w:rPr>
        <w:t>Eigennutzer</w:t>
      </w:r>
      <w:r w:rsidR="0015550E">
        <w:rPr>
          <w:rFonts w:ascii="Arial" w:hAnsi="Arial" w:cs="Arial"/>
          <w:i/>
          <w:sz w:val="20"/>
          <w:szCs w:val="20"/>
        </w:rPr>
        <w:t xml:space="preserve"> </w:t>
      </w:r>
      <w:r w:rsidR="00122A77">
        <w:rPr>
          <w:rFonts w:ascii="Arial" w:hAnsi="Arial" w:cs="Arial"/>
          <w:i/>
          <w:sz w:val="20"/>
          <w:szCs w:val="20"/>
        </w:rPr>
        <w:t xml:space="preserve">in Hamburg und Umland </w:t>
      </w:r>
      <w:r w:rsidR="00F93E08">
        <w:rPr>
          <w:rFonts w:ascii="Arial" w:hAnsi="Arial" w:cs="Arial"/>
          <w:i/>
          <w:sz w:val="20"/>
          <w:szCs w:val="20"/>
        </w:rPr>
        <w:t>mit dem Bau ihrer Projekte begonnen haben</w:t>
      </w:r>
      <w:r w:rsidR="00122A77">
        <w:rPr>
          <w:rFonts w:ascii="Arial" w:hAnsi="Arial" w:cs="Arial"/>
          <w:i/>
          <w:sz w:val="20"/>
          <w:szCs w:val="20"/>
        </w:rPr>
        <w:t xml:space="preserve">, </w:t>
      </w:r>
      <w:r w:rsidR="0015550E">
        <w:rPr>
          <w:rFonts w:ascii="Arial" w:hAnsi="Arial" w:cs="Arial"/>
          <w:i/>
          <w:sz w:val="20"/>
          <w:szCs w:val="20"/>
        </w:rPr>
        <w:t xml:space="preserve">ist </w:t>
      </w:r>
      <w:r w:rsidR="00F93E08">
        <w:rPr>
          <w:rFonts w:ascii="Arial" w:hAnsi="Arial" w:cs="Arial"/>
          <w:i/>
          <w:sz w:val="20"/>
          <w:szCs w:val="20"/>
        </w:rPr>
        <w:t>dem Zufall und lange</w:t>
      </w:r>
      <w:r w:rsidR="001F0C02">
        <w:rPr>
          <w:rFonts w:ascii="Arial" w:hAnsi="Arial" w:cs="Arial"/>
          <w:i/>
          <w:sz w:val="20"/>
          <w:szCs w:val="20"/>
        </w:rPr>
        <w:t>n</w:t>
      </w:r>
      <w:r w:rsidR="00F93E08">
        <w:rPr>
          <w:rFonts w:ascii="Arial" w:hAnsi="Arial" w:cs="Arial"/>
          <w:i/>
          <w:sz w:val="20"/>
          <w:szCs w:val="20"/>
        </w:rPr>
        <w:t xml:space="preserve"> Vorlaufzeiten geschuldet</w:t>
      </w:r>
      <w:r w:rsidR="00D02D0D" w:rsidRPr="003D0A8A">
        <w:rPr>
          <w:rFonts w:ascii="Arial" w:hAnsi="Arial" w:cs="Arial"/>
          <w:i/>
          <w:sz w:val="20"/>
          <w:szCs w:val="20"/>
        </w:rPr>
        <w:t>“,</w:t>
      </w:r>
      <w:r w:rsidR="00D02D0D">
        <w:rPr>
          <w:rFonts w:ascii="Arial" w:hAnsi="Arial" w:cs="Arial"/>
          <w:sz w:val="20"/>
          <w:szCs w:val="20"/>
        </w:rPr>
        <w:t xml:space="preserve"> erläutert </w:t>
      </w:r>
      <w:r w:rsidR="00D02D0D" w:rsidRPr="00D02D0D">
        <w:rPr>
          <w:rFonts w:ascii="Arial" w:hAnsi="Arial" w:cs="Arial"/>
          <w:b/>
          <w:sz w:val="20"/>
          <w:szCs w:val="20"/>
        </w:rPr>
        <w:t xml:space="preserve">Felix </w:t>
      </w:r>
      <w:proofErr w:type="spellStart"/>
      <w:r w:rsidR="00D02D0D" w:rsidRPr="00D02D0D">
        <w:rPr>
          <w:rFonts w:ascii="Arial" w:hAnsi="Arial" w:cs="Arial"/>
          <w:b/>
          <w:sz w:val="20"/>
          <w:szCs w:val="20"/>
        </w:rPr>
        <w:t>Krumreich</w:t>
      </w:r>
      <w:proofErr w:type="spellEnd"/>
      <w:r w:rsidR="00D02D0D">
        <w:rPr>
          <w:rFonts w:ascii="Arial" w:hAnsi="Arial" w:cs="Arial"/>
          <w:sz w:val="20"/>
          <w:szCs w:val="20"/>
        </w:rPr>
        <w:t xml:space="preserve">, Immobilienberater Industrie &amp; Logistik bei Grossmann &amp; Berger, Mitglied von German Property Partners (GPP). </w:t>
      </w:r>
      <w:r w:rsidR="00F93E08" w:rsidRPr="001F0C02">
        <w:rPr>
          <w:rFonts w:ascii="Arial" w:hAnsi="Arial" w:cs="Arial"/>
          <w:i/>
          <w:sz w:val="20"/>
          <w:szCs w:val="20"/>
        </w:rPr>
        <w:t xml:space="preserve">„Auch gegen Ende des Jahres blieb das klassische Vermietungsgeschäft verhalten. Das </w:t>
      </w:r>
      <w:r w:rsidR="00D232F7">
        <w:rPr>
          <w:rFonts w:ascii="Arial" w:hAnsi="Arial" w:cs="Arial"/>
          <w:i/>
          <w:sz w:val="20"/>
          <w:szCs w:val="20"/>
        </w:rPr>
        <w:t>lässt sich am reinen</w:t>
      </w:r>
      <w:r w:rsidR="00F93E08" w:rsidRPr="001F0C02">
        <w:rPr>
          <w:rFonts w:ascii="Arial" w:hAnsi="Arial" w:cs="Arial"/>
          <w:i/>
          <w:sz w:val="20"/>
          <w:szCs w:val="20"/>
        </w:rPr>
        <w:t xml:space="preserve"> Vermietungsflächenumsatz in Höhe von 237.500 </w:t>
      </w:r>
      <w:r w:rsidR="001F0C02" w:rsidRPr="001F0C02">
        <w:rPr>
          <w:rFonts w:ascii="Arial" w:hAnsi="Arial" w:cs="Arial"/>
          <w:i/>
          <w:sz w:val="20"/>
          <w:szCs w:val="20"/>
        </w:rPr>
        <w:t>Quadratmeter</w:t>
      </w:r>
      <w:r w:rsidR="001F0C02">
        <w:rPr>
          <w:rFonts w:ascii="Arial" w:hAnsi="Arial" w:cs="Arial"/>
          <w:i/>
          <w:sz w:val="20"/>
          <w:szCs w:val="20"/>
        </w:rPr>
        <w:t>n</w:t>
      </w:r>
      <w:r w:rsidR="001F0C02" w:rsidRPr="001F0C02">
        <w:rPr>
          <w:rFonts w:ascii="Arial" w:hAnsi="Arial" w:cs="Arial"/>
          <w:i/>
          <w:sz w:val="20"/>
          <w:szCs w:val="20"/>
        </w:rPr>
        <w:t xml:space="preserve"> für das g</w:t>
      </w:r>
      <w:r w:rsidR="00F93E08" w:rsidRPr="001F0C02">
        <w:rPr>
          <w:rFonts w:ascii="Arial" w:hAnsi="Arial" w:cs="Arial"/>
          <w:i/>
          <w:sz w:val="20"/>
          <w:szCs w:val="20"/>
        </w:rPr>
        <w:t>esamt</w:t>
      </w:r>
      <w:r w:rsidR="001F0C02" w:rsidRPr="001F0C02">
        <w:rPr>
          <w:rFonts w:ascii="Arial" w:hAnsi="Arial" w:cs="Arial"/>
          <w:i/>
          <w:sz w:val="20"/>
          <w:szCs w:val="20"/>
        </w:rPr>
        <w:t>e J</w:t>
      </w:r>
      <w:r w:rsidR="00F93E08" w:rsidRPr="001F0C02">
        <w:rPr>
          <w:rFonts w:ascii="Arial" w:hAnsi="Arial" w:cs="Arial"/>
          <w:i/>
          <w:sz w:val="20"/>
          <w:szCs w:val="20"/>
        </w:rPr>
        <w:t>ahr</w:t>
      </w:r>
      <w:r w:rsidR="00D232F7">
        <w:rPr>
          <w:rFonts w:ascii="Arial" w:hAnsi="Arial" w:cs="Arial"/>
          <w:i/>
          <w:sz w:val="20"/>
          <w:szCs w:val="20"/>
        </w:rPr>
        <w:t xml:space="preserve"> ablesen</w:t>
      </w:r>
      <w:r w:rsidR="00F93E08" w:rsidRPr="001F0C02">
        <w:rPr>
          <w:rFonts w:ascii="Arial" w:hAnsi="Arial" w:cs="Arial"/>
          <w:i/>
          <w:sz w:val="20"/>
          <w:szCs w:val="20"/>
        </w:rPr>
        <w:t xml:space="preserve">. Da das Pandemiegeschehen </w:t>
      </w:r>
      <w:r w:rsidR="00D232F7">
        <w:rPr>
          <w:rFonts w:ascii="Arial" w:hAnsi="Arial" w:cs="Arial"/>
          <w:i/>
          <w:sz w:val="20"/>
          <w:szCs w:val="20"/>
        </w:rPr>
        <w:t xml:space="preserve">noch immer </w:t>
      </w:r>
      <w:r w:rsidR="00F93E08" w:rsidRPr="001F0C02">
        <w:rPr>
          <w:rFonts w:ascii="Arial" w:hAnsi="Arial" w:cs="Arial"/>
          <w:i/>
          <w:sz w:val="20"/>
          <w:szCs w:val="20"/>
        </w:rPr>
        <w:t xml:space="preserve">anhält, </w:t>
      </w:r>
      <w:r w:rsidR="001F0C02" w:rsidRPr="001F0C02">
        <w:rPr>
          <w:rFonts w:ascii="Arial" w:hAnsi="Arial" w:cs="Arial"/>
          <w:i/>
          <w:sz w:val="20"/>
          <w:szCs w:val="20"/>
        </w:rPr>
        <w:t>warten viele Unternehmen weiter ab.“</w:t>
      </w:r>
      <w:r w:rsidR="001F0C02">
        <w:rPr>
          <w:rFonts w:ascii="Arial" w:hAnsi="Arial" w:cs="Arial"/>
          <w:sz w:val="20"/>
          <w:szCs w:val="20"/>
        </w:rPr>
        <w:t xml:space="preserve"> </w:t>
      </w:r>
      <w:r w:rsidR="00D02D0D">
        <w:rPr>
          <w:rFonts w:ascii="Arial" w:hAnsi="Arial" w:cs="Arial"/>
          <w:sz w:val="20"/>
          <w:szCs w:val="20"/>
        </w:rPr>
        <w:t xml:space="preserve"> </w:t>
      </w:r>
    </w:p>
    <w:p w:rsidR="000A5ED1" w:rsidRDefault="000A5ED1" w:rsidP="001E117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A5ED1" w:rsidRPr="00FE43D5" w:rsidRDefault="00FE43D5" w:rsidP="006C1DD8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FE43D5">
        <w:rPr>
          <w:rFonts w:ascii="Arial" w:hAnsi="Arial" w:cs="Arial"/>
          <w:b/>
          <w:sz w:val="20"/>
          <w:szCs w:val="20"/>
        </w:rPr>
        <w:t xml:space="preserve">Markt im Detail: </w:t>
      </w:r>
    </w:p>
    <w:p w:rsidR="00715FB9" w:rsidRPr="00105EAA" w:rsidRDefault="00B210A4" w:rsidP="00634B91">
      <w:pPr>
        <w:pStyle w:val="Listenabsatz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05EAA">
        <w:rPr>
          <w:rFonts w:ascii="Arial" w:hAnsi="Arial" w:cs="Arial"/>
          <w:sz w:val="20"/>
          <w:szCs w:val="20"/>
        </w:rPr>
        <w:t xml:space="preserve">Nach vier Großabschlüssen im 3. Quartal wurden </w:t>
      </w:r>
      <w:r w:rsidR="00874930" w:rsidRPr="00105EAA">
        <w:rPr>
          <w:rFonts w:ascii="Arial" w:hAnsi="Arial" w:cs="Arial"/>
          <w:sz w:val="20"/>
          <w:szCs w:val="20"/>
        </w:rPr>
        <w:t>i</w:t>
      </w:r>
      <w:r w:rsidR="00C12F1D" w:rsidRPr="00105EAA">
        <w:rPr>
          <w:rFonts w:ascii="Arial" w:hAnsi="Arial" w:cs="Arial"/>
          <w:sz w:val="20"/>
          <w:szCs w:val="20"/>
        </w:rPr>
        <w:t xml:space="preserve">m 4. Quartal nochmals drei </w:t>
      </w:r>
      <w:r w:rsidRPr="00105EAA">
        <w:rPr>
          <w:rFonts w:ascii="Arial" w:hAnsi="Arial" w:cs="Arial"/>
          <w:sz w:val="20"/>
          <w:szCs w:val="20"/>
        </w:rPr>
        <w:t>A</w:t>
      </w:r>
      <w:r w:rsidR="00C12F1D" w:rsidRPr="00105EAA">
        <w:rPr>
          <w:rFonts w:ascii="Arial" w:hAnsi="Arial" w:cs="Arial"/>
          <w:sz w:val="20"/>
          <w:szCs w:val="20"/>
        </w:rPr>
        <w:t>bschlüsse über 10.00</w:t>
      </w:r>
      <w:r w:rsidR="00B60999">
        <w:rPr>
          <w:rFonts w:ascii="Arial" w:hAnsi="Arial" w:cs="Arial"/>
          <w:sz w:val="20"/>
          <w:szCs w:val="20"/>
        </w:rPr>
        <w:t>0</w:t>
      </w:r>
      <w:r w:rsidR="00C12F1D" w:rsidRPr="00105EAA">
        <w:rPr>
          <w:rFonts w:ascii="Arial" w:hAnsi="Arial" w:cs="Arial"/>
          <w:sz w:val="20"/>
          <w:szCs w:val="20"/>
        </w:rPr>
        <w:t xml:space="preserve"> m² getätigt. Die Zahl der Vertragsabschlüsse in diesem Segment belief sich Ende 2020 auf insgesamt neun (2019: 3). </w:t>
      </w:r>
      <w:r w:rsidR="00AC41D5" w:rsidRPr="00105EAA">
        <w:rPr>
          <w:rFonts w:ascii="Arial" w:hAnsi="Arial" w:cs="Arial"/>
          <w:sz w:val="20"/>
          <w:szCs w:val="20"/>
        </w:rPr>
        <w:t>Folgerichtig</w:t>
      </w:r>
      <w:r w:rsidR="00C12F1D" w:rsidRPr="00105EAA">
        <w:rPr>
          <w:rFonts w:ascii="Arial" w:hAnsi="Arial" w:cs="Arial"/>
          <w:sz w:val="20"/>
          <w:szCs w:val="20"/>
        </w:rPr>
        <w:t xml:space="preserve"> </w:t>
      </w:r>
      <w:r w:rsidR="00874930" w:rsidRPr="00105EAA">
        <w:rPr>
          <w:rFonts w:ascii="Arial" w:hAnsi="Arial" w:cs="Arial"/>
          <w:sz w:val="20"/>
          <w:szCs w:val="20"/>
        </w:rPr>
        <w:t xml:space="preserve">dominierte </w:t>
      </w:r>
      <w:r w:rsidR="009D35EC" w:rsidRPr="00105EAA">
        <w:rPr>
          <w:rFonts w:ascii="Arial" w:hAnsi="Arial" w:cs="Arial"/>
          <w:sz w:val="20"/>
          <w:szCs w:val="20"/>
        </w:rPr>
        <w:t>dieses</w:t>
      </w:r>
      <w:r w:rsidR="00AC41D5" w:rsidRPr="00105EAA">
        <w:rPr>
          <w:rFonts w:ascii="Arial" w:hAnsi="Arial" w:cs="Arial"/>
          <w:sz w:val="20"/>
          <w:szCs w:val="20"/>
        </w:rPr>
        <w:t xml:space="preserve"> </w:t>
      </w:r>
      <w:r w:rsidRPr="00105EAA">
        <w:rPr>
          <w:rFonts w:ascii="Arial" w:hAnsi="Arial" w:cs="Arial"/>
          <w:sz w:val="20"/>
          <w:szCs w:val="20"/>
        </w:rPr>
        <w:t>S</w:t>
      </w:r>
      <w:r w:rsidR="00AC41D5" w:rsidRPr="00105EAA">
        <w:rPr>
          <w:rFonts w:ascii="Arial" w:hAnsi="Arial" w:cs="Arial"/>
          <w:sz w:val="20"/>
          <w:szCs w:val="20"/>
        </w:rPr>
        <w:t xml:space="preserve">egment </w:t>
      </w:r>
      <w:r w:rsidR="009D35EC" w:rsidRPr="00105EAA">
        <w:rPr>
          <w:rFonts w:ascii="Arial" w:hAnsi="Arial" w:cs="Arial"/>
          <w:sz w:val="20"/>
          <w:szCs w:val="20"/>
        </w:rPr>
        <w:t>den Jahresf</w:t>
      </w:r>
      <w:r w:rsidRPr="00105EAA">
        <w:rPr>
          <w:rFonts w:ascii="Arial" w:hAnsi="Arial" w:cs="Arial"/>
          <w:sz w:val="20"/>
          <w:szCs w:val="20"/>
        </w:rPr>
        <w:t xml:space="preserve">lächenumsatz </w:t>
      </w:r>
      <w:r w:rsidR="00C12F1D" w:rsidRPr="00105EAA">
        <w:rPr>
          <w:rFonts w:ascii="Arial" w:hAnsi="Arial" w:cs="Arial"/>
          <w:sz w:val="20"/>
          <w:szCs w:val="20"/>
        </w:rPr>
        <w:t>mit 53 % (2019: 15 %).</w:t>
      </w:r>
      <w:r w:rsidR="00105EAA" w:rsidRPr="00105EAA">
        <w:rPr>
          <w:rFonts w:ascii="Arial" w:hAnsi="Arial" w:cs="Arial"/>
          <w:sz w:val="20"/>
          <w:szCs w:val="20"/>
        </w:rPr>
        <w:t xml:space="preserve"> </w:t>
      </w:r>
      <w:r w:rsidR="00715FB9" w:rsidRPr="00105EAA">
        <w:rPr>
          <w:rFonts w:ascii="Arial" w:hAnsi="Arial" w:cs="Arial"/>
          <w:sz w:val="20"/>
          <w:szCs w:val="20"/>
        </w:rPr>
        <w:t xml:space="preserve">Sechs der neun Großabschlüsse </w:t>
      </w:r>
      <w:r w:rsidR="00B60999">
        <w:rPr>
          <w:rFonts w:ascii="Arial" w:hAnsi="Arial" w:cs="Arial"/>
          <w:sz w:val="20"/>
          <w:szCs w:val="20"/>
        </w:rPr>
        <w:t>über 10.000</w:t>
      </w:r>
      <w:r w:rsidR="00105EAA" w:rsidRPr="00105EAA">
        <w:rPr>
          <w:rFonts w:ascii="Arial" w:hAnsi="Arial" w:cs="Arial"/>
          <w:sz w:val="20"/>
          <w:szCs w:val="20"/>
        </w:rPr>
        <w:t xml:space="preserve"> m² </w:t>
      </w:r>
      <w:r w:rsidR="00715FB9" w:rsidRPr="00105EAA">
        <w:rPr>
          <w:rFonts w:ascii="Arial" w:hAnsi="Arial" w:cs="Arial"/>
          <w:sz w:val="20"/>
          <w:szCs w:val="20"/>
        </w:rPr>
        <w:t>waren Eigennutzer-Baustarts</w:t>
      </w:r>
      <w:r w:rsidR="00105EAA" w:rsidRPr="00105EAA">
        <w:rPr>
          <w:rFonts w:ascii="Arial" w:hAnsi="Arial" w:cs="Arial"/>
          <w:sz w:val="20"/>
          <w:szCs w:val="20"/>
        </w:rPr>
        <w:t>.</w:t>
      </w:r>
    </w:p>
    <w:p w:rsidR="005C100F" w:rsidRDefault="005C100F" w:rsidP="00627692">
      <w:pPr>
        <w:pStyle w:val="Listenabsatz"/>
        <w:numPr>
          <w:ilvl w:val="0"/>
          <w:numId w:val="18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größte Neu-Abschluss im 4. Quartal erfolgte durch die </w:t>
      </w:r>
      <w:proofErr w:type="spellStart"/>
      <w:r>
        <w:rPr>
          <w:rFonts w:ascii="Arial" w:hAnsi="Arial" w:cs="Arial"/>
          <w:sz w:val="20"/>
          <w:szCs w:val="20"/>
        </w:rPr>
        <w:t>Omnitrade</w:t>
      </w:r>
      <w:proofErr w:type="spellEnd"/>
      <w:r>
        <w:rPr>
          <w:rFonts w:ascii="Arial" w:hAnsi="Arial" w:cs="Arial"/>
          <w:sz w:val="20"/>
          <w:szCs w:val="20"/>
        </w:rPr>
        <w:t xml:space="preserve"> Handelsgesellschaft</w:t>
      </w:r>
      <w:r w:rsidR="00715FB9">
        <w:rPr>
          <w:rFonts w:ascii="Arial" w:hAnsi="Arial" w:cs="Arial"/>
          <w:sz w:val="20"/>
          <w:szCs w:val="20"/>
        </w:rPr>
        <w:t>. S</w:t>
      </w:r>
      <w:r>
        <w:rPr>
          <w:rFonts w:ascii="Arial" w:hAnsi="Arial" w:cs="Arial"/>
          <w:sz w:val="20"/>
          <w:szCs w:val="20"/>
        </w:rPr>
        <w:t xml:space="preserve">ie </w:t>
      </w:r>
      <w:r w:rsidR="00715FB9">
        <w:rPr>
          <w:rFonts w:ascii="Arial" w:hAnsi="Arial" w:cs="Arial"/>
          <w:sz w:val="20"/>
          <w:szCs w:val="20"/>
        </w:rPr>
        <w:t xml:space="preserve">begann </w:t>
      </w:r>
      <w:r>
        <w:rPr>
          <w:rFonts w:ascii="Arial" w:hAnsi="Arial" w:cs="Arial"/>
          <w:sz w:val="20"/>
          <w:szCs w:val="20"/>
        </w:rPr>
        <w:t xml:space="preserve">mit dem Bau ihrer Standorterweiterung </w:t>
      </w:r>
      <w:r w:rsidR="000A0C99">
        <w:rPr>
          <w:rFonts w:ascii="Arial" w:hAnsi="Arial" w:cs="Arial"/>
          <w:sz w:val="20"/>
          <w:szCs w:val="20"/>
        </w:rPr>
        <w:t xml:space="preserve">um 30.550 m² </w:t>
      </w:r>
      <w:r>
        <w:rPr>
          <w:rFonts w:ascii="Arial" w:hAnsi="Arial" w:cs="Arial"/>
          <w:sz w:val="20"/>
          <w:szCs w:val="20"/>
        </w:rPr>
        <w:t xml:space="preserve">im Gewerbegebiet </w:t>
      </w:r>
      <w:proofErr w:type="spellStart"/>
      <w:r>
        <w:rPr>
          <w:rFonts w:ascii="Arial" w:hAnsi="Arial" w:cs="Arial"/>
          <w:sz w:val="20"/>
          <w:szCs w:val="20"/>
        </w:rPr>
        <w:t>Jacobsrade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Siek</w:t>
      </w:r>
      <w:proofErr w:type="spellEnd"/>
      <w:r w:rsidR="00122A77">
        <w:rPr>
          <w:rFonts w:ascii="Arial" w:hAnsi="Arial" w:cs="Arial"/>
          <w:sz w:val="20"/>
          <w:szCs w:val="20"/>
        </w:rPr>
        <w:t xml:space="preserve"> (Umland Nord-Ost)</w:t>
      </w:r>
      <w:r>
        <w:rPr>
          <w:rFonts w:ascii="Arial" w:hAnsi="Arial" w:cs="Arial"/>
          <w:sz w:val="20"/>
          <w:szCs w:val="20"/>
        </w:rPr>
        <w:t>.</w:t>
      </w:r>
    </w:p>
    <w:p w:rsidR="00FE43D5" w:rsidRDefault="00B210A4" w:rsidP="00627692">
      <w:pPr>
        <w:pStyle w:val="Listenabsatz"/>
        <w:numPr>
          <w:ilvl w:val="0"/>
          <w:numId w:val="18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Größter Vertragsabschluss des Jahres </w:t>
      </w:r>
      <w:r w:rsidR="000A0C99">
        <w:rPr>
          <w:rFonts w:ascii="Arial" w:hAnsi="Arial" w:cs="Arial"/>
          <w:sz w:val="20"/>
          <w:szCs w:val="20"/>
        </w:rPr>
        <w:t xml:space="preserve">2020 </w:t>
      </w:r>
      <w:r>
        <w:rPr>
          <w:rFonts w:ascii="Arial" w:hAnsi="Arial" w:cs="Arial"/>
          <w:sz w:val="20"/>
          <w:szCs w:val="20"/>
        </w:rPr>
        <w:t xml:space="preserve">blieb </w:t>
      </w:r>
      <w:r w:rsidR="00E5010B">
        <w:rPr>
          <w:rFonts w:ascii="Arial" w:hAnsi="Arial" w:cs="Arial"/>
          <w:sz w:val="20"/>
          <w:szCs w:val="20"/>
        </w:rPr>
        <w:t xml:space="preserve">mit 86.500 m² </w:t>
      </w:r>
      <w:r>
        <w:rPr>
          <w:rFonts w:ascii="Arial" w:hAnsi="Arial" w:cs="Arial"/>
          <w:sz w:val="20"/>
          <w:szCs w:val="20"/>
        </w:rPr>
        <w:t>der Baubeginn des REWE-Logistik- und Verwaltungszentrums in Henstedt-Ulzburg</w:t>
      </w:r>
      <w:r w:rsidR="00122A77">
        <w:rPr>
          <w:rFonts w:ascii="Arial" w:hAnsi="Arial" w:cs="Arial"/>
          <w:sz w:val="20"/>
          <w:szCs w:val="20"/>
        </w:rPr>
        <w:t xml:space="preserve"> (Umland Nord-West)</w:t>
      </w:r>
      <w:r>
        <w:rPr>
          <w:rFonts w:ascii="Arial" w:hAnsi="Arial" w:cs="Arial"/>
          <w:sz w:val="20"/>
          <w:szCs w:val="20"/>
        </w:rPr>
        <w:t xml:space="preserve">. Den Mietvertrag mit dem größten Flächenvolumen </w:t>
      </w:r>
      <w:r w:rsidR="003D0A8A">
        <w:rPr>
          <w:rFonts w:ascii="Arial" w:hAnsi="Arial" w:cs="Arial"/>
          <w:sz w:val="20"/>
          <w:szCs w:val="20"/>
        </w:rPr>
        <w:t xml:space="preserve">des Jahres </w:t>
      </w:r>
      <w:r w:rsidR="000A0C99">
        <w:rPr>
          <w:rFonts w:ascii="Arial" w:hAnsi="Arial" w:cs="Arial"/>
          <w:sz w:val="20"/>
          <w:szCs w:val="20"/>
        </w:rPr>
        <w:t xml:space="preserve">schloss </w:t>
      </w:r>
      <w:r>
        <w:rPr>
          <w:rFonts w:ascii="Arial" w:hAnsi="Arial" w:cs="Arial"/>
          <w:sz w:val="20"/>
          <w:szCs w:val="20"/>
        </w:rPr>
        <w:t xml:space="preserve">die Spedition </w:t>
      </w:r>
      <w:proofErr w:type="spellStart"/>
      <w:r>
        <w:rPr>
          <w:rFonts w:ascii="Arial" w:hAnsi="Arial" w:cs="Arial"/>
          <w:sz w:val="20"/>
          <w:szCs w:val="20"/>
        </w:rPr>
        <w:t>Mickeleit</w:t>
      </w:r>
      <w:proofErr w:type="spellEnd"/>
      <w:r>
        <w:rPr>
          <w:rFonts w:ascii="Arial" w:hAnsi="Arial" w:cs="Arial"/>
          <w:sz w:val="20"/>
          <w:szCs w:val="20"/>
        </w:rPr>
        <w:t xml:space="preserve"> bereits im 1. Quartal für 28.400 m² im </w:t>
      </w:r>
      <w:proofErr w:type="spellStart"/>
      <w:r>
        <w:rPr>
          <w:rFonts w:ascii="Arial" w:hAnsi="Arial" w:cs="Arial"/>
          <w:sz w:val="20"/>
          <w:szCs w:val="20"/>
        </w:rPr>
        <w:t>Altenwerder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Kirchtal</w:t>
      </w:r>
      <w:proofErr w:type="spellEnd"/>
      <w:r>
        <w:rPr>
          <w:rFonts w:ascii="Arial" w:hAnsi="Arial" w:cs="Arial"/>
          <w:sz w:val="20"/>
          <w:szCs w:val="20"/>
        </w:rPr>
        <w:t xml:space="preserve"> 1-5 ab</w:t>
      </w:r>
      <w:r w:rsidR="00122A77">
        <w:rPr>
          <w:rFonts w:ascii="Arial" w:hAnsi="Arial" w:cs="Arial"/>
          <w:sz w:val="20"/>
          <w:szCs w:val="20"/>
        </w:rPr>
        <w:t xml:space="preserve"> (Hamburg Süd)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1494D" w:rsidRPr="0031494D" w:rsidRDefault="0031494D" w:rsidP="00547DBF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Anders als im Vorjahr dominierten die Logistiker Ende 2020 das Marktgeschehen nicht allein, sondern mussten ihre Spitzenposition (2019: 57 %, 2020: 29 %) an die Handelsunternehmen (34 %) abgeben.</w:t>
      </w:r>
    </w:p>
    <w:p w:rsidR="001F0C02" w:rsidRPr="001F0C02" w:rsidRDefault="004E7B3E" w:rsidP="00B02258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b/>
          <w:sz w:val="20"/>
          <w:szCs w:val="20"/>
        </w:rPr>
      </w:pPr>
      <w:r w:rsidRPr="001F0C02">
        <w:rPr>
          <w:rFonts w:ascii="Arial" w:hAnsi="Arial" w:cs="Arial"/>
          <w:sz w:val="20"/>
          <w:szCs w:val="20"/>
        </w:rPr>
        <w:t xml:space="preserve">Die Marktaktivitäten verlagerten sich deutlich von der Stadt ins Umland, so dass der Umlandanteil am Flächenumsatz von 38 auf 55 % zulegte. Grund hierfür ist, dass sechs der neun Großabschlüsse auf das Umland entfielen. </w:t>
      </w:r>
      <w:r w:rsidR="008C0F8D" w:rsidRPr="001F0C02">
        <w:rPr>
          <w:rFonts w:ascii="Arial" w:hAnsi="Arial" w:cs="Arial"/>
          <w:sz w:val="20"/>
          <w:szCs w:val="20"/>
        </w:rPr>
        <w:t>Während der REWE-Baustart den Anteil des Umland Nord-West auf ein Viertel hochtrieb, erreichte der Teilmarkt Hamburg Süd – dank der restlichen drei Großabschlüsse – den nächsthöheren Anteil von einem Fünftel.</w:t>
      </w:r>
    </w:p>
    <w:tbl>
      <w:tblPr>
        <w:tblStyle w:val="TableGrid2"/>
        <w:tblpPr w:leftFromText="141" w:rightFromText="141" w:vertAnchor="text" w:horzAnchor="margin" w:tblpY="106"/>
        <w:tblW w:w="5382" w:type="dxa"/>
        <w:tblLook w:val="04A0" w:firstRow="1" w:lastRow="0" w:firstColumn="1" w:lastColumn="0" w:noHBand="0" w:noVBand="1"/>
      </w:tblPr>
      <w:tblGrid>
        <w:gridCol w:w="3539"/>
        <w:gridCol w:w="1843"/>
      </w:tblGrid>
      <w:tr w:rsidR="009A3457" w:rsidRPr="006F49D0" w:rsidTr="001F0C02">
        <w:trPr>
          <w:trHeight w:val="255"/>
        </w:trPr>
        <w:tc>
          <w:tcPr>
            <w:tcW w:w="3539" w:type="dxa"/>
            <w:shd w:val="clear" w:color="auto" w:fill="1F242B" w:themeFill="accent2"/>
            <w:vAlign w:val="center"/>
          </w:tcPr>
          <w:p w:rsidR="00587FDA" w:rsidRDefault="00587FDA" w:rsidP="00627692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Industrie, </w:t>
            </w:r>
            <w:r w:rsidR="00786781" w:rsidRPr="00627692">
              <w:rPr>
                <w:rFonts w:ascii="Arial" w:hAnsi="Arial" w:cs="Arial"/>
                <w:b/>
                <w:sz w:val="18"/>
                <w:szCs w:val="20"/>
              </w:rPr>
              <w:t>Logistik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|</w:t>
            </w:r>
          </w:p>
          <w:p w:rsidR="009A3457" w:rsidRPr="00587FDA" w:rsidRDefault="009A3457" w:rsidP="00627692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627692">
              <w:rPr>
                <w:rFonts w:ascii="Arial" w:hAnsi="Arial" w:cs="Arial"/>
                <w:b/>
                <w:sz w:val="18"/>
                <w:szCs w:val="20"/>
              </w:rPr>
              <w:t>Hamburg</w:t>
            </w:r>
            <w:r w:rsidR="00627692" w:rsidRPr="0062769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3A22D7">
              <w:rPr>
                <w:rFonts w:ascii="Arial" w:hAnsi="Arial" w:cs="Arial"/>
                <w:b/>
                <w:sz w:val="18"/>
                <w:szCs w:val="20"/>
              </w:rPr>
              <w:t>und Umland | 2020</w:t>
            </w:r>
          </w:p>
        </w:tc>
        <w:tc>
          <w:tcPr>
            <w:tcW w:w="1843" w:type="dxa"/>
            <w:shd w:val="clear" w:color="auto" w:fill="1F242B" w:themeFill="accent2"/>
            <w:vAlign w:val="center"/>
          </w:tcPr>
          <w:p w:rsidR="009A3457" w:rsidRPr="004712BA" w:rsidRDefault="003A22D7" w:rsidP="009A345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>Q1-4</w:t>
            </w:r>
          </w:p>
        </w:tc>
      </w:tr>
      <w:tr w:rsidR="009A3457" w:rsidRPr="006F49D0" w:rsidTr="001F0C02">
        <w:trPr>
          <w:trHeight w:val="255"/>
        </w:trPr>
        <w:tc>
          <w:tcPr>
            <w:tcW w:w="3539" w:type="dxa"/>
            <w:vAlign w:val="center"/>
          </w:tcPr>
          <w:p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0E7BC7">
              <w:rPr>
                <w:rFonts w:ascii="Arial" w:hAnsi="Arial" w:cs="Arial"/>
                <w:b/>
                <w:sz w:val="18"/>
                <w:szCs w:val="16"/>
                <w:lang w:val="en-US"/>
              </w:rPr>
              <w:t>Flächenum</w:t>
            </w:r>
            <w:r w:rsidRPr="000E7BC7">
              <w:rPr>
                <w:rFonts w:ascii="Arial" w:hAnsi="Arial" w:cs="Arial"/>
                <w:b/>
                <w:sz w:val="18"/>
                <w:szCs w:val="16"/>
              </w:rPr>
              <w:t>satz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:rsidR="009A3457" w:rsidRPr="004712BA" w:rsidRDefault="003A22D7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480.000</w:t>
            </w:r>
          </w:p>
        </w:tc>
      </w:tr>
      <w:tr w:rsidR="009A3457" w:rsidRPr="006F49D0" w:rsidTr="001F0C02">
        <w:trPr>
          <w:trHeight w:val="255"/>
        </w:trPr>
        <w:tc>
          <w:tcPr>
            <w:tcW w:w="3539" w:type="dxa"/>
            <w:vAlign w:val="center"/>
          </w:tcPr>
          <w:p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:rsidR="009A3457" w:rsidRPr="004712BA" w:rsidRDefault="003A22D7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+35</w:t>
            </w:r>
          </w:p>
        </w:tc>
      </w:tr>
      <w:tr w:rsidR="009A3457" w:rsidRPr="006F49D0" w:rsidTr="001F0C02">
        <w:trPr>
          <w:trHeight w:val="255"/>
        </w:trPr>
        <w:tc>
          <w:tcPr>
            <w:tcW w:w="3539" w:type="dxa"/>
            <w:vAlign w:val="center"/>
          </w:tcPr>
          <w:p w:rsidR="009A3457" w:rsidRPr="009A3457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lastRenderedPageBreak/>
              <w:t>Eigennutzerquote</w:t>
            </w:r>
            <w:r w:rsidRPr="0062769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:rsidR="009A3457" w:rsidRPr="004712BA" w:rsidRDefault="003A22D7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51</w:t>
            </w:r>
          </w:p>
        </w:tc>
      </w:tr>
      <w:tr w:rsidR="009A3457" w:rsidRPr="006F49D0" w:rsidTr="001F0C02">
        <w:trPr>
          <w:trHeight w:val="255"/>
        </w:trPr>
        <w:tc>
          <w:tcPr>
            <w:tcW w:w="3539" w:type="dxa"/>
            <w:vAlign w:val="center"/>
          </w:tcPr>
          <w:p w:rsidR="009A3457" w:rsidRPr="00122A77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122A77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122A77">
              <w:rPr>
                <w:rFonts w:ascii="Arial" w:hAnsi="Arial" w:cs="Arial"/>
                <w:sz w:val="18"/>
                <w:szCs w:val="16"/>
              </w:rPr>
              <w:t>. Vorjahr [%</w:t>
            </w:r>
            <w:r w:rsidR="00627692" w:rsidRPr="00122A77">
              <w:rPr>
                <w:rFonts w:ascii="Arial" w:hAnsi="Arial" w:cs="Arial"/>
                <w:sz w:val="18"/>
                <w:szCs w:val="16"/>
              </w:rPr>
              <w:t>-Pkt.</w:t>
            </w:r>
            <w:r w:rsidRPr="00122A77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:rsidR="009A3457" w:rsidRPr="00122A77" w:rsidRDefault="00122A77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122A77">
              <w:rPr>
                <w:rFonts w:ascii="Arial" w:hAnsi="Arial" w:cs="Arial"/>
                <w:sz w:val="18"/>
                <w:szCs w:val="16"/>
              </w:rPr>
              <w:t>+</w:t>
            </w:r>
            <w:r w:rsidR="00363EAC" w:rsidRPr="00122A77">
              <w:rPr>
                <w:rFonts w:ascii="Arial" w:hAnsi="Arial" w:cs="Arial"/>
                <w:sz w:val="18"/>
                <w:szCs w:val="16"/>
              </w:rPr>
              <w:t>36</w:t>
            </w:r>
          </w:p>
        </w:tc>
      </w:tr>
      <w:tr w:rsidR="009A3457" w:rsidRPr="006F49D0" w:rsidTr="001F0C02">
        <w:trPr>
          <w:trHeight w:val="255"/>
        </w:trPr>
        <w:tc>
          <w:tcPr>
            <w:tcW w:w="3539" w:type="dxa"/>
            <w:vAlign w:val="center"/>
          </w:tcPr>
          <w:p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 xml:space="preserve">Spitzenmiete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 xml:space="preserve">[€/m² </w:t>
            </w:r>
            <w:r w:rsidRPr="00627692">
              <w:rPr>
                <w:rFonts w:ascii="Arial" w:hAnsi="Arial" w:cs="Arial"/>
                <w:sz w:val="18"/>
                <w:szCs w:val="16"/>
              </w:rPr>
              <w:t xml:space="preserve">mtl.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n</w:t>
            </w:r>
            <w:r w:rsidRPr="00627692">
              <w:rPr>
                <w:rFonts w:ascii="Arial" w:hAnsi="Arial" w:cs="Arial"/>
                <w:sz w:val="18"/>
                <w:szCs w:val="16"/>
              </w:rPr>
              <w:t>ettokalt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:rsidR="009A3457" w:rsidRPr="004712BA" w:rsidRDefault="003A22D7" w:rsidP="00627692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6,30</w:t>
            </w:r>
            <w:r w:rsidR="009A3457" w:rsidRPr="009A3457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  <w:tr w:rsidR="009A3457" w:rsidTr="001F0C02">
        <w:trPr>
          <w:trHeight w:val="255"/>
        </w:trPr>
        <w:tc>
          <w:tcPr>
            <w:tcW w:w="3539" w:type="dxa"/>
            <w:vAlign w:val="center"/>
          </w:tcPr>
          <w:p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:rsidR="009A3457" w:rsidRPr="00A7575D" w:rsidRDefault="003A22D7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D0267">
              <w:rPr>
                <w:rFonts w:ascii="Arial" w:hAnsi="Arial" w:cs="Arial"/>
                <w:sz w:val="18"/>
                <w:szCs w:val="16"/>
              </w:rPr>
              <w:t>±</w:t>
            </w:r>
            <w:r>
              <w:rPr>
                <w:rFonts w:ascii="Arial" w:hAnsi="Arial" w:cs="Arial"/>
                <w:sz w:val="18"/>
                <w:szCs w:val="16"/>
              </w:rPr>
              <w:t xml:space="preserve"> 0,0</w:t>
            </w:r>
          </w:p>
        </w:tc>
      </w:tr>
      <w:tr w:rsidR="009A3457" w:rsidRPr="006F49D0" w:rsidTr="001F0C02">
        <w:trPr>
          <w:trHeight w:val="255"/>
        </w:trPr>
        <w:tc>
          <w:tcPr>
            <w:tcW w:w="3539" w:type="dxa"/>
            <w:vAlign w:val="center"/>
          </w:tcPr>
          <w:p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 xml:space="preserve">Durchschnittsmiete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[€/m² mtl. nettokalt]</w:t>
            </w:r>
          </w:p>
        </w:tc>
        <w:tc>
          <w:tcPr>
            <w:tcW w:w="1843" w:type="dxa"/>
            <w:vAlign w:val="center"/>
          </w:tcPr>
          <w:p w:rsidR="009A3457" w:rsidRPr="004712BA" w:rsidRDefault="003A22D7" w:rsidP="00627692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5,20</w:t>
            </w:r>
            <w:r w:rsidR="009A3457" w:rsidRPr="009A3457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  <w:tr w:rsidR="009A3457" w:rsidTr="001F0C02">
        <w:trPr>
          <w:trHeight w:val="255"/>
        </w:trPr>
        <w:tc>
          <w:tcPr>
            <w:tcW w:w="3539" w:type="dxa"/>
            <w:vAlign w:val="center"/>
          </w:tcPr>
          <w:p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:rsidR="009A3457" w:rsidRPr="00A7575D" w:rsidRDefault="003A22D7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+2,0</w:t>
            </w:r>
          </w:p>
        </w:tc>
      </w:tr>
      <w:tr w:rsidR="00395ED5" w:rsidRPr="006F49D0" w:rsidTr="001F0C02">
        <w:trPr>
          <w:trHeight w:val="255"/>
        </w:trPr>
        <w:tc>
          <w:tcPr>
            <w:tcW w:w="3539" w:type="dxa"/>
            <w:vAlign w:val="center"/>
          </w:tcPr>
          <w:p w:rsidR="00395ED5" w:rsidRPr="00D32F4A" w:rsidRDefault="00395ED5" w:rsidP="00395ED5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D32F4A">
              <w:rPr>
                <w:rFonts w:ascii="Arial" w:hAnsi="Arial" w:cs="Arial"/>
                <w:b/>
                <w:sz w:val="18"/>
                <w:szCs w:val="16"/>
              </w:rPr>
              <w:t>Umsatzstärkster Teilmarkt</w:t>
            </w:r>
          </w:p>
        </w:tc>
        <w:tc>
          <w:tcPr>
            <w:tcW w:w="1843" w:type="dxa"/>
            <w:vAlign w:val="center"/>
          </w:tcPr>
          <w:p w:rsidR="00395ED5" w:rsidRPr="004712BA" w:rsidRDefault="003A22D7" w:rsidP="00395ED5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Umland Nord-West</w:t>
            </w:r>
          </w:p>
        </w:tc>
      </w:tr>
      <w:tr w:rsidR="00395ED5" w:rsidTr="001F0C02">
        <w:trPr>
          <w:trHeight w:val="255"/>
        </w:trPr>
        <w:tc>
          <w:tcPr>
            <w:tcW w:w="3539" w:type="dxa"/>
            <w:vAlign w:val="center"/>
          </w:tcPr>
          <w:p w:rsidR="00395ED5" w:rsidRPr="00D32F4A" w:rsidRDefault="00395ED5" w:rsidP="00395ED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D32F4A">
              <w:rPr>
                <w:rFonts w:ascii="Arial" w:hAnsi="Arial" w:cs="Arial"/>
                <w:sz w:val="18"/>
                <w:szCs w:val="16"/>
              </w:rPr>
              <w:t>Umsatzstärkster Teilmarkt [%]</w:t>
            </w:r>
          </w:p>
        </w:tc>
        <w:tc>
          <w:tcPr>
            <w:tcW w:w="1843" w:type="dxa"/>
            <w:vAlign w:val="center"/>
          </w:tcPr>
          <w:p w:rsidR="00395ED5" w:rsidRPr="004712BA" w:rsidRDefault="003A22D7" w:rsidP="00395ED5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</w:t>
            </w:r>
          </w:p>
        </w:tc>
      </w:tr>
      <w:tr w:rsidR="009A3457" w:rsidRPr="006F49D0" w:rsidTr="001F0C02">
        <w:trPr>
          <w:trHeight w:val="25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Umsatzstärkste Branche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3457" w:rsidRPr="004712BA" w:rsidRDefault="003A22D7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Handel</w:t>
            </w:r>
          </w:p>
        </w:tc>
      </w:tr>
      <w:tr w:rsidR="009A3457" w:rsidRPr="006F49D0" w:rsidTr="001F0C02">
        <w:trPr>
          <w:trHeight w:val="25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627692">
              <w:rPr>
                <w:rFonts w:ascii="Arial" w:hAnsi="Arial" w:cs="Arial"/>
                <w:sz w:val="18"/>
                <w:szCs w:val="16"/>
              </w:rPr>
              <w:t>Umsatzstärkste Branche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3457" w:rsidRPr="004712BA" w:rsidRDefault="003A22D7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34</w:t>
            </w:r>
          </w:p>
        </w:tc>
      </w:tr>
    </w:tbl>
    <w:p w:rsidR="008E65DC" w:rsidRDefault="00587FDA" w:rsidP="0099386F">
      <w:pPr>
        <w:tabs>
          <w:tab w:val="left" w:pos="173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3528060</wp:posOffset>
            </wp:positionH>
            <wp:positionV relativeFrom="paragraph">
              <wp:posOffset>19354</wp:posOffset>
            </wp:positionV>
            <wp:extent cx="2578735" cy="1817370"/>
            <wp:effectExtent l="19050" t="19050" r="12065" b="1143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 Logistik 2020Q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18173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86F">
        <w:rPr>
          <w:rFonts w:ascii="Arial" w:hAnsi="Arial" w:cs="Arial"/>
          <w:b/>
          <w:sz w:val="20"/>
          <w:szCs w:val="20"/>
        </w:rPr>
        <w:tab/>
      </w:r>
    </w:p>
    <w:p w:rsidR="001F0C02" w:rsidRDefault="001F0C02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F0C02" w:rsidRDefault="001F0C02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A22D7" w:rsidRDefault="00C36C38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</w:t>
      </w:r>
      <w:r w:rsidR="00956905">
        <w:rPr>
          <w:rFonts w:ascii="Arial" w:hAnsi="Arial" w:cs="Arial"/>
          <w:b/>
          <w:sz w:val="20"/>
          <w:szCs w:val="20"/>
        </w:rPr>
        <w:t xml:space="preserve">sgewählte </w:t>
      </w:r>
      <w:r w:rsidR="0099386F">
        <w:rPr>
          <w:rFonts w:ascii="Arial" w:hAnsi="Arial" w:cs="Arial"/>
          <w:b/>
          <w:sz w:val="20"/>
          <w:szCs w:val="20"/>
        </w:rPr>
        <w:t>Top-</w:t>
      </w:r>
      <w:r w:rsidR="00956905">
        <w:rPr>
          <w:rFonts w:ascii="Arial" w:hAnsi="Arial" w:cs="Arial"/>
          <w:b/>
          <w:sz w:val="20"/>
          <w:szCs w:val="20"/>
        </w:rPr>
        <w:t xml:space="preserve">Transaktionen | </w:t>
      </w:r>
      <w:r w:rsidR="00587FDA">
        <w:rPr>
          <w:rFonts w:ascii="Arial" w:eastAsiaTheme="minorHAnsi" w:hAnsi="Arial" w:cs="Arial"/>
          <w:b/>
          <w:sz w:val="20"/>
          <w:szCs w:val="20"/>
        </w:rPr>
        <w:t xml:space="preserve">Industrie- </w:t>
      </w:r>
      <w:r w:rsidR="00956905" w:rsidRPr="009A3457">
        <w:rPr>
          <w:rFonts w:ascii="Arial" w:eastAsiaTheme="minorHAnsi" w:hAnsi="Arial" w:cs="Arial"/>
          <w:b/>
          <w:sz w:val="20"/>
          <w:szCs w:val="20"/>
        </w:rPr>
        <w:t xml:space="preserve">und Logistikmarkt </w:t>
      </w:r>
      <w:r w:rsidR="00956905">
        <w:rPr>
          <w:rFonts w:ascii="Arial" w:hAnsi="Arial" w:cs="Arial"/>
          <w:b/>
          <w:sz w:val="20"/>
          <w:szCs w:val="20"/>
        </w:rPr>
        <w:t>Hamburg</w:t>
      </w:r>
      <w:r w:rsidR="000F726E">
        <w:rPr>
          <w:rFonts w:ascii="Arial" w:hAnsi="Arial" w:cs="Arial"/>
          <w:b/>
          <w:sz w:val="20"/>
          <w:szCs w:val="20"/>
        </w:rPr>
        <w:t xml:space="preserve"> </w:t>
      </w:r>
      <w:r w:rsidR="003A22D7">
        <w:rPr>
          <w:rFonts w:ascii="Arial" w:hAnsi="Arial" w:cs="Arial"/>
          <w:b/>
          <w:sz w:val="20"/>
          <w:szCs w:val="20"/>
        </w:rPr>
        <w:t xml:space="preserve">und Umland </w:t>
      </w:r>
      <w:r w:rsidR="000F726E">
        <w:rPr>
          <w:rFonts w:ascii="Arial" w:hAnsi="Arial" w:cs="Arial"/>
          <w:b/>
          <w:sz w:val="20"/>
          <w:szCs w:val="20"/>
        </w:rPr>
        <w:t>|</w:t>
      </w:r>
    </w:p>
    <w:p w:rsidR="009A3457" w:rsidRDefault="003A22D7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1.-4</w:t>
      </w:r>
      <w:r w:rsidR="00C36C3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Quartal 2020</w:t>
      </w:r>
    </w:p>
    <w:tbl>
      <w:tblPr>
        <w:tblStyle w:val="Tabellenraster"/>
        <w:tblpPr w:leftFromText="141" w:rightFromText="141" w:vertAnchor="text" w:horzAnchor="margin" w:tblpY="-23"/>
        <w:tblW w:w="9634" w:type="dxa"/>
        <w:tblLook w:val="04A0" w:firstRow="1" w:lastRow="0" w:firstColumn="1" w:lastColumn="0" w:noHBand="0" w:noVBand="1"/>
      </w:tblPr>
      <w:tblGrid>
        <w:gridCol w:w="1413"/>
        <w:gridCol w:w="2551"/>
        <w:gridCol w:w="2268"/>
        <w:gridCol w:w="2268"/>
        <w:gridCol w:w="1134"/>
      </w:tblGrid>
      <w:tr w:rsidR="00C36C38" w:rsidRPr="0017364E" w:rsidTr="003A22D7">
        <w:trPr>
          <w:trHeight w:val="542"/>
        </w:trPr>
        <w:tc>
          <w:tcPr>
            <w:tcW w:w="1413" w:type="dxa"/>
            <w:shd w:val="clear" w:color="auto" w:fill="1F242B" w:themeFill="accent2"/>
          </w:tcPr>
          <w:p w:rsidR="00C36C38" w:rsidRPr="0017364E" w:rsidRDefault="00C36C38" w:rsidP="00C36C38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Stadt</w:t>
            </w:r>
          </w:p>
        </w:tc>
        <w:tc>
          <w:tcPr>
            <w:tcW w:w="2551" w:type="dxa"/>
            <w:shd w:val="clear" w:color="auto" w:fill="1F242B" w:themeFill="accent2"/>
          </w:tcPr>
          <w:p w:rsidR="00C36C38" w:rsidRPr="0017364E" w:rsidRDefault="00C36C38" w:rsidP="00C36C38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Straße</w:t>
            </w:r>
          </w:p>
        </w:tc>
        <w:tc>
          <w:tcPr>
            <w:tcW w:w="2268" w:type="dxa"/>
            <w:shd w:val="clear" w:color="auto" w:fill="1F242B" w:themeFill="accent2"/>
          </w:tcPr>
          <w:p w:rsidR="00C36C38" w:rsidRPr="0017364E" w:rsidRDefault="00C36C38" w:rsidP="00C36C38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Objekt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08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089">
              <w:rPr>
                <w:rFonts w:ascii="Arial" w:hAnsi="Arial" w:cs="Arial"/>
                <w:b/>
                <w:sz w:val="16"/>
                <w:szCs w:val="16"/>
              </w:rPr>
              <w:t>Projekt</w:t>
            </w:r>
          </w:p>
        </w:tc>
        <w:tc>
          <w:tcPr>
            <w:tcW w:w="2268" w:type="dxa"/>
            <w:shd w:val="clear" w:color="auto" w:fill="1F242B" w:themeFill="accent2"/>
          </w:tcPr>
          <w:p w:rsidR="00C36C38" w:rsidRPr="0017364E" w:rsidRDefault="00C36C38" w:rsidP="00C36C38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Mieter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Eigennutzer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(EN)</w:t>
            </w:r>
          </w:p>
        </w:tc>
        <w:tc>
          <w:tcPr>
            <w:tcW w:w="1134" w:type="dxa"/>
            <w:shd w:val="clear" w:color="auto" w:fill="1F242B" w:themeFill="accent2"/>
          </w:tcPr>
          <w:p w:rsidR="00C36C38" w:rsidRPr="00873089" w:rsidRDefault="00C36C38" w:rsidP="00C36C3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Fläche</w:t>
            </w:r>
          </w:p>
          <w:p w:rsidR="00C36C38" w:rsidRPr="00627692" w:rsidRDefault="00627692" w:rsidP="00C36C38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627692">
              <w:rPr>
                <w:rFonts w:ascii="Arial" w:hAnsi="Arial" w:cs="Arial"/>
                <w:sz w:val="16"/>
                <w:szCs w:val="16"/>
              </w:rPr>
              <w:t>[</w:t>
            </w:r>
            <w:r w:rsidR="00C36C38" w:rsidRPr="00627692">
              <w:rPr>
                <w:rFonts w:ascii="Arial" w:hAnsi="Arial" w:cs="Arial"/>
                <w:sz w:val="16"/>
                <w:szCs w:val="16"/>
              </w:rPr>
              <w:t>ca. m²</w:t>
            </w:r>
            <w:r w:rsidRPr="0062769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A22D7" w:rsidRPr="0017364E" w:rsidTr="003A22D7">
        <w:trPr>
          <w:trHeight w:val="542"/>
        </w:trPr>
        <w:tc>
          <w:tcPr>
            <w:tcW w:w="1413" w:type="dxa"/>
            <w:vAlign w:val="center"/>
          </w:tcPr>
          <w:p w:rsidR="003A22D7" w:rsidRPr="003A22D7" w:rsidRDefault="003A22D7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22D7">
              <w:rPr>
                <w:rFonts w:ascii="Arial" w:hAnsi="Arial" w:cs="Arial"/>
                <w:sz w:val="16"/>
                <w:szCs w:val="16"/>
              </w:rPr>
              <w:t>Henstedt-Ulzburg</w:t>
            </w:r>
          </w:p>
        </w:tc>
        <w:tc>
          <w:tcPr>
            <w:tcW w:w="2551" w:type="dxa"/>
            <w:vAlign w:val="center"/>
          </w:tcPr>
          <w:p w:rsidR="003A22D7" w:rsidRPr="003A22D7" w:rsidRDefault="003A22D7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22D7">
              <w:rPr>
                <w:rFonts w:ascii="Arial" w:hAnsi="Arial" w:cs="Arial"/>
                <w:sz w:val="16"/>
                <w:szCs w:val="16"/>
              </w:rPr>
              <w:t>Rudolf-Diesel-Straße</w:t>
            </w:r>
          </w:p>
        </w:tc>
        <w:tc>
          <w:tcPr>
            <w:tcW w:w="2268" w:type="dxa"/>
            <w:vAlign w:val="center"/>
          </w:tcPr>
          <w:p w:rsidR="007A592B" w:rsidRDefault="003A22D7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22D7">
              <w:rPr>
                <w:rFonts w:ascii="Arial" w:hAnsi="Arial" w:cs="Arial"/>
                <w:sz w:val="16"/>
                <w:szCs w:val="16"/>
              </w:rPr>
              <w:t>Logistik-/</w:t>
            </w:r>
          </w:p>
          <w:p w:rsidR="003A22D7" w:rsidRPr="003A22D7" w:rsidRDefault="003A22D7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3A22D7">
              <w:rPr>
                <w:rFonts w:ascii="Arial" w:hAnsi="Arial" w:cs="Arial"/>
                <w:sz w:val="16"/>
                <w:szCs w:val="16"/>
              </w:rPr>
              <w:t>Verwaltungszentrum (Baubeginn)</w:t>
            </w:r>
          </w:p>
        </w:tc>
        <w:tc>
          <w:tcPr>
            <w:tcW w:w="2268" w:type="dxa"/>
            <w:vAlign w:val="center"/>
          </w:tcPr>
          <w:p w:rsidR="003A22D7" w:rsidRPr="003A22D7" w:rsidRDefault="003A22D7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22D7">
              <w:rPr>
                <w:rFonts w:ascii="Arial" w:hAnsi="Arial" w:cs="Arial"/>
                <w:sz w:val="16"/>
                <w:szCs w:val="16"/>
              </w:rPr>
              <w:t>REWE Region Nord (EN)</w:t>
            </w:r>
          </w:p>
        </w:tc>
        <w:tc>
          <w:tcPr>
            <w:tcW w:w="1134" w:type="dxa"/>
            <w:vAlign w:val="center"/>
          </w:tcPr>
          <w:p w:rsidR="003A22D7" w:rsidRPr="003A22D7" w:rsidRDefault="003A22D7" w:rsidP="003A2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2D7">
              <w:rPr>
                <w:rFonts w:ascii="Arial" w:hAnsi="Arial" w:cs="Arial"/>
                <w:sz w:val="16"/>
                <w:szCs w:val="16"/>
              </w:rPr>
              <w:t>86.500</w:t>
            </w:r>
          </w:p>
        </w:tc>
      </w:tr>
      <w:tr w:rsidR="003A22D7" w:rsidRPr="0017364E" w:rsidTr="003A22D7">
        <w:trPr>
          <w:trHeight w:val="542"/>
        </w:trPr>
        <w:tc>
          <w:tcPr>
            <w:tcW w:w="1413" w:type="dxa"/>
            <w:vAlign w:val="center"/>
          </w:tcPr>
          <w:p w:rsidR="003A22D7" w:rsidRPr="003A22D7" w:rsidRDefault="003A22D7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22D7"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2551" w:type="dxa"/>
            <w:vAlign w:val="center"/>
          </w:tcPr>
          <w:p w:rsidR="003A22D7" w:rsidRPr="003A22D7" w:rsidRDefault="003A22D7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22D7">
              <w:rPr>
                <w:rFonts w:ascii="Arial" w:hAnsi="Arial" w:cs="Arial"/>
                <w:sz w:val="16"/>
                <w:szCs w:val="16"/>
              </w:rPr>
              <w:t>Am Genter Ufer</w:t>
            </w:r>
          </w:p>
        </w:tc>
        <w:tc>
          <w:tcPr>
            <w:tcW w:w="2268" w:type="dxa"/>
            <w:vAlign w:val="center"/>
          </w:tcPr>
          <w:p w:rsidR="003A22D7" w:rsidRPr="003A22D7" w:rsidRDefault="003A22D7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22D7">
              <w:rPr>
                <w:rFonts w:ascii="Arial" w:hAnsi="Arial" w:cs="Arial"/>
                <w:sz w:val="16"/>
                <w:szCs w:val="16"/>
              </w:rPr>
              <w:t>Neubau (Baubeginn)</w:t>
            </w:r>
          </w:p>
        </w:tc>
        <w:tc>
          <w:tcPr>
            <w:tcW w:w="2268" w:type="dxa"/>
            <w:vAlign w:val="center"/>
          </w:tcPr>
          <w:p w:rsidR="003A22D7" w:rsidRPr="003A22D7" w:rsidRDefault="003A22D7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22D7">
              <w:rPr>
                <w:rFonts w:ascii="Arial" w:hAnsi="Arial" w:cs="Arial"/>
                <w:sz w:val="16"/>
                <w:szCs w:val="16"/>
              </w:rPr>
              <w:t>Airbus (EN)</w:t>
            </w:r>
          </w:p>
        </w:tc>
        <w:tc>
          <w:tcPr>
            <w:tcW w:w="1134" w:type="dxa"/>
            <w:vAlign w:val="center"/>
          </w:tcPr>
          <w:p w:rsidR="003A22D7" w:rsidRPr="003A22D7" w:rsidRDefault="003A22D7" w:rsidP="003A2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2D7">
              <w:rPr>
                <w:rFonts w:ascii="Arial" w:hAnsi="Arial" w:cs="Arial"/>
                <w:sz w:val="16"/>
                <w:szCs w:val="16"/>
              </w:rPr>
              <w:t>30.600</w:t>
            </w:r>
          </w:p>
        </w:tc>
      </w:tr>
      <w:tr w:rsidR="00C36C38" w:rsidRPr="0017364E" w:rsidTr="003A22D7">
        <w:trPr>
          <w:trHeight w:val="542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C36C38" w:rsidRPr="003A22D7" w:rsidRDefault="003A22D7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22D7">
              <w:rPr>
                <w:rFonts w:ascii="Arial" w:hAnsi="Arial" w:cs="Arial"/>
                <w:sz w:val="16"/>
                <w:szCs w:val="16"/>
              </w:rPr>
              <w:t>Siek</w:t>
            </w:r>
            <w:proofErr w:type="spellEnd"/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C36C38" w:rsidRPr="003A22D7" w:rsidRDefault="003A22D7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22D7">
              <w:rPr>
                <w:rFonts w:ascii="Arial" w:hAnsi="Arial" w:cs="Arial"/>
                <w:sz w:val="16"/>
                <w:szCs w:val="16"/>
              </w:rPr>
              <w:t>Jacobsrade</w:t>
            </w:r>
            <w:proofErr w:type="spellEnd"/>
            <w:r w:rsidRPr="003A22D7">
              <w:rPr>
                <w:rFonts w:ascii="Arial" w:hAnsi="Arial" w:cs="Arial"/>
                <w:sz w:val="16"/>
                <w:szCs w:val="16"/>
              </w:rPr>
              <w:t xml:space="preserve"> 86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C36C38" w:rsidRPr="003A22D7" w:rsidRDefault="003A22D7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F625D">
              <w:rPr>
                <w:rFonts w:ascii="Arial" w:hAnsi="Arial" w:cs="Arial"/>
                <w:sz w:val="16"/>
                <w:szCs w:val="16"/>
              </w:rPr>
              <w:t xml:space="preserve">Produktions- und Lagerhalle </w:t>
            </w:r>
            <w:r w:rsidRPr="003A22D7">
              <w:rPr>
                <w:rFonts w:ascii="Arial" w:hAnsi="Arial" w:cs="Arial"/>
                <w:sz w:val="16"/>
                <w:szCs w:val="16"/>
              </w:rPr>
              <w:t>(Baubeginn)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C36C38" w:rsidRPr="003A22D7" w:rsidRDefault="003A22D7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22D7">
              <w:rPr>
                <w:rFonts w:ascii="Arial" w:hAnsi="Arial" w:cs="Arial"/>
                <w:sz w:val="16"/>
                <w:szCs w:val="16"/>
              </w:rPr>
              <w:t>Omnitrade</w:t>
            </w:r>
            <w:proofErr w:type="spellEnd"/>
            <w:r w:rsidRPr="003A22D7">
              <w:rPr>
                <w:rFonts w:ascii="Arial" w:hAnsi="Arial" w:cs="Arial"/>
                <w:sz w:val="16"/>
                <w:szCs w:val="16"/>
              </w:rPr>
              <w:t xml:space="preserve"> Handelsgesellschaft</w:t>
            </w:r>
            <w:r w:rsidR="006F625D">
              <w:rPr>
                <w:rFonts w:ascii="Arial" w:hAnsi="Arial" w:cs="Arial"/>
                <w:sz w:val="16"/>
                <w:szCs w:val="16"/>
              </w:rPr>
              <w:t xml:space="preserve"> (EN)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36C38" w:rsidRPr="003A22D7" w:rsidRDefault="003A22D7" w:rsidP="003A22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2D7">
              <w:rPr>
                <w:rFonts w:ascii="Arial" w:hAnsi="Arial" w:cs="Arial"/>
                <w:sz w:val="16"/>
                <w:szCs w:val="16"/>
              </w:rPr>
              <w:t>30.550</w:t>
            </w:r>
          </w:p>
        </w:tc>
      </w:tr>
      <w:tr w:rsidR="003A22D7" w:rsidRPr="0017364E" w:rsidTr="003A22D7">
        <w:trPr>
          <w:trHeight w:val="542"/>
        </w:trPr>
        <w:tc>
          <w:tcPr>
            <w:tcW w:w="1413" w:type="dxa"/>
            <w:vAlign w:val="center"/>
          </w:tcPr>
          <w:p w:rsidR="003A22D7" w:rsidRPr="003A22D7" w:rsidRDefault="003A22D7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22D7"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2551" w:type="dxa"/>
            <w:vAlign w:val="center"/>
          </w:tcPr>
          <w:p w:rsidR="003A22D7" w:rsidRPr="003A22D7" w:rsidRDefault="003A22D7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22D7">
              <w:rPr>
                <w:rFonts w:ascii="Arial" w:hAnsi="Arial" w:cs="Arial"/>
                <w:sz w:val="16"/>
                <w:szCs w:val="16"/>
              </w:rPr>
              <w:t xml:space="preserve">Am </w:t>
            </w:r>
            <w:proofErr w:type="spellStart"/>
            <w:r w:rsidRPr="003A22D7">
              <w:rPr>
                <w:rFonts w:ascii="Arial" w:hAnsi="Arial" w:cs="Arial"/>
                <w:sz w:val="16"/>
                <w:szCs w:val="16"/>
              </w:rPr>
              <w:t>Altenwerder</w:t>
            </w:r>
            <w:proofErr w:type="spellEnd"/>
            <w:r w:rsidRPr="003A22D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22D7">
              <w:rPr>
                <w:rFonts w:ascii="Arial" w:hAnsi="Arial" w:cs="Arial"/>
                <w:sz w:val="16"/>
                <w:szCs w:val="16"/>
              </w:rPr>
              <w:t>Kirchtal</w:t>
            </w:r>
            <w:proofErr w:type="spellEnd"/>
            <w:r w:rsidRPr="003A22D7">
              <w:rPr>
                <w:rFonts w:ascii="Arial" w:hAnsi="Arial" w:cs="Arial"/>
                <w:sz w:val="16"/>
                <w:szCs w:val="16"/>
              </w:rPr>
              <w:t xml:space="preserve"> 1-5</w:t>
            </w:r>
          </w:p>
        </w:tc>
        <w:tc>
          <w:tcPr>
            <w:tcW w:w="2268" w:type="dxa"/>
            <w:vAlign w:val="center"/>
          </w:tcPr>
          <w:p w:rsidR="003A22D7" w:rsidRPr="003A22D7" w:rsidRDefault="003A22D7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22D7">
              <w:rPr>
                <w:rFonts w:ascii="Arial" w:hAnsi="Arial" w:cs="Arial"/>
                <w:sz w:val="16"/>
                <w:szCs w:val="16"/>
              </w:rPr>
              <w:t>Bestandsobjekt</w:t>
            </w:r>
          </w:p>
        </w:tc>
        <w:tc>
          <w:tcPr>
            <w:tcW w:w="2268" w:type="dxa"/>
            <w:vAlign w:val="center"/>
          </w:tcPr>
          <w:p w:rsidR="003A22D7" w:rsidRPr="003A22D7" w:rsidRDefault="003A22D7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22D7">
              <w:rPr>
                <w:rFonts w:ascii="Arial" w:hAnsi="Arial" w:cs="Arial"/>
                <w:sz w:val="16"/>
                <w:szCs w:val="16"/>
              </w:rPr>
              <w:t xml:space="preserve">Spedition </w:t>
            </w:r>
            <w:proofErr w:type="spellStart"/>
            <w:r w:rsidRPr="003A22D7">
              <w:rPr>
                <w:rFonts w:ascii="Arial" w:hAnsi="Arial" w:cs="Arial"/>
                <w:sz w:val="16"/>
                <w:szCs w:val="16"/>
              </w:rPr>
              <w:t>Mickeleit</w:t>
            </w:r>
            <w:proofErr w:type="spellEnd"/>
          </w:p>
        </w:tc>
        <w:tc>
          <w:tcPr>
            <w:tcW w:w="1134" w:type="dxa"/>
            <w:vAlign w:val="center"/>
          </w:tcPr>
          <w:p w:rsidR="003A22D7" w:rsidRPr="003A22D7" w:rsidRDefault="003A22D7" w:rsidP="003A2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2D7">
              <w:rPr>
                <w:rFonts w:ascii="Arial" w:hAnsi="Arial" w:cs="Arial"/>
                <w:sz w:val="16"/>
                <w:szCs w:val="16"/>
              </w:rPr>
              <w:t>28.400</w:t>
            </w:r>
          </w:p>
        </w:tc>
      </w:tr>
      <w:tr w:rsidR="003A22D7" w:rsidRPr="0017364E" w:rsidTr="003A22D7">
        <w:trPr>
          <w:trHeight w:val="542"/>
        </w:trPr>
        <w:tc>
          <w:tcPr>
            <w:tcW w:w="1413" w:type="dxa"/>
            <w:vAlign w:val="center"/>
          </w:tcPr>
          <w:p w:rsidR="003A22D7" w:rsidRPr="003A22D7" w:rsidRDefault="003A22D7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22D7">
              <w:rPr>
                <w:rFonts w:ascii="Arial" w:hAnsi="Arial" w:cs="Arial"/>
                <w:sz w:val="16"/>
                <w:szCs w:val="16"/>
              </w:rPr>
              <w:t xml:space="preserve">Neu </w:t>
            </w:r>
            <w:proofErr w:type="spellStart"/>
            <w:r w:rsidRPr="003A22D7">
              <w:rPr>
                <w:rFonts w:ascii="Arial" w:hAnsi="Arial" w:cs="Arial"/>
                <w:sz w:val="16"/>
                <w:szCs w:val="16"/>
              </w:rPr>
              <w:t>Wulmstorf</w:t>
            </w:r>
            <w:proofErr w:type="spellEnd"/>
          </w:p>
        </w:tc>
        <w:tc>
          <w:tcPr>
            <w:tcW w:w="2551" w:type="dxa"/>
            <w:vAlign w:val="center"/>
          </w:tcPr>
          <w:p w:rsidR="003A22D7" w:rsidRPr="003A22D7" w:rsidRDefault="003A22D7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22D7">
              <w:rPr>
                <w:rFonts w:ascii="Arial" w:hAnsi="Arial" w:cs="Arial"/>
                <w:sz w:val="16"/>
                <w:szCs w:val="16"/>
              </w:rPr>
              <w:t>Gottlieb-Daimler-Straße</w:t>
            </w:r>
          </w:p>
        </w:tc>
        <w:tc>
          <w:tcPr>
            <w:tcW w:w="2268" w:type="dxa"/>
            <w:vAlign w:val="center"/>
          </w:tcPr>
          <w:p w:rsidR="003A22D7" w:rsidRPr="003A22D7" w:rsidRDefault="003A22D7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22D7">
              <w:rPr>
                <w:rFonts w:ascii="Arial" w:hAnsi="Arial" w:cs="Arial"/>
                <w:sz w:val="16"/>
                <w:szCs w:val="16"/>
              </w:rPr>
              <w:t>Neubau (Baubeginn)</w:t>
            </w:r>
          </w:p>
        </w:tc>
        <w:tc>
          <w:tcPr>
            <w:tcW w:w="2268" w:type="dxa"/>
            <w:vAlign w:val="center"/>
          </w:tcPr>
          <w:p w:rsidR="003A22D7" w:rsidRPr="003A22D7" w:rsidRDefault="003A22D7" w:rsidP="003A22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22D7">
              <w:rPr>
                <w:rFonts w:ascii="Arial" w:hAnsi="Arial" w:cs="Arial"/>
                <w:sz w:val="16"/>
                <w:szCs w:val="16"/>
              </w:rPr>
              <w:t>Kroop</w:t>
            </w:r>
            <w:proofErr w:type="spellEnd"/>
            <w:r w:rsidRPr="003A22D7">
              <w:rPr>
                <w:rFonts w:ascii="Arial" w:hAnsi="Arial" w:cs="Arial"/>
                <w:sz w:val="16"/>
                <w:szCs w:val="16"/>
              </w:rPr>
              <w:t xml:space="preserve"> &amp; Co. Transport + Logistik (EN)</w:t>
            </w:r>
          </w:p>
        </w:tc>
        <w:tc>
          <w:tcPr>
            <w:tcW w:w="1134" w:type="dxa"/>
            <w:vAlign w:val="center"/>
          </w:tcPr>
          <w:p w:rsidR="003A22D7" w:rsidRPr="003A22D7" w:rsidRDefault="003A22D7" w:rsidP="003A22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2D7">
              <w:rPr>
                <w:rFonts w:ascii="Arial" w:hAnsi="Arial" w:cs="Arial"/>
                <w:sz w:val="16"/>
                <w:szCs w:val="16"/>
              </w:rPr>
              <w:t>22.500</w:t>
            </w:r>
          </w:p>
        </w:tc>
      </w:tr>
    </w:tbl>
    <w:p w:rsidR="00E36AA4" w:rsidRDefault="00E36AA4" w:rsidP="00587FDA">
      <w:pPr>
        <w:widowControl w:val="0"/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Deals aus jeweiligem Berichtsquartal sind grau hinterlegt</w:t>
      </w:r>
    </w:p>
    <w:p w:rsidR="009A3457" w:rsidRDefault="009A3457" w:rsidP="00587FDA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E36AA4" w:rsidRPr="001C40AD" w:rsidRDefault="00E36AA4" w:rsidP="00587FDA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1C40AD">
        <w:rPr>
          <w:rFonts w:ascii="Arial" w:eastAsia="Arial" w:hAnsi="Arial" w:cs="Arial"/>
          <w:color w:val="000000" w:themeColor="text1"/>
          <w:sz w:val="20"/>
          <w:szCs w:val="20"/>
        </w:rPr>
        <w:t xml:space="preserve">Der ausführliche </w:t>
      </w:r>
      <w:hyperlink r:id="rId9" w:history="1">
        <w:r w:rsidRPr="006E7D49">
          <w:rPr>
            <w:rStyle w:val="Hyperlink"/>
            <w:rFonts w:ascii="Arial" w:hAnsi="Arial" w:cs="Arial"/>
            <w:sz w:val="20"/>
            <w:szCs w:val="20"/>
          </w:rPr>
          <w:t>Marktbericht</w:t>
        </w:r>
      </w:hyperlink>
      <w:r w:rsidRPr="001C40A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erscheint in Kürze</w:t>
      </w:r>
      <w:r w:rsidRPr="001C40A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zum Download </w:t>
      </w:r>
      <w:r w:rsidRPr="001C40AD">
        <w:rPr>
          <w:rFonts w:ascii="Arial" w:eastAsia="Arial" w:hAnsi="Arial" w:cs="Arial"/>
          <w:color w:val="000000" w:themeColor="text1"/>
          <w:sz w:val="20"/>
          <w:szCs w:val="20"/>
        </w:rPr>
        <w:t>auf unserer Website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:rsidR="006E5C9C" w:rsidRDefault="006E5C9C" w:rsidP="00587FDA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90748B" w:rsidRPr="0090748B" w:rsidRDefault="0090748B" w:rsidP="006C1DD8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:rsidR="00E36AA4" w:rsidRPr="001A49B0" w:rsidRDefault="00E36AA4" w:rsidP="00E36AA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1A49B0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98151C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1A49B0">
        <w:rPr>
          <w:rFonts w:ascii="Arial" w:hAnsi="Arial" w:cs="Arial"/>
          <w:snapToGrid w:val="0"/>
          <w:sz w:val="16"/>
          <w:szCs w:val="16"/>
        </w:rPr>
        <w:t xml:space="preserve"> ist einer der führenden Immobiliendienstleister für den Verkauf und die Vermietung von Gewerbe- und Wohn-Immobilien in Norddeutschland. Mit Hauptsitz in Hamburg, einer Niederlassung in Berlin und insgesamt </w:t>
      </w:r>
      <w:r w:rsidR="003A22D7">
        <w:rPr>
          <w:rFonts w:ascii="Arial" w:hAnsi="Arial" w:cs="Arial"/>
          <w:snapToGrid w:val="0"/>
          <w:sz w:val="16"/>
          <w:szCs w:val="16"/>
        </w:rPr>
        <w:t>vierzehn</w:t>
      </w:r>
      <w:r w:rsidRPr="001A49B0">
        <w:rPr>
          <w:rFonts w:ascii="Arial" w:hAnsi="Arial" w:cs="Arial"/>
          <w:snapToGrid w:val="0"/>
          <w:sz w:val="16"/>
          <w:szCs w:val="16"/>
        </w:rPr>
        <w:t xml:space="preserve"> Immobilienshops ist das Unternehmen mit über 190 Mitarbeitern flächendeckend im norddeutschen Markt präsent. Dank der über 85-jährigen Erfahrung verfügt Grossmann &amp; Berger über umfassende Immobilienkompetenz.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1A49B0">
        <w:rPr>
          <w:rFonts w:ascii="Arial" w:hAnsi="Arial" w:cs="Arial"/>
          <w:sz w:val="16"/>
          <w:szCs w:val="16"/>
        </w:rPr>
        <w:t xml:space="preserve">Grossmann &amp; Berger ist ein Beteiligungsunternehmen der HASPA-Gruppe, zu der mit der Hamburger Sparkasse (Haspa) auch Deutschlands größte Sparkasse gehört. Zudem ist das Unternehmen Gründungsmitglied des deutschlandweiten Gewerbeimmobiliennetzwerks </w:t>
      </w:r>
      <w:hyperlink r:id="rId11" w:history="1">
        <w:r w:rsidRPr="0098151C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1A49B0">
        <w:rPr>
          <w:rFonts w:ascii="Arial" w:hAnsi="Arial" w:cs="Arial"/>
          <w:sz w:val="16"/>
          <w:szCs w:val="16"/>
        </w:rPr>
        <w:t xml:space="preserve"> (GPP) und der Arbeitsgemeinschaft </w:t>
      </w:r>
      <w:proofErr w:type="spellStart"/>
      <w:r w:rsidRPr="001A49B0">
        <w:rPr>
          <w:rFonts w:ascii="Arial" w:hAnsi="Arial" w:cs="Arial"/>
          <w:sz w:val="16"/>
          <w:szCs w:val="16"/>
        </w:rPr>
        <w:t>ImmobilienVermittler</w:t>
      </w:r>
      <w:proofErr w:type="spellEnd"/>
      <w:r w:rsidRPr="001A49B0">
        <w:rPr>
          <w:rFonts w:ascii="Arial" w:hAnsi="Arial" w:cs="Arial"/>
          <w:sz w:val="16"/>
          <w:szCs w:val="16"/>
        </w:rPr>
        <w:t xml:space="preserve"> Banken Bausparkassen e.V. (IVBB).</w:t>
      </w:r>
    </w:p>
    <w:p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03D8C" w:rsidRPr="00503D8C" w:rsidRDefault="003C6AB4" w:rsidP="00E36AA4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2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3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3C6AB4">
        <w:rPr>
          <w:rFonts w:ascii="Arial" w:hAnsi="Arial" w:cs="Arial"/>
          <w:sz w:val="16"/>
          <w:szCs w:val="16"/>
        </w:rPr>
        <w:t xml:space="preserve"> mit dem Betreff "</w:t>
      </w:r>
      <w:r w:rsidR="0022086D">
        <w:rPr>
          <w:rFonts w:ascii="Arial" w:hAnsi="Arial" w:cs="Arial"/>
          <w:sz w:val="16"/>
          <w:szCs w:val="16"/>
        </w:rPr>
        <w:t>Abmeldung aus Presseverteiler".</w:t>
      </w:r>
    </w:p>
    <w:sectPr w:rsidR="00503D8C" w:rsidRPr="00503D8C" w:rsidSect="00D83CB7">
      <w:headerReference w:type="default" r:id="rId16"/>
      <w:footerReference w:type="default" r:id="rId17"/>
      <w:headerReference w:type="first" r:id="rId18"/>
      <w:footerReference w:type="first" r:id="rId19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DF" w:rsidRDefault="006261DF">
      <w:r>
        <w:separator/>
      </w:r>
    </w:p>
  </w:endnote>
  <w:endnote w:type="continuationSeparator" w:id="0">
    <w:p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A05C3F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A05C3F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A05C3F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7A592B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7A592B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DF" w:rsidRDefault="006261DF">
      <w:r>
        <w:separator/>
      </w:r>
    </w:p>
  </w:footnote>
  <w:footnote w:type="continuationSeparator" w:id="0">
    <w:p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CB" w:rsidRPr="009E3ADA" w:rsidRDefault="006A7604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-92208</wp:posOffset>
              </wp:positionH>
              <wp:positionV relativeFrom="paragraph">
                <wp:posOffset>7620</wp:posOffset>
              </wp:positionV>
              <wp:extent cx="4779010" cy="281940"/>
              <wp:effectExtent l="0" t="0" r="0" b="381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7604" w:rsidRDefault="006A7604" w:rsidP="006A760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7.25pt;margin-top:.6pt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" filled="f" stroked="f">
              <v:textbox>
                <w:txbxContent>
                  <w:p w:rsidR="006A7604" w:rsidRDefault="006A7604" w:rsidP="006A760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Default="006A7604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-74626</wp:posOffset>
              </wp:positionH>
              <wp:positionV relativeFrom="paragraph">
                <wp:posOffset>8890</wp:posOffset>
              </wp:positionV>
              <wp:extent cx="4832798" cy="281940"/>
              <wp:effectExtent l="0" t="0" r="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798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7604" w:rsidRDefault="006A7604" w:rsidP="006A760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Telefon: +49 (0)40/350 80 2-993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-5.9pt;margin-top:.7pt;width:380.5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" filled="f" stroked="f">
              <v:textbox>
                <w:txbxContent>
                  <w:p w:rsidR="006A7604" w:rsidRDefault="006A7604" w:rsidP="006A760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Telefon: +49 (0)40/350 80 2-993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B1188"/>
    <w:multiLevelType w:val="hybridMultilevel"/>
    <w:tmpl w:val="7DEA0DC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7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3075C"/>
    <w:rsid w:val="00060743"/>
    <w:rsid w:val="00066796"/>
    <w:rsid w:val="000766D7"/>
    <w:rsid w:val="0007670A"/>
    <w:rsid w:val="000A0C99"/>
    <w:rsid w:val="000A5ED1"/>
    <w:rsid w:val="000B1606"/>
    <w:rsid w:val="000B3315"/>
    <w:rsid w:val="000C770D"/>
    <w:rsid w:val="000E03F3"/>
    <w:rsid w:val="000E7BC7"/>
    <w:rsid w:val="000F726E"/>
    <w:rsid w:val="001029C4"/>
    <w:rsid w:val="00105EAA"/>
    <w:rsid w:val="0011486D"/>
    <w:rsid w:val="00121E33"/>
    <w:rsid w:val="00122A77"/>
    <w:rsid w:val="00126550"/>
    <w:rsid w:val="001324D6"/>
    <w:rsid w:val="00135BD2"/>
    <w:rsid w:val="00135E09"/>
    <w:rsid w:val="00154825"/>
    <w:rsid w:val="0015550E"/>
    <w:rsid w:val="0017364E"/>
    <w:rsid w:val="0017516B"/>
    <w:rsid w:val="00176F1D"/>
    <w:rsid w:val="0018068D"/>
    <w:rsid w:val="001871BC"/>
    <w:rsid w:val="001A2ABE"/>
    <w:rsid w:val="001A360C"/>
    <w:rsid w:val="001D14DA"/>
    <w:rsid w:val="001E1172"/>
    <w:rsid w:val="001E6995"/>
    <w:rsid w:val="001F0C02"/>
    <w:rsid w:val="001F1513"/>
    <w:rsid w:val="00205769"/>
    <w:rsid w:val="00212FEC"/>
    <w:rsid w:val="002131BB"/>
    <w:rsid w:val="0022086D"/>
    <w:rsid w:val="00227E31"/>
    <w:rsid w:val="00230F81"/>
    <w:rsid w:val="002341EE"/>
    <w:rsid w:val="00237341"/>
    <w:rsid w:val="00251750"/>
    <w:rsid w:val="00254C6F"/>
    <w:rsid w:val="00255679"/>
    <w:rsid w:val="0027266B"/>
    <w:rsid w:val="00281E80"/>
    <w:rsid w:val="002834B0"/>
    <w:rsid w:val="00283671"/>
    <w:rsid w:val="00284A5D"/>
    <w:rsid w:val="00284E27"/>
    <w:rsid w:val="00294B7D"/>
    <w:rsid w:val="002A1973"/>
    <w:rsid w:val="002B14F6"/>
    <w:rsid w:val="002C055A"/>
    <w:rsid w:val="002C2392"/>
    <w:rsid w:val="002D1C5C"/>
    <w:rsid w:val="002D1E20"/>
    <w:rsid w:val="002E6860"/>
    <w:rsid w:val="002F0411"/>
    <w:rsid w:val="002F767E"/>
    <w:rsid w:val="00301F3A"/>
    <w:rsid w:val="0031494D"/>
    <w:rsid w:val="003246F0"/>
    <w:rsid w:val="00325E2A"/>
    <w:rsid w:val="003272F3"/>
    <w:rsid w:val="00345716"/>
    <w:rsid w:val="0034786C"/>
    <w:rsid w:val="003517C9"/>
    <w:rsid w:val="00357EC4"/>
    <w:rsid w:val="003627E1"/>
    <w:rsid w:val="00363EAC"/>
    <w:rsid w:val="00370000"/>
    <w:rsid w:val="00373507"/>
    <w:rsid w:val="0038230E"/>
    <w:rsid w:val="00382529"/>
    <w:rsid w:val="0039259C"/>
    <w:rsid w:val="00395ED5"/>
    <w:rsid w:val="003A00C9"/>
    <w:rsid w:val="003A22D7"/>
    <w:rsid w:val="003A25A4"/>
    <w:rsid w:val="003B49E4"/>
    <w:rsid w:val="003B4CCF"/>
    <w:rsid w:val="003B6CD4"/>
    <w:rsid w:val="003C6AB4"/>
    <w:rsid w:val="003C7E40"/>
    <w:rsid w:val="003D0A8A"/>
    <w:rsid w:val="003D2BB6"/>
    <w:rsid w:val="003E099F"/>
    <w:rsid w:val="003E4DF9"/>
    <w:rsid w:val="003F665D"/>
    <w:rsid w:val="0040086D"/>
    <w:rsid w:val="004017D8"/>
    <w:rsid w:val="00411E03"/>
    <w:rsid w:val="004123B1"/>
    <w:rsid w:val="004303A1"/>
    <w:rsid w:val="00440DC9"/>
    <w:rsid w:val="004450C4"/>
    <w:rsid w:val="004506D2"/>
    <w:rsid w:val="00456F40"/>
    <w:rsid w:val="004609BD"/>
    <w:rsid w:val="004661EE"/>
    <w:rsid w:val="00466741"/>
    <w:rsid w:val="00470064"/>
    <w:rsid w:val="004843A0"/>
    <w:rsid w:val="004A2BEA"/>
    <w:rsid w:val="004A3C64"/>
    <w:rsid w:val="004A5AEA"/>
    <w:rsid w:val="004B2FDA"/>
    <w:rsid w:val="004B480A"/>
    <w:rsid w:val="004C0CA2"/>
    <w:rsid w:val="004C6712"/>
    <w:rsid w:val="004D50C0"/>
    <w:rsid w:val="004D772A"/>
    <w:rsid w:val="004E339B"/>
    <w:rsid w:val="004E4273"/>
    <w:rsid w:val="004E4562"/>
    <w:rsid w:val="004E7B3E"/>
    <w:rsid w:val="004F077F"/>
    <w:rsid w:val="005023DD"/>
    <w:rsid w:val="00503D8C"/>
    <w:rsid w:val="00510F37"/>
    <w:rsid w:val="00522B84"/>
    <w:rsid w:val="00531A7F"/>
    <w:rsid w:val="00534BAD"/>
    <w:rsid w:val="005360E8"/>
    <w:rsid w:val="005428C5"/>
    <w:rsid w:val="00543C55"/>
    <w:rsid w:val="0055393B"/>
    <w:rsid w:val="005554C7"/>
    <w:rsid w:val="00556F58"/>
    <w:rsid w:val="00567D57"/>
    <w:rsid w:val="00582B99"/>
    <w:rsid w:val="00587FDA"/>
    <w:rsid w:val="00590903"/>
    <w:rsid w:val="005A617A"/>
    <w:rsid w:val="005B0FC9"/>
    <w:rsid w:val="005B66D3"/>
    <w:rsid w:val="005C100F"/>
    <w:rsid w:val="005C4556"/>
    <w:rsid w:val="005C5302"/>
    <w:rsid w:val="005D307B"/>
    <w:rsid w:val="005E362E"/>
    <w:rsid w:val="005F7593"/>
    <w:rsid w:val="006029D7"/>
    <w:rsid w:val="0061109D"/>
    <w:rsid w:val="00612AA0"/>
    <w:rsid w:val="006138CB"/>
    <w:rsid w:val="006224C4"/>
    <w:rsid w:val="006225EA"/>
    <w:rsid w:val="006261DF"/>
    <w:rsid w:val="00627692"/>
    <w:rsid w:val="00641270"/>
    <w:rsid w:val="00642074"/>
    <w:rsid w:val="006424F8"/>
    <w:rsid w:val="006752B2"/>
    <w:rsid w:val="00681CAB"/>
    <w:rsid w:val="006842EF"/>
    <w:rsid w:val="00687256"/>
    <w:rsid w:val="00695E58"/>
    <w:rsid w:val="0069757D"/>
    <w:rsid w:val="006A1329"/>
    <w:rsid w:val="006A66F9"/>
    <w:rsid w:val="006A7604"/>
    <w:rsid w:val="006C1DD8"/>
    <w:rsid w:val="006D024C"/>
    <w:rsid w:val="006E5C9C"/>
    <w:rsid w:val="006F1774"/>
    <w:rsid w:val="006F625D"/>
    <w:rsid w:val="00715FB9"/>
    <w:rsid w:val="00717A20"/>
    <w:rsid w:val="00720DFF"/>
    <w:rsid w:val="00730E23"/>
    <w:rsid w:val="0074780F"/>
    <w:rsid w:val="00762CC5"/>
    <w:rsid w:val="00764E36"/>
    <w:rsid w:val="00786781"/>
    <w:rsid w:val="007906B4"/>
    <w:rsid w:val="007970A0"/>
    <w:rsid w:val="007A592B"/>
    <w:rsid w:val="007B215B"/>
    <w:rsid w:val="007B4617"/>
    <w:rsid w:val="007E759D"/>
    <w:rsid w:val="007F2DBE"/>
    <w:rsid w:val="007F33B6"/>
    <w:rsid w:val="007F642D"/>
    <w:rsid w:val="007F756A"/>
    <w:rsid w:val="0080256B"/>
    <w:rsid w:val="00812471"/>
    <w:rsid w:val="008261A5"/>
    <w:rsid w:val="0083382E"/>
    <w:rsid w:val="00855325"/>
    <w:rsid w:val="00862E34"/>
    <w:rsid w:val="00865915"/>
    <w:rsid w:val="00871832"/>
    <w:rsid w:val="008740D8"/>
    <w:rsid w:val="00874930"/>
    <w:rsid w:val="00886CCE"/>
    <w:rsid w:val="008942C6"/>
    <w:rsid w:val="00896B33"/>
    <w:rsid w:val="008A486B"/>
    <w:rsid w:val="008A62FB"/>
    <w:rsid w:val="008A77B7"/>
    <w:rsid w:val="008B0F67"/>
    <w:rsid w:val="008C0F8D"/>
    <w:rsid w:val="008C608D"/>
    <w:rsid w:val="008C7E5F"/>
    <w:rsid w:val="008E461D"/>
    <w:rsid w:val="008E65DC"/>
    <w:rsid w:val="008F08E5"/>
    <w:rsid w:val="008F0EA4"/>
    <w:rsid w:val="008F38F6"/>
    <w:rsid w:val="008F5213"/>
    <w:rsid w:val="009000CF"/>
    <w:rsid w:val="0090748B"/>
    <w:rsid w:val="009101A6"/>
    <w:rsid w:val="00920C9C"/>
    <w:rsid w:val="00922754"/>
    <w:rsid w:val="00925781"/>
    <w:rsid w:val="009258D0"/>
    <w:rsid w:val="00935AB3"/>
    <w:rsid w:val="00956905"/>
    <w:rsid w:val="009646C4"/>
    <w:rsid w:val="009734CE"/>
    <w:rsid w:val="00974E78"/>
    <w:rsid w:val="0098460C"/>
    <w:rsid w:val="0099386F"/>
    <w:rsid w:val="0099413E"/>
    <w:rsid w:val="00996E1A"/>
    <w:rsid w:val="009A3457"/>
    <w:rsid w:val="009B1E98"/>
    <w:rsid w:val="009B4392"/>
    <w:rsid w:val="009B7D09"/>
    <w:rsid w:val="009D24DA"/>
    <w:rsid w:val="009D35EC"/>
    <w:rsid w:val="009D5D75"/>
    <w:rsid w:val="009E0C0B"/>
    <w:rsid w:val="009F32A2"/>
    <w:rsid w:val="009F54CE"/>
    <w:rsid w:val="00A05C3F"/>
    <w:rsid w:val="00A06264"/>
    <w:rsid w:val="00A1639A"/>
    <w:rsid w:val="00A215C9"/>
    <w:rsid w:val="00A443FF"/>
    <w:rsid w:val="00A5364B"/>
    <w:rsid w:val="00A615E0"/>
    <w:rsid w:val="00A65E2B"/>
    <w:rsid w:val="00A74AA0"/>
    <w:rsid w:val="00A7546D"/>
    <w:rsid w:val="00A77100"/>
    <w:rsid w:val="00AA4D97"/>
    <w:rsid w:val="00AC41D5"/>
    <w:rsid w:val="00AD17B7"/>
    <w:rsid w:val="00AE4157"/>
    <w:rsid w:val="00AF08D2"/>
    <w:rsid w:val="00B069C5"/>
    <w:rsid w:val="00B06D1B"/>
    <w:rsid w:val="00B077D5"/>
    <w:rsid w:val="00B16A78"/>
    <w:rsid w:val="00B200E4"/>
    <w:rsid w:val="00B210A4"/>
    <w:rsid w:val="00B26FFD"/>
    <w:rsid w:val="00B35B6D"/>
    <w:rsid w:val="00B35DC6"/>
    <w:rsid w:val="00B42F67"/>
    <w:rsid w:val="00B51699"/>
    <w:rsid w:val="00B53FAF"/>
    <w:rsid w:val="00B60999"/>
    <w:rsid w:val="00B63153"/>
    <w:rsid w:val="00B6527D"/>
    <w:rsid w:val="00B73B3A"/>
    <w:rsid w:val="00B74507"/>
    <w:rsid w:val="00B75718"/>
    <w:rsid w:val="00B75E7E"/>
    <w:rsid w:val="00B93817"/>
    <w:rsid w:val="00B9391B"/>
    <w:rsid w:val="00B9682D"/>
    <w:rsid w:val="00BA0B96"/>
    <w:rsid w:val="00BB15DA"/>
    <w:rsid w:val="00BB340D"/>
    <w:rsid w:val="00BC2A3A"/>
    <w:rsid w:val="00BC3E27"/>
    <w:rsid w:val="00BC64EC"/>
    <w:rsid w:val="00BD073D"/>
    <w:rsid w:val="00BE4198"/>
    <w:rsid w:val="00BF3AFD"/>
    <w:rsid w:val="00BF6593"/>
    <w:rsid w:val="00C12F1D"/>
    <w:rsid w:val="00C1606C"/>
    <w:rsid w:val="00C23180"/>
    <w:rsid w:val="00C26F94"/>
    <w:rsid w:val="00C36C38"/>
    <w:rsid w:val="00C41492"/>
    <w:rsid w:val="00C502EC"/>
    <w:rsid w:val="00C50874"/>
    <w:rsid w:val="00C702B5"/>
    <w:rsid w:val="00C70389"/>
    <w:rsid w:val="00C748A6"/>
    <w:rsid w:val="00C904B6"/>
    <w:rsid w:val="00C90A75"/>
    <w:rsid w:val="00C96DF4"/>
    <w:rsid w:val="00CA6A66"/>
    <w:rsid w:val="00CC1337"/>
    <w:rsid w:val="00CC2514"/>
    <w:rsid w:val="00CC48DF"/>
    <w:rsid w:val="00CD4A91"/>
    <w:rsid w:val="00CD70E7"/>
    <w:rsid w:val="00CD7363"/>
    <w:rsid w:val="00CE0964"/>
    <w:rsid w:val="00CE0C1F"/>
    <w:rsid w:val="00CE455F"/>
    <w:rsid w:val="00CF0BF9"/>
    <w:rsid w:val="00CF5957"/>
    <w:rsid w:val="00D02D0D"/>
    <w:rsid w:val="00D04BA2"/>
    <w:rsid w:val="00D077B0"/>
    <w:rsid w:val="00D22D42"/>
    <w:rsid w:val="00D232F7"/>
    <w:rsid w:val="00D36D8D"/>
    <w:rsid w:val="00D45711"/>
    <w:rsid w:val="00D500FC"/>
    <w:rsid w:val="00D51597"/>
    <w:rsid w:val="00D5326E"/>
    <w:rsid w:val="00D55867"/>
    <w:rsid w:val="00D634A3"/>
    <w:rsid w:val="00D72339"/>
    <w:rsid w:val="00D73E47"/>
    <w:rsid w:val="00D74ABB"/>
    <w:rsid w:val="00D83CB7"/>
    <w:rsid w:val="00D97FA8"/>
    <w:rsid w:val="00DA2E1E"/>
    <w:rsid w:val="00DB4363"/>
    <w:rsid w:val="00DC7B25"/>
    <w:rsid w:val="00DD422D"/>
    <w:rsid w:val="00DD6B73"/>
    <w:rsid w:val="00DE23F8"/>
    <w:rsid w:val="00DE7CC2"/>
    <w:rsid w:val="00E05CF6"/>
    <w:rsid w:val="00E112C9"/>
    <w:rsid w:val="00E1314C"/>
    <w:rsid w:val="00E158F7"/>
    <w:rsid w:val="00E2087E"/>
    <w:rsid w:val="00E2636D"/>
    <w:rsid w:val="00E34976"/>
    <w:rsid w:val="00E36818"/>
    <w:rsid w:val="00E36AA4"/>
    <w:rsid w:val="00E47B97"/>
    <w:rsid w:val="00E5010B"/>
    <w:rsid w:val="00E5203C"/>
    <w:rsid w:val="00E634CC"/>
    <w:rsid w:val="00E64B2E"/>
    <w:rsid w:val="00E82F0E"/>
    <w:rsid w:val="00E95F89"/>
    <w:rsid w:val="00E96FAC"/>
    <w:rsid w:val="00EA129F"/>
    <w:rsid w:val="00EB7A31"/>
    <w:rsid w:val="00ED0582"/>
    <w:rsid w:val="00ED1262"/>
    <w:rsid w:val="00ED7374"/>
    <w:rsid w:val="00EE31F6"/>
    <w:rsid w:val="00EE36DC"/>
    <w:rsid w:val="00F044EE"/>
    <w:rsid w:val="00F25B1B"/>
    <w:rsid w:val="00F3320B"/>
    <w:rsid w:val="00F40E92"/>
    <w:rsid w:val="00F41947"/>
    <w:rsid w:val="00F435AA"/>
    <w:rsid w:val="00F71846"/>
    <w:rsid w:val="00F76C6A"/>
    <w:rsid w:val="00F83BF1"/>
    <w:rsid w:val="00F90CB9"/>
    <w:rsid w:val="00F93E08"/>
    <w:rsid w:val="00F97373"/>
    <w:rsid w:val="00FA0254"/>
    <w:rsid w:val="00FA6854"/>
    <w:rsid w:val="00FB064F"/>
    <w:rsid w:val="00FB0F6B"/>
    <w:rsid w:val="00FB144F"/>
    <w:rsid w:val="00FB159A"/>
    <w:rsid w:val="00FB4D77"/>
    <w:rsid w:val="00FC497D"/>
    <w:rsid w:val="00FD076B"/>
    <w:rsid w:val="00FE43D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4:docId w14:val="61E6D6C0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rossmann-berger.de/news/pressemapp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datenschut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rmanpropertypartners.de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grossmann-berger.de" TargetMode="Externa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industrie-lager-logistik/" TargetMode="External"/><Relationship Id="rId14" Type="http://schemas.openxmlformats.org/officeDocument/2006/relationships/hyperlink" Target="file:///\\file01\Marketing\Presse\Vorlagen\BFR\20180517_Dokumentation%20der%20Verarbeitungstaetigkeit%20nach%20DSGVO_Presse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C26B-BE99-45AF-B3F6-637D866C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77</cp:revision>
  <cp:lastPrinted>2021-01-27T11:23:00Z</cp:lastPrinted>
  <dcterms:created xsi:type="dcterms:W3CDTF">2019-03-14T16:19:00Z</dcterms:created>
  <dcterms:modified xsi:type="dcterms:W3CDTF">2021-01-27T15:18:00Z</dcterms:modified>
</cp:coreProperties>
</file>