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F363" w14:textId="5871E3D7"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 w:rsidR="00514293">
        <w:rPr>
          <w:rFonts w:ascii="Arial" w:hAnsi="Arial" w:cs="Arial"/>
          <w:b/>
        </w:rPr>
        <w:t>Logistikmarkt 1.</w:t>
      </w:r>
      <w:r w:rsidR="006D360D">
        <w:rPr>
          <w:rFonts w:ascii="Arial" w:hAnsi="Arial" w:cs="Arial"/>
          <w:b/>
        </w:rPr>
        <w:t>-3</w:t>
      </w:r>
      <w:r w:rsidR="009C5E5C">
        <w:rPr>
          <w:rFonts w:ascii="Arial" w:hAnsi="Arial" w:cs="Arial"/>
          <w:b/>
        </w:rPr>
        <w:t>.</w:t>
      </w:r>
      <w:r w:rsidRPr="0080256B">
        <w:rPr>
          <w:rFonts w:ascii="Arial" w:hAnsi="Arial" w:cs="Arial"/>
          <w:b/>
        </w:rPr>
        <w:t xml:space="preserve"> Quartal 20</w:t>
      </w:r>
      <w:r w:rsidR="0051429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</w:r>
      <w:r w:rsidR="003D5CFE">
        <w:rPr>
          <w:rFonts w:ascii="Arial" w:hAnsi="Arial" w:cs="Arial"/>
          <w:b/>
          <w:sz w:val="28"/>
          <w:szCs w:val="28"/>
        </w:rPr>
        <w:t>Vermietungsgeschäft brummt dank Logistikern</w:t>
      </w:r>
    </w:p>
    <w:p w14:paraId="5188EF63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9C6C37" w14:textId="32C2DECF" w:rsidR="003D5CFE" w:rsidRDefault="000F726E" w:rsidP="00363EA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5860E2">
        <w:rPr>
          <w:rFonts w:ascii="Arial" w:hAnsi="Arial" w:cs="Arial"/>
          <w:b/>
          <w:sz w:val="20"/>
          <w:szCs w:val="20"/>
        </w:rPr>
        <w:t>21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6D360D">
        <w:rPr>
          <w:rFonts w:ascii="Arial" w:hAnsi="Arial" w:cs="Arial"/>
          <w:b/>
          <w:sz w:val="20"/>
          <w:szCs w:val="20"/>
        </w:rPr>
        <w:t>Oktober</w:t>
      </w:r>
      <w:r w:rsidR="00514293">
        <w:rPr>
          <w:rFonts w:ascii="Arial" w:hAnsi="Arial" w:cs="Arial"/>
          <w:b/>
          <w:sz w:val="20"/>
          <w:szCs w:val="20"/>
        </w:rPr>
        <w:t xml:space="preserve"> 2021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27588" w:rsidRPr="003709DA">
        <w:rPr>
          <w:rFonts w:ascii="Arial" w:hAnsi="Arial" w:cs="Arial"/>
          <w:sz w:val="20"/>
          <w:szCs w:val="20"/>
        </w:rPr>
        <w:t xml:space="preserve"> </w:t>
      </w:r>
      <w:r w:rsidR="003709DA" w:rsidRPr="003709DA">
        <w:rPr>
          <w:rFonts w:ascii="Arial" w:hAnsi="Arial" w:cs="Arial"/>
          <w:sz w:val="20"/>
          <w:szCs w:val="20"/>
        </w:rPr>
        <w:t xml:space="preserve">2021 </w:t>
      </w:r>
      <w:r w:rsidR="003709DA">
        <w:rPr>
          <w:rFonts w:ascii="Arial" w:hAnsi="Arial" w:cs="Arial"/>
          <w:sz w:val="20"/>
          <w:szCs w:val="20"/>
        </w:rPr>
        <w:t xml:space="preserve">wird </w:t>
      </w:r>
      <w:r w:rsidR="005A76EE">
        <w:rPr>
          <w:rFonts w:ascii="Arial" w:hAnsi="Arial" w:cs="Arial"/>
          <w:sz w:val="20"/>
          <w:szCs w:val="20"/>
        </w:rPr>
        <w:t xml:space="preserve">in Hamburg und Umland </w:t>
      </w:r>
      <w:r w:rsidR="003709DA">
        <w:rPr>
          <w:rFonts w:ascii="Arial" w:hAnsi="Arial" w:cs="Arial"/>
          <w:sz w:val="20"/>
          <w:szCs w:val="20"/>
        </w:rPr>
        <w:t xml:space="preserve">voraussichtlich ein Jahr </w:t>
      </w:r>
      <w:r w:rsidR="003709DA">
        <w:rPr>
          <w:rFonts w:ascii="Arial" w:hAnsi="Arial" w:cs="Arial"/>
          <w:sz w:val="20"/>
          <w:szCs w:val="20"/>
        </w:rPr>
        <w:t>mit sechsstelligen Industrie- und Logistik</w:t>
      </w:r>
      <w:r w:rsidR="005A76EE">
        <w:rPr>
          <w:rFonts w:ascii="Arial" w:hAnsi="Arial" w:cs="Arial"/>
          <w:sz w:val="20"/>
          <w:szCs w:val="20"/>
        </w:rPr>
        <w:t>f</w:t>
      </w:r>
      <w:r w:rsidR="003709DA">
        <w:rPr>
          <w:rFonts w:ascii="Arial" w:hAnsi="Arial" w:cs="Arial"/>
          <w:sz w:val="20"/>
          <w:szCs w:val="20"/>
        </w:rPr>
        <w:t xml:space="preserve">lächenumsätzen </w:t>
      </w:r>
      <w:r w:rsidR="003709DA">
        <w:rPr>
          <w:rFonts w:ascii="Arial" w:hAnsi="Arial" w:cs="Arial"/>
          <w:sz w:val="20"/>
          <w:szCs w:val="20"/>
        </w:rPr>
        <w:t xml:space="preserve">in allen vier Quartalen. Nach 135.000 m² und </w:t>
      </w:r>
      <w:r w:rsidR="00BD029E">
        <w:rPr>
          <w:rFonts w:ascii="Arial" w:hAnsi="Arial" w:cs="Arial"/>
          <w:sz w:val="20"/>
          <w:szCs w:val="20"/>
        </w:rPr>
        <w:t>205.000 m²</w:t>
      </w:r>
      <w:r w:rsidR="003709DA">
        <w:rPr>
          <w:rFonts w:ascii="Arial" w:hAnsi="Arial" w:cs="Arial"/>
          <w:sz w:val="20"/>
          <w:szCs w:val="20"/>
        </w:rPr>
        <w:t xml:space="preserve"> </w:t>
      </w:r>
      <w:r w:rsidR="005A76EE">
        <w:rPr>
          <w:rFonts w:ascii="Arial" w:hAnsi="Arial" w:cs="Arial"/>
          <w:sz w:val="20"/>
          <w:szCs w:val="20"/>
        </w:rPr>
        <w:t xml:space="preserve">in den ersten beiden Jahresvierteln wurden </w:t>
      </w:r>
      <w:r w:rsidR="005A76EE">
        <w:rPr>
          <w:rFonts w:ascii="Arial" w:hAnsi="Arial" w:cs="Arial"/>
          <w:sz w:val="20"/>
          <w:szCs w:val="20"/>
        </w:rPr>
        <w:t xml:space="preserve">im 3. Quartal </w:t>
      </w:r>
      <w:r w:rsidR="00AB6E54">
        <w:rPr>
          <w:rFonts w:ascii="Arial" w:hAnsi="Arial" w:cs="Arial"/>
          <w:sz w:val="20"/>
          <w:szCs w:val="20"/>
        </w:rPr>
        <w:t xml:space="preserve">156.000 m² </w:t>
      </w:r>
      <w:r w:rsidR="005A76EE">
        <w:rPr>
          <w:rFonts w:ascii="Arial" w:hAnsi="Arial" w:cs="Arial"/>
          <w:sz w:val="20"/>
          <w:szCs w:val="20"/>
        </w:rPr>
        <w:t>angemietet oder eigengenutzt, zudem stehen viele bereits laufende</w:t>
      </w:r>
      <w:r w:rsidR="00BD029E" w:rsidRPr="00BD029E">
        <w:rPr>
          <w:rFonts w:ascii="Arial" w:hAnsi="Arial" w:cs="Arial"/>
          <w:sz w:val="20"/>
          <w:szCs w:val="20"/>
        </w:rPr>
        <w:t xml:space="preserve"> Verhandlungen kurz vor dem Abschluss</w:t>
      </w:r>
      <w:r w:rsidR="00AB6E54">
        <w:rPr>
          <w:rFonts w:ascii="Arial" w:hAnsi="Arial" w:cs="Arial"/>
          <w:sz w:val="20"/>
          <w:szCs w:val="20"/>
        </w:rPr>
        <w:t xml:space="preserve">. </w:t>
      </w:r>
      <w:r w:rsidR="000E0716">
        <w:rPr>
          <w:rFonts w:ascii="Arial" w:hAnsi="Arial" w:cs="Arial"/>
          <w:sz w:val="20"/>
          <w:szCs w:val="20"/>
        </w:rPr>
        <w:t>Bisher</w:t>
      </w:r>
      <w:r w:rsidR="00E175DE">
        <w:rPr>
          <w:rFonts w:ascii="Arial" w:hAnsi="Arial" w:cs="Arial"/>
          <w:sz w:val="20"/>
          <w:szCs w:val="20"/>
        </w:rPr>
        <w:t xml:space="preserve"> </w:t>
      </w:r>
      <w:r w:rsidR="0014179B">
        <w:rPr>
          <w:rFonts w:ascii="Arial" w:hAnsi="Arial" w:cs="Arial"/>
          <w:sz w:val="20"/>
          <w:szCs w:val="20"/>
        </w:rPr>
        <w:t xml:space="preserve">beläuft sich der </w:t>
      </w:r>
      <w:r w:rsidR="000E0716">
        <w:rPr>
          <w:rFonts w:ascii="Arial" w:hAnsi="Arial" w:cs="Arial"/>
          <w:sz w:val="20"/>
          <w:szCs w:val="20"/>
        </w:rPr>
        <w:t>Gesamtf</w:t>
      </w:r>
      <w:bookmarkStart w:id="0" w:name="_GoBack"/>
      <w:bookmarkEnd w:id="0"/>
      <w:r w:rsidR="0014179B">
        <w:rPr>
          <w:rFonts w:ascii="Arial" w:hAnsi="Arial" w:cs="Arial"/>
          <w:sz w:val="20"/>
          <w:szCs w:val="20"/>
        </w:rPr>
        <w:t xml:space="preserve">lächenumsatz auf 496.000 m². </w:t>
      </w:r>
      <w:r w:rsidR="00963140">
        <w:rPr>
          <w:rFonts w:ascii="Arial" w:hAnsi="Arial" w:cs="Arial"/>
          <w:sz w:val="20"/>
          <w:szCs w:val="20"/>
        </w:rPr>
        <w:t xml:space="preserve">Und </w:t>
      </w:r>
      <w:r w:rsidR="00DD5942">
        <w:rPr>
          <w:rFonts w:ascii="Arial" w:hAnsi="Arial" w:cs="Arial"/>
          <w:sz w:val="20"/>
          <w:szCs w:val="20"/>
        </w:rPr>
        <w:t xml:space="preserve">bewegt </w:t>
      </w:r>
      <w:r w:rsidR="00963140">
        <w:rPr>
          <w:rFonts w:ascii="Arial" w:hAnsi="Arial" w:cs="Arial"/>
          <w:sz w:val="20"/>
          <w:szCs w:val="20"/>
        </w:rPr>
        <w:t xml:space="preserve">sich </w:t>
      </w:r>
      <w:r w:rsidR="00DD5942">
        <w:rPr>
          <w:rFonts w:ascii="Arial" w:hAnsi="Arial" w:cs="Arial"/>
          <w:sz w:val="20"/>
          <w:szCs w:val="20"/>
        </w:rPr>
        <w:t xml:space="preserve">damit </w:t>
      </w:r>
      <w:r w:rsidR="00963140">
        <w:rPr>
          <w:rFonts w:ascii="Arial" w:hAnsi="Arial" w:cs="Arial"/>
          <w:sz w:val="20"/>
          <w:szCs w:val="20"/>
        </w:rPr>
        <w:t xml:space="preserve">bereits über </w:t>
      </w:r>
      <w:r w:rsidR="00DD5942">
        <w:rPr>
          <w:rFonts w:ascii="Arial" w:hAnsi="Arial" w:cs="Arial"/>
          <w:sz w:val="20"/>
          <w:szCs w:val="20"/>
        </w:rPr>
        <w:t>dem</w:t>
      </w:r>
      <w:r w:rsidR="00963140">
        <w:rPr>
          <w:rFonts w:ascii="Arial" w:hAnsi="Arial" w:cs="Arial"/>
          <w:sz w:val="20"/>
          <w:szCs w:val="20"/>
        </w:rPr>
        <w:t xml:space="preserve"> Fünf-Jahres-Mittel von 484.000 m²</w:t>
      </w:r>
      <w:r w:rsidR="003A6BDC">
        <w:rPr>
          <w:rFonts w:ascii="Arial" w:hAnsi="Arial" w:cs="Arial"/>
          <w:sz w:val="20"/>
          <w:szCs w:val="20"/>
        </w:rPr>
        <w:t>, ergaben Analysen von Grossmann &amp; Berger, Mitglied von German Property Partners (GPP)</w:t>
      </w:r>
      <w:r w:rsidR="003D5CFE">
        <w:rPr>
          <w:rFonts w:ascii="Arial" w:hAnsi="Arial" w:cs="Arial"/>
          <w:sz w:val="20"/>
          <w:szCs w:val="20"/>
        </w:rPr>
        <w:t>.</w:t>
      </w:r>
    </w:p>
    <w:p w14:paraId="690FCC2D" w14:textId="77777777" w:rsidR="003D5CFE" w:rsidRDefault="003D5CFE" w:rsidP="00363EA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547B51" w14:textId="08513791" w:rsidR="009A3457" w:rsidRPr="00F2157F" w:rsidRDefault="006966CB" w:rsidP="00363E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029E">
        <w:rPr>
          <w:rFonts w:ascii="Arial" w:hAnsi="Arial" w:cs="Arial"/>
          <w:i/>
          <w:sz w:val="20"/>
          <w:szCs w:val="20"/>
        </w:rPr>
        <w:t>„</w:t>
      </w:r>
      <w:r w:rsidR="0014179B" w:rsidRPr="00BD029E">
        <w:rPr>
          <w:rFonts w:ascii="Arial" w:hAnsi="Arial" w:cs="Arial"/>
          <w:i/>
          <w:sz w:val="20"/>
          <w:szCs w:val="20"/>
        </w:rPr>
        <w:t xml:space="preserve">Bis auf das Ausnahmejahr 2011, in dem </w:t>
      </w:r>
      <w:r w:rsidR="002E6200" w:rsidRPr="00BD029E">
        <w:rPr>
          <w:rFonts w:ascii="Arial" w:hAnsi="Arial" w:cs="Arial"/>
          <w:i/>
          <w:sz w:val="20"/>
          <w:szCs w:val="20"/>
        </w:rPr>
        <w:t xml:space="preserve">bereits </w:t>
      </w:r>
      <w:r w:rsidR="0014179B" w:rsidRPr="00BD029E">
        <w:rPr>
          <w:rFonts w:ascii="Arial" w:hAnsi="Arial" w:cs="Arial"/>
          <w:i/>
          <w:sz w:val="20"/>
          <w:szCs w:val="20"/>
        </w:rPr>
        <w:t xml:space="preserve">Ende September 612.000 </w:t>
      </w:r>
      <w:r w:rsidRPr="00BD029E">
        <w:rPr>
          <w:rFonts w:ascii="Arial" w:hAnsi="Arial" w:cs="Arial"/>
          <w:i/>
          <w:sz w:val="20"/>
          <w:szCs w:val="20"/>
        </w:rPr>
        <w:t>Quadratmeter</w:t>
      </w:r>
      <w:r w:rsidR="0014179B" w:rsidRPr="00BD029E">
        <w:rPr>
          <w:rFonts w:ascii="Arial" w:hAnsi="Arial" w:cs="Arial"/>
          <w:i/>
          <w:sz w:val="20"/>
          <w:szCs w:val="20"/>
        </w:rPr>
        <w:t xml:space="preserve"> </w:t>
      </w:r>
      <w:r w:rsidR="00E175DE" w:rsidRPr="00BD029E">
        <w:rPr>
          <w:rFonts w:ascii="Arial" w:hAnsi="Arial" w:cs="Arial"/>
          <w:i/>
          <w:sz w:val="20"/>
          <w:szCs w:val="20"/>
        </w:rPr>
        <w:t xml:space="preserve">vermietet oder durch Baustarts </w:t>
      </w:r>
      <w:r w:rsidR="00EA1CAA" w:rsidRPr="00BD029E">
        <w:rPr>
          <w:rFonts w:ascii="Arial" w:hAnsi="Arial" w:cs="Arial"/>
          <w:i/>
          <w:sz w:val="20"/>
          <w:szCs w:val="20"/>
        </w:rPr>
        <w:t>absorbiert</w:t>
      </w:r>
      <w:r w:rsidR="0014179B" w:rsidRPr="00BD029E">
        <w:rPr>
          <w:rFonts w:ascii="Arial" w:hAnsi="Arial" w:cs="Arial"/>
          <w:i/>
          <w:sz w:val="20"/>
          <w:szCs w:val="20"/>
        </w:rPr>
        <w:t xml:space="preserve"> worden war</w:t>
      </w:r>
      <w:r w:rsidR="00E175DE" w:rsidRPr="00BD029E">
        <w:rPr>
          <w:rFonts w:ascii="Arial" w:hAnsi="Arial" w:cs="Arial"/>
          <w:i/>
          <w:sz w:val="20"/>
          <w:szCs w:val="20"/>
        </w:rPr>
        <w:t>en</w:t>
      </w:r>
      <w:r w:rsidR="0014179B" w:rsidRPr="00BD029E">
        <w:rPr>
          <w:rFonts w:ascii="Arial" w:hAnsi="Arial" w:cs="Arial"/>
          <w:i/>
          <w:sz w:val="20"/>
          <w:szCs w:val="20"/>
        </w:rPr>
        <w:t xml:space="preserve">, fiel </w:t>
      </w:r>
      <w:r w:rsidR="003A6BDC" w:rsidRPr="00BD029E">
        <w:rPr>
          <w:rFonts w:ascii="Arial" w:hAnsi="Arial" w:cs="Arial"/>
          <w:i/>
          <w:sz w:val="20"/>
          <w:szCs w:val="20"/>
        </w:rPr>
        <w:t xml:space="preserve">kein anderes Ergebnis </w:t>
      </w:r>
      <w:r w:rsidR="00016DDB" w:rsidRPr="00BD029E">
        <w:rPr>
          <w:rFonts w:ascii="Arial" w:hAnsi="Arial" w:cs="Arial"/>
          <w:i/>
          <w:sz w:val="20"/>
          <w:szCs w:val="20"/>
        </w:rPr>
        <w:t xml:space="preserve">am Ende eines </w:t>
      </w:r>
      <w:r w:rsidRPr="00BD029E">
        <w:rPr>
          <w:rFonts w:ascii="Arial" w:hAnsi="Arial" w:cs="Arial"/>
          <w:i/>
          <w:sz w:val="20"/>
          <w:szCs w:val="20"/>
        </w:rPr>
        <w:t>dritten</w:t>
      </w:r>
      <w:r w:rsidR="00016DDB" w:rsidRPr="00BD029E">
        <w:rPr>
          <w:rFonts w:ascii="Arial" w:hAnsi="Arial" w:cs="Arial"/>
          <w:i/>
          <w:sz w:val="20"/>
          <w:szCs w:val="20"/>
        </w:rPr>
        <w:t xml:space="preserve"> Quartals </w:t>
      </w:r>
      <w:r w:rsidR="0014179B" w:rsidRPr="00BD029E">
        <w:rPr>
          <w:rFonts w:ascii="Arial" w:hAnsi="Arial" w:cs="Arial"/>
          <w:i/>
          <w:sz w:val="20"/>
          <w:szCs w:val="20"/>
        </w:rPr>
        <w:t>höher aus.</w:t>
      </w:r>
      <w:r w:rsidR="002E6200" w:rsidRPr="00BD029E">
        <w:rPr>
          <w:rFonts w:ascii="Arial" w:hAnsi="Arial" w:cs="Arial"/>
          <w:i/>
          <w:sz w:val="20"/>
          <w:szCs w:val="20"/>
        </w:rPr>
        <w:t xml:space="preserve"> Bemerkenswert ist der hohe Anteil an </w:t>
      </w:r>
      <w:r w:rsidR="00EA1CAA" w:rsidRPr="00BD029E">
        <w:rPr>
          <w:rFonts w:ascii="Arial" w:hAnsi="Arial" w:cs="Arial"/>
          <w:i/>
          <w:sz w:val="20"/>
          <w:szCs w:val="20"/>
        </w:rPr>
        <w:t>v</w:t>
      </w:r>
      <w:r w:rsidR="002E6200" w:rsidRPr="00BD029E">
        <w:rPr>
          <w:rFonts w:ascii="Arial" w:hAnsi="Arial" w:cs="Arial"/>
          <w:i/>
          <w:sz w:val="20"/>
          <w:szCs w:val="20"/>
        </w:rPr>
        <w:t>ermiet</w:t>
      </w:r>
      <w:r w:rsidR="00EA1CAA" w:rsidRPr="00BD029E">
        <w:rPr>
          <w:rFonts w:ascii="Arial" w:hAnsi="Arial" w:cs="Arial"/>
          <w:i/>
          <w:sz w:val="20"/>
          <w:szCs w:val="20"/>
        </w:rPr>
        <w:t xml:space="preserve">eten Flächen, nachdem </w:t>
      </w:r>
      <w:r w:rsidR="00963140" w:rsidRPr="00BD029E">
        <w:rPr>
          <w:rFonts w:ascii="Arial" w:hAnsi="Arial" w:cs="Arial"/>
          <w:i/>
          <w:sz w:val="20"/>
          <w:szCs w:val="20"/>
        </w:rPr>
        <w:t xml:space="preserve">2020 </w:t>
      </w:r>
      <w:r w:rsidR="00EA1CAA" w:rsidRPr="00BD029E">
        <w:rPr>
          <w:rFonts w:ascii="Arial" w:hAnsi="Arial" w:cs="Arial"/>
          <w:i/>
          <w:sz w:val="20"/>
          <w:szCs w:val="20"/>
        </w:rPr>
        <w:t xml:space="preserve">Eigennutzer-Baustarts </w:t>
      </w:r>
      <w:r w:rsidR="003A6BDC" w:rsidRPr="00BD029E">
        <w:rPr>
          <w:rFonts w:ascii="Arial" w:hAnsi="Arial" w:cs="Arial"/>
          <w:i/>
          <w:sz w:val="20"/>
          <w:szCs w:val="20"/>
        </w:rPr>
        <w:t>das</w:t>
      </w:r>
      <w:r w:rsidR="00EA1CAA" w:rsidRPr="00BD029E">
        <w:rPr>
          <w:rFonts w:ascii="Arial" w:hAnsi="Arial" w:cs="Arial"/>
          <w:i/>
          <w:sz w:val="20"/>
          <w:szCs w:val="20"/>
        </w:rPr>
        <w:t xml:space="preserve"> Markt</w:t>
      </w:r>
      <w:r w:rsidR="003A6BDC" w:rsidRPr="00BD029E">
        <w:rPr>
          <w:rFonts w:ascii="Arial" w:hAnsi="Arial" w:cs="Arial"/>
          <w:i/>
          <w:sz w:val="20"/>
          <w:szCs w:val="20"/>
        </w:rPr>
        <w:t>geschehen</w:t>
      </w:r>
      <w:r w:rsidR="00EA1CAA" w:rsidRPr="00BD029E">
        <w:rPr>
          <w:rFonts w:ascii="Arial" w:hAnsi="Arial" w:cs="Arial"/>
          <w:i/>
          <w:sz w:val="20"/>
          <w:szCs w:val="20"/>
        </w:rPr>
        <w:t xml:space="preserve"> </w:t>
      </w:r>
      <w:r w:rsidR="00963140" w:rsidRPr="00BD029E">
        <w:rPr>
          <w:rFonts w:ascii="Arial" w:hAnsi="Arial" w:cs="Arial"/>
          <w:i/>
          <w:sz w:val="20"/>
          <w:szCs w:val="20"/>
        </w:rPr>
        <w:t>bestimmt hatten</w:t>
      </w:r>
      <w:r w:rsidRPr="00BD029E">
        <w:rPr>
          <w:rFonts w:ascii="Arial" w:hAnsi="Arial" w:cs="Arial"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kommentiert </w:t>
      </w:r>
      <w:r w:rsidRPr="00E04521">
        <w:rPr>
          <w:rFonts w:ascii="Arial" w:hAnsi="Arial" w:cs="Arial"/>
          <w:b/>
          <w:sz w:val="20"/>
          <w:szCs w:val="20"/>
        </w:rPr>
        <w:t xml:space="preserve">Felix </w:t>
      </w:r>
      <w:proofErr w:type="spellStart"/>
      <w:r w:rsidRPr="00E04521">
        <w:rPr>
          <w:rFonts w:ascii="Arial" w:hAnsi="Arial" w:cs="Arial"/>
          <w:b/>
          <w:sz w:val="20"/>
          <w:szCs w:val="20"/>
        </w:rPr>
        <w:t>Krumreich</w:t>
      </w:r>
      <w:proofErr w:type="spellEnd"/>
      <w:r>
        <w:rPr>
          <w:rFonts w:ascii="Arial" w:hAnsi="Arial" w:cs="Arial"/>
          <w:sz w:val="20"/>
          <w:szCs w:val="20"/>
        </w:rPr>
        <w:t>, Immobilienberater Industrie &amp; Logistik bei Grossmann &amp; Berger.</w:t>
      </w:r>
      <w:r w:rsidR="002E6200">
        <w:rPr>
          <w:rFonts w:ascii="Arial" w:hAnsi="Arial" w:cs="Arial"/>
          <w:sz w:val="20"/>
          <w:szCs w:val="20"/>
        </w:rPr>
        <w:t xml:space="preserve"> </w:t>
      </w:r>
      <w:r w:rsidR="00CB6245">
        <w:rPr>
          <w:rFonts w:ascii="Arial" w:hAnsi="Arial" w:cs="Arial"/>
          <w:sz w:val="20"/>
          <w:szCs w:val="20"/>
        </w:rPr>
        <w:t>Ähnlich wie im</w:t>
      </w:r>
      <w:r w:rsidR="00EA1CAA">
        <w:rPr>
          <w:rFonts w:ascii="Arial" w:hAnsi="Arial" w:cs="Arial"/>
          <w:sz w:val="20"/>
          <w:szCs w:val="20"/>
        </w:rPr>
        <w:t xml:space="preserve"> Vergleichszeitraum 2019 </w:t>
      </w:r>
      <w:r w:rsidR="00BD029E">
        <w:rPr>
          <w:rFonts w:ascii="Arial" w:hAnsi="Arial" w:cs="Arial"/>
          <w:sz w:val="20"/>
          <w:szCs w:val="20"/>
        </w:rPr>
        <w:t>betrug</w:t>
      </w:r>
      <w:r w:rsidR="002E6200">
        <w:rPr>
          <w:rFonts w:ascii="Arial" w:hAnsi="Arial" w:cs="Arial"/>
          <w:sz w:val="20"/>
          <w:szCs w:val="20"/>
        </w:rPr>
        <w:t xml:space="preserve"> </w:t>
      </w:r>
      <w:r w:rsidR="00BD029E">
        <w:rPr>
          <w:rFonts w:ascii="Arial" w:hAnsi="Arial" w:cs="Arial"/>
          <w:sz w:val="20"/>
          <w:szCs w:val="20"/>
        </w:rPr>
        <w:t>d</w:t>
      </w:r>
      <w:r w:rsidR="00EA1CAA">
        <w:rPr>
          <w:rFonts w:ascii="Arial" w:hAnsi="Arial" w:cs="Arial"/>
          <w:sz w:val="20"/>
          <w:szCs w:val="20"/>
        </w:rPr>
        <w:t xml:space="preserve">er </w:t>
      </w:r>
      <w:r w:rsidR="003D5CFE">
        <w:rPr>
          <w:rFonts w:ascii="Arial" w:hAnsi="Arial" w:cs="Arial"/>
          <w:sz w:val="20"/>
          <w:szCs w:val="20"/>
        </w:rPr>
        <w:t>Anteil an vermieteten Flächen</w:t>
      </w:r>
      <w:r w:rsidR="003D5CFE">
        <w:rPr>
          <w:rFonts w:ascii="Arial" w:hAnsi="Arial" w:cs="Arial"/>
          <w:sz w:val="20"/>
          <w:szCs w:val="20"/>
        </w:rPr>
        <w:br/>
      </w:r>
      <w:r w:rsidR="002E6200">
        <w:rPr>
          <w:rFonts w:ascii="Arial" w:hAnsi="Arial" w:cs="Arial"/>
          <w:sz w:val="20"/>
          <w:szCs w:val="20"/>
        </w:rPr>
        <w:t>85 %.</w:t>
      </w:r>
    </w:p>
    <w:p w14:paraId="7D0B7770" w14:textId="77777777"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F1F98D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3C8FC0FE" w14:textId="1FCBB516" w:rsidR="00514293" w:rsidRPr="0073257C" w:rsidRDefault="00634517" w:rsidP="00926111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Zwischen Juli und September wurden weitere vier Verträge über 10.001 m² abgeschlossen. Die Deal-Anzahl </w:t>
      </w:r>
      <w:r w:rsidR="0000349B">
        <w:rPr>
          <w:rFonts w:ascii="Arial" w:hAnsi="Arial" w:cs="Arial"/>
          <w:sz w:val="20"/>
          <w:szCs w:val="20"/>
        </w:rPr>
        <w:t xml:space="preserve">in dieser </w:t>
      </w:r>
      <w:r w:rsidR="0000349B" w:rsidRPr="0000349B">
        <w:rPr>
          <w:rFonts w:ascii="Arial" w:hAnsi="Arial" w:cs="Arial"/>
          <w:sz w:val="20"/>
          <w:szCs w:val="20"/>
          <w:u w:val="single"/>
        </w:rPr>
        <w:t>Größenklasse</w:t>
      </w:r>
      <w:r w:rsidR="000034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verdoppelte sich innerhalb eines Jahres auf zwölf.</w:t>
      </w:r>
      <w:r w:rsidR="008044B3">
        <w:rPr>
          <w:rFonts w:ascii="Arial" w:hAnsi="Arial" w:cs="Arial"/>
          <w:sz w:val="20"/>
          <w:szCs w:val="20"/>
        </w:rPr>
        <w:t xml:space="preserve"> Verträge über 10.001 m² erreichten einen Anteil von 45 % (3Q2020: 54 %)</w:t>
      </w:r>
      <w:r w:rsidR="0068555F">
        <w:rPr>
          <w:rFonts w:ascii="Arial" w:hAnsi="Arial" w:cs="Arial"/>
          <w:sz w:val="20"/>
          <w:szCs w:val="20"/>
        </w:rPr>
        <w:t xml:space="preserve"> am Flächenumsatz</w:t>
      </w:r>
      <w:r w:rsidR="008044B3">
        <w:rPr>
          <w:rFonts w:ascii="Arial" w:hAnsi="Arial" w:cs="Arial"/>
          <w:sz w:val="20"/>
          <w:szCs w:val="20"/>
        </w:rPr>
        <w:t xml:space="preserve">, die nächstkleinere Kategorie </w:t>
      </w:r>
      <w:r w:rsidR="0068555F">
        <w:rPr>
          <w:rFonts w:ascii="Arial" w:hAnsi="Arial" w:cs="Arial"/>
          <w:sz w:val="20"/>
          <w:szCs w:val="20"/>
        </w:rPr>
        <w:t xml:space="preserve">5.001 bis 10.000 m² </w:t>
      </w:r>
      <w:r w:rsidR="008044B3">
        <w:rPr>
          <w:rFonts w:ascii="Arial" w:hAnsi="Arial" w:cs="Arial"/>
          <w:sz w:val="20"/>
          <w:szCs w:val="20"/>
        </w:rPr>
        <w:t>einen Anteil von 33 % (3Q2020: 18 %).</w:t>
      </w:r>
    </w:p>
    <w:p w14:paraId="62994E9D" w14:textId="01342289" w:rsidR="0073257C" w:rsidRPr="00143D29" w:rsidRDefault="00FC7510" w:rsidP="00926111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Trotz des geringen</w:t>
      </w:r>
      <w:r w:rsidR="0068555F">
        <w:rPr>
          <w:rFonts w:ascii="Arial" w:hAnsi="Arial" w:cs="Arial"/>
          <w:sz w:val="20"/>
          <w:szCs w:val="20"/>
        </w:rPr>
        <w:t xml:space="preserve"> Eigennutzer-Anteil</w:t>
      </w:r>
      <w:r>
        <w:rPr>
          <w:rFonts w:ascii="Arial" w:hAnsi="Arial" w:cs="Arial"/>
          <w:sz w:val="20"/>
          <w:szCs w:val="20"/>
        </w:rPr>
        <w:t>s</w:t>
      </w:r>
      <w:r w:rsidR="0068555F">
        <w:rPr>
          <w:rFonts w:ascii="Arial" w:hAnsi="Arial" w:cs="Arial"/>
          <w:sz w:val="20"/>
          <w:szCs w:val="20"/>
        </w:rPr>
        <w:t xml:space="preserve"> waren d</w:t>
      </w:r>
      <w:r w:rsidR="0073257C">
        <w:rPr>
          <w:rFonts w:ascii="Arial" w:hAnsi="Arial" w:cs="Arial"/>
          <w:sz w:val="20"/>
          <w:szCs w:val="20"/>
        </w:rPr>
        <w:t xml:space="preserve">rei der </w:t>
      </w:r>
      <w:r w:rsidR="0069320C">
        <w:rPr>
          <w:rFonts w:ascii="Arial" w:hAnsi="Arial" w:cs="Arial"/>
          <w:sz w:val="20"/>
          <w:szCs w:val="20"/>
        </w:rPr>
        <w:t xml:space="preserve">oben erwähnten neuen </w:t>
      </w:r>
      <w:r w:rsidR="0069320C" w:rsidRPr="00A02793">
        <w:rPr>
          <w:rFonts w:ascii="Arial" w:hAnsi="Arial" w:cs="Arial"/>
          <w:sz w:val="20"/>
          <w:szCs w:val="20"/>
          <w:u w:val="single"/>
        </w:rPr>
        <w:t>Großv</w:t>
      </w:r>
      <w:r w:rsidR="0068555F" w:rsidRPr="00A02793">
        <w:rPr>
          <w:rFonts w:ascii="Arial" w:hAnsi="Arial" w:cs="Arial"/>
          <w:sz w:val="20"/>
          <w:szCs w:val="20"/>
          <w:u w:val="single"/>
        </w:rPr>
        <w:t>erträge</w:t>
      </w:r>
      <w:r w:rsidR="0068555F">
        <w:rPr>
          <w:rFonts w:ascii="Arial" w:hAnsi="Arial" w:cs="Arial"/>
          <w:sz w:val="20"/>
          <w:szCs w:val="20"/>
        </w:rPr>
        <w:t xml:space="preserve"> </w:t>
      </w:r>
      <w:r w:rsidR="0073257C">
        <w:rPr>
          <w:rFonts w:ascii="Arial" w:hAnsi="Arial" w:cs="Arial"/>
          <w:sz w:val="20"/>
          <w:szCs w:val="20"/>
        </w:rPr>
        <w:t>Baustarts.</w:t>
      </w:r>
      <w:r w:rsidR="0068555F">
        <w:rPr>
          <w:rFonts w:ascii="Arial" w:hAnsi="Arial" w:cs="Arial"/>
          <w:sz w:val="20"/>
          <w:szCs w:val="20"/>
        </w:rPr>
        <w:t xml:space="preserve"> So begannen u. a. die Bauarbeiten für das neue Rechenzentrum von </w:t>
      </w:r>
      <w:proofErr w:type="spellStart"/>
      <w:r w:rsidR="0068555F">
        <w:rPr>
          <w:rFonts w:ascii="Arial" w:hAnsi="Arial" w:cs="Arial"/>
          <w:sz w:val="20"/>
          <w:szCs w:val="20"/>
        </w:rPr>
        <w:t>akquinet</w:t>
      </w:r>
      <w:proofErr w:type="spellEnd"/>
      <w:r w:rsidR="0069320C">
        <w:rPr>
          <w:rFonts w:ascii="Arial" w:hAnsi="Arial" w:cs="Arial"/>
          <w:sz w:val="20"/>
          <w:szCs w:val="20"/>
        </w:rPr>
        <w:t>, dessen Ankau</w:t>
      </w:r>
      <w:r w:rsidR="00A02793">
        <w:rPr>
          <w:rFonts w:ascii="Arial" w:hAnsi="Arial" w:cs="Arial"/>
          <w:sz w:val="20"/>
          <w:szCs w:val="20"/>
        </w:rPr>
        <w:t xml:space="preserve">f Grossmann &amp; Berger </w:t>
      </w:r>
      <w:r w:rsidR="00091B06">
        <w:rPr>
          <w:rFonts w:ascii="Arial" w:hAnsi="Arial" w:cs="Arial"/>
          <w:sz w:val="20"/>
          <w:szCs w:val="20"/>
        </w:rPr>
        <w:t xml:space="preserve">2020 </w:t>
      </w:r>
      <w:r w:rsidR="00A02793">
        <w:rPr>
          <w:rFonts w:ascii="Arial" w:hAnsi="Arial" w:cs="Arial"/>
          <w:sz w:val="20"/>
          <w:szCs w:val="20"/>
        </w:rPr>
        <w:t>vermittelt hatte</w:t>
      </w:r>
      <w:r w:rsidR="006932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im Gewerbegebiet</w:t>
      </w:r>
      <w:r w:rsidR="0068555F">
        <w:rPr>
          <w:rFonts w:ascii="Arial" w:hAnsi="Arial" w:cs="Arial"/>
          <w:sz w:val="20"/>
          <w:szCs w:val="20"/>
        </w:rPr>
        <w:t xml:space="preserve"> VICTORIA PARK</w:t>
      </w:r>
      <w:r>
        <w:rPr>
          <w:rFonts w:ascii="Arial" w:hAnsi="Arial" w:cs="Arial"/>
          <w:sz w:val="20"/>
          <w:szCs w:val="20"/>
        </w:rPr>
        <w:t xml:space="preserve"> HAMBURG</w:t>
      </w:r>
      <w:r w:rsidR="006855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8555F">
        <w:rPr>
          <w:rFonts w:ascii="Arial" w:hAnsi="Arial" w:cs="Arial"/>
          <w:sz w:val="20"/>
          <w:szCs w:val="20"/>
        </w:rPr>
        <w:t>Rahlstedt</w:t>
      </w:r>
      <w:proofErr w:type="spellEnd"/>
      <w:r w:rsidR="0068555F">
        <w:rPr>
          <w:rFonts w:ascii="Arial" w:hAnsi="Arial" w:cs="Arial"/>
          <w:sz w:val="20"/>
          <w:szCs w:val="20"/>
        </w:rPr>
        <w:t xml:space="preserve"> mit </w:t>
      </w:r>
      <w:r w:rsidR="0068555F" w:rsidRPr="00143D29">
        <w:rPr>
          <w:rFonts w:ascii="Arial" w:hAnsi="Arial" w:cs="Arial"/>
          <w:sz w:val="20"/>
          <w:szCs w:val="20"/>
        </w:rPr>
        <w:t>rund 10.300 m² Hallenfläche und 3.600 m² Bürofläche.</w:t>
      </w:r>
    </w:p>
    <w:p w14:paraId="09E8CF4C" w14:textId="69275634" w:rsidR="00BB06B9" w:rsidRDefault="00BB06B9" w:rsidP="00170928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Die meisten Verträge wurden in den zwei </w:t>
      </w:r>
      <w:r w:rsidRPr="00BB06B9">
        <w:rPr>
          <w:rFonts w:ascii="Arial" w:eastAsiaTheme="minorHAnsi" w:hAnsi="Arial" w:cs="Arial"/>
          <w:sz w:val="20"/>
          <w:szCs w:val="20"/>
          <w:u w:val="single"/>
        </w:rPr>
        <w:t>Preisgruppen</w:t>
      </w:r>
      <w:r>
        <w:rPr>
          <w:rFonts w:ascii="Arial" w:eastAsiaTheme="minorHAnsi" w:hAnsi="Arial" w:cs="Arial"/>
          <w:sz w:val="20"/>
          <w:szCs w:val="20"/>
        </w:rPr>
        <w:t xml:space="preserve"> ab 5,51 €/m²/Monat mit einem Anteil von 32 % und 4,51 bis 5,00 €/m²/Monat mit 26 % abgeschlossen. Entsprechend kletterte die </w:t>
      </w:r>
      <w:r w:rsidRPr="00BB06B9">
        <w:rPr>
          <w:rFonts w:ascii="Arial" w:eastAsiaTheme="minorHAnsi" w:hAnsi="Arial" w:cs="Arial"/>
          <w:sz w:val="20"/>
          <w:szCs w:val="20"/>
          <w:u w:val="single"/>
        </w:rPr>
        <w:t>Spitzenmiete</w:t>
      </w:r>
      <w:r>
        <w:rPr>
          <w:rFonts w:ascii="Arial" w:eastAsiaTheme="minorHAnsi" w:hAnsi="Arial" w:cs="Arial"/>
          <w:sz w:val="20"/>
          <w:szCs w:val="20"/>
        </w:rPr>
        <w:t xml:space="preserve"> mit 6,50 €/m²/Monat auf ein neues Hoch, während die </w:t>
      </w:r>
      <w:r w:rsidRPr="00BB06B9">
        <w:rPr>
          <w:rFonts w:ascii="Arial" w:eastAsiaTheme="minorHAnsi" w:hAnsi="Arial" w:cs="Arial"/>
          <w:sz w:val="20"/>
          <w:szCs w:val="20"/>
          <w:u w:val="single"/>
        </w:rPr>
        <w:t>Durchschnittsmiete</w:t>
      </w:r>
      <w:r>
        <w:rPr>
          <w:rFonts w:ascii="Arial" w:eastAsiaTheme="minorHAnsi" w:hAnsi="Arial" w:cs="Arial"/>
          <w:sz w:val="20"/>
          <w:szCs w:val="20"/>
        </w:rPr>
        <w:t xml:space="preserve"> bei 5,20 €/m²/Monat unverändert blieb.</w:t>
      </w:r>
    </w:p>
    <w:p w14:paraId="59A6CF0F" w14:textId="0369E1C4" w:rsidR="00A02793" w:rsidRPr="00170928" w:rsidRDefault="00143D29" w:rsidP="00170928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Da </w:t>
      </w:r>
      <w:r w:rsidR="00170928">
        <w:rPr>
          <w:rFonts w:ascii="Arial" w:eastAsiaTheme="minorHAnsi" w:hAnsi="Arial" w:cs="Arial"/>
          <w:sz w:val="20"/>
          <w:szCs w:val="20"/>
        </w:rPr>
        <w:t xml:space="preserve">allein zehn der zwölf Großverträge von Unternehmen der </w:t>
      </w:r>
      <w:r w:rsidR="00170928" w:rsidRPr="00170928">
        <w:rPr>
          <w:rFonts w:ascii="Arial" w:eastAsiaTheme="minorHAnsi" w:hAnsi="Arial" w:cs="Arial"/>
          <w:sz w:val="20"/>
          <w:szCs w:val="20"/>
          <w:u w:val="single"/>
        </w:rPr>
        <w:t>Branchen</w:t>
      </w:r>
      <w:r w:rsidR="00170928">
        <w:rPr>
          <w:rFonts w:ascii="Arial" w:eastAsiaTheme="minorHAnsi" w:hAnsi="Arial" w:cs="Arial"/>
          <w:sz w:val="20"/>
          <w:szCs w:val="20"/>
        </w:rPr>
        <w:t xml:space="preserve"> Logistik &amp; Spedition (8) und</w:t>
      </w:r>
      <w:r>
        <w:rPr>
          <w:rFonts w:ascii="Arial" w:eastAsiaTheme="minorHAnsi" w:hAnsi="Arial" w:cs="Arial"/>
          <w:sz w:val="20"/>
          <w:szCs w:val="20"/>
        </w:rPr>
        <w:t xml:space="preserve"> Handel</w:t>
      </w:r>
      <w:r w:rsidR="00091B06">
        <w:rPr>
          <w:rFonts w:ascii="Arial" w:eastAsiaTheme="minorHAnsi" w:hAnsi="Arial" w:cs="Arial"/>
          <w:sz w:val="20"/>
          <w:szCs w:val="20"/>
        </w:rPr>
        <w:t xml:space="preserve"> (2</w:t>
      </w:r>
      <w:r w:rsidR="00170928" w:rsidRPr="00170928">
        <w:rPr>
          <w:rFonts w:ascii="Arial" w:eastAsiaTheme="minorHAnsi" w:hAnsi="Arial" w:cs="Arial"/>
          <w:sz w:val="20"/>
          <w:szCs w:val="20"/>
        </w:rPr>
        <w:t>) abgeschlossen wurden, entfielen auf sie auch</w:t>
      </w:r>
      <w:r w:rsidR="00F67646">
        <w:rPr>
          <w:rFonts w:ascii="Arial" w:eastAsiaTheme="minorHAnsi" w:hAnsi="Arial" w:cs="Arial"/>
          <w:sz w:val="20"/>
          <w:szCs w:val="20"/>
        </w:rPr>
        <w:t xml:space="preserve"> 84</w:t>
      </w:r>
      <w:r w:rsidRPr="00170928">
        <w:rPr>
          <w:rFonts w:ascii="Arial" w:eastAsiaTheme="minorHAnsi" w:hAnsi="Arial" w:cs="Arial"/>
          <w:sz w:val="20"/>
          <w:szCs w:val="20"/>
        </w:rPr>
        <w:t xml:space="preserve"> % des Flächenumsatzes.</w:t>
      </w:r>
      <w:r w:rsidR="00170928" w:rsidRPr="00170928">
        <w:rPr>
          <w:rFonts w:ascii="Arial" w:eastAsiaTheme="minorHAnsi" w:hAnsi="Arial" w:cs="Arial"/>
          <w:sz w:val="20"/>
          <w:szCs w:val="20"/>
        </w:rPr>
        <w:t xml:space="preserve"> Logistiker kamen auf einen Anteil von 52 %, der Handel auf 32 %.</w:t>
      </w:r>
    </w:p>
    <w:p w14:paraId="7ACFE7D1" w14:textId="3F48539A" w:rsidR="00D1670A" w:rsidRPr="00BB06B9" w:rsidRDefault="00091B06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BB06B9">
        <w:rPr>
          <w:rFonts w:ascii="Arial" w:eastAsiaTheme="minorHAnsi" w:hAnsi="Arial" w:cs="Arial"/>
          <w:sz w:val="20"/>
          <w:szCs w:val="20"/>
        </w:rPr>
        <w:t xml:space="preserve">Die Marktaktivitäten haben sich im Jahresvergleich mit 63 % statt 44 % deutlich in Richtung Stadtgebiet verschoben. Bei zwei neuen und insgesamt nun vier Großverträgen in diesem </w:t>
      </w:r>
      <w:r w:rsidRPr="00BB06B9">
        <w:rPr>
          <w:rFonts w:ascii="Arial" w:eastAsiaTheme="minorHAnsi" w:hAnsi="Arial" w:cs="Arial"/>
          <w:sz w:val="20"/>
          <w:szCs w:val="20"/>
          <w:u w:val="single"/>
        </w:rPr>
        <w:t>Teilmarkt</w:t>
      </w:r>
      <w:r w:rsidRPr="00BB06B9">
        <w:rPr>
          <w:rFonts w:ascii="Arial" w:eastAsiaTheme="minorHAnsi" w:hAnsi="Arial" w:cs="Arial"/>
          <w:sz w:val="20"/>
          <w:szCs w:val="20"/>
        </w:rPr>
        <w:t xml:space="preserve"> lag der Schwerpunkt des Flächenumsatzes mit 36 % in Hamburg Ost. Die nächsthöheren Anteile um ein Fünftel erreichten Hamburg Süd und Umland Nord-West</w:t>
      </w:r>
      <w:r w:rsidR="009526DF" w:rsidRPr="00BB06B9">
        <w:rPr>
          <w:rFonts w:ascii="Arial" w:eastAsiaTheme="minorHAnsi" w:hAnsi="Arial" w:cs="Arial"/>
          <w:sz w:val="20"/>
          <w:szCs w:val="20"/>
        </w:rPr>
        <w:t>.</w:t>
      </w:r>
    </w:p>
    <w:p w14:paraId="6B0BBC4D" w14:textId="77777777" w:rsidR="00995237" w:rsidRPr="00143D29" w:rsidRDefault="00995237" w:rsidP="00995237">
      <w:p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14:paraId="0BAC8A2E" w14:textId="77777777" w:rsidTr="00616335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14:paraId="71EBB413" w14:textId="77777777"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616335">
              <w:rPr>
                <w:rFonts w:ascii="Arial" w:hAnsi="Arial" w:cs="Arial"/>
                <w:b/>
                <w:sz w:val="18"/>
                <w:szCs w:val="20"/>
              </w:rPr>
              <w:t xml:space="preserve"> Umland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7A683B01" w14:textId="3ACA561A" w:rsidR="009A3457" w:rsidRPr="004712BA" w:rsidRDefault="00616335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2021 | </w:t>
            </w:r>
            <w:r w:rsidR="00514293"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  <w:r w:rsidR="006D360D">
              <w:rPr>
                <w:rFonts w:ascii="Arial" w:hAnsi="Arial" w:cs="Arial"/>
                <w:b/>
                <w:sz w:val="18"/>
                <w:szCs w:val="16"/>
              </w:rPr>
              <w:t>-Q3</w:t>
            </w:r>
          </w:p>
        </w:tc>
      </w:tr>
      <w:tr w:rsidR="009A3457" w:rsidRPr="006F49D0" w14:paraId="70DF3AA6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753DC11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5D250936" w14:textId="6C1B0256" w:rsidR="009A3457" w:rsidRPr="004712BA" w:rsidRDefault="00D11364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496</w:t>
            </w:r>
            <w:r w:rsidR="00E04869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9A3457" w:rsidRPr="006F49D0" w14:paraId="043AFEFC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3ED9F0EF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49FCD9C4" w14:textId="06830D60" w:rsidR="009A3457" w:rsidRPr="004712BA" w:rsidRDefault="009C5E5C" w:rsidP="00D11364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D11364">
              <w:rPr>
                <w:rFonts w:ascii="Arial" w:hAnsi="Arial" w:cs="Arial"/>
                <w:sz w:val="18"/>
                <w:szCs w:val="16"/>
              </w:rPr>
              <w:t>36</w:t>
            </w:r>
          </w:p>
        </w:tc>
      </w:tr>
      <w:tr w:rsidR="009A3457" w:rsidRPr="006F49D0" w14:paraId="0E732110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6654C7A9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D7C8E7C" w14:textId="5C2F6638" w:rsidR="009A3457" w:rsidRPr="004712BA" w:rsidRDefault="00D11364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</w:tr>
      <w:tr w:rsidR="009A3457" w:rsidRPr="006F49D0" w14:paraId="7D6C7858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71C81982" w14:textId="77777777"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248780FF" w14:textId="5399991F" w:rsidR="009A3457" w:rsidRPr="00122A77" w:rsidRDefault="006021B6" w:rsidP="00F67646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021B6">
              <w:rPr>
                <w:rFonts w:ascii="Arial" w:hAnsi="Arial" w:cs="Arial"/>
                <w:sz w:val="18"/>
                <w:szCs w:val="16"/>
              </w:rPr>
              <w:t>-</w:t>
            </w:r>
            <w:r w:rsidR="00F67646">
              <w:rPr>
                <w:rFonts w:ascii="Arial" w:hAnsi="Arial" w:cs="Arial"/>
                <w:sz w:val="18"/>
                <w:szCs w:val="16"/>
              </w:rPr>
              <w:t>38</w:t>
            </w:r>
          </w:p>
        </w:tc>
      </w:tr>
      <w:tr w:rsidR="009A3457" w:rsidRPr="006F49D0" w14:paraId="40BC7CB1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4551D3A3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6F30DDDE" w14:textId="58344977" w:rsidR="009A3457" w:rsidRPr="004712BA" w:rsidRDefault="00D11364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6,5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74A56634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1A0873A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148E5D1" w14:textId="06FF55A7" w:rsidR="009A3457" w:rsidRPr="00A7575D" w:rsidRDefault="00E04869" w:rsidP="00D11364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D11364">
              <w:rPr>
                <w:rFonts w:ascii="Arial" w:hAnsi="Arial" w:cs="Arial"/>
                <w:sz w:val="18"/>
                <w:szCs w:val="16"/>
              </w:rPr>
              <w:t>3,2</w:t>
            </w:r>
          </w:p>
        </w:tc>
      </w:tr>
      <w:tr w:rsidR="009A3457" w:rsidRPr="006F49D0" w14:paraId="12FCA4FB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084ECC9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14:paraId="520B34FD" w14:textId="77777777" w:rsidR="009A3457" w:rsidRPr="004712BA" w:rsidRDefault="00E04869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5,20</w:t>
            </w:r>
          </w:p>
        </w:tc>
      </w:tr>
      <w:tr w:rsidR="009A3457" w14:paraId="6162EAD9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0151E736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3E1FB4AB" w14:textId="079BA654" w:rsidR="009A3457" w:rsidRPr="00A7575D" w:rsidRDefault="00D11364" w:rsidP="00D11364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±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  <w:r>
              <w:rPr>
                <w:rFonts w:ascii="Arial" w:hAnsi="Arial" w:cs="Arial"/>
                <w:sz w:val="18"/>
                <w:szCs w:val="16"/>
              </w:rPr>
              <w:t>,0</w:t>
            </w:r>
          </w:p>
        </w:tc>
      </w:tr>
      <w:tr w:rsidR="00395ED5" w:rsidRPr="006F49D0" w14:paraId="13A0ED8E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2AD86D43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14:paraId="4BE4626E" w14:textId="77777777" w:rsidR="00395ED5" w:rsidRPr="004712BA" w:rsidRDefault="00E04869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Ost</w:t>
            </w:r>
          </w:p>
        </w:tc>
      </w:tr>
      <w:tr w:rsidR="00395ED5" w14:paraId="52AFAC85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1FC62107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14:paraId="0EEDC51D" w14:textId="6CAAEF20" w:rsidR="00395ED5" w:rsidRPr="004712BA" w:rsidRDefault="00D11364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</w:t>
            </w:r>
          </w:p>
        </w:tc>
      </w:tr>
      <w:tr w:rsidR="009A3457" w:rsidRPr="006F49D0" w14:paraId="5E737EA1" w14:textId="77777777" w:rsidTr="00616335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7A52FE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CEAA99" w14:textId="77777777"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Logistik &amp; Spedition</w:t>
            </w:r>
          </w:p>
        </w:tc>
      </w:tr>
      <w:tr w:rsidR="009A3457" w:rsidRPr="006F49D0" w14:paraId="6AE22D82" w14:textId="77777777" w:rsidTr="00616335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CDD888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F89E6A" w14:textId="1C948110" w:rsidR="009A3457" w:rsidRPr="004712BA" w:rsidRDefault="00D11364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52</w:t>
            </w:r>
          </w:p>
        </w:tc>
      </w:tr>
    </w:tbl>
    <w:p w14:paraId="01F8CEBD" w14:textId="520A7225" w:rsidR="001F0C02" w:rsidRDefault="00D11364" w:rsidP="009C5E5C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19076F7" wp14:editId="18F8D66B">
            <wp:simplePos x="0" y="0"/>
            <wp:positionH relativeFrom="margin">
              <wp:posOffset>3509010</wp:posOffset>
            </wp:positionH>
            <wp:positionV relativeFrom="paragraph">
              <wp:posOffset>79480</wp:posOffset>
            </wp:positionV>
            <wp:extent cx="2589530" cy="1827530"/>
            <wp:effectExtent l="19050" t="19050" r="20320" b="203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_Industrie_HH_2021Q1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8275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6F">
        <w:rPr>
          <w:rFonts w:ascii="Arial" w:hAnsi="Arial" w:cs="Arial"/>
          <w:b/>
          <w:sz w:val="20"/>
          <w:szCs w:val="20"/>
        </w:rPr>
        <w:tab/>
      </w:r>
    </w:p>
    <w:p w14:paraId="411FDB89" w14:textId="77777777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35FD6C" w14:textId="77777777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848033B" w14:textId="77777777" w:rsidR="00E138AB" w:rsidRDefault="00E138AB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DB0D6F5" w14:textId="77777777" w:rsidR="009C5E5C" w:rsidRDefault="009C5E5C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4335DD5" w14:textId="77777777" w:rsidR="009C5E5C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956905">
        <w:rPr>
          <w:rFonts w:ascii="Arial" w:hAnsi="Arial" w:cs="Arial"/>
          <w:b/>
          <w:sz w:val="20"/>
          <w:szCs w:val="20"/>
        </w:rPr>
        <w:t xml:space="preserve">Transaktionen | </w:t>
      </w:r>
      <w:r w:rsidR="005C29E5"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5C29E5"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</w:p>
    <w:p w14:paraId="41A36C5A" w14:textId="4048491E" w:rsidR="009A3457" w:rsidRPr="004C4080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C4080">
        <w:rPr>
          <w:rFonts w:ascii="Arial" w:hAnsi="Arial" w:cs="Arial"/>
          <w:b/>
          <w:sz w:val="20"/>
          <w:szCs w:val="20"/>
        </w:rPr>
        <w:t>1.</w:t>
      </w:r>
      <w:r w:rsidR="006D360D">
        <w:rPr>
          <w:rFonts w:ascii="Arial" w:hAnsi="Arial" w:cs="Arial"/>
          <w:b/>
          <w:sz w:val="20"/>
          <w:szCs w:val="20"/>
        </w:rPr>
        <w:t>-3</w:t>
      </w:r>
      <w:r w:rsidR="009C5E5C" w:rsidRPr="004C4080">
        <w:rPr>
          <w:rFonts w:ascii="Arial" w:hAnsi="Arial" w:cs="Arial"/>
          <w:b/>
          <w:sz w:val="20"/>
          <w:szCs w:val="20"/>
        </w:rPr>
        <w:t>.</w:t>
      </w:r>
      <w:r w:rsidRPr="004C4080">
        <w:rPr>
          <w:rFonts w:ascii="Arial" w:hAnsi="Arial" w:cs="Arial"/>
          <w:b/>
          <w:sz w:val="20"/>
          <w:szCs w:val="20"/>
        </w:rPr>
        <w:t xml:space="preserve"> Quartal 2021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080"/>
        <w:gridCol w:w="2176"/>
        <w:gridCol w:w="2409"/>
        <w:gridCol w:w="2977"/>
        <w:gridCol w:w="992"/>
      </w:tblGrid>
      <w:tr w:rsidR="00C36C38" w:rsidRPr="0017364E" w14:paraId="2FDA1885" w14:textId="77777777" w:rsidTr="00154797">
        <w:trPr>
          <w:trHeight w:val="542"/>
        </w:trPr>
        <w:tc>
          <w:tcPr>
            <w:tcW w:w="1080" w:type="dxa"/>
            <w:shd w:val="clear" w:color="auto" w:fill="1F242B" w:themeFill="accent2"/>
          </w:tcPr>
          <w:p w14:paraId="35808679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76" w:type="dxa"/>
            <w:shd w:val="clear" w:color="auto" w:fill="1F242B" w:themeFill="accent2"/>
          </w:tcPr>
          <w:p w14:paraId="1EB39844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2409" w:type="dxa"/>
            <w:shd w:val="clear" w:color="auto" w:fill="1F242B" w:themeFill="accent2"/>
          </w:tcPr>
          <w:p w14:paraId="6AE5270B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977" w:type="dxa"/>
            <w:shd w:val="clear" w:color="auto" w:fill="1F242B" w:themeFill="accent2"/>
          </w:tcPr>
          <w:p w14:paraId="7417AFA1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992" w:type="dxa"/>
            <w:shd w:val="clear" w:color="auto" w:fill="1F242B" w:themeFill="accent2"/>
          </w:tcPr>
          <w:p w14:paraId="4BB99D36" w14:textId="77777777" w:rsidR="00C36C38" w:rsidRPr="00873089" w:rsidRDefault="00C36C38" w:rsidP="00D1136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14:paraId="2AD105D9" w14:textId="77777777" w:rsidR="00C36C38" w:rsidRPr="00627692" w:rsidRDefault="00627692" w:rsidP="00D11364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9C5E5C" w:rsidRPr="0017364E" w14:paraId="632D8050" w14:textId="77777777" w:rsidTr="00D11364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5CEB731E" w14:textId="77777777" w:rsidR="009C5E5C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080">
              <w:rPr>
                <w:rFonts w:ascii="Arial" w:hAnsi="Arial" w:cs="Arial"/>
                <w:sz w:val="16"/>
                <w:szCs w:val="16"/>
              </w:rPr>
              <w:t>Nützen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FAC26B5" w14:textId="77777777" w:rsidR="009C5E5C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Kirchenweg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55BB4F" w14:textId="77777777" w:rsidR="009C5E5C" w:rsidRPr="00154797" w:rsidRDefault="004C4080" w:rsidP="001547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797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154797">
              <w:rPr>
                <w:rFonts w:ascii="Arial" w:hAnsi="Arial" w:cs="Arial"/>
                <w:sz w:val="16"/>
                <w:szCs w:val="16"/>
              </w:rPr>
              <w:t>Panattoni</w:t>
            </w:r>
            <w:proofErr w:type="spellEnd"/>
            <w:r w:rsidRPr="00154797">
              <w:rPr>
                <w:rFonts w:ascii="Arial" w:hAnsi="Arial" w:cs="Arial"/>
                <w:sz w:val="16"/>
                <w:szCs w:val="16"/>
              </w:rPr>
              <w:t xml:space="preserve"> Park Hamburg Nord“</w:t>
            </w:r>
            <w:r w:rsidR="00154797" w:rsidRPr="001547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54797" w:rsidRPr="006021B6">
              <w:rPr>
                <w:rFonts w:ascii="Arial" w:hAnsi="Arial" w:cs="Arial"/>
                <w:sz w:val="16"/>
                <w:szCs w:val="16"/>
              </w:rPr>
              <w:t>Neubau-Logistikhalle</w:t>
            </w:r>
            <w:r w:rsidR="00BA1A9C" w:rsidRPr="006021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FF7919" w14:textId="7855FCCA" w:rsidR="009C5E5C" w:rsidRPr="004C4080" w:rsidRDefault="006021B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Riess-Ambiente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5A527" w14:textId="77777777" w:rsidR="009C5E5C" w:rsidRP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37.700</w:t>
            </w:r>
          </w:p>
        </w:tc>
      </w:tr>
      <w:tr w:rsidR="004C4080" w:rsidRPr="0017364E" w14:paraId="1D3C0BEE" w14:textId="77777777" w:rsidTr="00D11364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63A07146" w14:textId="77777777" w:rsidR="004C4080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D268012" w14:textId="77777777" w:rsid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Vollhöfner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Weiden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0BECC2" w14:textId="77777777" w:rsidR="004C4080" w:rsidRPr="006021B6" w:rsidRDefault="009919C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21B6">
              <w:rPr>
                <w:rFonts w:ascii="Arial" w:hAnsi="Arial" w:cs="Arial"/>
                <w:sz w:val="16"/>
                <w:szCs w:val="16"/>
              </w:rPr>
              <w:t>Bestands-</w:t>
            </w:r>
            <w:r w:rsidR="00704C9B" w:rsidRPr="006021B6">
              <w:rPr>
                <w:rFonts w:ascii="Arial" w:hAnsi="Arial" w:cs="Arial"/>
                <w:sz w:val="16"/>
                <w:szCs w:val="16"/>
              </w:rPr>
              <w:t>Logistikanlage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86AD7D" w14:textId="77777777" w:rsidR="004C4080" w:rsidRDefault="00704C9B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GREIWING</w:t>
            </w:r>
            <w:r w:rsidR="004C40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4080">
              <w:rPr>
                <w:rFonts w:ascii="Arial" w:hAnsi="Arial" w:cs="Arial"/>
                <w:sz w:val="16"/>
                <w:szCs w:val="16"/>
              </w:rPr>
              <w:t>logistics</w:t>
            </w:r>
            <w:proofErr w:type="spellEnd"/>
            <w:r w:rsidR="004C40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4080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="004C40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4080">
              <w:rPr>
                <w:rFonts w:ascii="Arial" w:hAnsi="Arial" w:cs="Arial"/>
                <w:sz w:val="16"/>
                <w:szCs w:val="16"/>
              </w:rPr>
              <w:t>you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EBA542D" w14:textId="77777777" w:rsid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29.200</w:t>
            </w:r>
          </w:p>
        </w:tc>
      </w:tr>
      <w:tr w:rsidR="00D11364" w:rsidRPr="0017364E" w14:paraId="29F73E13" w14:textId="77777777" w:rsidTr="00D11364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C7CC8B5" w14:textId="2678487F" w:rsidR="00D11364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7A2C826B" w14:textId="7E401B44" w:rsidR="00D11364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Pinkertweg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944BB1" w14:textId="25E46D08" w:rsidR="00D11364" w:rsidRDefault="00D11364" w:rsidP="00704C9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Logistikcenter-Neubau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2892DB" w14:textId="6F45E809" w:rsidR="00D11364" w:rsidRPr="006021B6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Group7 (EN)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968EF7" w14:textId="376A82F1" w:rsidR="00D11364" w:rsidRDefault="00D11364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</w:tr>
      <w:tr w:rsidR="00D11364" w:rsidRPr="0017364E" w14:paraId="2EB4B9CF" w14:textId="77777777" w:rsidTr="00D11364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AD607A4" w14:textId="0AFD6252" w:rsidR="00D11364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2FF016FD" w14:textId="144D70A3" w:rsidR="00D11364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Porgesring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13-15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8AEBDDB" w14:textId="48EFD7C6" w:rsidR="00D11364" w:rsidRDefault="00883410" w:rsidP="00704C9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Lager-Neubau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B63B25" w14:textId="2947CAAC" w:rsidR="00D11364" w:rsidRPr="006021B6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Worlée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Dried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Logistics</w:t>
            </w:r>
            <w:proofErr w:type="spellEnd"/>
            <w:r w:rsidR="00883410">
              <w:rPr>
                <w:rFonts w:ascii="Arial" w:hAnsi="Arial" w:cs="Arial"/>
                <w:sz w:val="16"/>
                <w:szCs w:val="16"/>
              </w:rPr>
              <w:t xml:space="preserve"> (EN)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07EA4F" w14:textId="1FE1F88A" w:rsidR="00D11364" w:rsidRDefault="00D11364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25.600</w:t>
            </w:r>
          </w:p>
        </w:tc>
      </w:tr>
      <w:tr w:rsidR="004C4080" w:rsidRPr="0017364E" w14:paraId="6DF1E76A" w14:textId="77777777" w:rsidTr="00D11364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23A26B2D" w14:textId="77777777" w:rsid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Wenzendorf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28F65C4A" w14:textId="77777777" w:rsid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Otto-Lilienthal-Straße 1a-d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3F4C8A" w14:textId="77777777" w:rsidR="004C4080" w:rsidRDefault="00154797" w:rsidP="00704C9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„Logistikpark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Eurolog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Rade“, </w:t>
            </w:r>
            <w:r w:rsidR="00704C9B" w:rsidRPr="006021B6">
              <w:rPr>
                <w:rFonts w:ascii="Arial" w:hAnsi="Arial" w:cs="Arial"/>
                <w:sz w:val="16"/>
                <w:szCs w:val="16"/>
              </w:rPr>
              <w:t>Logistikhalle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6812D1" w14:textId="5D97F2EB" w:rsidR="004C4080" w:rsidRPr="006021B6" w:rsidRDefault="006021B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21B6">
              <w:rPr>
                <w:rFonts w:ascii="Arial" w:hAnsi="Arial" w:cs="Arial"/>
                <w:sz w:val="16"/>
                <w:szCs w:val="16"/>
              </w:rPr>
              <w:t>Vertraulich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696BF" w14:textId="77777777" w:rsid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15.500</w:t>
            </w:r>
          </w:p>
        </w:tc>
      </w:tr>
    </w:tbl>
    <w:p w14:paraId="3336185C" w14:textId="77777777" w:rsidR="009A3457" w:rsidRPr="00154797" w:rsidRDefault="0015479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54797">
        <w:rPr>
          <w:rFonts w:ascii="Arial" w:eastAsia="Arial" w:hAnsi="Arial" w:cs="Arial"/>
          <w:color w:val="000000" w:themeColor="text1"/>
          <w:sz w:val="16"/>
          <w:szCs w:val="16"/>
        </w:rPr>
        <w:t>Neue Deals sind farblich hervorgehoben</w:t>
      </w:r>
    </w:p>
    <w:p w14:paraId="3D515F75" w14:textId="77777777" w:rsidR="00154797" w:rsidRDefault="0015479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C7E3C4" w14:textId="3DA58209" w:rsidR="006E5C9C" w:rsidRDefault="006D360D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6D360D">
        <w:rPr>
          <w:rFonts w:ascii="Arial" w:hAnsi="Arial" w:cs="Arial"/>
          <w:sz w:val="20"/>
          <w:szCs w:val="20"/>
        </w:rPr>
        <w:t xml:space="preserve">Unser nächster </w:t>
      </w:r>
      <w:hyperlink r:id="rId9" w:history="1">
        <w:r w:rsidR="00514293" w:rsidRPr="006D360D">
          <w:rPr>
            <w:rStyle w:val="Hyperlink"/>
            <w:rFonts w:ascii="Arial" w:eastAsia="Arial" w:hAnsi="Arial" w:cs="Arial"/>
            <w:sz w:val="20"/>
            <w:szCs w:val="20"/>
          </w:rPr>
          <w:t>Industrie-</w:t>
        </w:r>
        <w:r w:rsidR="00E36AA4" w:rsidRPr="006D360D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="00E36AA4" w:rsidRPr="006D360D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514293" w:rsidRPr="006D360D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514293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erscheint nach Endes des 4. Quartals</w:t>
      </w:r>
      <w:r w:rsidR="009C5E5C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2021 </w:t>
      </w:r>
      <w:r w:rsidR="00B500A5" w:rsidRPr="006D360D">
        <w:rPr>
          <w:rFonts w:ascii="Arial" w:eastAsia="Arial" w:hAnsi="Arial" w:cs="Arial"/>
          <w:color w:val="000000" w:themeColor="text1"/>
          <w:sz w:val="20"/>
          <w:szCs w:val="20"/>
        </w:rPr>
        <w:t>auf unserer Website</w:t>
      </w:r>
      <w:r w:rsidR="00B500A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als </w:t>
      </w:r>
      <w:r w:rsidR="009C5E5C">
        <w:rPr>
          <w:rFonts w:ascii="Arial" w:eastAsia="Arial" w:hAnsi="Arial" w:cs="Arial"/>
          <w:color w:val="000000" w:themeColor="text1"/>
          <w:sz w:val="20"/>
          <w:szCs w:val="20"/>
        </w:rPr>
        <w:t>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-PDF</w:t>
      </w:r>
      <w:r w:rsidR="00E36AA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79D55C" w14:textId="77777777"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2CFAE757" w14:textId="77777777" w:rsidR="0090748B" w:rsidRPr="0090748B" w:rsidRDefault="0090748B" w:rsidP="006C1DD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3089C1EF" w14:textId="77777777" w:rsidR="009C5E5C" w:rsidRPr="00FE68A0" w:rsidRDefault="009C5E5C" w:rsidP="009C5E5C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E68A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FE68A0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FE68A0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E68A0">
        <w:rPr>
          <w:rFonts w:ascii="Arial" w:hAnsi="Arial" w:cs="Arial"/>
          <w:sz w:val="16"/>
          <w:szCs w:val="16"/>
        </w:rPr>
        <w:t xml:space="preserve"> (GPP).</w:t>
      </w:r>
    </w:p>
    <w:p w14:paraId="2FE1B2AF" w14:textId="77777777" w:rsidR="00E36AA4" w:rsidRPr="001A49B0" w:rsidRDefault="00E36AA4" w:rsidP="00E36AA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090BAA5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5501F7" w14:textId="77777777" w:rsidR="00503D8C" w:rsidRPr="00503D8C" w:rsidRDefault="003C6AB4" w:rsidP="00E36AA4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514293">
        <w:rPr>
          <w:rFonts w:ascii="Arial" w:hAnsi="Arial" w:cs="Arial"/>
          <w:sz w:val="16"/>
          <w:szCs w:val="16"/>
        </w:rPr>
        <w:t xml:space="preserve"> mit dem Betreff „</w:t>
      </w:r>
      <w:r w:rsidR="0022086D">
        <w:rPr>
          <w:rFonts w:ascii="Arial" w:hAnsi="Arial" w:cs="Arial"/>
          <w:sz w:val="16"/>
          <w:szCs w:val="16"/>
        </w:rPr>
        <w:t>Abmeldung aus Presseverteiler</w:t>
      </w:r>
      <w:r w:rsidR="00514293">
        <w:rPr>
          <w:rFonts w:ascii="Arial" w:hAnsi="Arial" w:cs="Arial"/>
          <w:sz w:val="16"/>
          <w:szCs w:val="16"/>
        </w:rPr>
        <w:t>“</w:t>
      </w:r>
      <w:r w:rsidR="0022086D"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3CCF" w14:textId="77777777" w:rsidR="006261DF" w:rsidRDefault="006261DF">
      <w:r>
        <w:separator/>
      </w:r>
    </w:p>
  </w:endnote>
  <w:endnote w:type="continuationSeparator" w:id="0">
    <w:p w14:paraId="14854E2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4DE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161708D2" w14:textId="65615122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E071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E071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F838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E89235B" wp14:editId="0E1E20DF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695C" w14:textId="77777777" w:rsidR="006261DF" w:rsidRDefault="006261DF">
      <w:r>
        <w:separator/>
      </w:r>
    </w:p>
  </w:footnote>
  <w:footnote w:type="continuationSeparator" w:id="0">
    <w:p w14:paraId="019878D3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852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BAE9B7" wp14:editId="0BA4DF2F">
              <wp:simplePos x="0" y="0"/>
              <wp:positionH relativeFrom="margin">
                <wp:posOffset>-92208</wp:posOffset>
              </wp:positionH>
              <wp:positionV relativeFrom="paragraph">
                <wp:posOffset>7620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B114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.6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Bdx2bp3QAA&#10;AAgBAAAPAAAAAAAAAAAAAAAAAGUEAABkcnMvZG93bnJldi54bWxQSwUGAAAAAAQABADzAAAAbwUA&#10;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22F114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5D4E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2CF69" wp14:editId="1FABD7F9">
              <wp:simplePos x="0" y="0"/>
              <wp:positionH relativeFrom="margin">
                <wp:posOffset>-74626</wp:posOffset>
              </wp:positionH>
              <wp:positionV relativeFrom="paragraph">
                <wp:posOffset>8890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5B96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5.9pt;margin-top:.7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034665C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49B"/>
    <w:rsid w:val="000159FE"/>
    <w:rsid w:val="00016DDB"/>
    <w:rsid w:val="00022F16"/>
    <w:rsid w:val="00023D78"/>
    <w:rsid w:val="0003075C"/>
    <w:rsid w:val="00037015"/>
    <w:rsid w:val="00041728"/>
    <w:rsid w:val="00044CC7"/>
    <w:rsid w:val="00060743"/>
    <w:rsid w:val="00066796"/>
    <w:rsid w:val="000766D7"/>
    <w:rsid w:val="0007670A"/>
    <w:rsid w:val="00082FDC"/>
    <w:rsid w:val="00083FC2"/>
    <w:rsid w:val="00091B06"/>
    <w:rsid w:val="000A0C99"/>
    <w:rsid w:val="000A5ED1"/>
    <w:rsid w:val="000B1606"/>
    <w:rsid w:val="000B3315"/>
    <w:rsid w:val="000C770D"/>
    <w:rsid w:val="000E03F3"/>
    <w:rsid w:val="000E0716"/>
    <w:rsid w:val="000E3494"/>
    <w:rsid w:val="000E7BC7"/>
    <w:rsid w:val="000F726E"/>
    <w:rsid w:val="001029C4"/>
    <w:rsid w:val="00105EAA"/>
    <w:rsid w:val="0011079D"/>
    <w:rsid w:val="0011486D"/>
    <w:rsid w:val="00121E33"/>
    <w:rsid w:val="00122A77"/>
    <w:rsid w:val="00123619"/>
    <w:rsid w:val="00126550"/>
    <w:rsid w:val="001324D6"/>
    <w:rsid w:val="00135BD2"/>
    <w:rsid w:val="00135E09"/>
    <w:rsid w:val="0014179B"/>
    <w:rsid w:val="00141FCC"/>
    <w:rsid w:val="00143504"/>
    <w:rsid w:val="00143D29"/>
    <w:rsid w:val="00154797"/>
    <w:rsid w:val="00154825"/>
    <w:rsid w:val="0015550E"/>
    <w:rsid w:val="00162BD4"/>
    <w:rsid w:val="00163DB4"/>
    <w:rsid w:val="00170928"/>
    <w:rsid w:val="0017364E"/>
    <w:rsid w:val="0017516B"/>
    <w:rsid w:val="00176F1D"/>
    <w:rsid w:val="0018068D"/>
    <w:rsid w:val="0018568C"/>
    <w:rsid w:val="001871BC"/>
    <w:rsid w:val="001A2ABE"/>
    <w:rsid w:val="001A360C"/>
    <w:rsid w:val="001C72E7"/>
    <w:rsid w:val="001D14DA"/>
    <w:rsid w:val="001E1172"/>
    <w:rsid w:val="001E6995"/>
    <w:rsid w:val="001F0C02"/>
    <w:rsid w:val="001F1513"/>
    <w:rsid w:val="00205769"/>
    <w:rsid w:val="00212FEC"/>
    <w:rsid w:val="002131BB"/>
    <w:rsid w:val="0022086D"/>
    <w:rsid w:val="00223A7F"/>
    <w:rsid w:val="00227E31"/>
    <w:rsid w:val="00230F81"/>
    <w:rsid w:val="002341EE"/>
    <w:rsid w:val="00237341"/>
    <w:rsid w:val="00251750"/>
    <w:rsid w:val="00252F48"/>
    <w:rsid w:val="00254C6F"/>
    <w:rsid w:val="00255679"/>
    <w:rsid w:val="0027266B"/>
    <w:rsid w:val="00281E80"/>
    <w:rsid w:val="002834B0"/>
    <w:rsid w:val="00283671"/>
    <w:rsid w:val="00284A5D"/>
    <w:rsid w:val="00284E27"/>
    <w:rsid w:val="00294B7D"/>
    <w:rsid w:val="002A1973"/>
    <w:rsid w:val="002B14F6"/>
    <w:rsid w:val="002C055A"/>
    <w:rsid w:val="002C2392"/>
    <w:rsid w:val="002D1C5C"/>
    <w:rsid w:val="002D1E20"/>
    <w:rsid w:val="002E6200"/>
    <w:rsid w:val="002E6860"/>
    <w:rsid w:val="002F0411"/>
    <w:rsid w:val="002F4176"/>
    <w:rsid w:val="002F4A7D"/>
    <w:rsid w:val="002F767E"/>
    <w:rsid w:val="00301F3A"/>
    <w:rsid w:val="0031494D"/>
    <w:rsid w:val="003246F0"/>
    <w:rsid w:val="00325E2A"/>
    <w:rsid w:val="003272F3"/>
    <w:rsid w:val="003377DF"/>
    <w:rsid w:val="00345716"/>
    <w:rsid w:val="0034786C"/>
    <w:rsid w:val="003517C9"/>
    <w:rsid w:val="00357EC4"/>
    <w:rsid w:val="003627E1"/>
    <w:rsid w:val="00363EAC"/>
    <w:rsid w:val="00370000"/>
    <w:rsid w:val="003709DA"/>
    <w:rsid w:val="00373507"/>
    <w:rsid w:val="00375B11"/>
    <w:rsid w:val="00381BED"/>
    <w:rsid w:val="0038230E"/>
    <w:rsid w:val="00382529"/>
    <w:rsid w:val="0039259C"/>
    <w:rsid w:val="00395ED5"/>
    <w:rsid w:val="003A00C9"/>
    <w:rsid w:val="003A22D7"/>
    <w:rsid w:val="003A25A4"/>
    <w:rsid w:val="003A6BDC"/>
    <w:rsid w:val="003B49E4"/>
    <w:rsid w:val="003B4CCF"/>
    <w:rsid w:val="003B6CD4"/>
    <w:rsid w:val="003C6AB4"/>
    <w:rsid w:val="003C7E40"/>
    <w:rsid w:val="003D0A8A"/>
    <w:rsid w:val="003D1B49"/>
    <w:rsid w:val="003D2BB6"/>
    <w:rsid w:val="003D5CFE"/>
    <w:rsid w:val="003E099F"/>
    <w:rsid w:val="003E4DF9"/>
    <w:rsid w:val="003F665D"/>
    <w:rsid w:val="003F7C37"/>
    <w:rsid w:val="0040086D"/>
    <w:rsid w:val="004017D8"/>
    <w:rsid w:val="00411E03"/>
    <w:rsid w:val="004123B1"/>
    <w:rsid w:val="004303A1"/>
    <w:rsid w:val="00440DC9"/>
    <w:rsid w:val="004450C4"/>
    <w:rsid w:val="004506D2"/>
    <w:rsid w:val="00455FC3"/>
    <w:rsid w:val="00456F40"/>
    <w:rsid w:val="004609BD"/>
    <w:rsid w:val="004661EE"/>
    <w:rsid w:val="00466741"/>
    <w:rsid w:val="00470064"/>
    <w:rsid w:val="004843A0"/>
    <w:rsid w:val="004875DB"/>
    <w:rsid w:val="004A2BEA"/>
    <w:rsid w:val="004A3C64"/>
    <w:rsid w:val="004A5AEA"/>
    <w:rsid w:val="004B2FDA"/>
    <w:rsid w:val="004B480A"/>
    <w:rsid w:val="004C0CA2"/>
    <w:rsid w:val="004C4080"/>
    <w:rsid w:val="004C6712"/>
    <w:rsid w:val="004C6E6E"/>
    <w:rsid w:val="004D50C0"/>
    <w:rsid w:val="004D772A"/>
    <w:rsid w:val="004E339B"/>
    <w:rsid w:val="004E4273"/>
    <w:rsid w:val="004E4562"/>
    <w:rsid w:val="004E7B3E"/>
    <w:rsid w:val="004F077F"/>
    <w:rsid w:val="005023DD"/>
    <w:rsid w:val="00503D8C"/>
    <w:rsid w:val="00510F37"/>
    <w:rsid w:val="00514293"/>
    <w:rsid w:val="00522B84"/>
    <w:rsid w:val="00530EB4"/>
    <w:rsid w:val="00531A7F"/>
    <w:rsid w:val="00534BAD"/>
    <w:rsid w:val="005360E8"/>
    <w:rsid w:val="005428C5"/>
    <w:rsid w:val="00543C55"/>
    <w:rsid w:val="0055393B"/>
    <w:rsid w:val="005554C7"/>
    <w:rsid w:val="00556F58"/>
    <w:rsid w:val="005606A6"/>
    <w:rsid w:val="00567D57"/>
    <w:rsid w:val="00580EB7"/>
    <w:rsid w:val="00582B99"/>
    <w:rsid w:val="005860E2"/>
    <w:rsid w:val="00587FDA"/>
    <w:rsid w:val="00590903"/>
    <w:rsid w:val="005A617A"/>
    <w:rsid w:val="005A76EE"/>
    <w:rsid w:val="005B0FC9"/>
    <w:rsid w:val="005B66D3"/>
    <w:rsid w:val="005C100F"/>
    <w:rsid w:val="005C29E5"/>
    <w:rsid w:val="005C4556"/>
    <w:rsid w:val="005C5302"/>
    <w:rsid w:val="005D307B"/>
    <w:rsid w:val="005D515A"/>
    <w:rsid w:val="005E362E"/>
    <w:rsid w:val="005F7593"/>
    <w:rsid w:val="006021B6"/>
    <w:rsid w:val="006029D7"/>
    <w:rsid w:val="00603A68"/>
    <w:rsid w:val="0061109D"/>
    <w:rsid w:val="00612AA0"/>
    <w:rsid w:val="006138CB"/>
    <w:rsid w:val="00616335"/>
    <w:rsid w:val="006224C4"/>
    <w:rsid w:val="006225EA"/>
    <w:rsid w:val="006261DF"/>
    <w:rsid w:val="00627588"/>
    <w:rsid w:val="00627692"/>
    <w:rsid w:val="00634517"/>
    <w:rsid w:val="00641270"/>
    <w:rsid w:val="00642074"/>
    <w:rsid w:val="006424F8"/>
    <w:rsid w:val="006752B2"/>
    <w:rsid w:val="00681CAB"/>
    <w:rsid w:val="006842EF"/>
    <w:rsid w:val="0068555F"/>
    <w:rsid w:val="00687256"/>
    <w:rsid w:val="00692D1D"/>
    <w:rsid w:val="0069320C"/>
    <w:rsid w:val="00695E58"/>
    <w:rsid w:val="006966CB"/>
    <w:rsid w:val="0069757D"/>
    <w:rsid w:val="006A1329"/>
    <w:rsid w:val="006A66F9"/>
    <w:rsid w:val="006A7604"/>
    <w:rsid w:val="006C1DD8"/>
    <w:rsid w:val="006D024C"/>
    <w:rsid w:val="006D0A0A"/>
    <w:rsid w:val="006D360D"/>
    <w:rsid w:val="006D58B9"/>
    <w:rsid w:val="006E5C9C"/>
    <w:rsid w:val="006F1774"/>
    <w:rsid w:val="006F625D"/>
    <w:rsid w:val="0070224E"/>
    <w:rsid w:val="00704C9B"/>
    <w:rsid w:val="00715FB9"/>
    <w:rsid w:val="00717A20"/>
    <w:rsid w:val="00720DFF"/>
    <w:rsid w:val="00730E23"/>
    <w:rsid w:val="0073257C"/>
    <w:rsid w:val="0074780F"/>
    <w:rsid w:val="0075428A"/>
    <w:rsid w:val="00762CC5"/>
    <w:rsid w:val="00764E36"/>
    <w:rsid w:val="0076692B"/>
    <w:rsid w:val="00786781"/>
    <w:rsid w:val="007906B4"/>
    <w:rsid w:val="007970A0"/>
    <w:rsid w:val="007A592B"/>
    <w:rsid w:val="007B215B"/>
    <w:rsid w:val="007B4617"/>
    <w:rsid w:val="007C2AF5"/>
    <w:rsid w:val="007E759D"/>
    <w:rsid w:val="007F2DBE"/>
    <w:rsid w:val="007F33B6"/>
    <w:rsid w:val="007F5D65"/>
    <w:rsid w:val="007F642D"/>
    <w:rsid w:val="007F756A"/>
    <w:rsid w:val="0080256B"/>
    <w:rsid w:val="008044B3"/>
    <w:rsid w:val="00812471"/>
    <w:rsid w:val="008261A5"/>
    <w:rsid w:val="0083382E"/>
    <w:rsid w:val="00850B30"/>
    <w:rsid w:val="00855325"/>
    <w:rsid w:val="00855494"/>
    <w:rsid w:val="00855D4A"/>
    <w:rsid w:val="00862E34"/>
    <w:rsid w:val="00865915"/>
    <w:rsid w:val="00871832"/>
    <w:rsid w:val="008740D8"/>
    <w:rsid w:val="00874930"/>
    <w:rsid w:val="008775C5"/>
    <w:rsid w:val="00883410"/>
    <w:rsid w:val="00886360"/>
    <w:rsid w:val="00886CCE"/>
    <w:rsid w:val="008942C6"/>
    <w:rsid w:val="00896B33"/>
    <w:rsid w:val="008A486B"/>
    <w:rsid w:val="008A62FB"/>
    <w:rsid w:val="008A77B7"/>
    <w:rsid w:val="008B0F67"/>
    <w:rsid w:val="008C0F8D"/>
    <w:rsid w:val="008C608D"/>
    <w:rsid w:val="008C7E5F"/>
    <w:rsid w:val="008E461D"/>
    <w:rsid w:val="008E65DC"/>
    <w:rsid w:val="008F08E5"/>
    <w:rsid w:val="008F0EA4"/>
    <w:rsid w:val="008F38F6"/>
    <w:rsid w:val="008F5213"/>
    <w:rsid w:val="009000CF"/>
    <w:rsid w:val="0090748B"/>
    <w:rsid w:val="009101A6"/>
    <w:rsid w:val="00920C9C"/>
    <w:rsid w:val="00922754"/>
    <w:rsid w:val="00925781"/>
    <w:rsid w:val="009258D0"/>
    <w:rsid w:val="00926F5D"/>
    <w:rsid w:val="0092736D"/>
    <w:rsid w:val="00932E7E"/>
    <w:rsid w:val="00935AB3"/>
    <w:rsid w:val="0094505A"/>
    <w:rsid w:val="009526DF"/>
    <w:rsid w:val="00956905"/>
    <w:rsid w:val="00963140"/>
    <w:rsid w:val="009646C4"/>
    <w:rsid w:val="00965108"/>
    <w:rsid w:val="009734CE"/>
    <w:rsid w:val="00974E78"/>
    <w:rsid w:val="00976B5A"/>
    <w:rsid w:val="0098460C"/>
    <w:rsid w:val="009919C7"/>
    <w:rsid w:val="0099386F"/>
    <w:rsid w:val="0099413E"/>
    <w:rsid w:val="00995237"/>
    <w:rsid w:val="00996E1A"/>
    <w:rsid w:val="009A3457"/>
    <w:rsid w:val="009A504F"/>
    <w:rsid w:val="009A6689"/>
    <w:rsid w:val="009B1E98"/>
    <w:rsid w:val="009B4392"/>
    <w:rsid w:val="009B7D09"/>
    <w:rsid w:val="009C5E5C"/>
    <w:rsid w:val="009D24DA"/>
    <w:rsid w:val="009D35EC"/>
    <w:rsid w:val="009D5D75"/>
    <w:rsid w:val="009E0C0B"/>
    <w:rsid w:val="009E6514"/>
    <w:rsid w:val="009F32A2"/>
    <w:rsid w:val="009F54CE"/>
    <w:rsid w:val="00A02793"/>
    <w:rsid w:val="00A05C3F"/>
    <w:rsid w:val="00A06264"/>
    <w:rsid w:val="00A1639A"/>
    <w:rsid w:val="00A215C9"/>
    <w:rsid w:val="00A42A17"/>
    <w:rsid w:val="00A443FF"/>
    <w:rsid w:val="00A46F56"/>
    <w:rsid w:val="00A5364B"/>
    <w:rsid w:val="00A615E0"/>
    <w:rsid w:val="00A65E2B"/>
    <w:rsid w:val="00A74AA0"/>
    <w:rsid w:val="00A7546D"/>
    <w:rsid w:val="00A77100"/>
    <w:rsid w:val="00A8792D"/>
    <w:rsid w:val="00A90C63"/>
    <w:rsid w:val="00AA4D97"/>
    <w:rsid w:val="00AB6E54"/>
    <w:rsid w:val="00AC41D5"/>
    <w:rsid w:val="00AD17B7"/>
    <w:rsid w:val="00AE4157"/>
    <w:rsid w:val="00AF08D2"/>
    <w:rsid w:val="00B069C5"/>
    <w:rsid w:val="00B06D1B"/>
    <w:rsid w:val="00B077D5"/>
    <w:rsid w:val="00B16A78"/>
    <w:rsid w:val="00B200E4"/>
    <w:rsid w:val="00B210A4"/>
    <w:rsid w:val="00B26FFD"/>
    <w:rsid w:val="00B35B6D"/>
    <w:rsid w:val="00B35DC6"/>
    <w:rsid w:val="00B42B8C"/>
    <w:rsid w:val="00B42F67"/>
    <w:rsid w:val="00B4491B"/>
    <w:rsid w:val="00B500A5"/>
    <w:rsid w:val="00B51699"/>
    <w:rsid w:val="00B53FAF"/>
    <w:rsid w:val="00B60999"/>
    <w:rsid w:val="00B63153"/>
    <w:rsid w:val="00B6527D"/>
    <w:rsid w:val="00B73B3A"/>
    <w:rsid w:val="00B74507"/>
    <w:rsid w:val="00B75718"/>
    <w:rsid w:val="00B75E7E"/>
    <w:rsid w:val="00B93817"/>
    <w:rsid w:val="00B9391B"/>
    <w:rsid w:val="00B9682D"/>
    <w:rsid w:val="00BA0849"/>
    <w:rsid w:val="00BA0B96"/>
    <w:rsid w:val="00BA1A9C"/>
    <w:rsid w:val="00BB06B9"/>
    <w:rsid w:val="00BB15DA"/>
    <w:rsid w:val="00BB340D"/>
    <w:rsid w:val="00BC2A3A"/>
    <w:rsid w:val="00BC3E27"/>
    <w:rsid w:val="00BC64EC"/>
    <w:rsid w:val="00BD029E"/>
    <w:rsid w:val="00BD073D"/>
    <w:rsid w:val="00BD2E2F"/>
    <w:rsid w:val="00BE4198"/>
    <w:rsid w:val="00BF3AFD"/>
    <w:rsid w:val="00BF6593"/>
    <w:rsid w:val="00C12F1D"/>
    <w:rsid w:val="00C1606C"/>
    <w:rsid w:val="00C23180"/>
    <w:rsid w:val="00C26F94"/>
    <w:rsid w:val="00C2798B"/>
    <w:rsid w:val="00C36C38"/>
    <w:rsid w:val="00C41492"/>
    <w:rsid w:val="00C502EC"/>
    <w:rsid w:val="00C50874"/>
    <w:rsid w:val="00C51419"/>
    <w:rsid w:val="00C702B5"/>
    <w:rsid w:val="00C70389"/>
    <w:rsid w:val="00C748A6"/>
    <w:rsid w:val="00C904B6"/>
    <w:rsid w:val="00C90A75"/>
    <w:rsid w:val="00C96DF4"/>
    <w:rsid w:val="00CA6A66"/>
    <w:rsid w:val="00CB6245"/>
    <w:rsid w:val="00CC1337"/>
    <w:rsid w:val="00CC2514"/>
    <w:rsid w:val="00CC48DF"/>
    <w:rsid w:val="00CD4A91"/>
    <w:rsid w:val="00CD70E7"/>
    <w:rsid w:val="00CD7363"/>
    <w:rsid w:val="00CE0964"/>
    <w:rsid w:val="00CE0C1F"/>
    <w:rsid w:val="00CE455F"/>
    <w:rsid w:val="00CF0BF9"/>
    <w:rsid w:val="00CF5957"/>
    <w:rsid w:val="00D01D40"/>
    <w:rsid w:val="00D02D0D"/>
    <w:rsid w:val="00D04BA2"/>
    <w:rsid w:val="00D077B0"/>
    <w:rsid w:val="00D11364"/>
    <w:rsid w:val="00D13F86"/>
    <w:rsid w:val="00D1670A"/>
    <w:rsid w:val="00D22D42"/>
    <w:rsid w:val="00D232F7"/>
    <w:rsid w:val="00D252B7"/>
    <w:rsid w:val="00D36D8D"/>
    <w:rsid w:val="00D45711"/>
    <w:rsid w:val="00D500FC"/>
    <w:rsid w:val="00D51597"/>
    <w:rsid w:val="00D5326E"/>
    <w:rsid w:val="00D55867"/>
    <w:rsid w:val="00D634A3"/>
    <w:rsid w:val="00D64886"/>
    <w:rsid w:val="00D7059B"/>
    <w:rsid w:val="00D713A7"/>
    <w:rsid w:val="00D72339"/>
    <w:rsid w:val="00D73E47"/>
    <w:rsid w:val="00D74ABB"/>
    <w:rsid w:val="00D77B6E"/>
    <w:rsid w:val="00D83CB0"/>
    <w:rsid w:val="00D83CB7"/>
    <w:rsid w:val="00D97FA8"/>
    <w:rsid w:val="00DA2E1E"/>
    <w:rsid w:val="00DA3063"/>
    <w:rsid w:val="00DB4363"/>
    <w:rsid w:val="00DC7B25"/>
    <w:rsid w:val="00DD422D"/>
    <w:rsid w:val="00DD5942"/>
    <w:rsid w:val="00DD6B73"/>
    <w:rsid w:val="00DE23F8"/>
    <w:rsid w:val="00DE7CC2"/>
    <w:rsid w:val="00E036F9"/>
    <w:rsid w:val="00E04521"/>
    <w:rsid w:val="00E04869"/>
    <w:rsid w:val="00E05CF6"/>
    <w:rsid w:val="00E112C9"/>
    <w:rsid w:val="00E1314C"/>
    <w:rsid w:val="00E138AB"/>
    <w:rsid w:val="00E158F7"/>
    <w:rsid w:val="00E175DE"/>
    <w:rsid w:val="00E2087E"/>
    <w:rsid w:val="00E2636D"/>
    <w:rsid w:val="00E33631"/>
    <w:rsid w:val="00E34976"/>
    <w:rsid w:val="00E36818"/>
    <w:rsid w:val="00E36AA4"/>
    <w:rsid w:val="00E47B97"/>
    <w:rsid w:val="00E5010B"/>
    <w:rsid w:val="00E5203C"/>
    <w:rsid w:val="00E634CC"/>
    <w:rsid w:val="00E64B2E"/>
    <w:rsid w:val="00E66DFA"/>
    <w:rsid w:val="00E70EF5"/>
    <w:rsid w:val="00E76BD6"/>
    <w:rsid w:val="00E82F0E"/>
    <w:rsid w:val="00E90644"/>
    <w:rsid w:val="00E95F89"/>
    <w:rsid w:val="00E96FAC"/>
    <w:rsid w:val="00EA129F"/>
    <w:rsid w:val="00EA1CAA"/>
    <w:rsid w:val="00EB7A31"/>
    <w:rsid w:val="00ED0582"/>
    <w:rsid w:val="00ED1262"/>
    <w:rsid w:val="00ED7374"/>
    <w:rsid w:val="00EE12FE"/>
    <w:rsid w:val="00EE31F6"/>
    <w:rsid w:val="00EE36DC"/>
    <w:rsid w:val="00EF47B8"/>
    <w:rsid w:val="00F044EE"/>
    <w:rsid w:val="00F2157F"/>
    <w:rsid w:val="00F25B1B"/>
    <w:rsid w:val="00F32201"/>
    <w:rsid w:val="00F3320B"/>
    <w:rsid w:val="00F40E92"/>
    <w:rsid w:val="00F41947"/>
    <w:rsid w:val="00F435AA"/>
    <w:rsid w:val="00F46168"/>
    <w:rsid w:val="00F6611E"/>
    <w:rsid w:val="00F67646"/>
    <w:rsid w:val="00F71846"/>
    <w:rsid w:val="00F76C6A"/>
    <w:rsid w:val="00F83BF1"/>
    <w:rsid w:val="00F856C4"/>
    <w:rsid w:val="00F869C3"/>
    <w:rsid w:val="00F90CB9"/>
    <w:rsid w:val="00F93E08"/>
    <w:rsid w:val="00F97373"/>
    <w:rsid w:val="00FA0254"/>
    <w:rsid w:val="00FA6854"/>
    <w:rsid w:val="00FB064F"/>
    <w:rsid w:val="00FB0F6B"/>
    <w:rsid w:val="00FB144F"/>
    <w:rsid w:val="00FB159A"/>
    <w:rsid w:val="00FB4D77"/>
    <w:rsid w:val="00FB7BBA"/>
    <w:rsid w:val="00FC497D"/>
    <w:rsid w:val="00FC7510"/>
    <w:rsid w:val="00FD076B"/>
    <w:rsid w:val="00FE1986"/>
    <w:rsid w:val="00FE43D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122740B3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Vorlagen\BFR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industrie-lager-logistik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C57C-B145-40C8-9229-7DCC2900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9</cp:revision>
  <cp:lastPrinted>2021-10-20T11:33:00Z</cp:lastPrinted>
  <dcterms:created xsi:type="dcterms:W3CDTF">2021-10-20T11:27:00Z</dcterms:created>
  <dcterms:modified xsi:type="dcterms:W3CDTF">2021-10-20T13:20:00Z</dcterms:modified>
</cp:coreProperties>
</file>