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074DE" w14:textId="77777777" w:rsidR="004526F6" w:rsidRPr="005D1DAB" w:rsidRDefault="001533C6" w:rsidP="004526F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70BCC">
        <w:rPr>
          <w:rFonts w:ascii="Arial" w:hAnsi="Arial" w:cs="Arial"/>
          <w:b/>
        </w:rPr>
        <w:t xml:space="preserve">Hamburg: Bürovermietungsmarkt </w:t>
      </w:r>
      <w:r>
        <w:rPr>
          <w:rFonts w:ascii="Arial" w:hAnsi="Arial" w:cs="Arial"/>
          <w:b/>
        </w:rPr>
        <w:t>1.</w:t>
      </w:r>
      <w:r w:rsidR="00CD4A02">
        <w:rPr>
          <w:rFonts w:ascii="Arial" w:hAnsi="Arial" w:cs="Arial"/>
          <w:b/>
        </w:rPr>
        <w:t>-3</w:t>
      </w:r>
      <w:r w:rsidR="00EB2E4B">
        <w:rPr>
          <w:rFonts w:ascii="Arial" w:hAnsi="Arial" w:cs="Arial"/>
          <w:b/>
        </w:rPr>
        <w:t>.</w:t>
      </w:r>
      <w:r w:rsidRPr="00470BCC">
        <w:rPr>
          <w:rFonts w:ascii="Arial" w:hAnsi="Arial" w:cs="Arial"/>
          <w:b/>
        </w:rPr>
        <w:t xml:space="preserve"> Quartal 20</w:t>
      </w:r>
      <w:r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br/>
      </w:r>
      <w:r w:rsidR="004526F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Preissensibilität der Nutzer hat erkennbar abgenommen</w:t>
      </w:r>
    </w:p>
    <w:p w14:paraId="18597652" w14:textId="1F9B6939" w:rsidR="001533C6" w:rsidRPr="0090748B" w:rsidRDefault="001533C6" w:rsidP="004526F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659E9B6" w14:textId="6E879B48" w:rsidR="005B4202" w:rsidRPr="000D5E8E" w:rsidRDefault="001533C6" w:rsidP="000D5E8E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 w:rsidRPr="000D5E8E">
        <w:rPr>
          <w:rFonts w:ascii="Arial" w:hAnsi="Arial" w:cs="Arial"/>
          <w:b/>
          <w:sz w:val="20"/>
          <w:szCs w:val="20"/>
        </w:rPr>
        <w:t xml:space="preserve">Hamburg, </w:t>
      </w:r>
      <w:r w:rsidR="003847B2" w:rsidRPr="000D5E8E">
        <w:rPr>
          <w:rFonts w:ascii="Arial" w:hAnsi="Arial" w:cs="Arial"/>
          <w:b/>
          <w:sz w:val="20"/>
          <w:szCs w:val="20"/>
        </w:rPr>
        <w:t>5</w:t>
      </w:r>
      <w:r w:rsidRPr="000D5E8E">
        <w:rPr>
          <w:rFonts w:ascii="Arial" w:hAnsi="Arial" w:cs="Arial"/>
          <w:b/>
          <w:sz w:val="20"/>
          <w:szCs w:val="20"/>
        </w:rPr>
        <w:t xml:space="preserve">. </w:t>
      </w:r>
      <w:r w:rsidR="004526F6" w:rsidRPr="000D5E8E">
        <w:rPr>
          <w:rFonts w:ascii="Arial" w:hAnsi="Arial" w:cs="Arial"/>
          <w:b/>
          <w:sz w:val="20"/>
          <w:szCs w:val="20"/>
        </w:rPr>
        <w:t>Oktober</w:t>
      </w:r>
      <w:r w:rsidR="00F26E7B" w:rsidRPr="000D5E8E">
        <w:rPr>
          <w:rFonts w:ascii="Arial" w:hAnsi="Arial" w:cs="Arial"/>
          <w:b/>
          <w:sz w:val="20"/>
          <w:szCs w:val="20"/>
        </w:rPr>
        <w:t xml:space="preserve"> </w:t>
      </w:r>
      <w:r w:rsidRPr="000D5E8E">
        <w:rPr>
          <w:rFonts w:ascii="Arial" w:hAnsi="Arial" w:cs="Arial"/>
          <w:b/>
          <w:sz w:val="20"/>
          <w:szCs w:val="20"/>
        </w:rPr>
        <w:t xml:space="preserve">2022 </w:t>
      </w:r>
      <w:r w:rsidRPr="000D5E8E">
        <w:rPr>
          <w:rFonts w:ascii="Arial" w:hAnsi="Arial" w:cs="Arial"/>
          <w:sz w:val="20"/>
          <w:szCs w:val="20"/>
        </w:rPr>
        <w:t>–</w:t>
      </w:r>
      <w:r w:rsidR="00853339" w:rsidRPr="000D5E8E">
        <w:rPr>
          <w:rFonts w:ascii="Arial" w:hAnsi="Arial" w:cs="Arial"/>
          <w:sz w:val="20"/>
          <w:szCs w:val="20"/>
        </w:rPr>
        <w:t xml:space="preserve"> </w:t>
      </w:r>
      <w:r w:rsidR="00EE67DC" w:rsidRPr="000D5E8E">
        <w:rPr>
          <w:rFonts w:ascii="Arial" w:hAnsi="Arial" w:cs="Arial"/>
          <w:sz w:val="20"/>
          <w:szCs w:val="20"/>
        </w:rPr>
        <w:t>Die hohe</w:t>
      </w:r>
      <w:r w:rsidR="004526F6" w:rsidRPr="000D5E8E">
        <w:rPr>
          <w:rFonts w:ascii="Arial" w:hAnsi="Arial" w:cs="Arial"/>
          <w:sz w:val="20"/>
          <w:szCs w:val="20"/>
        </w:rPr>
        <w:t xml:space="preserve"> Vermietungs</w:t>
      </w:r>
      <w:r w:rsidR="00EE67DC" w:rsidRPr="000D5E8E">
        <w:rPr>
          <w:rFonts w:ascii="Arial" w:hAnsi="Arial" w:cs="Arial"/>
          <w:sz w:val="20"/>
          <w:szCs w:val="20"/>
        </w:rPr>
        <w:t>dynamik</w:t>
      </w:r>
      <w:r w:rsidR="004526F6" w:rsidRPr="000D5E8E">
        <w:rPr>
          <w:rFonts w:ascii="Arial" w:hAnsi="Arial" w:cs="Arial"/>
          <w:sz w:val="20"/>
          <w:szCs w:val="20"/>
        </w:rPr>
        <w:t xml:space="preserve"> </w:t>
      </w:r>
      <w:r w:rsidR="00EE67DC" w:rsidRPr="000D5E8E">
        <w:rPr>
          <w:rFonts w:ascii="Arial" w:hAnsi="Arial" w:cs="Arial"/>
          <w:sz w:val="20"/>
          <w:szCs w:val="20"/>
        </w:rPr>
        <w:t xml:space="preserve">bescherte dem </w:t>
      </w:r>
      <w:r w:rsidR="005E4D11" w:rsidRPr="000D5E8E">
        <w:rPr>
          <w:rFonts w:ascii="Arial" w:hAnsi="Arial" w:cs="Arial"/>
          <w:sz w:val="20"/>
          <w:szCs w:val="20"/>
        </w:rPr>
        <w:t>Büro</w:t>
      </w:r>
      <w:r w:rsidR="005E4D11">
        <w:rPr>
          <w:rFonts w:ascii="Arial" w:hAnsi="Arial" w:cs="Arial"/>
          <w:sz w:val="20"/>
          <w:szCs w:val="20"/>
        </w:rPr>
        <w:t>markt</w:t>
      </w:r>
      <w:r w:rsidR="005E4D11" w:rsidRPr="000D5E8E">
        <w:rPr>
          <w:rFonts w:ascii="Arial" w:hAnsi="Arial" w:cs="Arial"/>
          <w:sz w:val="20"/>
          <w:szCs w:val="20"/>
        </w:rPr>
        <w:t xml:space="preserve"> </w:t>
      </w:r>
      <w:r w:rsidR="00EE67DC" w:rsidRPr="000D5E8E">
        <w:rPr>
          <w:rFonts w:ascii="Arial" w:hAnsi="Arial" w:cs="Arial"/>
          <w:sz w:val="20"/>
          <w:szCs w:val="20"/>
        </w:rPr>
        <w:t xml:space="preserve">Hamburg bis Ende September ein </w:t>
      </w:r>
      <w:r w:rsidR="00041858">
        <w:rPr>
          <w:rFonts w:ascii="Arial" w:hAnsi="Arial" w:cs="Arial"/>
          <w:sz w:val="20"/>
          <w:szCs w:val="20"/>
        </w:rPr>
        <w:t>Umsatzp</w:t>
      </w:r>
      <w:r w:rsidR="00041858" w:rsidRPr="000D5E8E">
        <w:rPr>
          <w:rFonts w:ascii="Arial" w:hAnsi="Arial" w:cs="Arial"/>
          <w:sz w:val="20"/>
          <w:szCs w:val="20"/>
        </w:rPr>
        <w:t xml:space="preserve">lus </w:t>
      </w:r>
      <w:r w:rsidR="00EE67DC" w:rsidRPr="000D5E8E">
        <w:rPr>
          <w:rFonts w:ascii="Arial" w:hAnsi="Arial" w:cs="Arial"/>
          <w:sz w:val="20"/>
          <w:szCs w:val="20"/>
        </w:rPr>
        <w:t>von</w:t>
      </w:r>
      <w:r w:rsidR="004526F6" w:rsidRPr="000D5E8E">
        <w:rPr>
          <w:rFonts w:ascii="Arial" w:hAnsi="Arial" w:cs="Arial"/>
          <w:sz w:val="20"/>
          <w:szCs w:val="20"/>
        </w:rPr>
        <w:t xml:space="preserve"> knapp 30</w:t>
      </w:r>
      <w:r w:rsidR="00EE67DC" w:rsidRPr="000D5E8E">
        <w:rPr>
          <w:rFonts w:ascii="Arial" w:hAnsi="Arial" w:cs="Arial"/>
          <w:sz w:val="20"/>
          <w:szCs w:val="20"/>
        </w:rPr>
        <w:t xml:space="preserve"> </w:t>
      </w:r>
      <w:r w:rsidR="004526F6" w:rsidRPr="000D5E8E">
        <w:rPr>
          <w:rFonts w:ascii="Arial" w:hAnsi="Arial" w:cs="Arial"/>
          <w:sz w:val="20"/>
          <w:szCs w:val="20"/>
        </w:rPr>
        <w:t>% gegenüber dem Vorjahreszeitraum.</w:t>
      </w:r>
      <w:r w:rsidR="00EE67DC" w:rsidRPr="000D5E8E">
        <w:rPr>
          <w:rFonts w:ascii="Arial" w:hAnsi="Arial" w:cs="Arial"/>
          <w:sz w:val="20"/>
          <w:szCs w:val="20"/>
        </w:rPr>
        <w:t xml:space="preserve"> </w:t>
      </w:r>
      <w:r w:rsidR="00041858">
        <w:rPr>
          <w:rFonts w:ascii="Arial" w:hAnsi="Arial" w:cs="Arial"/>
          <w:sz w:val="20"/>
          <w:szCs w:val="20"/>
        </w:rPr>
        <w:t xml:space="preserve">Allein </w:t>
      </w:r>
      <w:r w:rsidR="00EE67DC" w:rsidRPr="000D5E8E">
        <w:rPr>
          <w:rFonts w:ascii="Arial" w:hAnsi="Arial" w:cs="Arial"/>
          <w:sz w:val="20"/>
          <w:szCs w:val="20"/>
        </w:rPr>
        <w:t xml:space="preserve">die </w:t>
      </w:r>
      <w:r w:rsidR="0058279B">
        <w:rPr>
          <w:rFonts w:ascii="Arial" w:hAnsi="Arial" w:cs="Arial"/>
          <w:sz w:val="20"/>
          <w:szCs w:val="20"/>
        </w:rPr>
        <w:t>zwei</w:t>
      </w:r>
      <w:r w:rsidR="00EE67DC" w:rsidRPr="000D5E8E">
        <w:rPr>
          <w:rFonts w:ascii="Arial" w:hAnsi="Arial" w:cs="Arial"/>
          <w:sz w:val="20"/>
          <w:szCs w:val="20"/>
        </w:rPr>
        <w:t xml:space="preserve"> größten </w:t>
      </w:r>
      <w:r w:rsidR="00EE5F5B" w:rsidRPr="000D5E8E">
        <w:rPr>
          <w:rFonts w:ascii="Arial" w:hAnsi="Arial" w:cs="Arial"/>
          <w:sz w:val="20"/>
          <w:szCs w:val="20"/>
        </w:rPr>
        <w:t>Abschlüsse</w:t>
      </w:r>
      <w:r w:rsidR="004526F6" w:rsidRPr="000D5E8E">
        <w:rPr>
          <w:rFonts w:ascii="Arial" w:hAnsi="Arial" w:cs="Arial"/>
          <w:sz w:val="20"/>
          <w:szCs w:val="20"/>
        </w:rPr>
        <w:t xml:space="preserve"> </w:t>
      </w:r>
      <w:r w:rsidR="00EE67DC" w:rsidRPr="000D5E8E">
        <w:rPr>
          <w:rFonts w:ascii="Arial" w:hAnsi="Arial" w:cs="Arial"/>
          <w:sz w:val="20"/>
          <w:szCs w:val="20"/>
        </w:rPr>
        <w:t xml:space="preserve">des Jahres von </w:t>
      </w:r>
      <w:proofErr w:type="spellStart"/>
      <w:r w:rsidR="004526F6" w:rsidRPr="000D5E8E">
        <w:rPr>
          <w:rFonts w:ascii="Arial" w:hAnsi="Arial" w:cs="Arial"/>
          <w:sz w:val="20"/>
          <w:szCs w:val="20"/>
        </w:rPr>
        <w:t>Dataport</w:t>
      </w:r>
      <w:proofErr w:type="spellEnd"/>
      <w:r w:rsidR="004526F6" w:rsidRPr="000D5E8E">
        <w:rPr>
          <w:rFonts w:ascii="Arial" w:hAnsi="Arial" w:cs="Arial"/>
          <w:sz w:val="20"/>
          <w:szCs w:val="20"/>
        </w:rPr>
        <w:t xml:space="preserve"> und </w:t>
      </w:r>
      <w:r w:rsidR="00EE67DC" w:rsidRPr="000D5E8E">
        <w:rPr>
          <w:rFonts w:ascii="Arial" w:hAnsi="Arial" w:cs="Arial"/>
          <w:sz w:val="20"/>
          <w:szCs w:val="20"/>
        </w:rPr>
        <w:t xml:space="preserve">der </w:t>
      </w:r>
      <w:r w:rsidR="004526F6" w:rsidRPr="000D5E8E">
        <w:rPr>
          <w:rFonts w:ascii="Arial" w:hAnsi="Arial" w:cs="Arial"/>
          <w:sz w:val="20"/>
          <w:szCs w:val="20"/>
        </w:rPr>
        <w:t xml:space="preserve">Haspa </w:t>
      </w:r>
      <w:r w:rsidR="00041858">
        <w:rPr>
          <w:rFonts w:ascii="Arial" w:hAnsi="Arial" w:cs="Arial"/>
          <w:sz w:val="20"/>
          <w:szCs w:val="20"/>
        </w:rPr>
        <w:t>hatten ein</w:t>
      </w:r>
      <w:r w:rsidR="00EE67DC" w:rsidRPr="000D5E8E">
        <w:rPr>
          <w:rFonts w:ascii="Arial" w:hAnsi="Arial" w:cs="Arial"/>
          <w:sz w:val="20"/>
          <w:szCs w:val="20"/>
        </w:rPr>
        <w:t xml:space="preserve"> Gesamtvolumen</w:t>
      </w:r>
      <w:r w:rsidR="004526F6" w:rsidRPr="000D5E8E">
        <w:rPr>
          <w:rFonts w:ascii="Arial" w:hAnsi="Arial" w:cs="Arial"/>
          <w:sz w:val="20"/>
          <w:szCs w:val="20"/>
        </w:rPr>
        <w:t xml:space="preserve"> </w:t>
      </w:r>
      <w:r w:rsidR="00041858">
        <w:rPr>
          <w:rFonts w:ascii="Arial" w:hAnsi="Arial" w:cs="Arial"/>
          <w:sz w:val="20"/>
          <w:szCs w:val="20"/>
        </w:rPr>
        <w:t xml:space="preserve">von </w:t>
      </w:r>
      <w:r w:rsidR="004526F6" w:rsidRPr="000D5E8E">
        <w:rPr>
          <w:rFonts w:ascii="Arial" w:hAnsi="Arial" w:cs="Arial"/>
          <w:sz w:val="20"/>
          <w:szCs w:val="20"/>
        </w:rPr>
        <w:t>über 70.000 m²</w:t>
      </w:r>
      <w:r w:rsidR="00EE67DC" w:rsidRPr="000D5E8E">
        <w:rPr>
          <w:rFonts w:ascii="Arial" w:hAnsi="Arial" w:cs="Arial"/>
          <w:sz w:val="20"/>
          <w:szCs w:val="20"/>
        </w:rPr>
        <w:t>.</w:t>
      </w:r>
      <w:r w:rsidR="004526F6" w:rsidRPr="000D5E8E">
        <w:rPr>
          <w:rFonts w:ascii="Arial" w:hAnsi="Arial" w:cs="Arial"/>
          <w:sz w:val="20"/>
          <w:szCs w:val="20"/>
        </w:rPr>
        <w:t xml:space="preserve"> Nach aktuellen Berechnungen von </w:t>
      </w:r>
      <w:r w:rsidR="00EE67DC" w:rsidRPr="000D5E8E">
        <w:rPr>
          <w:rFonts w:ascii="Arial" w:hAnsi="Arial" w:cs="Arial"/>
          <w:sz w:val="20"/>
          <w:szCs w:val="20"/>
        </w:rPr>
        <w:t xml:space="preserve">Grossmann &amp; Berger, Mitglied von German Property Partners (GPP), belief sich der bisherige Flächenumsatz auf </w:t>
      </w:r>
      <w:r w:rsidR="004526F6" w:rsidRPr="000D5E8E">
        <w:rPr>
          <w:rFonts w:ascii="Arial" w:hAnsi="Arial" w:cs="Arial"/>
          <w:sz w:val="20"/>
          <w:szCs w:val="20"/>
        </w:rPr>
        <w:t>465.000 m²</w:t>
      </w:r>
      <w:r w:rsidR="00EE67DC" w:rsidRPr="000D5E8E">
        <w:rPr>
          <w:rFonts w:ascii="Arial" w:hAnsi="Arial" w:cs="Arial"/>
          <w:sz w:val="20"/>
          <w:szCs w:val="20"/>
        </w:rPr>
        <w:t xml:space="preserve">. </w:t>
      </w:r>
      <w:r w:rsidR="00A14C92" w:rsidRPr="000D5E8E">
        <w:rPr>
          <w:rFonts w:ascii="Arial" w:hAnsi="Arial" w:cs="Arial"/>
          <w:sz w:val="20"/>
          <w:szCs w:val="20"/>
        </w:rPr>
        <w:t xml:space="preserve">Damit </w:t>
      </w:r>
      <w:r w:rsidR="00041858">
        <w:rPr>
          <w:rFonts w:ascii="Arial" w:hAnsi="Arial" w:cs="Arial"/>
          <w:sz w:val="20"/>
          <w:szCs w:val="20"/>
        </w:rPr>
        <w:t>erreichte</w:t>
      </w:r>
      <w:r w:rsidR="00A14C92" w:rsidRPr="000D5E8E">
        <w:rPr>
          <w:rFonts w:ascii="Arial" w:hAnsi="Arial" w:cs="Arial"/>
          <w:sz w:val="20"/>
          <w:szCs w:val="20"/>
        </w:rPr>
        <w:t xml:space="preserve"> der Büromarkt Hamburg</w:t>
      </w:r>
      <w:r w:rsidR="000A2529">
        <w:rPr>
          <w:rFonts w:ascii="Arial" w:hAnsi="Arial" w:cs="Arial"/>
          <w:sz w:val="20"/>
          <w:szCs w:val="20"/>
        </w:rPr>
        <w:t xml:space="preserve"> </w:t>
      </w:r>
      <w:r w:rsidR="000A2529" w:rsidRPr="000D5E8E">
        <w:rPr>
          <w:rFonts w:ascii="Arial" w:hAnsi="Arial" w:cs="Arial"/>
          <w:sz w:val="20"/>
          <w:szCs w:val="20"/>
        </w:rPr>
        <w:t xml:space="preserve">am Ende </w:t>
      </w:r>
      <w:r w:rsidR="00B11C66">
        <w:rPr>
          <w:rFonts w:ascii="Arial" w:hAnsi="Arial" w:cs="Arial"/>
          <w:sz w:val="20"/>
          <w:szCs w:val="20"/>
        </w:rPr>
        <w:t>des</w:t>
      </w:r>
      <w:r w:rsidR="000A2529" w:rsidRPr="000D5E8E">
        <w:rPr>
          <w:rFonts w:ascii="Arial" w:hAnsi="Arial" w:cs="Arial"/>
          <w:sz w:val="20"/>
          <w:szCs w:val="20"/>
        </w:rPr>
        <w:t xml:space="preserve"> 3. Quartals</w:t>
      </w:r>
      <w:r w:rsidR="00A14C92" w:rsidRPr="000D5E8E">
        <w:rPr>
          <w:rFonts w:ascii="Arial" w:hAnsi="Arial" w:cs="Arial"/>
          <w:sz w:val="20"/>
          <w:szCs w:val="20"/>
        </w:rPr>
        <w:t xml:space="preserve"> </w:t>
      </w:r>
      <w:r w:rsidR="000A2529">
        <w:rPr>
          <w:rFonts w:ascii="Arial" w:hAnsi="Arial" w:cs="Arial"/>
          <w:sz w:val="20"/>
          <w:szCs w:val="20"/>
        </w:rPr>
        <w:t>das Niveau des Rekordjahrs</w:t>
      </w:r>
      <w:r w:rsidR="0058279B">
        <w:rPr>
          <w:rFonts w:ascii="Arial" w:hAnsi="Arial" w:cs="Arial"/>
          <w:sz w:val="20"/>
          <w:szCs w:val="20"/>
        </w:rPr>
        <w:t xml:space="preserve"> </w:t>
      </w:r>
      <w:r w:rsidR="00A14C92" w:rsidRPr="000D5E8E">
        <w:rPr>
          <w:rFonts w:ascii="Arial" w:hAnsi="Arial" w:cs="Arial"/>
          <w:sz w:val="20"/>
          <w:szCs w:val="20"/>
        </w:rPr>
        <w:t xml:space="preserve">2017. </w:t>
      </w:r>
      <w:r w:rsidR="004526F6" w:rsidRPr="000D5E8E">
        <w:rPr>
          <w:rFonts w:ascii="Arial" w:hAnsi="Arial" w:cs="Arial"/>
          <w:sz w:val="20"/>
          <w:szCs w:val="20"/>
        </w:rPr>
        <w:t>Das hohe Vermietungsvolumen von Flächen in Neubauqualität (+54</w:t>
      </w:r>
      <w:r w:rsidR="004B0343" w:rsidRPr="000D5E8E">
        <w:rPr>
          <w:rFonts w:ascii="Arial" w:hAnsi="Arial" w:cs="Arial"/>
          <w:sz w:val="20"/>
          <w:szCs w:val="20"/>
        </w:rPr>
        <w:t xml:space="preserve"> </w:t>
      </w:r>
      <w:r w:rsidR="004526F6" w:rsidRPr="000D5E8E">
        <w:rPr>
          <w:rFonts w:ascii="Arial" w:hAnsi="Arial" w:cs="Arial"/>
          <w:sz w:val="20"/>
          <w:szCs w:val="20"/>
        </w:rPr>
        <w:t>% gegenüber dem Vorjahr</w:t>
      </w:r>
      <w:r w:rsidR="004B0343" w:rsidRPr="000D5E8E">
        <w:rPr>
          <w:rFonts w:ascii="Arial" w:hAnsi="Arial" w:cs="Arial"/>
          <w:sz w:val="20"/>
          <w:szCs w:val="20"/>
        </w:rPr>
        <w:t>eszeitraum</w:t>
      </w:r>
      <w:r w:rsidR="004526F6" w:rsidRPr="000D5E8E">
        <w:rPr>
          <w:rFonts w:ascii="Arial" w:hAnsi="Arial" w:cs="Arial"/>
          <w:sz w:val="20"/>
          <w:szCs w:val="20"/>
        </w:rPr>
        <w:t xml:space="preserve">) führte zu </w:t>
      </w:r>
      <w:r w:rsidR="000D5E8E" w:rsidRPr="000D5E8E">
        <w:rPr>
          <w:rFonts w:ascii="Arial" w:hAnsi="Arial" w:cs="Arial"/>
          <w:sz w:val="20"/>
          <w:szCs w:val="20"/>
        </w:rPr>
        <w:t>neuen Höchstwerten bei</w:t>
      </w:r>
      <w:r w:rsidR="004526F6" w:rsidRPr="000D5E8E">
        <w:rPr>
          <w:rFonts w:ascii="Arial" w:hAnsi="Arial" w:cs="Arial"/>
          <w:sz w:val="20"/>
          <w:szCs w:val="20"/>
        </w:rPr>
        <w:t xml:space="preserve"> Spitzen- </w:t>
      </w:r>
      <w:r w:rsidR="00A04A9E" w:rsidRPr="000D5E8E">
        <w:rPr>
          <w:rFonts w:ascii="Arial" w:hAnsi="Arial" w:cs="Arial"/>
          <w:sz w:val="20"/>
          <w:szCs w:val="20"/>
        </w:rPr>
        <w:t>und Durchschnittsmiete</w:t>
      </w:r>
      <w:r w:rsidR="004B0343" w:rsidRPr="000D5E8E">
        <w:rPr>
          <w:rFonts w:ascii="Arial" w:hAnsi="Arial" w:cs="Arial"/>
          <w:sz w:val="20"/>
          <w:szCs w:val="20"/>
        </w:rPr>
        <w:t xml:space="preserve">. </w:t>
      </w:r>
      <w:r w:rsidR="004526F6" w:rsidRPr="000D5E8E">
        <w:rPr>
          <w:rFonts w:ascii="Arial" w:hAnsi="Arial" w:cs="Arial"/>
          <w:i/>
          <w:sz w:val="20"/>
          <w:szCs w:val="20"/>
        </w:rPr>
        <w:t>„</w:t>
      </w:r>
      <w:r w:rsidR="000D5E8E" w:rsidRPr="000D5E8E">
        <w:rPr>
          <w:rFonts w:ascii="Arial" w:hAnsi="Arial" w:cs="Arial"/>
          <w:i/>
          <w:sz w:val="20"/>
          <w:szCs w:val="20"/>
        </w:rPr>
        <w:t>Im Konkurrenzkampf um qualifizierte Mitarbeiter hat d</w:t>
      </w:r>
      <w:r w:rsidR="004526F6" w:rsidRPr="000D5E8E">
        <w:rPr>
          <w:rFonts w:ascii="Arial" w:hAnsi="Arial" w:cs="Arial"/>
          <w:i/>
          <w:sz w:val="20"/>
          <w:szCs w:val="20"/>
        </w:rPr>
        <w:t xml:space="preserve">ie Preissensibilität </w:t>
      </w:r>
      <w:r w:rsidR="00C1086F">
        <w:rPr>
          <w:rFonts w:ascii="Arial" w:hAnsi="Arial" w:cs="Arial"/>
          <w:i/>
          <w:sz w:val="20"/>
          <w:szCs w:val="20"/>
        </w:rPr>
        <w:t>deutlich</w:t>
      </w:r>
      <w:r w:rsidR="004526F6" w:rsidRPr="000D5E8E">
        <w:rPr>
          <w:rFonts w:ascii="Arial" w:hAnsi="Arial" w:cs="Arial"/>
          <w:i/>
          <w:sz w:val="20"/>
          <w:szCs w:val="20"/>
        </w:rPr>
        <w:t xml:space="preserve"> abgenommen</w:t>
      </w:r>
      <w:r w:rsidR="005E4D11">
        <w:rPr>
          <w:rFonts w:ascii="Arial" w:hAnsi="Arial" w:cs="Arial"/>
          <w:i/>
          <w:sz w:val="20"/>
          <w:szCs w:val="20"/>
        </w:rPr>
        <w:t>, Firmen suchen und mieten</w:t>
      </w:r>
      <w:r w:rsidR="000A2529">
        <w:rPr>
          <w:rFonts w:ascii="Arial" w:hAnsi="Arial" w:cs="Arial"/>
          <w:i/>
          <w:sz w:val="20"/>
          <w:szCs w:val="20"/>
        </w:rPr>
        <w:t xml:space="preserve"> verstärkt hochwertige Büroflächen in den zentralen</w:t>
      </w:r>
      <w:r w:rsidR="005E4D11">
        <w:rPr>
          <w:rFonts w:ascii="Arial" w:hAnsi="Arial" w:cs="Arial"/>
          <w:i/>
          <w:sz w:val="20"/>
          <w:szCs w:val="20"/>
        </w:rPr>
        <w:t xml:space="preserve"> Lagen</w:t>
      </w:r>
      <w:r w:rsidR="004526F6" w:rsidRPr="000D5E8E">
        <w:rPr>
          <w:rFonts w:ascii="Arial" w:hAnsi="Arial" w:cs="Arial"/>
          <w:i/>
          <w:sz w:val="20"/>
          <w:szCs w:val="20"/>
        </w:rPr>
        <w:t>“</w:t>
      </w:r>
      <w:r w:rsidR="004B0343" w:rsidRPr="000D5E8E">
        <w:rPr>
          <w:rFonts w:ascii="Arial" w:hAnsi="Arial" w:cs="Arial"/>
          <w:i/>
          <w:sz w:val="20"/>
          <w:szCs w:val="20"/>
        </w:rPr>
        <w:t>,</w:t>
      </w:r>
      <w:r w:rsidR="004B0343" w:rsidRPr="000D5E8E">
        <w:rPr>
          <w:rFonts w:ascii="Arial" w:hAnsi="Arial" w:cs="Arial"/>
          <w:sz w:val="20"/>
          <w:szCs w:val="20"/>
        </w:rPr>
        <w:t xml:space="preserve"> erläutert Sprecher der </w:t>
      </w:r>
      <w:r w:rsidR="0058279B">
        <w:rPr>
          <w:rFonts w:ascii="Arial" w:hAnsi="Arial" w:cs="Arial"/>
          <w:sz w:val="20"/>
          <w:szCs w:val="20"/>
        </w:rPr>
        <w:t>G&amp;B-</w:t>
      </w:r>
      <w:r w:rsidR="004B0343" w:rsidRPr="000D5E8E">
        <w:rPr>
          <w:rFonts w:ascii="Arial" w:hAnsi="Arial" w:cs="Arial"/>
          <w:sz w:val="20"/>
          <w:szCs w:val="20"/>
        </w:rPr>
        <w:t xml:space="preserve">Geschäftsführung </w:t>
      </w:r>
      <w:r w:rsidR="004B0343" w:rsidRPr="000D5E8E">
        <w:rPr>
          <w:rFonts w:ascii="Arial" w:hAnsi="Arial" w:cs="Arial"/>
          <w:b/>
          <w:sz w:val="20"/>
          <w:szCs w:val="20"/>
        </w:rPr>
        <w:t>Andreas Rehberg</w:t>
      </w:r>
      <w:r w:rsidR="004B0343" w:rsidRPr="000D5E8E">
        <w:rPr>
          <w:rFonts w:ascii="Arial" w:hAnsi="Arial" w:cs="Arial"/>
          <w:sz w:val="20"/>
          <w:szCs w:val="20"/>
        </w:rPr>
        <w:t>.</w:t>
      </w:r>
      <w:r w:rsidR="000D5E8E" w:rsidRPr="000D5E8E">
        <w:rPr>
          <w:rFonts w:ascii="Arial" w:hAnsi="Arial" w:cs="Arial"/>
          <w:sz w:val="20"/>
          <w:szCs w:val="20"/>
        </w:rPr>
        <w:t xml:space="preserve"> </w:t>
      </w:r>
      <w:r w:rsidR="000D5E8E" w:rsidRPr="00C21CCF">
        <w:rPr>
          <w:rFonts w:ascii="Arial" w:hAnsi="Arial" w:cs="Arial"/>
          <w:i/>
          <w:sz w:val="20"/>
          <w:szCs w:val="20"/>
        </w:rPr>
        <w:t>„</w:t>
      </w:r>
      <w:r w:rsidR="00C21CCF" w:rsidRPr="00C21CCF">
        <w:rPr>
          <w:rFonts w:ascii="Arial" w:hAnsi="Arial" w:cs="Arial"/>
          <w:i/>
          <w:sz w:val="20"/>
          <w:szCs w:val="20"/>
        </w:rPr>
        <w:t>Momentan</w:t>
      </w:r>
      <w:r w:rsidR="000D5E8E" w:rsidRPr="00C21CCF">
        <w:rPr>
          <w:rFonts w:ascii="Arial" w:hAnsi="Arial" w:cs="Arial"/>
          <w:i/>
          <w:sz w:val="20"/>
          <w:szCs w:val="20"/>
        </w:rPr>
        <w:t xml:space="preserve"> sind einige größere Nutzer auf Flächensuche, die </w:t>
      </w:r>
      <w:r w:rsidR="00C21CCF" w:rsidRPr="00C21CCF">
        <w:rPr>
          <w:rFonts w:ascii="Arial" w:hAnsi="Arial" w:cs="Arial"/>
          <w:i/>
          <w:sz w:val="20"/>
          <w:szCs w:val="20"/>
        </w:rPr>
        <w:t>noch 2022</w:t>
      </w:r>
      <w:r w:rsidR="000D5E8E" w:rsidRPr="00C21CCF">
        <w:rPr>
          <w:rFonts w:ascii="Arial" w:hAnsi="Arial" w:cs="Arial"/>
          <w:i/>
          <w:sz w:val="20"/>
          <w:szCs w:val="20"/>
        </w:rPr>
        <w:t xml:space="preserve"> unterschreiben könnten. </w:t>
      </w:r>
      <w:r w:rsidR="009E7674">
        <w:rPr>
          <w:rFonts w:ascii="Arial" w:hAnsi="Arial" w:cs="Arial"/>
          <w:i/>
          <w:sz w:val="20"/>
          <w:szCs w:val="20"/>
        </w:rPr>
        <w:t xml:space="preserve">Deshalb erscheint ein Jahresflächenumsatz von 600.000 </w:t>
      </w:r>
      <w:r w:rsidR="0058279B">
        <w:rPr>
          <w:rFonts w:ascii="Arial" w:hAnsi="Arial" w:cs="Arial"/>
          <w:i/>
          <w:sz w:val="20"/>
          <w:szCs w:val="20"/>
        </w:rPr>
        <w:t>Quadratmetern</w:t>
      </w:r>
      <w:r w:rsidR="009E7674">
        <w:rPr>
          <w:rFonts w:ascii="Arial" w:hAnsi="Arial" w:cs="Arial"/>
          <w:i/>
          <w:sz w:val="20"/>
          <w:szCs w:val="20"/>
        </w:rPr>
        <w:t xml:space="preserve"> realistisch. </w:t>
      </w:r>
      <w:r w:rsidR="000D5E8E" w:rsidRPr="00C21CCF">
        <w:rPr>
          <w:rFonts w:ascii="Arial" w:hAnsi="Arial" w:cs="Arial"/>
          <w:i/>
          <w:sz w:val="20"/>
          <w:szCs w:val="20"/>
        </w:rPr>
        <w:t xml:space="preserve">Außerdem </w:t>
      </w:r>
      <w:r w:rsidR="009E7674">
        <w:rPr>
          <w:rFonts w:ascii="Arial" w:hAnsi="Arial" w:cs="Arial"/>
          <w:i/>
          <w:sz w:val="20"/>
          <w:szCs w:val="20"/>
        </w:rPr>
        <w:t xml:space="preserve">nehmen </w:t>
      </w:r>
      <w:r w:rsidR="0058279B">
        <w:rPr>
          <w:rFonts w:ascii="Arial" w:hAnsi="Arial" w:cs="Arial"/>
          <w:i/>
          <w:sz w:val="20"/>
          <w:szCs w:val="20"/>
        </w:rPr>
        <w:t>zunehmend</w:t>
      </w:r>
      <w:r w:rsidR="000D5E8E" w:rsidRPr="00C21CCF">
        <w:rPr>
          <w:rFonts w:ascii="Arial" w:hAnsi="Arial" w:cs="Arial"/>
          <w:i/>
          <w:sz w:val="20"/>
          <w:szCs w:val="20"/>
        </w:rPr>
        <w:t xml:space="preserve"> mittelständische Unternehmen ihre Suche in Angriff. </w:t>
      </w:r>
      <w:r w:rsidR="00C1086F">
        <w:rPr>
          <w:rFonts w:ascii="Arial" w:hAnsi="Arial" w:cs="Arial"/>
          <w:i/>
          <w:sz w:val="20"/>
          <w:szCs w:val="20"/>
        </w:rPr>
        <w:t>Daher</w:t>
      </w:r>
      <w:r w:rsidR="000D5E8E" w:rsidRPr="00C21CCF">
        <w:rPr>
          <w:rFonts w:ascii="Arial" w:hAnsi="Arial" w:cs="Arial"/>
          <w:i/>
          <w:sz w:val="20"/>
          <w:szCs w:val="20"/>
        </w:rPr>
        <w:t xml:space="preserve"> </w:t>
      </w:r>
      <w:r w:rsidR="009E7674">
        <w:rPr>
          <w:rFonts w:ascii="Arial" w:hAnsi="Arial" w:cs="Arial"/>
          <w:i/>
          <w:sz w:val="20"/>
          <w:szCs w:val="20"/>
        </w:rPr>
        <w:t xml:space="preserve">dürfte die </w:t>
      </w:r>
      <w:r w:rsidR="000D5E8E" w:rsidRPr="00C21CCF">
        <w:rPr>
          <w:rFonts w:ascii="Arial" w:hAnsi="Arial" w:cs="Arial"/>
          <w:i/>
          <w:sz w:val="20"/>
          <w:szCs w:val="20"/>
        </w:rPr>
        <w:t xml:space="preserve">Dynamik trotz der vielfältigen Risikofaktoren für die Wirtschaft über das Jahresende hinaus </w:t>
      </w:r>
      <w:r w:rsidR="00B455AF">
        <w:rPr>
          <w:rFonts w:ascii="Arial" w:hAnsi="Arial" w:cs="Arial"/>
          <w:i/>
          <w:sz w:val="20"/>
          <w:szCs w:val="20"/>
        </w:rPr>
        <w:t>Bestand haben</w:t>
      </w:r>
      <w:r w:rsidR="000D5E8E" w:rsidRPr="00C21CCF">
        <w:rPr>
          <w:rFonts w:ascii="Arial" w:hAnsi="Arial" w:cs="Arial"/>
          <w:i/>
          <w:sz w:val="20"/>
          <w:szCs w:val="20"/>
        </w:rPr>
        <w:t>.“</w:t>
      </w:r>
      <w:r w:rsidR="000D5E8E" w:rsidRPr="000D5E8E">
        <w:rPr>
          <w:rFonts w:ascii="Arial" w:hAnsi="Arial" w:cs="Arial"/>
          <w:sz w:val="20"/>
          <w:szCs w:val="20"/>
        </w:rPr>
        <w:t xml:space="preserve"> </w:t>
      </w:r>
    </w:p>
    <w:p w14:paraId="0E0F7BA0" w14:textId="77777777" w:rsidR="00475BA6" w:rsidRPr="00475BA6" w:rsidRDefault="00475BA6" w:rsidP="000D5E8E">
      <w:pPr>
        <w:pStyle w:val="FliesstextNL"/>
        <w:spacing w:line="360" w:lineRule="auto"/>
        <w:jc w:val="left"/>
        <w:rPr>
          <w:rFonts w:ascii="Arial" w:hAnsi="Arial" w:cs="Arial"/>
          <w:b/>
          <w:color w:val="auto"/>
          <w:sz w:val="20"/>
          <w:szCs w:val="20"/>
        </w:rPr>
      </w:pPr>
    </w:p>
    <w:p w14:paraId="7491727E" w14:textId="4ACA1A25" w:rsidR="001533C6" w:rsidRDefault="001533C6" w:rsidP="001533C6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6F5757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0991B84F" w14:textId="121E2EA4" w:rsidR="00A5264B" w:rsidRPr="005E4D11" w:rsidRDefault="00A829BA" w:rsidP="003C2D45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E4D11">
        <w:rPr>
          <w:rFonts w:ascii="Arial" w:hAnsi="Arial" w:cs="Arial"/>
          <w:sz w:val="20"/>
          <w:szCs w:val="20"/>
          <w:u w:val="single"/>
        </w:rPr>
        <w:t>Großabschlüsse</w:t>
      </w:r>
      <w:r w:rsidRPr="005E4D11">
        <w:rPr>
          <w:rFonts w:ascii="Arial" w:hAnsi="Arial" w:cs="Arial"/>
          <w:sz w:val="20"/>
          <w:szCs w:val="20"/>
        </w:rPr>
        <w:t xml:space="preserve"> über 5.000 m² </w:t>
      </w:r>
      <w:r w:rsidR="00C57585" w:rsidRPr="005E4D11">
        <w:rPr>
          <w:rFonts w:ascii="Arial" w:hAnsi="Arial" w:cs="Arial"/>
          <w:sz w:val="20"/>
          <w:szCs w:val="20"/>
        </w:rPr>
        <w:t>bestimmten</w:t>
      </w:r>
      <w:r w:rsidRPr="005E4D11">
        <w:rPr>
          <w:rFonts w:ascii="Arial" w:hAnsi="Arial" w:cs="Arial"/>
          <w:sz w:val="20"/>
          <w:szCs w:val="20"/>
        </w:rPr>
        <w:t xml:space="preserve"> das </w:t>
      </w:r>
      <w:r w:rsidR="000A1B7A" w:rsidRPr="005E4D11">
        <w:rPr>
          <w:rFonts w:ascii="Arial" w:hAnsi="Arial" w:cs="Arial"/>
          <w:sz w:val="20"/>
          <w:szCs w:val="20"/>
        </w:rPr>
        <w:t xml:space="preserve">bisherige </w:t>
      </w:r>
      <w:r w:rsidRPr="005E4D11">
        <w:rPr>
          <w:rFonts w:ascii="Arial" w:hAnsi="Arial" w:cs="Arial"/>
          <w:sz w:val="20"/>
          <w:szCs w:val="20"/>
        </w:rPr>
        <w:t xml:space="preserve">Marktgeschehen: Ihre </w:t>
      </w:r>
      <w:r w:rsidR="001F43C6" w:rsidRPr="005E4D11">
        <w:rPr>
          <w:rFonts w:ascii="Arial" w:hAnsi="Arial" w:cs="Arial"/>
          <w:sz w:val="20"/>
          <w:szCs w:val="20"/>
        </w:rPr>
        <w:t xml:space="preserve">Anzahl </w:t>
      </w:r>
      <w:r w:rsidRPr="005E4D11">
        <w:rPr>
          <w:rFonts w:ascii="Arial" w:hAnsi="Arial" w:cs="Arial"/>
          <w:sz w:val="20"/>
          <w:szCs w:val="20"/>
        </w:rPr>
        <w:t>kletterte</w:t>
      </w:r>
      <w:r w:rsidR="001F43C6" w:rsidRPr="005E4D11">
        <w:rPr>
          <w:rFonts w:ascii="Arial" w:hAnsi="Arial" w:cs="Arial"/>
          <w:sz w:val="20"/>
          <w:szCs w:val="20"/>
        </w:rPr>
        <w:t xml:space="preserve"> </w:t>
      </w:r>
      <w:r w:rsidR="00322ACC" w:rsidRPr="005E4D11">
        <w:rPr>
          <w:rFonts w:ascii="Arial" w:hAnsi="Arial" w:cs="Arial"/>
          <w:sz w:val="20"/>
          <w:szCs w:val="20"/>
        </w:rPr>
        <w:t xml:space="preserve">im Jahresvergleich </w:t>
      </w:r>
      <w:r w:rsidR="004526F6" w:rsidRPr="005E4D11">
        <w:rPr>
          <w:rFonts w:ascii="Arial" w:hAnsi="Arial" w:cs="Arial"/>
          <w:sz w:val="20"/>
          <w:szCs w:val="20"/>
        </w:rPr>
        <w:t xml:space="preserve">von </w:t>
      </w:r>
      <w:r w:rsidR="001F43C6" w:rsidRPr="005E4D11">
        <w:rPr>
          <w:rFonts w:ascii="Arial" w:hAnsi="Arial" w:cs="Arial"/>
          <w:sz w:val="20"/>
          <w:szCs w:val="20"/>
        </w:rPr>
        <w:t>zehn</w:t>
      </w:r>
      <w:r w:rsidR="004526F6" w:rsidRPr="005E4D11">
        <w:rPr>
          <w:rFonts w:ascii="Arial" w:hAnsi="Arial" w:cs="Arial"/>
          <w:sz w:val="20"/>
          <w:szCs w:val="20"/>
        </w:rPr>
        <w:t xml:space="preserve"> auf 18</w:t>
      </w:r>
      <w:r w:rsidR="00C57585" w:rsidRPr="005E4D11">
        <w:rPr>
          <w:rFonts w:ascii="Arial" w:hAnsi="Arial" w:cs="Arial"/>
          <w:sz w:val="20"/>
          <w:szCs w:val="20"/>
        </w:rPr>
        <w:t>,</w:t>
      </w:r>
      <w:r w:rsidRPr="005E4D11">
        <w:rPr>
          <w:rFonts w:ascii="Arial" w:hAnsi="Arial" w:cs="Arial"/>
          <w:sz w:val="20"/>
          <w:szCs w:val="20"/>
        </w:rPr>
        <w:t xml:space="preserve"> </w:t>
      </w:r>
      <w:r w:rsidR="001F43C6" w:rsidRPr="005E4D11">
        <w:rPr>
          <w:rFonts w:ascii="Arial" w:hAnsi="Arial" w:cs="Arial"/>
          <w:sz w:val="20"/>
          <w:szCs w:val="20"/>
        </w:rPr>
        <w:t xml:space="preserve">ihr </w:t>
      </w:r>
      <w:r w:rsidR="00C57585" w:rsidRPr="005E4D11">
        <w:rPr>
          <w:rFonts w:ascii="Arial" w:hAnsi="Arial" w:cs="Arial"/>
          <w:sz w:val="20"/>
          <w:szCs w:val="20"/>
        </w:rPr>
        <w:t>V</w:t>
      </w:r>
      <w:r w:rsidR="004526F6" w:rsidRPr="005E4D11">
        <w:rPr>
          <w:rFonts w:ascii="Arial" w:hAnsi="Arial" w:cs="Arial"/>
          <w:sz w:val="20"/>
          <w:szCs w:val="20"/>
        </w:rPr>
        <w:t xml:space="preserve">olumen </w:t>
      </w:r>
      <w:r w:rsidR="000A1B7A" w:rsidRPr="005E4D11">
        <w:rPr>
          <w:rFonts w:ascii="Arial" w:hAnsi="Arial" w:cs="Arial"/>
          <w:sz w:val="20"/>
          <w:szCs w:val="20"/>
        </w:rPr>
        <w:t>um mehr als die Hälfte</w:t>
      </w:r>
      <w:r w:rsidR="00C57585" w:rsidRPr="005E4D11">
        <w:rPr>
          <w:rFonts w:ascii="Arial" w:hAnsi="Arial" w:cs="Arial"/>
          <w:sz w:val="20"/>
          <w:szCs w:val="20"/>
        </w:rPr>
        <w:t xml:space="preserve">. Ihr Anteil am Flächenumsatz betrug </w:t>
      </w:r>
      <w:r w:rsidR="000A2529" w:rsidRPr="005E4D11">
        <w:rPr>
          <w:rFonts w:ascii="Arial" w:hAnsi="Arial" w:cs="Arial"/>
          <w:sz w:val="20"/>
          <w:szCs w:val="20"/>
        </w:rPr>
        <w:t xml:space="preserve">rund </w:t>
      </w:r>
      <w:r w:rsidRPr="005E4D11">
        <w:rPr>
          <w:rFonts w:ascii="Arial" w:hAnsi="Arial" w:cs="Arial"/>
          <w:sz w:val="20"/>
          <w:szCs w:val="20"/>
        </w:rPr>
        <w:t>40</w:t>
      </w:r>
      <w:r w:rsidR="005E4D11">
        <w:rPr>
          <w:rFonts w:ascii="Arial" w:hAnsi="Arial" w:cs="Arial"/>
          <w:sz w:val="20"/>
          <w:szCs w:val="20"/>
        </w:rPr>
        <w:t xml:space="preserve"> </w:t>
      </w:r>
      <w:r w:rsidRPr="005E4D11">
        <w:rPr>
          <w:rFonts w:ascii="Arial" w:hAnsi="Arial" w:cs="Arial"/>
          <w:sz w:val="20"/>
          <w:szCs w:val="20"/>
        </w:rPr>
        <w:t>%</w:t>
      </w:r>
      <w:r w:rsidR="0041298D" w:rsidRPr="005E4D11">
        <w:rPr>
          <w:rFonts w:ascii="Arial" w:hAnsi="Arial" w:cs="Arial"/>
          <w:sz w:val="20"/>
          <w:szCs w:val="20"/>
        </w:rPr>
        <w:t>.</w:t>
      </w:r>
      <w:r w:rsidR="00A04A9E" w:rsidRPr="005E4D11">
        <w:rPr>
          <w:rFonts w:ascii="Arial" w:hAnsi="Arial" w:cs="Arial"/>
          <w:sz w:val="20"/>
          <w:szCs w:val="20"/>
        </w:rPr>
        <w:t xml:space="preserve"> </w:t>
      </w:r>
      <w:r w:rsidR="00A04A9E" w:rsidRPr="005E4D11">
        <w:rPr>
          <w:rFonts w:ascii="Arial" w:hAnsi="Arial" w:cs="Arial"/>
          <w:i/>
          <w:sz w:val="20"/>
          <w:szCs w:val="20"/>
        </w:rPr>
        <w:t>„</w:t>
      </w:r>
      <w:r w:rsidRPr="005E4D11">
        <w:rPr>
          <w:rFonts w:ascii="Arial" w:hAnsi="Arial" w:cs="Arial"/>
          <w:i/>
          <w:sz w:val="20"/>
          <w:szCs w:val="20"/>
        </w:rPr>
        <w:t>Haupt</w:t>
      </w:r>
      <w:r w:rsidR="00C57585" w:rsidRPr="005E4D11">
        <w:rPr>
          <w:rFonts w:ascii="Arial" w:hAnsi="Arial" w:cs="Arial"/>
          <w:i/>
          <w:sz w:val="20"/>
          <w:szCs w:val="20"/>
        </w:rPr>
        <w:t>flächen</w:t>
      </w:r>
      <w:r w:rsidRPr="005E4D11">
        <w:rPr>
          <w:rFonts w:ascii="Arial" w:hAnsi="Arial" w:cs="Arial"/>
          <w:i/>
          <w:sz w:val="20"/>
          <w:szCs w:val="20"/>
        </w:rPr>
        <w:t xml:space="preserve">abnehmer waren </w:t>
      </w:r>
      <w:r w:rsidR="0041298D" w:rsidRPr="005E4D11">
        <w:rPr>
          <w:rFonts w:ascii="Arial" w:hAnsi="Arial" w:cs="Arial"/>
          <w:i/>
          <w:sz w:val="20"/>
          <w:szCs w:val="20"/>
        </w:rPr>
        <w:t>aufgrund des Dataport-</w:t>
      </w:r>
      <w:r w:rsidR="000A2529" w:rsidRPr="005E4D11">
        <w:rPr>
          <w:rFonts w:ascii="Arial" w:hAnsi="Arial" w:cs="Arial"/>
          <w:i/>
          <w:sz w:val="20"/>
          <w:szCs w:val="20"/>
        </w:rPr>
        <w:t xml:space="preserve">Abschlusses </w:t>
      </w:r>
      <w:r w:rsidRPr="005E4D11">
        <w:rPr>
          <w:rFonts w:ascii="Arial" w:hAnsi="Arial" w:cs="Arial"/>
          <w:i/>
          <w:sz w:val="20"/>
          <w:szCs w:val="20"/>
        </w:rPr>
        <w:t xml:space="preserve">Unternehmen aus der </w:t>
      </w:r>
      <w:r w:rsidRPr="005E4D11">
        <w:rPr>
          <w:rFonts w:ascii="Arial" w:hAnsi="Arial" w:cs="Arial"/>
          <w:i/>
          <w:sz w:val="20"/>
          <w:szCs w:val="20"/>
          <w:u w:val="single"/>
        </w:rPr>
        <w:t>Branche</w:t>
      </w:r>
      <w:r w:rsidR="008E6412" w:rsidRPr="005E4D11">
        <w:rPr>
          <w:rFonts w:ascii="Arial" w:hAnsi="Arial" w:cs="Arial"/>
          <w:i/>
          <w:sz w:val="20"/>
          <w:szCs w:val="20"/>
        </w:rPr>
        <w:t xml:space="preserve"> Information und</w:t>
      </w:r>
      <w:r w:rsidRPr="005E4D11">
        <w:rPr>
          <w:rFonts w:ascii="Arial" w:hAnsi="Arial" w:cs="Arial"/>
          <w:i/>
          <w:sz w:val="20"/>
          <w:szCs w:val="20"/>
        </w:rPr>
        <w:t xml:space="preserve"> Telekommunika</w:t>
      </w:r>
      <w:r w:rsidR="0041298D" w:rsidRPr="005E4D11">
        <w:rPr>
          <w:rFonts w:ascii="Arial" w:hAnsi="Arial" w:cs="Arial"/>
          <w:i/>
          <w:sz w:val="20"/>
          <w:szCs w:val="20"/>
        </w:rPr>
        <w:t xml:space="preserve">tion mit einem Anteil von </w:t>
      </w:r>
      <w:r w:rsidR="000A2529" w:rsidRPr="005E4D11">
        <w:rPr>
          <w:rFonts w:ascii="Arial" w:hAnsi="Arial" w:cs="Arial"/>
          <w:i/>
          <w:sz w:val="20"/>
          <w:szCs w:val="20"/>
        </w:rPr>
        <w:t>19</w:t>
      </w:r>
      <w:r w:rsidR="0041298D" w:rsidRPr="005E4D11">
        <w:rPr>
          <w:rFonts w:ascii="Arial" w:hAnsi="Arial" w:cs="Arial"/>
          <w:i/>
          <w:sz w:val="20"/>
          <w:szCs w:val="20"/>
        </w:rPr>
        <w:t xml:space="preserve"> Prozent</w:t>
      </w:r>
      <w:r w:rsidRPr="005E4D11">
        <w:rPr>
          <w:rFonts w:ascii="Arial" w:hAnsi="Arial" w:cs="Arial"/>
          <w:i/>
          <w:sz w:val="20"/>
          <w:szCs w:val="20"/>
        </w:rPr>
        <w:t>.</w:t>
      </w:r>
      <w:r w:rsidR="000A1B7A" w:rsidRPr="005E4D11">
        <w:rPr>
          <w:rFonts w:ascii="Arial" w:hAnsi="Arial" w:cs="Arial"/>
          <w:sz w:val="20"/>
          <w:szCs w:val="20"/>
        </w:rPr>
        <w:t xml:space="preserve"> </w:t>
      </w:r>
      <w:r w:rsidR="0041298D" w:rsidRPr="005E4D11">
        <w:rPr>
          <w:rFonts w:ascii="Arial" w:hAnsi="Arial" w:cs="Arial"/>
          <w:i/>
          <w:sz w:val="20"/>
          <w:szCs w:val="20"/>
        </w:rPr>
        <w:t>M</w:t>
      </w:r>
      <w:r w:rsidR="00C57585" w:rsidRPr="005E4D11">
        <w:rPr>
          <w:rFonts w:ascii="Arial" w:hAnsi="Arial" w:cs="Arial"/>
          <w:i/>
          <w:sz w:val="20"/>
          <w:szCs w:val="20"/>
        </w:rPr>
        <w:t xml:space="preserve">it </w:t>
      </w:r>
      <w:r w:rsidR="0041298D" w:rsidRPr="005E4D11">
        <w:rPr>
          <w:rFonts w:ascii="Arial" w:hAnsi="Arial" w:cs="Arial"/>
          <w:i/>
          <w:sz w:val="20"/>
          <w:szCs w:val="20"/>
        </w:rPr>
        <w:t>40.030 Quadratmetern Büro</w:t>
      </w:r>
      <w:r w:rsidR="00307302" w:rsidRPr="005E4D11">
        <w:rPr>
          <w:rFonts w:ascii="Arial" w:hAnsi="Arial" w:cs="Arial"/>
          <w:i/>
          <w:sz w:val="20"/>
          <w:szCs w:val="20"/>
        </w:rPr>
        <w:t>fläche</w:t>
      </w:r>
      <w:r w:rsidR="0041298D" w:rsidRPr="005E4D11">
        <w:rPr>
          <w:rFonts w:ascii="Arial" w:hAnsi="Arial" w:cs="Arial"/>
          <w:i/>
          <w:sz w:val="20"/>
          <w:szCs w:val="20"/>
        </w:rPr>
        <w:t xml:space="preserve"> </w:t>
      </w:r>
      <w:r w:rsidR="00A04A9E" w:rsidRPr="005E4D11">
        <w:rPr>
          <w:rFonts w:ascii="Arial" w:hAnsi="Arial" w:cs="Arial"/>
          <w:i/>
          <w:sz w:val="20"/>
          <w:szCs w:val="20"/>
        </w:rPr>
        <w:t xml:space="preserve">war dies der </w:t>
      </w:r>
      <w:r w:rsidR="005E4D11">
        <w:rPr>
          <w:rFonts w:ascii="Arial" w:hAnsi="Arial" w:cs="Arial"/>
          <w:i/>
          <w:sz w:val="20"/>
          <w:szCs w:val="20"/>
        </w:rPr>
        <w:t xml:space="preserve">bisher </w:t>
      </w:r>
      <w:r w:rsidR="00A04A9E" w:rsidRPr="005E4D11">
        <w:rPr>
          <w:rFonts w:ascii="Arial" w:hAnsi="Arial" w:cs="Arial"/>
          <w:i/>
          <w:sz w:val="20"/>
          <w:szCs w:val="20"/>
        </w:rPr>
        <w:t xml:space="preserve">drittgrößte </w:t>
      </w:r>
      <w:r w:rsidR="00A5264B" w:rsidRPr="005E4D11">
        <w:rPr>
          <w:rFonts w:ascii="Arial" w:hAnsi="Arial" w:cs="Arial"/>
          <w:i/>
          <w:sz w:val="20"/>
          <w:szCs w:val="20"/>
        </w:rPr>
        <w:t xml:space="preserve">Hamburger </w:t>
      </w:r>
      <w:r w:rsidR="005E4D11">
        <w:rPr>
          <w:rFonts w:ascii="Arial" w:hAnsi="Arial" w:cs="Arial"/>
          <w:i/>
          <w:sz w:val="20"/>
          <w:szCs w:val="20"/>
        </w:rPr>
        <w:t>Büromietvertrag</w:t>
      </w:r>
      <w:r w:rsidR="0041298D" w:rsidRPr="005E4D11">
        <w:rPr>
          <w:rFonts w:ascii="Arial" w:hAnsi="Arial" w:cs="Arial"/>
          <w:i/>
          <w:sz w:val="20"/>
          <w:szCs w:val="20"/>
        </w:rPr>
        <w:t>“,</w:t>
      </w:r>
      <w:r w:rsidR="0041298D" w:rsidRPr="005E4D11">
        <w:rPr>
          <w:rFonts w:ascii="Arial" w:hAnsi="Arial" w:cs="Arial"/>
          <w:sz w:val="20"/>
          <w:szCs w:val="20"/>
        </w:rPr>
        <w:t xml:space="preserve"> so </w:t>
      </w:r>
      <w:r w:rsidR="0041298D" w:rsidRPr="005E4D11">
        <w:rPr>
          <w:rFonts w:ascii="Arial" w:hAnsi="Arial" w:cs="Arial"/>
          <w:b/>
          <w:sz w:val="20"/>
          <w:szCs w:val="20"/>
        </w:rPr>
        <w:t>Rehberg</w:t>
      </w:r>
      <w:r w:rsidR="0041298D" w:rsidRPr="005E4D11">
        <w:rPr>
          <w:rFonts w:ascii="Arial" w:hAnsi="Arial" w:cs="Arial"/>
          <w:sz w:val="20"/>
          <w:szCs w:val="20"/>
        </w:rPr>
        <w:t>.</w:t>
      </w:r>
    </w:p>
    <w:p w14:paraId="4FF5286D" w14:textId="5774E999" w:rsidR="00A04A9E" w:rsidRDefault="00A04A9E" w:rsidP="00213F07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A04A9E">
        <w:rPr>
          <w:rFonts w:ascii="Arial" w:hAnsi="Arial" w:cs="Arial"/>
          <w:sz w:val="20"/>
          <w:szCs w:val="20"/>
        </w:rPr>
        <w:t xml:space="preserve">Zum </w:t>
      </w:r>
      <w:r w:rsidR="00F45730">
        <w:rPr>
          <w:rFonts w:ascii="Arial" w:hAnsi="Arial" w:cs="Arial"/>
          <w:sz w:val="20"/>
          <w:szCs w:val="20"/>
        </w:rPr>
        <w:t>Ende des 3. Quartals</w:t>
      </w:r>
      <w:r w:rsidRPr="00A04A9E">
        <w:rPr>
          <w:rFonts w:ascii="Arial" w:hAnsi="Arial" w:cs="Arial"/>
          <w:sz w:val="20"/>
          <w:szCs w:val="20"/>
        </w:rPr>
        <w:t xml:space="preserve"> entfiel</w:t>
      </w:r>
      <w:r>
        <w:rPr>
          <w:rFonts w:ascii="Arial" w:hAnsi="Arial" w:cs="Arial"/>
          <w:sz w:val="20"/>
          <w:szCs w:val="20"/>
        </w:rPr>
        <w:t>en</w:t>
      </w:r>
      <w:r w:rsidRPr="00A04A9E">
        <w:rPr>
          <w:rFonts w:ascii="Arial" w:hAnsi="Arial" w:cs="Arial"/>
          <w:sz w:val="20"/>
          <w:szCs w:val="20"/>
        </w:rPr>
        <w:t xml:space="preserve"> </w:t>
      </w:r>
      <w:r w:rsidR="00A5264B">
        <w:rPr>
          <w:rFonts w:ascii="Arial" w:hAnsi="Arial" w:cs="Arial"/>
          <w:sz w:val="20"/>
          <w:szCs w:val="20"/>
        </w:rPr>
        <w:t>31</w:t>
      </w:r>
      <w:r w:rsidR="00D84D46" w:rsidRPr="00A04A9E">
        <w:rPr>
          <w:rFonts w:ascii="Arial" w:hAnsi="Arial" w:cs="Arial"/>
          <w:sz w:val="20"/>
          <w:szCs w:val="20"/>
        </w:rPr>
        <w:t xml:space="preserve"> </w:t>
      </w:r>
      <w:r w:rsidR="004526F6" w:rsidRPr="00A04A9E">
        <w:rPr>
          <w:rFonts w:ascii="Arial" w:hAnsi="Arial" w:cs="Arial"/>
          <w:sz w:val="20"/>
          <w:szCs w:val="20"/>
        </w:rPr>
        <w:t>% des Flächenumsatzes auf das</w:t>
      </w:r>
      <w:r w:rsidR="00F45730">
        <w:rPr>
          <w:rFonts w:ascii="Arial" w:hAnsi="Arial" w:cs="Arial"/>
          <w:sz w:val="20"/>
          <w:szCs w:val="20"/>
        </w:rPr>
        <w:t xml:space="preserve"> </w:t>
      </w:r>
      <w:r w:rsidR="00F45730" w:rsidRPr="00F45730">
        <w:rPr>
          <w:rFonts w:ascii="Arial" w:hAnsi="Arial" w:cs="Arial"/>
          <w:sz w:val="20"/>
          <w:szCs w:val="20"/>
          <w:u w:val="single"/>
        </w:rPr>
        <w:t>Mietpreiss</w:t>
      </w:r>
      <w:r w:rsidR="00D84D46" w:rsidRPr="00F45730">
        <w:rPr>
          <w:rFonts w:ascii="Arial" w:hAnsi="Arial" w:cs="Arial"/>
          <w:sz w:val="20"/>
          <w:szCs w:val="20"/>
          <w:u w:val="single"/>
        </w:rPr>
        <w:t>egment</w:t>
      </w:r>
      <w:r w:rsidR="004526F6" w:rsidRPr="00A04A9E">
        <w:rPr>
          <w:rFonts w:ascii="Arial" w:hAnsi="Arial" w:cs="Arial"/>
          <w:sz w:val="20"/>
          <w:szCs w:val="20"/>
        </w:rPr>
        <w:t xml:space="preserve"> &gt; 25,00 €/m²</w:t>
      </w:r>
      <w:r w:rsidR="00D84D46" w:rsidRPr="00A04A9E">
        <w:rPr>
          <w:rFonts w:ascii="Arial" w:hAnsi="Arial" w:cs="Arial"/>
          <w:sz w:val="20"/>
          <w:szCs w:val="20"/>
        </w:rPr>
        <w:t>/Monat</w:t>
      </w:r>
      <w:r w:rsidR="00F45730" w:rsidRPr="00F45730">
        <w:rPr>
          <w:rFonts w:ascii="Arial" w:hAnsi="Arial" w:cs="Arial"/>
          <w:sz w:val="20"/>
          <w:szCs w:val="20"/>
        </w:rPr>
        <w:t xml:space="preserve"> </w:t>
      </w:r>
      <w:r w:rsidR="00F45730">
        <w:rPr>
          <w:rFonts w:ascii="Arial" w:hAnsi="Arial" w:cs="Arial"/>
          <w:sz w:val="20"/>
          <w:szCs w:val="20"/>
        </w:rPr>
        <w:t xml:space="preserve">nach </w:t>
      </w:r>
      <w:r w:rsidR="00A5264B">
        <w:rPr>
          <w:rFonts w:ascii="Arial" w:hAnsi="Arial" w:cs="Arial"/>
          <w:sz w:val="20"/>
          <w:szCs w:val="20"/>
        </w:rPr>
        <w:t>6</w:t>
      </w:r>
      <w:r w:rsidR="00F45730">
        <w:rPr>
          <w:rFonts w:ascii="Arial" w:hAnsi="Arial" w:cs="Arial"/>
          <w:sz w:val="20"/>
          <w:szCs w:val="20"/>
        </w:rPr>
        <w:t xml:space="preserve"> % </w:t>
      </w:r>
      <w:r w:rsidR="00F45730" w:rsidRPr="00A04A9E">
        <w:rPr>
          <w:rFonts w:ascii="Arial" w:hAnsi="Arial" w:cs="Arial"/>
          <w:sz w:val="20"/>
          <w:szCs w:val="20"/>
        </w:rPr>
        <w:t>im V</w:t>
      </w:r>
      <w:r w:rsidR="00307302">
        <w:rPr>
          <w:rFonts w:ascii="Arial" w:hAnsi="Arial" w:cs="Arial"/>
          <w:sz w:val="20"/>
          <w:szCs w:val="20"/>
        </w:rPr>
        <w:t>orjahre</w:t>
      </w:r>
      <w:r w:rsidR="00F45730" w:rsidRPr="00A04A9E">
        <w:rPr>
          <w:rFonts w:ascii="Arial" w:hAnsi="Arial" w:cs="Arial"/>
          <w:sz w:val="20"/>
          <w:szCs w:val="20"/>
        </w:rPr>
        <w:t>szeitraum</w:t>
      </w:r>
      <w:r w:rsidR="00F4573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Der Anteil des</w:t>
      </w:r>
      <w:r w:rsidR="004526F6" w:rsidRPr="00A04A9E">
        <w:rPr>
          <w:rFonts w:ascii="Arial" w:hAnsi="Arial" w:cs="Arial"/>
          <w:sz w:val="20"/>
          <w:szCs w:val="20"/>
        </w:rPr>
        <w:t xml:space="preserve"> Preissegment</w:t>
      </w:r>
      <w:r>
        <w:rPr>
          <w:rFonts w:ascii="Arial" w:hAnsi="Arial" w:cs="Arial"/>
          <w:sz w:val="20"/>
          <w:szCs w:val="20"/>
        </w:rPr>
        <w:t>s</w:t>
      </w:r>
      <w:r w:rsidR="004526F6" w:rsidRPr="00A04A9E">
        <w:rPr>
          <w:rFonts w:ascii="Arial" w:hAnsi="Arial" w:cs="Arial"/>
          <w:sz w:val="20"/>
          <w:szCs w:val="20"/>
        </w:rPr>
        <w:t xml:space="preserve"> &gt; 30</w:t>
      </w:r>
      <w:r w:rsidR="00F45730">
        <w:rPr>
          <w:rFonts w:ascii="Arial" w:hAnsi="Arial" w:cs="Arial"/>
          <w:sz w:val="20"/>
          <w:szCs w:val="20"/>
        </w:rPr>
        <w:t xml:space="preserve"> </w:t>
      </w:r>
      <w:r w:rsidR="004526F6" w:rsidRPr="00A04A9E">
        <w:rPr>
          <w:rFonts w:ascii="Arial" w:hAnsi="Arial" w:cs="Arial"/>
          <w:sz w:val="20"/>
          <w:szCs w:val="20"/>
        </w:rPr>
        <w:t>€/m²</w:t>
      </w:r>
      <w:r>
        <w:rPr>
          <w:rFonts w:ascii="Arial" w:hAnsi="Arial" w:cs="Arial"/>
          <w:sz w:val="20"/>
          <w:szCs w:val="20"/>
        </w:rPr>
        <w:t xml:space="preserve">/Monat kletterte </w:t>
      </w:r>
      <w:r w:rsidR="00F45730">
        <w:rPr>
          <w:rFonts w:ascii="Arial" w:hAnsi="Arial" w:cs="Arial"/>
          <w:sz w:val="20"/>
          <w:szCs w:val="20"/>
        </w:rPr>
        <w:t xml:space="preserve">in demselben Zeitraum </w:t>
      </w:r>
      <w:r>
        <w:rPr>
          <w:rFonts w:ascii="Arial" w:hAnsi="Arial" w:cs="Arial"/>
          <w:sz w:val="20"/>
          <w:szCs w:val="20"/>
        </w:rPr>
        <w:t>von</w:t>
      </w:r>
      <w:r w:rsidR="004526F6" w:rsidRPr="00A04A9E">
        <w:rPr>
          <w:rFonts w:ascii="Arial" w:hAnsi="Arial" w:cs="Arial"/>
          <w:sz w:val="20"/>
          <w:szCs w:val="20"/>
        </w:rPr>
        <w:t xml:space="preserve"> </w:t>
      </w:r>
      <w:r w:rsidR="00A5264B">
        <w:rPr>
          <w:rFonts w:ascii="Arial" w:hAnsi="Arial" w:cs="Arial"/>
          <w:sz w:val="20"/>
          <w:szCs w:val="20"/>
        </w:rPr>
        <w:t>1</w:t>
      </w:r>
      <w:r w:rsidR="005E4D11">
        <w:rPr>
          <w:rFonts w:ascii="Arial" w:hAnsi="Arial" w:cs="Arial"/>
          <w:sz w:val="20"/>
          <w:szCs w:val="20"/>
        </w:rPr>
        <w:t xml:space="preserve"> </w:t>
      </w:r>
      <w:r w:rsidR="004526F6" w:rsidRPr="00A04A9E">
        <w:rPr>
          <w:rFonts w:ascii="Arial" w:hAnsi="Arial" w:cs="Arial"/>
          <w:sz w:val="20"/>
          <w:szCs w:val="20"/>
        </w:rPr>
        <w:t>auf 11</w:t>
      </w:r>
      <w:r w:rsidR="005E4D11">
        <w:rPr>
          <w:rFonts w:ascii="Arial" w:hAnsi="Arial" w:cs="Arial"/>
          <w:sz w:val="20"/>
          <w:szCs w:val="20"/>
        </w:rPr>
        <w:t xml:space="preserve"> </w:t>
      </w:r>
      <w:r w:rsidR="004526F6" w:rsidRPr="00A04A9E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.</w:t>
      </w:r>
      <w:r w:rsidR="00B543F9">
        <w:rPr>
          <w:rFonts w:ascii="Arial" w:hAnsi="Arial" w:cs="Arial"/>
          <w:sz w:val="20"/>
          <w:szCs w:val="20"/>
        </w:rPr>
        <w:t xml:space="preserve"> </w:t>
      </w:r>
    </w:p>
    <w:p w14:paraId="4AF46028" w14:textId="18AF3886" w:rsidR="004526F6" w:rsidRPr="00A04A9E" w:rsidRDefault="00A04A9E" w:rsidP="00213F07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Daher </w:t>
      </w:r>
      <w:r w:rsidR="004526F6" w:rsidRPr="00A04A9E">
        <w:rPr>
          <w:rFonts w:ascii="Arial" w:hAnsi="Arial" w:cs="Arial"/>
          <w:sz w:val="20"/>
          <w:szCs w:val="20"/>
        </w:rPr>
        <w:t xml:space="preserve">erreichte die </w:t>
      </w:r>
      <w:r w:rsidR="00A5264B" w:rsidRPr="00B543F9">
        <w:rPr>
          <w:rFonts w:ascii="Arial" w:hAnsi="Arial" w:cs="Arial"/>
          <w:sz w:val="20"/>
          <w:szCs w:val="20"/>
        </w:rPr>
        <w:t xml:space="preserve">flächengewichtete </w:t>
      </w:r>
      <w:r w:rsidR="00A5264B" w:rsidRPr="00051F61">
        <w:rPr>
          <w:rFonts w:ascii="Arial" w:hAnsi="Arial" w:cs="Arial"/>
          <w:sz w:val="20"/>
          <w:szCs w:val="20"/>
          <w:u w:val="single"/>
        </w:rPr>
        <w:t>Durchschnittsmiete</w:t>
      </w:r>
      <w:r w:rsidR="00A5264B" w:rsidRPr="00B543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mit +</w:t>
      </w:r>
      <w:r w:rsidR="00A5264B">
        <w:rPr>
          <w:rFonts w:ascii="Arial" w:hAnsi="Arial" w:cs="Arial"/>
          <w:sz w:val="20"/>
          <w:szCs w:val="20"/>
        </w:rPr>
        <w:t>1</w:t>
      </w:r>
      <w:r w:rsidR="004526F6" w:rsidRPr="00A04A9E">
        <w:rPr>
          <w:rFonts w:ascii="Arial" w:hAnsi="Arial" w:cs="Arial"/>
          <w:sz w:val="20"/>
          <w:szCs w:val="20"/>
        </w:rPr>
        <w:t>6</w:t>
      </w:r>
      <w:r w:rsidR="005E4D11">
        <w:rPr>
          <w:rFonts w:ascii="Arial" w:hAnsi="Arial" w:cs="Arial"/>
          <w:sz w:val="20"/>
          <w:szCs w:val="20"/>
        </w:rPr>
        <w:t xml:space="preserve"> </w:t>
      </w:r>
      <w:r w:rsidR="004526F6" w:rsidRPr="00A04A9E">
        <w:rPr>
          <w:rFonts w:ascii="Arial" w:hAnsi="Arial" w:cs="Arial"/>
          <w:sz w:val="20"/>
          <w:szCs w:val="20"/>
        </w:rPr>
        <w:t xml:space="preserve">% </w:t>
      </w:r>
      <w:r w:rsidR="00307302">
        <w:rPr>
          <w:rFonts w:ascii="Arial" w:hAnsi="Arial" w:cs="Arial"/>
          <w:sz w:val="20"/>
          <w:szCs w:val="20"/>
        </w:rPr>
        <w:t xml:space="preserve">auf </w:t>
      </w:r>
      <w:r w:rsidR="00A5264B" w:rsidRPr="00B543F9">
        <w:rPr>
          <w:rFonts w:ascii="Arial" w:hAnsi="Arial" w:cs="Arial"/>
          <w:sz w:val="20"/>
          <w:szCs w:val="20"/>
        </w:rPr>
        <w:t>21,00</w:t>
      </w:r>
      <w:r w:rsidR="005E4D11">
        <w:rPr>
          <w:rFonts w:ascii="Arial" w:hAnsi="Arial" w:cs="Arial"/>
          <w:sz w:val="20"/>
          <w:szCs w:val="20"/>
        </w:rPr>
        <w:t xml:space="preserve"> </w:t>
      </w:r>
      <w:r w:rsidR="00307302" w:rsidRPr="00A04A9E">
        <w:rPr>
          <w:rFonts w:ascii="Arial" w:hAnsi="Arial" w:cs="Arial"/>
          <w:sz w:val="20"/>
          <w:szCs w:val="20"/>
        </w:rPr>
        <w:t>€/m²</w:t>
      </w:r>
      <w:r w:rsidR="00307302">
        <w:rPr>
          <w:rFonts w:ascii="Arial" w:hAnsi="Arial" w:cs="Arial"/>
          <w:sz w:val="20"/>
          <w:szCs w:val="20"/>
        </w:rPr>
        <w:t>/Monat</w:t>
      </w:r>
      <w:r w:rsidR="00307302" w:rsidRPr="00A04A9E">
        <w:rPr>
          <w:rFonts w:ascii="Arial" w:hAnsi="Arial" w:cs="Arial"/>
          <w:sz w:val="20"/>
          <w:szCs w:val="20"/>
        </w:rPr>
        <w:t xml:space="preserve"> </w:t>
      </w:r>
      <w:r w:rsidR="004526F6" w:rsidRPr="00A04A9E">
        <w:rPr>
          <w:rFonts w:ascii="Arial" w:hAnsi="Arial" w:cs="Arial"/>
          <w:sz w:val="20"/>
          <w:szCs w:val="20"/>
        </w:rPr>
        <w:t xml:space="preserve">einen neuen </w:t>
      </w:r>
      <w:r w:rsidR="00A5264B" w:rsidRPr="00A04A9E">
        <w:rPr>
          <w:rFonts w:ascii="Arial" w:hAnsi="Arial" w:cs="Arial"/>
          <w:sz w:val="20"/>
          <w:szCs w:val="20"/>
        </w:rPr>
        <w:t>Höch</w:t>
      </w:r>
      <w:r w:rsidR="00477A07">
        <w:rPr>
          <w:rFonts w:ascii="Arial" w:hAnsi="Arial" w:cs="Arial"/>
          <w:sz w:val="20"/>
          <w:szCs w:val="20"/>
        </w:rPr>
        <w:t>st</w:t>
      </w:r>
      <w:r w:rsidR="00A5264B" w:rsidRPr="00A04A9E">
        <w:rPr>
          <w:rFonts w:ascii="Arial" w:hAnsi="Arial" w:cs="Arial"/>
          <w:sz w:val="20"/>
          <w:szCs w:val="20"/>
        </w:rPr>
        <w:t>st</w:t>
      </w:r>
      <w:r w:rsidR="00A5264B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>.</w:t>
      </w:r>
      <w:r w:rsidR="00B543F9">
        <w:rPr>
          <w:rFonts w:ascii="Arial" w:hAnsi="Arial" w:cs="Arial"/>
          <w:sz w:val="20"/>
          <w:szCs w:val="20"/>
        </w:rPr>
        <w:t xml:space="preserve"> </w:t>
      </w:r>
      <w:r w:rsidR="00A5264B">
        <w:rPr>
          <w:rFonts w:ascii="Arial" w:hAnsi="Arial" w:cs="Arial"/>
          <w:sz w:val="20"/>
          <w:szCs w:val="20"/>
        </w:rPr>
        <w:t xml:space="preserve">Auch die Spitzenmiete </w:t>
      </w:r>
      <w:r w:rsidR="005E4D11">
        <w:rPr>
          <w:rFonts w:ascii="Arial" w:hAnsi="Arial" w:cs="Arial"/>
          <w:sz w:val="20"/>
          <w:szCs w:val="20"/>
        </w:rPr>
        <w:t>stieg</w:t>
      </w:r>
      <w:r w:rsidR="00A5264B">
        <w:rPr>
          <w:rFonts w:ascii="Arial" w:hAnsi="Arial" w:cs="Arial"/>
          <w:sz w:val="20"/>
          <w:szCs w:val="20"/>
        </w:rPr>
        <w:t xml:space="preserve"> </w:t>
      </w:r>
      <w:r w:rsidR="005E4D11">
        <w:rPr>
          <w:rFonts w:ascii="Arial" w:hAnsi="Arial" w:cs="Arial"/>
          <w:sz w:val="20"/>
          <w:szCs w:val="20"/>
        </w:rPr>
        <w:t>um +</w:t>
      </w:r>
      <w:r w:rsidR="008A6585">
        <w:rPr>
          <w:rFonts w:ascii="Arial" w:hAnsi="Arial" w:cs="Arial"/>
          <w:sz w:val="20"/>
          <w:szCs w:val="20"/>
        </w:rPr>
        <w:t>6</w:t>
      </w:r>
      <w:r w:rsidR="005E4D11">
        <w:rPr>
          <w:rFonts w:ascii="Arial" w:hAnsi="Arial" w:cs="Arial"/>
          <w:sz w:val="20"/>
          <w:szCs w:val="20"/>
        </w:rPr>
        <w:t xml:space="preserve"> </w:t>
      </w:r>
      <w:r w:rsidR="008A6585">
        <w:rPr>
          <w:rFonts w:ascii="Arial" w:hAnsi="Arial" w:cs="Arial"/>
          <w:sz w:val="20"/>
          <w:szCs w:val="20"/>
        </w:rPr>
        <w:t xml:space="preserve">% </w:t>
      </w:r>
      <w:r w:rsidR="00A5264B">
        <w:rPr>
          <w:rFonts w:ascii="Arial" w:hAnsi="Arial" w:cs="Arial"/>
          <w:sz w:val="20"/>
          <w:szCs w:val="20"/>
        </w:rPr>
        <w:t xml:space="preserve">auf einen neuen Höchstwert </w:t>
      </w:r>
      <w:r w:rsidR="008A6585">
        <w:rPr>
          <w:rFonts w:ascii="Arial" w:hAnsi="Arial" w:cs="Arial"/>
          <w:sz w:val="20"/>
          <w:szCs w:val="20"/>
        </w:rPr>
        <w:t>von 33,50</w:t>
      </w:r>
      <w:r w:rsidR="00FF283F" w:rsidRPr="00B543F9">
        <w:rPr>
          <w:rFonts w:ascii="Arial" w:hAnsi="Arial" w:cs="Arial"/>
          <w:sz w:val="20"/>
          <w:szCs w:val="20"/>
        </w:rPr>
        <w:t xml:space="preserve"> </w:t>
      </w:r>
      <w:r w:rsidR="005E4D11">
        <w:rPr>
          <w:rFonts w:ascii="Arial" w:hAnsi="Arial" w:cs="Arial"/>
          <w:sz w:val="20"/>
          <w:szCs w:val="20"/>
        </w:rPr>
        <w:t>€/m²/Monat</w:t>
      </w:r>
      <w:r w:rsidR="00FF283F" w:rsidRPr="00B543F9">
        <w:rPr>
          <w:rFonts w:ascii="Arial" w:hAnsi="Arial" w:cs="Arial"/>
          <w:sz w:val="20"/>
          <w:szCs w:val="20"/>
        </w:rPr>
        <w:t>.</w:t>
      </w:r>
    </w:p>
    <w:p w14:paraId="248046A1" w14:textId="089727D7" w:rsidR="004526F6" w:rsidRPr="00192B9D" w:rsidRDefault="008A6585" w:rsidP="00D770FB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</w:t>
      </w:r>
      <w:r w:rsidR="003847B2">
        <w:rPr>
          <w:rFonts w:ascii="Arial" w:hAnsi="Arial" w:cs="Arial"/>
          <w:sz w:val="20"/>
          <w:szCs w:val="20"/>
        </w:rPr>
        <w:t xml:space="preserve"> % des Flächenu</w:t>
      </w:r>
      <w:r w:rsidR="004526F6" w:rsidRPr="00192B9D">
        <w:rPr>
          <w:rFonts w:ascii="Arial" w:hAnsi="Arial" w:cs="Arial"/>
          <w:sz w:val="20"/>
          <w:szCs w:val="20"/>
        </w:rPr>
        <w:t>msatzes entfiel</w:t>
      </w:r>
      <w:r w:rsidR="00B543F9">
        <w:rPr>
          <w:rFonts w:ascii="Arial" w:hAnsi="Arial" w:cs="Arial"/>
          <w:sz w:val="20"/>
          <w:szCs w:val="20"/>
        </w:rPr>
        <w:t>en</w:t>
      </w:r>
      <w:r w:rsidR="004526F6" w:rsidRPr="00192B9D">
        <w:rPr>
          <w:rFonts w:ascii="Arial" w:hAnsi="Arial" w:cs="Arial"/>
          <w:sz w:val="20"/>
          <w:szCs w:val="20"/>
        </w:rPr>
        <w:t xml:space="preserve"> auf die </w:t>
      </w:r>
      <w:r w:rsidR="004526F6" w:rsidRPr="00051F61">
        <w:rPr>
          <w:rFonts w:ascii="Arial" w:hAnsi="Arial" w:cs="Arial"/>
          <w:sz w:val="20"/>
          <w:szCs w:val="20"/>
          <w:u w:val="single"/>
        </w:rPr>
        <w:t>Teilmärkte</w:t>
      </w:r>
      <w:r w:rsidR="004526F6" w:rsidRPr="00192B9D">
        <w:rPr>
          <w:rFonts w:ascii="Arial" w:hAnsi="Arial" w:cs="Arial"/>
          <w:sz w:val="20"/>
          <w:szCs w:val="20"/>
        </w:rPr>
        <w:t xml:space="preserve"> City und </w:t>
      </w:r>
      <w:proofErr w:type="spellStart"/>
      <w:r w:rsidR="004526F6" w:rsidRPr="00192B9D">
        <w:rPr>
          <w:rFonts w:ascii="Arial" w:hAnsi="Arial" w:cs="Arial"/>
          <w:sz w:val="20"/>
          <w:szCs w:val="20"/>
        </w:rPr>
        <w:t>HafenCity</w:t>
      </w:r>
      <w:proofErr w:type="spellEnd"/>
      <w:r w:rsidR="004526F6" w:rsidRPr="00192B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zusammen </w:t>
      </w:r>
      <w:r w:rsidR="00B543F9">
        <w:rPr>
          <w:rFonts w:ascii="Arial" w:hAnsi="Arial" w:cs="Arial"/>
          <w:sz w:val="20"/>
          <w:szCs w:val="20"/>
        </w:rPr>
        <w:t xml:space="preserve">nach </w:t>
      </w:r>
      <w:r w:rsidR="00B543F9" w:rsidRPr="00192B9D">
        <w:rPr>
          <w:rFonts w:ascii="Arial" w:hAnsi="Arial" w:cs="Arial"/>
          <w:sz w:val="20"/>
          <w:szCs w:val="20"/>
        </w:rPr>
        <w:t>31</w:t>
      </w:r>
      <w:r w:rsidR="005E4D11">
        <w:rPr>
          <w:rFonts w:ascii="Arial" w:hAnsi="Arial" w:cs="Arial"/>
          <w:sz w:val="20"/>
          <w:szCs w:val="20"/>
        </w:rPr>
        <w:t xml:space="preserve"> </w:t>
      </w:r>
      <w:r w:rsidR="00B543F9" w:rsidRPr="00192B9D">
        <w:rPr>
          <w:rFonts w:ascii="Arial" w:hAnsi="Arial" w:cs="Arial"/>
          <w:sz w:val="20"/>
          <w:szCs w:val="20"/>
        </w:rPr>
        <w:t xml:space="preserve">% </w:t>
      </w:r>
      <w:r w:rsidR="00307302">
        <w:rPr>
          <w:rFonts w:ascii="Arial" w:hAnsi="Arial" w:cs="Arial"/>
          <w:sz w:val="20"/>
          <w:szCs w:val="20"/>
        </w:rPr>
        <w:t>am Ende des 3. Quartals 2021</w:t>
      </w:r>
      <w:r w:rsidR="00B543F9">
        <w:rPr>
          <w:rFonts w:ascii="Arial" w:hAnsi="Arial" w:cs="Arial"/>
          <w:sz w:val="20"/>
          <w:szCs w:val="20"/>
        </w:rPr>
        <w:t>.</w:t>
      </w:r>
      <w:r w:rsidR="004526F6" w:rsidRPr="00192B9D">
        <w:rPr>
          <w:rFonts w:ascii="Arial" w:hAnsi="Arial" w:cs="Arial"/>
          <w:sz w:val="20"/>
          <w:szCs w:val="20"/>
        </w:rPr>
        <w:t xml:space="preserve"> </w:t>
      </w:r>
      <w:r w:rsidR="004526F6" w:rsidRPr="003E4330">
        <w:rPr>
          <w:rFonts w:ascii="Arial" w:hAnsi="Arial" w:cs="Arial"/>
          <w:i/>
          <w:sz w:val="20"/>
          <w:szCs w:val="20"/>
        </w:rPr>
        <w:t>„</w:t>
      </w:r>
      <w:r w:rsidR="003E4330" w:rsidRPr="003E4330">
        <w:rPr>
          <w:rFonts w:ascii="Arial" w:hAnsi="Arial" w:cs="Arial"/>
          <w:i/>
          <w:sz w:val="20"/>
          <w:szCs w:val="20"/>
        </w:rPr>
        <w:t>In den b</w:t>
      </w:r>
      <w:r w:rsidR="007A4A44" w:rsidRPr="003E4330">
        <w:rPr>
          <w:rFonts w:ascii="Arial" w:hAnsi="Arial" w:cs="Arial"/>
          <w:i/>
          <w:sz w:val="20"/>
          <w:szCs w:val="20"/>
        </w:rPr>
        <w:t>eide</w:t>
      </w:r>
      <w:r w:rsidR="003E4330" w:rsidRPr="003E4330">
        <w:rPr>
          <w:rFonts w:ascii="Arial" w:hAnsi="Arial" w:cs="Arial"/>
          <w:i/>
          <w:sz w:val="20"/>
          <w:szCs w:val="20"/>
        </w:rPr>
        <w:t>n</w:t>
      </w:r>
      <w:r w:rsidR="007A4A44" w:rsidRPr="003E433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bedeutendsten</w:t>
      </w:r>
      <w:r w:rsidR="003E4330" w:rsidRPr="003E4330">
        <w:rPr>
          <w:rFonts w:ascii="Arial" w:hAnsi="Arial" w:cs="Arial"/>
          <w:i/>
          <w:sz w:val="20"/>
          <w:szCs w:val="20"/>
        </w:rPr>
        <w:t xml:space="preserve"> </w:t>
      </w:r>
      <w:r w:rsidR="007A4A44" w:rsidRPr="003E4330">
        <w:rPr>
          <w:rFonts w:ascii="Arial" w:hAnsi="Arial" w:cs="Arial"/>
          <w:i/>
          <w:sz w:val="20"/>
          <w:szCs w:val="20"/>
        </w:rPr>
        <w:t>Teilmärkte</w:t>
      </w:r>
      <w:r w:rsidR="003E4330" w:rsidRPr="003E4330">
        <w:rPr>
          <w:rFonts w:ascii="Arial" w:hAnsi="Arial" w:cs="Arial"/>
          <w:i/>
          <w:sz w:val="20"/>
          <w:szCs w:val="20"/>
        </w:rPr>
        <w:t>n gibt es</w:t>
      </w:r>
      <w:r w:rsidR="007A4A44" w:rsidRPr="003E433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viele Projekte</w:t>
      </w:r>
      <w:r w:rsidR="005E4D11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die </w:t>
      </w:r>
      <w:r w:rsidRPr="003E4330">
        <w:rPr>
          <w:rFonts w:ascii="Arial" w:hAnsi="Arial" w:cs="Arial"/>
          <w:i/>
          <w:sz w:val="20"/>
          <w:szCs w:val="20"/>
        </w:rPr>
        <w:t>genau de</w:t>
      </w:r>
      <w:r>
        <w:rPr>
          <w:rFonts w:ascii="Arial" w:hAnsi="Arial" w:cs="Arial"/>
          <w:i/>
          <w:sz w:val="20"/>
          <w:szCs w:val="20"/>
        </w:rPr>
        <w:t>n</w:t>
      </w:r>
      <w:r w:rsidRPr="003E433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aktuellen</w:t>
      </w:r>
      <w:r w:rsidRPr="003E433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Anforderungen heutiger Nutzer</w:t>
      </w:r>
      <w:r w:rsidRPr="003E4330">
        <w:rPr>
          <w:rFonts w:ascii="Arial" w:hAnsi="Arial" w:cs="Arial"/>
          <w:i/>
          <w:sz w:val="20"/>
          <w:szCs w:val="20"/>
        </w:rPr>
        <w:t xml:space="preserve"> entsprechen</w:t>
      </w:r>
      <w:r>
        <w:rPr>
          <w:rFonts w:ascii="Arial" w:hAnsi="Arial" w:cs="Arial"/>
          <w:i/>
          <w:sz w:val="20"/>
          <w:szCs w:val="20"/>
        </w:rPr>
        <w:t xml:space="preserve">, wie </w:t>
      </w:r>
      <w:r w:rsidR="00A16998">
        <w:rPr>
          <w:rFonts w:ascii="Arial" w:hAnsi="Arial" w:cs="Arial"/>
          <w:i/>
          <w:sz w:val="20"/>
          <w:szCs w:val="20"/>
        </w:rPr>
        <w:t>beispielsweise</w:t>
      </w:r>
      <w:r>
        <w:rPr>
          <w:rFonts w:ascii="Arial" w:hAnsi="Arial" w:cs="Arial"/>
          <w:i/>
          <w:sz w:val="20"/>
          <w:szCs w:val="20"/>
        </w:rPr>
        <w:t xml:space="preserve"> das ‚Deutschlandhaus‘ in der City oder</w:t>
      </w:r>
      <w:r w:rsidR="00A1699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das </w:t>
      </w:r>
      <w:r w:rsidR="005E4D11">
        <w:rPr>
          <w:rFonts w:ascii="Arial" w:hAnsi="Arial" w:cs="Arial"/>
          <w:i/>
          <w:sz w:val="20"/>
          <w:szCs w:val="20"/>
        </w:rPr>
        <w:t>‚</w:t>
      </w:r>
      <w:proofErr w:type="spellStart"/>
      <w:r w:rsidR="007A4A44" w:rsidRPr="003E4330">
        <w:rPr>
          <w:rFonts w:ascii="Arial" w:hAnsi="Arial" w:cs="Arial"/>
          <w:i/>
          <w:sz w:val="20"/>
          <w:szCs w:val="20"/>
        </w:rPr>
        <w:t>Westfield</w:t>
      </w:r>
      <w:proofErr w:type="spellEnd"/>
      <w:r w:rsidR="007A4A44" w:rsidRPr="003E4330">
        <w:rPr>
          <w:rFonts w:ascii="Arial" w:hAnsi="Arial" w:cs="Arial"/>
          <w:i/>
          <w:sz w:val="20"/>
          <w:szCs w:val="20"/>
        </w:rPr>
        <w:t xml:space="preserve"> Hamburg-Überseequartier</w:t>
      </w:r>
      <w:r w:rsidR="003E4330" w:rsidRPr="003E4330">
        <w:rPr>
          <w:rFonts w:ascii="Arial" w:hAnsi="Arial" w:cs="Arial"/>
          <w:i/>
          <w:sz w:val="20"/>
          <w:szCs w:val="20"/>
        </w:rPr>
        <w:t>‘</w:t>
      </w:r>
      <w:r>
        <w:rPr>
          <w:rFonts w:ascii="Arial" w:hAnsi="Arial" w:cs="Arial"/>
          <w:i/>
          <w:sz w:val="20"/>
          <w:szCs w:val="20"/>
        </w:rPr>
        <w:t xml:space="preserve"> in der </w:t>
      </w:r>
      <w:proofErr w:type="spellStart"/>
      <w:r>
        <w:rPr>
          <w:rFonts w:ascii="Arial" w:hAnsi="Arial" w:cs="Arial"/>
          <w:i/>
          <w:sz w:val="20"/>
          <w:szCs w:val="20"/>
        </w:rPr>
        <w:t>HafenCity</w:t>
      </w:r>
      <w:proofErr w:type="spellEnd"/>
      <w:r w:rsidR="003E4330" w:rsidRPr="003E4330">
        <w:rPr>
          <w:rFonts w:ascii="Arial" w:hAnsi="Arial" w:cs="Arial"/>
          <w:i/>
          <w:sz w:val="20"/>
          <w:szCs w:val="20"/>
        </w:rPr>
        <w:t>“,</w:t>
      </w:r>
      <w:r w:rsidR="003E4330">
        <w:rPr>
          <w:rFonts w:ascii="Arial" w:hAnsi="Arial" w:cs="Arial"/>
          <w:sz w:val="20"/>
          <w:szCs w:val="20"/>
        </w:rPr>
        <w:t xml:space="preserve"> konstatiert </w:t>
      </w:r>
      <w:r w:rsidR="003E4330" w:rsidRPr="003E4330">
        <w:rPr>
          <w:rFonts w:ascii="Arial" w:hAnsi="Arial" w:cs="Arial"/>
          <w:b/>
          <w:sz w:val="20"/>
          <w:szCs w:val="20"/>
        </w:rPr>
        <w:t>Rehberg</w:t>
      </w:r>
      <w:r w:rsidR="003E4330">
        <w:rPr>
          <w:rFonts w:ascii="Arial" w:hAnsi="Arial" w:cs="Arial"/>
          <w:sz w:val="20"/>
          <w:szCs w:val="20"/>
        </w:rPr>
        <w:t>.</w:t>
      </w:r>
    </w:p>
    <w:p w14:paraId="09C17EEF" w14:textId="5AE34E6B" w:rsidR="004526F6" w:rsidRPr="00FF283F" w:rsidRDefault="004526F6" w:rsidP="00657E35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283F">
        <w:rPr>
          <w:rFonts w:ascii="Arial" w:hAnsi="Arial" w:cs="Arial"/>
          <w:sz w:val="20"/>
          <w:szCs w:val="20"/>
        </w:rPr>
        <w:t xml:space="preserve">Bei einem leicht erhöhten Flächenbestand blieb die </w:t>
      </w:r>
      <w:proofErr w:type="spellStart"/>
      <w:r w:rsidRPr="00307302">
        <w:rPr>
          <w:rFonts w:ascii="Arial" w:hAnsi="Arial" w:cs="Arial"/>
          <w:sz w:val="20"/>
          <w:szCs w:val="20"/>
          <w:u w:val="single"/>
        </w:rPr>
        <w:t>Leerstands</w:t>
      </w:r>
      <w:r w:rsidR="00851DBD" w:rsidRPr="00307302">
        <w:rPr>
          <w:rFonts w:ascii="Arial" w:hAnsi="Arial" w:cs="Arial"/>
          <w:sz w:val="20"/>
          <w:szCs w:val="20"/>
          <w:u w:val="single"/>
        </w:rPr>
        <w:t>quote</w:t>
      </w:r>
      <w:proofErr w:type="spellEnd"/>
      <w:r w:rsidRPr="00FF283F">
        <w:rPr>
          <w:rFonts w:ascii="Arial" w:hAnsi="Arial" w:cs="Arial"/>
          <w:sz w:val="20"/>
          <w:szCs w:val="20"/>
        </w:rPr>
        <w:t xml:space="preserve"> gegenüber dem Vorjahr bei 3,8</w:t>
      </w:r>
      <w:r w:rsidR="00851DBD">
        <w:rPr>
          <w:rFonts w:ascii="Arial" w:hAnsi="Arial" w:cs="Arial"/>
          <w:sz w:val="20"/>
          <w:szCs w:val="20"/>
        </w:rPr>
        <w:t xml:space="preserve"> </w:t>
      </w:r>
      <w:r w:rsidRPr="00FF283F">
        <w:rPr>
          <w:rFonts w:ascii="Arial" w:hAnsi="Arial" w:cs="Arial"/>
          <w:sz w:val="20"/>
          <w:szCs w:val="20"/>
        </w:rPr>
        <w:t xml:space="preserve">% konstant. Innerhalb von </w:t>
      </w:r>
      <w:r w:rsidR="00851DBD">
        <w:rPr>
          <w:rFonts w:ascii="Arial" w:hAnsi="Arial" w:cs="Arial"/>
          <w:sz w:val="20"/>
          <w:szCs w:val="20"/>
        </w:rPr>
        <w:t>zwölf</w:t>
      </w:r>
      <w:r w:rsidRPr="00FF283F">
        <w:rPr>
          <w:rFonts w:ascii="Arial" w:hAnsi="Arial" w:cs="Arial"/>
          <w:sz w:val="20"/>
          <w:szCs w:val="20"/>
        </w:rPr>
        <w:t xml:space="preserve"> Monaten dürfte </w:t>
      </w:r>
      <w:r w:rsidR="00307302">
        <w:rPr>
          <w:rFonts w:ascii="Arial" w:hAnsi="Arial" w:cs="Arial"/>
          <w:sz w:val="20"/>
          <w:szCs w:val="20"/>
        </w:rPr>
        <w:t>der Leerstand</w:t>
      </w:r>
      <w:r w:rsidRPr="00FF283F">
        <w:rPr>
          <w:rFonts w:ascii="Arial" w:hAnsi="Arial" w:cs="Arial"/>
          <w:sz w:val="20"/>
          <w:szCs w:val="20"/>
        </w:rPr>
        <w:t xml:space="preserve"> leicht ansteigen. Das </w:t>
      </w:r>
      <w:r w:rsidR="00F55AD0">
        <w:rPr>
          <w:rFonts w:ascii="Arial" w:hAnsi="Arial" w:cs="Arial"/>
          <w:sz w:val="20"/>
          <w:szCs w:val="20"/>
        </w:rPr>
        <w:t xml:space="preserve">Hamburger </w:t>
      </w:r>
      <w:r w:rsidRPr="00FF283F">
        <w:rPr>
          <w:rFonts w:ascii="Arial" w:hAnsi="Arial" w:cs="Arial"/>
          <w:sz w:val="20"/>
          <w:szCs w:val="20"/>
        </w:rPr>
        <w:t>Fertigstellungs</w:t>
      </w:r>
      <w:r w:rsidR="00851DBD">
        <w:rPr>
          <w:rFonts w:ascii="Arial" w:hAnsi="Arial" w:cs="Arial"/>
          <w:sz w:val="20"/>
          <w:szCs w:val="20"/>
        </w:rPr>
        <w:t>volumen</w:t>
      </w:r>
      <w:r w:rsidRPr="00FF283F">
        <w:rPr>
          <w:rFonts w:ascii="Arial" w:hAnsi="Arial" w:cs="Arial"/>
          <w:sz w:val="20"/>
          <w:szCs w:val="20"/>
        </w:rPr>
        <w:t xml:space="preserve"> wird voraussichtlich </w:t>
      </w:r>
      <w:r w:rsidR="00851DBD" w:rsidRPr="00FF283F">
        <w:rPr>
          <w:rFonts w:ascii="Arial" w:hAnsi="Arial" w:cs="Arial"/>
          <w:sz w:val="20"/>
          <w:szCs w:val="20"/>
        </w:rPr>
        <w:t xml:space="preserve">2023 </w:t>
      </w:r>
      <w:r w:rsidRPr="00FF283F">
        <w:rPr>
          <w:rFonts w:ascii="Arial" w:hAnsi="Arial" w:cs="Arial"/>
          <w:sz w:val="20"/>
          <w:szCs w:val="20"/>
        </w:rPr>
        <w:t xml:space="preserve">mit 317.000 m² seinen Höhepunkt erreichen. </w:t>
      </w:r>
      <w:r w:rsidR="00F55AD0" w:rsidRPr="00FF283F">
        <w:rPr>
          <w:rFonts w:ascii="Arial" w:hAnsi="Arial" w:cs="Arial"/>
          <w:sz w:val="20"/>
          <w:szCs w:val="20"/>
        </w:rPr>
        <w:t>75</w:t>
      </w:r>
      <w:r w:rsidR="00F55AD0">
        <w:rPr>
          <w:rFonts w:ascii="Arial" w:hAnsi="Arial" w:cs="Arial"/>
          <w:sz w:val="20"/>
          <w:szCs w:val="20"/>
        </w:rPr>
        <w:t xml:space="preserve"> </w:t>
      </w:r>
      <w:r w:rsidR="00F55AD0" w:rsidRPr="00FF283F">
        <w:rPr>
          <w:rFonts w:ascii="Arial" w:hAnsi="Arial" w:cs="Arial"/>
          <w:sz w:val="20"/>
          <w:szCs w:val="20"/>
        </w:rPr>
        <w:t>%</w:t>
      </w:r>
      <w:r w:rsidR="00F55AD0">
        <w:rPr>
          <w:rFonts w:ascii="Arial" w:hAnsi="Arial" w:cs="Arial"/>
          <w:sz w:val="20"/>
          <w:szCs w:val="20"/>
        </w:rPr>
        <w:t xml:space="preserve"> dieser Flächen sind bereits v</w:t>
      </w:r>
      <w:r w:rsidRPr="00FF283F">
        <w:rPr>
          <w:rFonts w:ascii="Arial" w:hAnsi="Arial" w:cs="Arial"/>
          <w:sz w:val="20"/>
          <w:szCs w:val="20"/>
        </w:rPr>
        <w:t>orvermiet</w:t>
      </w:r>
      <w:r w:rsidR="0003457F">
        <w:rPr>
          <w:rFonts w:ascii="Arial" w:hAnsi="Arial" w:cs="Arial"/>
          <w:sz w:val="20"/>
          <w:szCs w:val="20"/>
        </w:rPr>
        <w:t>et</w:t>
      </w:r>
      <w:r w:rsidR="00307302">
        <w:rPr>
          <w:rFonts w:ascii="Arial" w:hAnsi="Arial" w:cs="Arial"/>
          <w:sz w:val="20"/>
          <w:szCs w:val="20"/>
        </w:rPr>
        <w:t xml:space="preserve">, </w:t>
      </w:r>
      <w:r w:rsidRPr="00FF283F">
        <w:rPr>
          <w:rFonts w:ascii="Arial" w:hAnsi="Arial" w:cs="Arial"/>
          <w:sz w:val="20"/>
          <w:szCs w:val="20"/>
        </w:rPr>
        <w:t xml:space="preserve">rund 78.000 m² </w:t>
      </w:r>
      <w:r w:rsidR="00EE075D">
        <w:rPr>
          <w:rFonts w:ascii="Arial" w:hAnsi="Arial" w:cs="Arial"/>
          <w:sz w:val="20"/>
          <w:szCs w:val="20"/>
        </w:rPr>
        <w:t>werden</w:t>
      </w:r>
      <w:r w:rsidR="00EE075D" w:rsidRPr="00FF283F">
        <w:rPr>
          <w:rFonts w:ascii="Arial" w:hAnsi="Arial" w:cs="Arial"/>
          <w:sz w:val="20"/>
          <w:szCs w:val="20"/>
        </w:rPr>
        <w:t xml:space="preserve"> </w:t>
      </w:r>
      <w:r w:rsidRPr="00FF283F">
        <w:rPr>
          <w:rFonts w:ascii="Arial" w:hAnsi="Arial" w:cs="Arial"/>
          <w:sz w:val="20"/>
          <w:szCs w:val="20"/>
        </w:rPr>
        <w:t>spekulativ errichtet</w:t>
      </w:r>
      <w:r w:rsidR="00307302">
        <w:rPr>
          <w:rFonts w:ascii="Arial" w:hAnsi="Arial" w:cs="Arial"/>
          <w:sz w:val="20"/>
          <w:szCs w:val="20"/>
        </w:rPr>
        <w:t>.</w:t>
      </w:r>
    </w:p>
    <w:p w14:paraId="4C2649DF" w14:textId="341D7864" w:rsidR="00052659" w:rsidRPr="001429D0" w:rsidRDefault="0003457F" w:rsidP="001429D0">
      <w:pPr>
        <w:pStyle w:val="FliesstextNL"/>
        <w:spacing w:line="360" w:lineRule="auto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6AF397BD" wp14:editId="19ADB45D">
            <wp:simplePos x="0" y="0"/>
            <wp:positionH relativeFrom="margin">
              <wp:posOffset>3223260</wp:posOffset>
            </wp:positionH>
            <wp:positionV relativeFrom="paragraph">
              <wp:posOffset>256540</wp:posOffset>
            </wp:positionV>
            <wp:extent cx="2870200" cy="2446655"/>
            <wp:effectExtent l="19050" t="19050" r="25400" b="1079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M Bü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4466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48"/>
        <w:tblW w:w="2575" w:type="pct"/>
        <w:tblLayout w:type="fixed"/>
        <w:tblLook w:val="04A0" w:firstRow="1" w:lastRow="0" w:firstColumn="1" w:lastColumn="0" w:noHBand="0" w:noVBand="1"/>
      </w:tblPr>
      <w:tblGrid>
        <w:gridCol w:w="3823"/>
        <w:gridCol w:w="1134"/>
      </w:tblGrid>
      <w:tr w:rsidR="001533C6" w:rsidRPr="005650DF" w14:paraId="4FF9FD53" w14:textId="77777777" w:rsidTr="001533C6">
        <w:trPr>
          <w:trHeight w:val="416"/>
        </w:trPr>
        <w:tc>
          <w:tcPr>
            <w:tcW w:w="3856" w:type="pct"/>
            <w:shd w:val="clear" w:color="auto" w:fill="000000" w:themeFill="text1"/>
            <w:vAlign w:val="center"/>
          </w:tcPr>
          <w:p w14:paraId="73ECD5FC" w14:textId="161AF0C8" w:rsidR="001533C6" w:rsidRPr="001533C6" w:rsidRDefault="001533C6" w:rsidP="00DF03C8">
            <w:pPr>
              <w:widowControl w:val="0"/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Büro</w:t>
            </w:r>
            <w:r w:rsidR="00EB2E4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vermietungs</w:t>
            </w: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markt | Hamburg | 2022</w:t>
            </w:r>
          </w:p>
        </w:tc>
        <w:tc>
          <w:tcPr>
            <w:tcW w:w="1144" w:type="pct"/>
            <w:shd w:val="clear" w:color="auto" w:fill="000000" w:themeFill="text1"/>
            <w:vAlign w:val="center"/>
          </w:tcPr>
          <w:p w14:paraId="5FDA2CEA" w14:textId="09DDCBDB" w:rsidR="001533C6" w:rsidRPr="001533C6" w:rsidRDefault="001533C6" w:rsidP="00DF03C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Q1</w:t>
            </w:r>
            <w:r w:rsidR="00CD4A02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-3</w:t>
            </w:r>
          </w:p>
        </w:tc>
      </w:tr>
      <w:tr w:rsidR="004526F6" w:rsidRPr="00F952F7" w14:paraId="70B142AA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4783DB5" w14:textId="77777777" w:rsidR="004526F6" w:rsidRPr="000E7BC7" w:rsidRDefault="004526F6" w:rsidP="004526F6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53031B">
              <w:rPr>
                <w:rFonts w:ascii="Arial" w:hAnsi="Arial" w:cs="Arial"/>
                <w:b/>
                <w:sz w:val="18"/>
                <w:szCs w:val="16"/>
              </w:rPr>
              <w:t>Flächenum</w:t>
            </w:r>
            <w:r w:rsidRPr="000E7BC7">
              <w:rPr>
                <w:rFonts w:ascii="Arial" w:hAnsi="Arial" w:cs="Arial"/>
                <w:b/>
                <w:sz w:val="18"/>
                <w:szCs w:val="16"/>
              </w:rPr>
              <w:t>satz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53E41973" w14:textId="3E4BA86F" w:rsidR="004526F6" w:rsidRPr="000E7BC7" w:rsidRDefault="004526F6" w:rsidP="004526F6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465</w:t>
            </w:r>
            <w:r w:rsidRPr="00450AE4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4526F6" w:rsidRPr="00F952F7" w14:paraId="1DDBF1A6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5B57778E" w14:textId="77777777" w:rsidR="004526F6" w:rsidRPr="000E7BC7" w:rsidRDefault="004526F6" w:rsidP="004526F6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45926FE8" w14:textId="6F8C48DA" w:rsidR="004526F6" w:rsidRPr="000E7BC7" w:rsidRDefault="004526F6" w:rsidP="004526F6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+29,2</w:t>
            </w:r>
          </w:p>
        </w:tc>
      </w:tr>
      <w:tr w:rsidR="004526F6" w:rsidRPr="00F952F7" w14:paraId="077C5AA1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19D22308" w14:textId="77777777" w:rsidR="004526F6" w:rsidRPr="000E7BC7" w:rsidRDefault="004526F6" w:rsidP="004526F6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>Spitzenmiete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€/m²/Monat</w:t>
            </w:r>
            <w:r>
              <w:rPr>
                <w:rFonts w:ascii="Arial" w:hAnsi="Arial" w:cs="Arial"/>
                <w:sz w:val="18"/>
                <w:szCs w:val="16"/>
              </w:rPr>
              <w:t xml:space="preserve"> nettokalt]</w:t>
            </w:r>
          </w:p>
        </w:tc>
        <w:tc>
          <w:tcPr>
            <w:tcW w:w="1144" w:type="pct"/>
            <w:vAlign w:val="center"/>
          </w:tcPr>
          <w:p w14:paraId="2D96A673" w14:textId="1F988ADB" w:rsidR="004526F6" w:rsidRPr="000E7BC7" w:rsidRDefault="004526F6" w:rsidP="004526F6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33,50</w:t>
            </w:r>
          </w:p>
        </w:tc>
      </w:tr>
      <w:tr w:rsidR="004526F6" w:rsidRPr="00F952F7" w14:paraId="20E3055B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8AD8597" w14:textId="77777777" w:rsidR="004526F6" w:rsidRPr="000E7BC7" w:rsidRDefault="004526F6" w:rsidP="004526F6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43EAC70D" w14:textId="22F5682A" w:rsidR="004526F6" w:rsidRPr="000E7BC7" w:rsidRDefault="004526F6" w:rsidP="004526F6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+6,3</w:t>
            </w:r>
          </w:p>
        </w:tc>
      </w:tr>
      <w:tr w:rsidR="004526F6" w:rsidRPr="00F952F7" w14:paraId="6F451023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0514069" w14:textId="77777777" w:rsidR="004526F6" w:rsidRPr="000E7BC7" w:rsidRDefault="004526F6" w:rsidP="004526F6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 xml:space="preserve">Durchschnittsmiete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€/m²/Monat</w:t>
            </w:r>
            <w:r>
              <w:rPr>
                <w:rFonts w:ascii="Arial" w:hAnsi="Arial" w:cs="Arial"/>
                <w:sz w:val="18"/>
                <w:szCs w:val="16"/>
              </w:rPr>
              <w:t xml:space="preserve"> nettokalt]</w:t>
            </w:r>
          </w:p>
        </w:tc>
        <w:tc>
          <w:tcPr>
            <w:tcW w:w="1144" w:type="pct"/>
            <w:vAlign w:val="center"/>
          </w:tcPr>
          <w:p w14:paraId="0820D982" w14:textId="7B006E8D" w:rsidR="004526F6" w:rsidRPr="000E7BC7" w:rsidRDefault="004526F6" w:rsidP="004526F6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21,00</w:t>
            </w:r>
          </w:p>
        </w:tc>
      </w:tr>
      <w:tr w:rsidR="004526F6" w:rsidRPr="00F952F7" w14:paraId="0E42EFC7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7890C98" w14:textId="77777777" w:rsidR="004526F6" w:rsidRPr="000E7BC7" w:rsidRDefault="004526F6" w:rsidP="004526F6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6FB5030D" w14:textId="7EBEB94A" w:rsidR="004526F6" w:rsidRPr="000E7BC7" w:rsidRDefault="004526F6" w:rsidP="004526F6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+16,0</w:t>
            </w:r>
          </w:p>
        </w:tc>
      </w:tr>
      <w:tr w:rsidR="004526F6" w:rsidRPr="00F952F7" w14:paraId="2518123F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38F5680E" w14:textId="77777777" w:rsidR="004526F6" w:rsidRPr="000E7BC7" w:rsidRDefault="004526F6" w:rsidP="004526F6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 xml:space="preserve">Büroflächenbestand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Mio. 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39A5B4DB" w14:textId="5D8C30D0" w:rsidR="004526F6" w:rsidRPr="000E7BC7" w:rsidRDefault="004526F6" w:rsidP="004526F6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14,1</w:t>
            </w:r>
          </w:p>
        </w:tc>
      </w:tr>
      <w:tr w:rsidR="004526F6" w:rsidRPr="00F952F7" w14:paraId="5213204C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2780C8D0" w14:textId="77777777" w:rsidR="004526F6" w:rsidRPr="000E7BC7" w:rsidRDefault="004526F6" w:rsidP="004526F6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>Leerstand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 inkl</w:t>
            </w:r>
            <w:r w:rsidRPr="00CE0BB9">
              <w:rPr>
                <w:rFonts w:ascii="Arial" w:hAnsi="Arial" w:cs="Arial"/>
                <w:sz w:val="18"/>
                <w:szCs w:val="16"/>
              </w:rPr>
              <w:t>. Untermietflächen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12A4A9CF" w14:textId="469BB39B" w:rsidR="004526F6" w:rsidRPr="000E7BC7" w:rsidRDefault="004526F6" w:rsidP="004526F6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541.900</w:t>
            </w:r>
          </w:p>
        </w:tc>
      </w:tr>
      <w:tr w:rsidR="004526F6" w:rsidRPr="00F952F7" w14:paraId="64C1EF13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2CAE2FE" w14:textId="77777777" w:rsidR="004526F6" w:rsidRPr="000E7BC7" w:rsidRDefault="004526F6" w:rsidP="004526F6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7C730CE0" w14:textId="574A3C2A" w:rsidR="004526F6" w:rsidRPr="000E7BC7" w:rsidRDefault="008A6585" w:rsidP="004526F6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  <w:r w:rsidR="004526F6">
              <w:rPr>
                <w:rFonts w:ascii="Arial" w:hAnsi="Arial" w:cs="Arial"/>
                <w:color w:val="000000" w:themeColor="text1"/>
                <w:sz w:val="18"/>
                <w:szCs w:val="16"/>
              </w:rPr>
              <w:t>1,0</w:t>
            </w:r>
          </w:p>
        </w:tc>
      </w:tr>
      <w:tr w:rsidR="004526F6" w:rsidRPr="00F952F7" w14:paraId="40CB2D96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7EFD95EC" w14:textId="77777777" w:rsidR="004526F6" w:rsidRPr="000E7BC7" w:rsidRDefault="004526F6" w:rsidP="004526F6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6"/>
              </w:rPr>
              <w:t>Leerstandsquote</w:t>
            </w:r>
            <w:proofErr w:type="spellEnd"/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inkl</w:t>
            </w:r>
            <w:r w:rsidRPr="00CE0BB9">
              <w:rPr>
                <w:rFonts w:ascii="Arial" w:hAnsi="Arial" w:cs="Arial"/>
                <w:sz w:val="18"/>
                <w:szCs w:val="16"/>
              </w:rPr>
              <w:t>. Untermietflächen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616D7FC2" w14:textId="52848EE1" w:rsidR="004526F6" w:rsidRPr="000E7BC7" w:rsidRDefault="004526F6" w:rsidP="004526F6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3,8</w:t>
            </w:r>
          </w:p>
        </w:tc>
      </w:tr>
      <w:tr w:rsidR="004526F6" w:rsidRPr="00F952F7" w14:paraId="5E4D6219" w14:textId="77777777" w:rsidTr="00DF03C8">
        <w:trPr>
          <w:trHeight w:val="283"/>
        </w:trPr>
        <w:tc>
          <w:tcPr>
            <w:tcW w:w="3856" w:type="pct"/>
            <w:tcBorders>
              <w:bottom w:val="single" w:sz="4" w:space="0" w:color="auto"/>
            </w:tcBorders>
            <w:vAlign w:val="center"/>
          </w:tcPr>
          <w:p w14:paraId="4DA0B3D9" w14:textId="77777777" w:rsidR="004526F6" w:rsidRPr="000E7BC7" w:rsidRDefault="004526F6" w:rsidP="004526F6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Fertigstellungen 2022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+</w:t>
            </w:r>
            <w:r w:rsidRPr="000E7BC7">
              <w:rPr>
                <w:rFonts w:ascii="Arial" w:hAnsi="Arial" w:cs="Arial"/>
                <w:b/>
                <w:bCs/>
                <w:sz w:val="18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3</w:t>
            </w:r>
            <w:r w:rsidRPr="000E7BC7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29207C4D" w14:textId="013D3F3F" w:rsidR="004526F6" w:rsidRPr="000E7BC7" w:rsidRDefault="004526F6" w:rsidP="004526F6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511</w:t>
            </w:r>
            <w:r w:rsidRPr="00013842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4526F6" w:rsidRPr="00F952F7" w14:paraId="39ED958F" w14:textId="77777777" w:rsidTr="00DF03C8">
        <w:trPr>
          <w:trHeight w:val="283"/>
        </w:trPr>
        <w:tc>
          <w:tcPr>
            <w:tcW w:w="3856" w:type="pct"/>
            <w:tcBorders>
              <w:bottom w:val="single" w:sz="4" w:space="0" w:color="auto"/>
            </w:tcBorders>
            <w:vAlign w:val="center"/>
          </w:tcPr>
          <w:p w14:paraId="59B947E6" w14:textId="77777777" w:rsidR="004526F6" w:rsidRPr="000E7BC7" w:rsidRDefault="004526F6" w:rsidP="004526F6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Vorvermietungsquote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%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34083532" w14:textId="6DB84537" w:rsidR="004526F6" w:rsidRPr="000E7BC7" w:rsidRDefault="004526F6" w:rsidP="004526F6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77</w:t>
            </w:r>
          </w:p>
        </w:tc>
      </w:tr>
    </w:tbl>
    <w:p w14:paraId="2776974B" w14:textId="70D4F08E" w:rsidR="001533C6" w:rsidRDefault="001533C6" w:rsidP="001533C6">
      <w:pPr>
        <w:spacing w:after="0"/>
        <w:rPr>
          <w:rFonts w:ascii="Arial" w:hAnsi="Arial" w:cs="Arial"/>
          <w:b/>
          <w:sz w:val="20"/>
          <w:szCs w:val="20"/>
        </w:rPr>
      </w:pPr>
    </w:p>
    <w:p w14:paraId="0B96EC8B" w14:textId="77777777" w:rsidR="001533C6" w:rsidRDefault="001533C6" w:rsidP="001533C6">
      <w:pPr>
        <w:spacing w:after="0"/>
        <w:rPr>
          <w:rFonts w:ascii="Arial" w:hAnsi="Arial" w:cs="Arial"/>
          <w:b/>
          <w:sz w:val="20"/>
          <w:szCs w:val="20"/>
        </w:rPr>
      </w:pPr>
    </w:p>
    <w:p w14:paraId="1953F707" w14:textId="77777777" w:rsidR="006C77F1" w:rsidRDefault="006C77F1" w:rsidP="001533C6">
      <w:pPr>
        <w:spacing w:after="0"/>
        <w:rPr>
          <w:rFonts w:ascii="Arial" w:hAnsi="Arial" w:cs="Arial"/>
          <w:b/>
          <w:sz w:val="20"/>
          <w:szCs w:val="20"/>
        </w:rPr>
      </w:pPr>
    </w:p>
    <w:p w14:paraId="7C5FA7AA" w14:textId="77777777" w:rsidR="00123E01" w:rsidRDefault="00123E01" w:rsidP="001533C6">
      <w:pPr>
        <w:spacing w:after="0"/>
        <w:rPr>
          <w:rFonts w:ascii="Arial" w:hAnsi="Arial" w:cs="Arial"/>
          <w:b/>
          <w:sz w:val="20"/>
          <w:szCs w:val="20"/>
        </w:rPr>
      </w:pPr>
    </w:p>
    <w:p w14:paraId="034C0035" w14:textId="77777777" w:rsidR="00123E01" w:rsidRDefault="00123E01" w:rsidP="001533C6">
      <w:pPr>
        <w:spacing w:after="0"/>
        <w:rPr>
          <w:rFonts w:ascii="Arial" w:hAnsi="Arial" w:cs="Arial"/>
          <w:b/>
          <w:sz w:val="20"/>
          <w:szCs w:val="20"/>
        </w:rPr>
      </w:pPr>
    </w:p>
    <w:p w14:paraId="45388B5A" w14:textId="6A055BCF" w:rsidR="001533C6" w:rsidRDefault="001533C6" w:rsidP="001533C6">
      <w:pPr>
        <w:spacing w:after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Ausgewählte bekannte Top-Abschlüsse | Büro</w:t>
      </w:r>
      <w:r w:rsidR="00EB2E4B">
        <w:rPr>
          <w:rFonts w:ascii="Arial" w:hAnsi="Arial" w:cs="Arial"/>
          <w:b/>
          <w:sz w:val="20"/>
          <w:szCs w:val="20"/>
        </w:rPr>
        <w:t>vermietungs</w:t>
      </w:r>
      <w:r>
        <w:rPr>
          <w:rFonts w:ascii="Arial" w:hAnsi="Arial" w:cs="Arial"/>
          <w:b/>
          <w:sz w:val="20"/>
          <w:szCs w:val="20"/>
        </w:rPr>
        <w:t>markt Hamburg | 1.</w:t>
      </w:r>
      <w:r w:rsidR="00CD4A02">
        <w:rPr>
          <w:rFonts w:ascii="Arial" w:hAnsi="Arial" w:cs="Arial"/>
          <w:b/>
          <w:sz w:val="20"/>
          <w:szCs w:val="20"/>
        </w:rPr>
        <w:t>-3</w:t>
      </w:r>
      <w:r w:rsidR="00EB2E4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Quartal 2022</w:t>
      </w:r>
    </w:p>
    <w:tbl>
      <w:tblPr>
        <w:tblStyle w:val="Tabellenraster"/>
        <w:tblpPr w:leftFromText="141" w:rightFromText="141" w:vertAnchor="text" w:horzAnchor="margin" w:tblpXSpec="center" w:tblpY="218"/>
        <w:tblW w:w="9634" w:type="dxa"/>
        <w:jc w:val="center"/>
        <w:tblLook w:val="04A0" w:firstRow="1" w:lastRow="0" w:firstColumn="1" w:lastColumn="0" w:noHBand="0" w:noVBand="1"/>
      </w:tblPr>
      <w:tblGrid>
        <w:gridCol w:w="2405"/>
        <w:gridCol w:w="2410"/>
        <w:gridCol w:w="2693"/>
        <w:gridCol w:w="1294"/>
        <w:gridCol w:w="832"/>
      </w:tblGrid>
      <w:tr w:rsidR="006C77F1" w:rsidRPr="0017364E" w14:paraId="60919A6D" w14:textId="77777777" w:rsidTr="0092297D">
        <w:trPr>
          <w:trHeight w:val="567"/>
          <w:jc w:val="center"/>
        </w:trPr>
        <w:tc>
          <w:tcPr>
            <w:tcW w:w="2405" w:type="dxa"/>
            <w:shd w:val="clear" w:color="auto" w:fill="000000" w:themeFill="text1"/>
            <w:vAlign w:val="center"/>
          </w:tcPr>
          <w:p w14:paraId="2546E44C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Mieter / Eigennutzer (EN)</w:t>
            </w:r>
          </w:p>
          <w:p w14:paraId="2BB100F7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000000" w:themeFill="text1"/>
            <w:vAlign w:val="center"/>
          </w:tcPr>
          <w:p w14:paraId="407ED6E7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Objekt / Projekt</w:t>
            </w:r>
          </w:p>
          <w:p w14:paraId="5D072738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693" w:type="dxa"/>
            <w:shd w:val="clear" w:color="auto" w:fill="000000" w:themeFill="text1"/>
            <w:vAlign w:val="center"/>
          </w:tcPr>
          <w:p w14:paraId="76787E3C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Straße Nr.</w:t>
            </w:r>
          </w:p>
          <w:p w14:paraId="078FBD69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94" w:type="dxa"/>
            <w:shd w:val="clear" w:color="auto" w:fill="000000" w:themeFill="text1"/>
            <w:vAlign w:val="center"/>
          </w:tcPr>
          <w:p w14:paraId="30621121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Teilmarkt</w:t>
            </w:r>
          </w:p>
          <w:p w14:paraId="3D37EA5E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832" w:type="dxa"/>
            <w:shd w:val="clear" w:color="auto" w:fill="000000" w:themeFill="text1"/>
            <w:vAlign w:val="center"/>
          </w:tcPr>
          <w:p w14:paraId="2526E7A6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 xml:space="preserve">Fläche </w:t>
            </w: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br/>
            </w:r>
            <w:r w:rsidRPr="001533C6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[ca. m²]</w:t>
            </w:r>
          </w:p>
        </w:tc>
      </w:tr>
      <w:tr w:rsidR="00CD4A02" w:rsidRPr="0017364E" w14:paraId="4F113D36" w14:textId="77777777" w:rsidTr="0092297D">
        <w:trPr>
          <w:trHeight w:val="567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E489964" w14:textId="5889DEFA" w:rsidR="00CD4A02" w:rsidRDefault="00CD4A02" w:rsidP="00045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Dataport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23154EA" w14:textId="68B3780D" w:rsidR="00CD4A02" w:rsidRDefault="00CD4A02" w:rsidP="000456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„Hanse Center“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99368B4" w14:textId="2B23C795" w:rsidR="00CD4A02" w:rsidRPr="004D3D75" w:rsidRDefault="00CD4A02" w:rsidP="009229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D75">
              <w:rPr>
                <w:rFonts w:ascii="Arial" w:hAnsi="Arial" w:cs="Arial"/>
                <w:color w:val="000000"/>
                <w:sz w:val="16"/>
                <w:szCs w:val="16"/>
              </w:rPr>
              <w:t>Wikingerweg 1,</w:t>
            </w:r>
            <w:r w:rsidR="004D3D75" w:rsidRPr="004D3D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D3D75" w:rsidRPr="004D3D75">
              <w:rPr>
                <w:rFonts w:ascii="Arial" w:hAnsi="Arial" w:cs="Arial"/>
                <w:bCs/>
                <w:sz w:val="16"/>
                <w:szCs w:val="16"/>
              </w:rPr>
              <w:t xml:space="preserve">Normannenweg 25, 27, 29, </w:t>
            </w:r>
            <w:proofErr w:type="spellStart"/>
            <w:r w:rsidR="004D3D75" w:rsidRPr="004D3D75">
              <w:rPr>
                <w:rFonts w:ascii="Arial" w:hAnsi="Arial" w:cs="Arial"/>
                <w:bCs/>
                <w:sz w:val="16"/>
                <w:szCs w:val="16"/>
              </w:rPr>
              <w:t>Eiffestraße</w:t>
            </w:r>
            <w:proofErr w:type="spellEnd"/>
            <w:r w:rsidR="004D3D75" w:rsidRPr="004D3D75">
              <w:rPr>
                <w:rFonts w:ascii="Arial" w:hAnsi="Arial" w:cs="Arial"/>
                <w:bCs/>
                <w:sz w:val="16"/>
                <w:szCs w:val="16"/>
              </w:rPr>
              <w:t xml:space="preserve"> 26, 28, 30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1724971D" w14:textId="5255136A" w:rsidR="00CD4A02" w:rsidRDefault="00CD4A02" w:rsidP="000456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 Süd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71C5DF37" w14:textId="55F2EA5A" w:rsidR="00CD4A02" w:rsidRDefault="00CD4A02" w:rsidP="008A658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</w:t>
            </w:r>
            <w:r w:rsidR="008A6585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6C77F1" w:rsidRPr="0017364E" w14:paraId="77DBE2C5" w14:textId="77777777" w:rsidTr="0092297D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CDE409B" w14:textId="764BF4B7" w:rsidR="00276FB2" w:rsidRPr="006C77F1" w:rsidRDefault="00A14078" w:rsidP="00045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Hamburger Sparkasse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616190" w14:textId="2B5C2FF8" w:rsidR="00276FB2" w:rsidRPr="006C77F1" w:rsidRDefault="00A14078" w:rsidP="000456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„Deutschlandhaus“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E89055" w14:textId="256D4582" w:rsidR="00276FB2" w:rsidRPr="006C77F1" w:rsidRDefault="00A14078" w:rsidP="000456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Dammtorstraße 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BF5B724" w14:textId="7582D84E" w:rsidR="00276FB2" w:rsidRPr="006C77F1" w:rsidRDefault="00A14078" w:rsidP="000456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C7FA4A3" w14:textId="68A5C8C5" w:rsidR="00276FB2" w:rsidRPr="006C77F1" w:rsidRDefault="00A14078" w:rsidP="004D3D7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30.800</w:t>
            </w:r>
            <w:r w:rsidR="00276FB2" w:rsidRPr="006C77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4078" w:rsidRPr="006E2677" w14:paraId="155379B5" w14:textId="77777777" w:rsidTr="0092297D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9978C96" w14:textId="5EA77D20" w:rsidR="00A14078" w:rsidRPr="006C77F1" w:rsidRDefault="00A14078" w:rsidP="00A1407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A14078">
              <w:rPr>
                <w:rFonts w:ascii="Arial" w:hAnsi="Arial" w:cs="Arial"/>
                <w:sz w:val="20"/>
                <w:szCs w:val="20"/>
              </w:rPr>
              <w:t>VTG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F93B6B" w14:textId="142E7DDC" w:rsidR="00A14078" w:rsidRPr="0027363B" w:rsidRDefault="00A14078" w:rsidP="00A1407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07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„Green Innovation Lab“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696B69" w14:textId="59B96D05" w:rsidR="00A14078" w:rsidRPr="00A14078" w:rsidRDefault="00A14078" w:rsidP="00A140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Versmannstraße, „</w:t>
            </w:r>
            <w:r w:rsidRPr="006C77F1">
              <w:rPr>
                <w:rFonts w:ascii="Arial" w:hAnsi="Arial" w:cs="Arial"/>
                <w:color w:val="000000"/>
                <w:sz w:val="20"/>
                <w:szCs w:val="20"/>
              </w:rPr>
              <w:t>Elbbrückenquartier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84A786E" w14:textId="204C1827" w:rsidR="00A14078" w:rsidRPr="006C77F1" w:rsidRDefault="00A14078" w:rsidP="00A1407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7F1">
              <w:rPr>
                <w:rFonts w:ascii="Arial" w:hAnsi="Arial" w:cs="Arial"/>
                <w:color w:val="000000"/>
                <w:sz w:val="20"/>
                <w:szCs w:val="20"/>
              </w:rPr>
              <w:t>HafenCity</w:t>
            </w:r>
            <w:proofErr w:type="spellEnd"/>
          </w:p>
        </w:tc>
        <w:tc>
          <w:tcPr>
            <w:tcW w:w="832" w:type="dxa"/>
            <w:shd w:val="clear" w:color="auto" w:fill="auto"/>
            <w:vAlign w:val="center"/>
          </w:tcPr>
          <w:p w14:paraId="6BFAF344" w14:textId="245992D6" w:rsidR="00A14078" w:rsidRPr="006C77F1" w:rsidRDefault="00A14078" w:rsidP="004D3D75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F1">
              <w:rPr>
                <w:rFonts w:ascii="Arial" w:hAnsi="Arial" w:cs="Arial"/>
                <w:color w:val="000000"/>
                <w:sz w:val="20"/>
                <w:szCs w:val="20"/>
              </w:rPr>
              <w:t xml:space="preserve">11.500 </w:t>
            </w:r>
          </w:p>
        </w:tc>
      </w:tr>
      <w:tr w:rsidR="006C77F1" w:rsidRPr="0017364E" w14:paraId="10468498" w14:textId="77777777" w:rsidTr="0092297D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E70CDED" w14:textId="3641FFEF" w:rsidR="00276FB2" w:rsidRPr="006C77F1" w:rsidRDefault="00423E19" w:rsidP="00423E19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23E19">
              <w:rPr>
                <w:rFonts w:ascii="Arial" w:hAnsi="Arial" w:cs="Arial"/>
                <w:sz w:val="20"/>
                <w:szCs w:val="20"/>
              </w:rPr>
              <w:t>Kasse.Hamburg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0898C748" w14:textId="5E1DCFB6" w:rsidR="00276FB2" w:rsidRPr="006C77F1" w:rsidRDefault="000E3623" w:rsidP="000456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47">
              <w:rPr>
                <w:rFonts w:ascii="Arial" w:hAnsi="Arial" w:cs="Arial"/>
                <w:sz w:val="20"/>
                <w:szCs w:val="20"/>
              </w:rPr>
              <w:t>Bestandsgebäude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21C1E3" w14:textId="11105D4A" w:rsidR="00276FB2" w:rsidRPr="006C77F1" w:rsidRDefault="00423E19" w:rsidP="00045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Gasstraße 27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2180C29" w14:textId="3E4033BD" w:rsidR="00276FB2" w:rsidRPr="006C77F1" w:rsidRDefault="00423E19" w:rsidP="002736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Bahrenfeld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F9773E9" w14:textId="47E88090" w:rsidR="00276FB2" w:rsidRPr="0027363B" w:rsidRDefault="00423E19" w:rsidP="004D3D75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8.900</w:t>
            </w:r>
          </w:p>
        </w:tc>
      </w:tr>
      <w:tr w:rsidR="004D3D75" w:rsidRPr="0017364E" w14:paraId="234EA95A" w14:textId="77777777" w:rsidTr="0092297D">
        <w:trPr>
          <w:trHeight w:val="567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C59719D" w14:textId="0EF32687" w:rsidR="004D3D75" w:rsidRPr="006C77F1" w:rsidRDefault="004D3D75" w:rsidP="004D3D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687">
              <w:rPr>
                <w:rFonts w:ascii="Arial" w:hAnsi="Arial" w:cs="Arial"/>
                <w:color w:val="000000"/>
                <w:sz w:val="20"/>
                <w:szCs w:val="20"/>
              </w:rPr>
              <w:t>Reemtsma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E688F4C" w14:textId="7644CAC0" w:rsidR="004D3D75" w:rsidRPr="006C77F1" w:rsidRDefault="004D3D75" w:rsidP="004D3D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E53687">
              <w:rPr>
                <w:rFonts w:ascii="Arial" w:hAnsi="Arial" w:cs="Arial"/>
                <w:color w:val="000000"/>
                <w:sz w:val="20"/>
                <w:szCs w:val="20"/>
              </w:rPr>
              <w:t>Marzipanfabrik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C4E0271" w14:textId="04315676" w:rsidR="004D3D75" w:rsidRPr="006C77F1" w:rsidRDefault="004D3D75" w:rsidP="004D3D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53687">
              <w:rPr>
                <w:rFonts w:ascii="Arial" w:hAnsi="Arial" w:cs="Arial"/>
                <w:color w:val="000000"/>
                <w:sz w:val="20"/>
                <w:szCs w:val="20"/>
              </w:rPr>
              <w:t>Jürgen-Töpfer-Straße 50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37C08CDB" w14:textId="5B3D26DE" w:rsidR="004D3D75" w:rsidRPr="006C77F1" w:rsidRDefault="004D3D75" w:rsidP="004D3D7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Altona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70E8854C" w14:textId="79BAD729" w:rsidR="004D3D75" w:rsidRPr="006C77F1" w:rsidRDefault="004D3D75" w:rsidP="004D3D75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8.100</w:t>
            </w:r>
          </w:p>
        </w:tc>
      </w:tr>
    </w:tbl>
    <w:p w14:paraId="5AFC598B" w14:textId="77777777" w:rsidR="001533C6" w:rsidRDefault="001533C6" w:rsidP="001533C6">
      <w:pPr>
        <w:widowControl w:val="0"/>
        <w:spacing w:after="0"/>
        <w:rPr>
          <w:rFonts w:ascii="Arial" w:hAnsi="Arial" w:cs="Arial"/>
          <w:sz w:val="16"/>
          <w:szCs w:val="16"/>
        </w:rPr>
      </w:pPr>
    </w:p>
    <w:p w14:paraId="1E03FE05" w14:textId="3B93B317" w:rsidR="001533C6" w:rsidRDefault="00CD4CE5" w:rsidP="001533C6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Deals aus jeweiligem Berichtsquartal sind grau hinterlegt</w:t>
      </w:r>
    </w:p>
    <w:p w14:paraId="6344DC72" w14:textId="77777777" w:rsidR="00CD4CE5" w:rsidRDefault="00CD4CE5" w:rsidP="001533C6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3144B28" w14:textId="44329933" w:rsidR="001533C6" w:rsidRPr="00A3554C" w:rsidRDefault="001533C6" w:rsidP="001533C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Der </w:t>
      </w:r>
      <w:hyperlink r:id="rId9" w:history="1">
        <w:r w:rsidRPr="00AD1F61">
          <w:rPr>
            <w:rStyle w:val="Hyperlink"/>
            <w:rFonts w:ascii="Arial" w:eastAsia="Arial" w:hAnsi="Arial" w:cs="Arial"/>
            <w:sz w:val="20"/>
            <w:szCs w:val="20"/>
          </w:rPr>
          <w:t xml:space="preserve">Marktbericht Bürovermietung Hamburg </w:t>
        </w:r>
        <w:r w:rsidR="00CD4A02" w:rsidRPr="00AD1F61">
          <w:rPr>
            <w:rStyle w:val="Hyperlink"/>
            <w:rFonts w:ascii="Arial" w:eastAsia="Arial" w:hAnsi="Arial" w:cs="Arial"/>
            <w:sz w:val="20"/>
            <w:szCs w:val="20"/>
          </w:rPr>
          <w:t>2022/Q3</w:t>
        </w:r>
      </w:hyperlink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steht in Kürze auf unserer Website z</w:t>
      </w:r>
      <w:bookmarkStart w:id="0" w:name="_GoBack"/>
      <w:bookmarkEnd w:id="0"/>
      <w:r>
        <w:rPr>
          <w:rFonts w:ascii="Arial" w:eastAsia="Arial" w:hAnsi="Arial" w:cs="Arial"/>
          <w:color w:val="000000" w:themeColor="text1"/>
          <w:sz w:val="20"/>
          <w:szCs w:val="20"/>
        </w:rPr>
        <w:t>um Download bereit.</w:t>
      </w:r>
    </w:p>
    <w:p w14:paraId="351DF6B0" w14:textId="77777777" w:rsidR="00EB2E4B" w:rsidRDefault="00EB2E4B" w:rsidP="00EB2E4B">
      <w:pPr>
        <w:pStyle w:val="Kommentartext"/>
        <w:spacing w:after="0" w:line="360" w:lineRule="auto"/>
        <w:rPr>
          <w:rFonts w:ascii="Arial" w:hAnsi="Arial" w:cs="Arial"/>
        </w:rPr>
      </w:pPr>
    </w:p>
    <w:p w14:paraId="598D9D52" w14:textId="77777777" w:rsidR="00EB2E4B" w:rsidRPr="0090748B" w:rsidRDefault="00EB2E4B" w:rsidP="00EB2E4B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28D93565" w14:textId="77777777" w:rsidR="00EB2E4B" w:rsidRPr="00521AA1" w:rsidRDefault="00EB2E4B" w:rsidP="00EB2E4B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521AA1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 xml:space="preserve">Den Hauptsitz in Hamburg miteingerechnet, unterhält das Unternehmen 22 Standorte. Hierüber ist Grossmann &amp; Berger flächendeckend im norddeutschen Markt präsent. Über die seit Mai 2021 zum Unternehmen gehörenden Gesellschaften </w:t>
      </w:r>
      <w:hyperlink r:id="rId11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>Rund 240 Mitarbeiter decken mit ihrer umfassenden Immobilienkompetenz das gesamte Branchen-Dienstleistungsspektrum ab. Bei ihrer Tätigkeit können sie auf mehr als 85 Jahre Unternehmenstradition zurückgreifen.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521AA1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21AA1">
        <w:rPr>
          <w:rFonts w:ascii="Arial" w:hAnsi="Arial" w:cs="Arial"/>
          <w:sz w:val="16"/>
          <w:szCs w:val="16"/>
        </w:rPr>
        <w:t xml:space="preserve"> (GPP).</w:t>
      </w:r>
    </w:p>
    <w:p w14:paraId="2FE23F08" w14:textId="77777777" w:rsidR="00EB2E4B" w:rsidRPr="00521AA1" w:rsidRDefault="00EB2E4B" w:rsidP="00EB2E4B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598D97F" w14:textId="77777777" w:rsidR="00EB2E4B" w:rsidRDefault="00EB2E4B" w:rsidP="00EB2E4B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E85C204" w14:textId="2DBF9C79" w:rsidR="00503D8C" w:rsidRPr="00EB2E4B" w:rsidRDefault="00EB2E4B" w:rsidP="00EB2E4B">
      <w:pPr>
        <w:spacing w:after="0"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lastRenderedPageBreak/>
        <w:t xml:space="preserve">Die </w:t>
      </w:r>
      <w:hyperlink r:id="rId14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sectPr w:rsidR="00503D8C" w:rsidRPr="00EB2E4B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1FC1F" w14:textId="77777777" w:rsidR="006261DF" w:rsidRDefault="006261DF">
      <w:r>
        <w:separator/>
      </w:r>
    </w:p>
  </w:endnote>
  <w:endnote w:type="continuationSeparator" w:id="0">
    <w:p w14:paraId="3208BE65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9964F" w14:textId="50599339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92005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</w:t>
    </w:r>
    <w:r w:rsidR="004B20F8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/</w:t>
    </w:r>
    <w:r w:rsidR="004B20F8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350 80 2-0 | www.grossmann-berger.de</w:t>
    </w:r>
  </w:p>
  <w:p w14:paraId="6B083F2C" w14:textId="5CD1BB59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AD1F61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AD1F61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38FA3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1F47B225" wp14:editId="1C89EA7E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39ED3" w14:textId="77777777" w:rsidR="006261DF" w:rsidRDefault="006261DF">
      <w:r>
        <w:separator/>
      </w:r>
    </w:p>
  </w:footnote>
  <w:footnote w:type="continuationSeparator" w:id="0">
    <w:p w14:paraId="39B0F1CE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29A0F" w14:textId="77777777" w:rsidR="006138CB" w:rsidRPr="009E3ADA" w:rsidRDefault="00E5203C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43D6D" wp14:editId="4D656D57">
              <wp:simplePos x="0" y="0"/>
              <wp:positionH relativeFrom="column">
                <wp:posOffset>-83516</wp:posOffset>
              </wp:positionH>
              <wp:positionV relativeFrom="paragraph">
                <wp:posOffset>22225</wp:posOffset>
              </wp:positionV>
              <wp:extent cx="4579620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5AE53" w14:textId="6F10C67C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</w:t>
                          </w:r>
                          <w:r w:rsidR="004B20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4B20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743D6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.75pt;width:360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" filled="f" stroked="f">
              <v:textbox style="mso-fit-shape-to-text:t">
                <w:txbxContent>
                  <w:p w14:paraId="71F5AE53" w14:textId="6F10C67C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</w:t>
                    </w:r>
                    <w:r w:rsidR="004B20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4B20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B6D33E7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5ACE5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208E6D" wp14:editId="4704D40C">
              <wp:simplePos x="0" y="0"/>
              <wp:positionH relativeFrom="column">
                <wp:posOffset>-80341</wp:posOffset>
              </wp:positionH>
              <wp:positionV relativeFrom="paragraph">
                <wp:posOffset>21590</wp:posOffset>
              </wp:positionV>
              <wp:extent cx="4579952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9F499" w14:textId="1F8493AD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</w:t>
                          </w:r>
                          <w:r w:rsidR="004B20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4B20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08E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35pt;margin-top:1.7pt;width:360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" filled="f" stroked="f">
              <v:textbox style="mso-fit-shape-to-text:t">
                <w:txbxContent>
                  <w:p w14:paraId="65C9F499" w14:textId="1F8493AD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</w:t>
                    </w:r>
                    <w:r w:rsidR="004B20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4B20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6FE6CB11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0528E8"/>
    <w:multiLevelType w:val="hybridMultilevel"/>
    <w:tmpl w:val="0D90CF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00B82"/>
    <w:multiLevelType w:val="hybridMultilevel"/>
    <w:tmpl w:val="40A20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42410"/>
    <w:multiLevelType w:val="hybridMultilevel"/>
    <w:tmpl w:val="74541A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BD0102"/>
    <w:multiLevelType w:val="hybridMultilevel"/>
    <w:tmpl w:val="8CD674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8"/>
  </w:num>
  <w:num w:numId="14">
    <w:abstractNumId w:val="15"/>
  </w:num>
  <w:num w:numId="15">
    <w:abstractNumId w:val="16"/>
  </w:num>
  <w:num w:numId="16">
    <w:abstractNumId w:val="17"/>
  </w:num>
  <w:num w:numId="17">
    <w:abstractNumId w:val="13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3075C"/>
    <w:rsid w:val="0003457F"/>
    <w:rsid w:val="00041858"/>
    <w:rsid w:val="00045697"/>
    <w:rsid w:val="00051F61"/>
    <w:rsid w:val="00052659"/>
    <w:rsid w:val="000539E2"/>
    <w:rsid w:val="00060743"/>
    <w:rsid w:val="00066796"/>
    <w:rsid w:val="000766D7"/>
    <w:rsid w:val="000A1B7A"/>
    <w:rsid w:val="000A2529"/>
    <w:rsid w:val="000B3315"/>
    <w:rsid w:val="000C3226"/>
    <w:rsid w:val="000C770D"/>
    <w:rsid w:val="000D5E8E"/>
    <w:rsid w:val="000E03F3"/>
    <w:rsid w:val="000E3623"/>
    <w:rsid w:val="000F0E7C"/>
    <w:rsid w:val="000F509A"/>
    <w:rsid w:val="001029C4"/>
    <w:rsid w:val="0011080A"/>
    <w:rsid w:val="0011486D"/>
    <w:rsid w:val="00116BC8"/>
    <w:rsid w:val="00121E33"/>
    <w:rsid w:val="00123E01"/>
    <w:rsid w:val="00126550"/>
    <w:rsid w:val="00126EEF"/>
    <w:rsid w:val="001324D6"/>
    <w:rsid w:val="00135BD2"/>
    <w:rsid w:val="001429D0"/>
    <w:rsid w:val="00150454"/>
    <w:rsid w:val="001533C6"/>
    <w:rsid w:val="00154825"/>
    <w:rsid w:val="00155DAF"/>
    <w:rsid w:val="00165E83"/>
    <w:rsid w:val="0017516B"/>
    <w:rsid w:val="00176F1D"/>
    <w:rsid w:val="001801C0"/>
    <w:rsid w:val="00192B9D"/>
    <w:rsid w:val="00195B90"/>
    <w:rsid w:val="001A2ABE"/>
    <w:rsid w:val="001A360C"/>
    <w:rsid w:val="001C61D7"/>
    <w:rsid w:val="001D14DA"/>
    <w:rsid w:val="001E6995"/>
    <w:rsid w:val="001E7013"/>
    <w:rsid w:val="001F1513"/>
    <w:rsid w:val="001F43C6"/>
    <w:rsid w:val="00205769"/>
    <w:rsid w:val="00212FEC"/>
    <w:rsid w:val="002131BB"/>
    <w:rsid w:val="0022086D"/>
    <w:rsid w:val="00227E31"/>
    <w:rsid w:val="00230F81"/>
    <w:rsid w:val="00233D8F"/>
    <w:rsid w:val="00254C6F"/>
    <w:rsid w:val="0025679F"/>
    <w:rsid w:val="0027266B"/>
    <w:rsid w:val="0027363B"/>
    <w:rsid w:val="00276FB2"/>
    <w:rsid w:val="00281E80"/>
    <w:rsid w:val="002834B0"/>
    <w:rsid w:val="00283671"/>
    <w:rsid w:val="00284E27"/>
    <w:rsid w:val="00287506"/>
    <w:rsid w:val="002916A0"/>
    <w:rsid w:val="002A11B2"/>
    <w:rsid w:val="002A1973"/>
    <w:rsid w:val="002A6649"/>
    <w:rsid w:val="002B3C3A"/>
    <w:rsid w:val="002C2392"/>
    <w:rsid w:val="002D1C5C"/>
    <w:rsid w:val="002D1E20"/>
    <w:rsid w:val="002D584C"/>
    <w:rsid w:val="002E6860"/>
    <w:rsid w:val="002F0411"/>
    <w:rsid w:val="00305C18"/>
    <w:rsid w:val="00307302"/>
    <w:rsid w:val="003100F1"/>
    <w:rsid w:val="003112F5"/>
    <w:rsid w:val="00322ACC"/>
    <w:rsid w:val="00325E2A"/>
    <w:rsid w:val="0034786C"/>
    <w:rsid w:val="003517C9"/>
    <w:rsid w:val="00353937"/>
    <w:rsid w:val="00370000"/>
    <w:rsid w:val="00373507"/>
    <w:rsid w:val="0038230E"/>
    <w:rsid w:val="00382529"/>
    <w:rsid w:val="003847B2"/>
    <w:rsid w:val="00387375"/>
    <w:rsid w:val="00394A86"/>
    <w:rsid w:val="003B24E3"/>
    <w:rsid w:val="003B4CCF"/>
    <w:rsid w:val="003C21E0"/>
    <w:rsid w:val="003C4FD8"/>
    <w:rsid w:val="003C6AB4"/>
    <w:rsid w:val="003D512D"/>
    <w:rsid w:val="003E0779"/>
    <w:rsid w:val="003E099F"/>
    <w:rsid w:val="003E41FB"/>
    <w:rsid w:val="003E4330"/>
    <w:rsid w:val="0040086D"/>
    <w:rsid w:val="004017D8"/>
    <w:rsid w:val="00411E03"/>
    <w:rsid w:val="004123B1"/>
    <w:rsid w:val="0041298D"/>
    <w:rsid w:val="004205FA"/>
    <w:rsid w:val="00423E06"/>
    <w:rsid w:val="00423E19"/>
    <w:rsid w:val="004303A1"/>
    <w:rsid w:val="00440DC9"/>
    <w:rsid w:val="004506D2"/>
    <w:rsid w:val="004526F6"/>
    <w:rsid w:val="00456F40"/>
    <w:rsid w:val="004609BD"/>
    <w:rsid w:val="004634D9"/>
    <w:rsid w:val="004661EE"/>
    <w:rsid w:val="00466741"/>
    <w:rsid w:val="00475BA6"/>
    <w:rsid w:val="00477A07"/>
    <w:rsid w:val="00486DD1"/>
    <w:rsid w:val="004904E8"/>
    <w:rsid w:val="004A2BEA"/>
    <w:rsid w:val="004A3C64"/>
    <w:rsid w:val="004A5AEA"/>
    <w:rsid w:val="004B0343"/>
    <w:rsid w:val="004B20F8"/>
    <w:rsid w:val="004B2FDA"/>
    <w:rsid w:val="004B480A"/>
    <w:rsid w:val="004B6696"/>
    <w:rsid w:val="004D3D75"/>
    <w:rsid w:val="004E339B"/>
    <w:rsid w:val="004E4562"/>
    <w:rsid w:val="004F077F"/>
    <w:rsid w:val="004F097F"/>
    <w:rsid w:val="005023DD"/>
    <w:rsid w:val="00503D8C"/>
    <w:rsid w:val="0050790E"/>
    <w:rsid w:val="005111DD"/>
    <w:rsid w:val="00522B84"/>
    <w:rsid w:val="00526DD0"/>
    <w:rsid w:val="00531A7F"/>
    <w:rsid w:val="005428C5"/>
    <w:rsid w:val="00543C55"/>
    <w:rsid w:val="005554C7"/>
    <w:rsid w:val="0058279B"/>
    <w:rsid w:val="00582B99"/>
    <w:rsid w:val="00590903"/>
    <w:rsid w:val="005A040F"/>
    <w:rsid w:val="005B0FC9"/>
    <w:rsid w:val="005B4202"/>
    <w:rsid w:val="005B66D3"/>
    <w:rsid w:val="005C0A26"/>
    <w:rsid w:val="005C4556"/>
    <w:rsid w:val="005C5302"/>
    <w:rsid w:val="005E362E"/>
    <w:rsid w:val="005E4B48"/>
    <w:rsid w:val="005E4D11"/>
    <w:rsid w:val="00600E64"/>
    <w:rsid w:val="0061109D"/>
    <w:rsid w:val="00612AA0"/>
    <w:rsid w:val="006138CB"/>
    <w:rsid w:val="006224C4"/>
    <w:rsid w:val="006225EA"/>
    <w:rsid w:val="006261DF"/>
    <w:rsid w:val="0062679A"/>
    <w:rsid w:val="00642074"/>
    <w:rsid w:val="00642904"/>
    <w:rsid w:val="006563EB"/>
    <w:rsid w:val="00656B29"/>
    <w:rsid w:val="00660780"/>
    <w:rsid w:val="00667A1B"/>
    <w:rsid w:val="00683F13"/>
    <w:rsid w:val="0069521D"/>
    <w:rsid w:val="00695E58"/>
    <w:rsid w:val="00697AA1"/>
    <w:rsid w:val="006A03D5"/>
    <w:rsid w:val="006A1329"/>
    <w:rsid w:val="006A66F9"/>
    <w:rsid w:val="006C77F1"/>
    <w:rsid w:val="006E2677"/>
    <w:rsid w:val="006F2EE8"/>
    <w:rsid w:val="006F6158"/>
    <w:rsid w:val="00713A47"/>
    <w:rsid w:val="007208AB"/>
    <w:rsid w:val="00720DFF"/>
    <w:rsid w:val="007466E0"/>
    <w:rsid w:val="00762CC5"/>
    <w:rsid w:val="00764025"/>
    <w:rsid w:val="00774464"/>
    <w:rsid w:val="007846B3"/>
    <w:rsid w:val="007906B4"/>
    <w:rsid w:val="007A3012"/>
    <w:rsid w:val="007A4A44"/>
    <w:rsid w:val="007A5FCF"/>
    <w:rsid w:val="007A7F58"/>
    <w:rsid w:val="007D1244"/>
    <w:rsid w:val="007D1AF6"/>
    <w:rsid w:val="007E759D"/>
    <w:rsid w:val="007F49FD"/>
    <w:rsid w:val="008115D5"/>
    <w:rsid w:val="00812471"/>
    <w:rsid w:val="008261A5"/>
    <w:rsid w:val="0083382E"/>
    <w:rsid w:val="00851DBD"/>
    <w:rsid w:val="00853339"/>
    <w:rsid w:val="00855325"/>
    <w:rsid w:val="00862E34"/>
    <w:rsid w:val="00865915"/>
    <w:rsid w:val="00866AE7"/>
    <w:rsid w:val="00871832"/>
    <w:rsid w:val="00886CCE"/>
    <w:rsid w:val="00890348"/>
    <w:rsid w:val="00895028"/>
    <w:rsid w:val="00896B33"/>
    <w:rsid w:val="008A00C5"/>
    <w:rsid w:val="008A62FB"/>
    <w:rsid w:val="008A6585"/>
    <w:rsid w:val="008A77B7"/>
    <w:rsid w:val="008B0F67"/>
    <w:rsid w:val="008C608D"/>
    <w:rsid w:val="008E1C5F"/>
    <w:rsid w:val="008E461D"/>
    <w:rsid w:val="008E6412"/>
    <w:rsid w:val="008F08E5"/>
    <w:rsid w:val="008F0EA4"/>
    <w:rsid w:val="008F423B"/>
    <w:rsid w:val="008F5213"/>
    <w:rsid w:val="0090748B"/>
    <w:rsid w:val="00920C9C"/>
    <w:rsid w:val="00922754"/>
    <w:rsid w:val="0092297D"/>
    <w:rsid w:val="00925781"/>
    <w:rsid w:val="009258D0"/>
    <w:rsid w:val="00935AB3"/>
    <w:rsid w:val="00957DE0"/>
    <w:rsid w:val="009734CE"/>
    <w:rsid w:val="009864F4"/>
    <w:rsid w:val="00996E1A"/>
    <w:rsid w:val="009A0E66"/>
    <w:rsid w:val="009B3C8C"/>
    <w:rsid w:val="009D24DA"/>
    <w:rsid w:val="009D5D75"/>
    <w:rsid w:val="009E7674"/>
    <w:rsid w:val="009F32A2"/>
    <w:rsid w:val="009F54CE"/>
    <w:rsid w:val="00A04A9E"/>
    <w:rsid w:val="00A06264"/>
    <w:rsid w:val="00A07CA3"/>
    <w:rsid w:val="00A14078"/>
    <w:rsid w:val="00A14C92"/>
    <w:rsid w:val="00A1639A"/>
    <w:rsid w:val="00A16998"/>
    <w:rsid w:val="00A215C9"/>
    <w:rsid w:val="00A5264B"/>
    <w:rsid w:val="00A52CBD"/>
    <w:rsid w:val="00A5364B"/>
    <w:rsid w:val="00A615E0"/>
    <w:rsid w:val="00A61BBC"/>
    <w:rsid w:val="00A62338"/>
    <w:rsid w:val="00A65E2B"/>
    <w:rsid w:val="00A72D61"/>
    <w:rsid w:val="00A74AA0"/>
    <w:rsid w:val="00A7546D"/>
    <w:rsid w:val="00A77100"/>
    <w:rsid w:val="00A829BA"/>
    <w:rsid w:val="00AA4D97"/>
    <w:rsid w:val="00AC0717"/>
    <w:rsid w:val="00AD17B7"/>
    <w:rsid w:val="00AD1F61"/>
    <w:rsid w:val="00B077D5"/>
    <w:rsid w:val="00B110AB"/>
    <w:rsid w:val="00B11C66"/>
    <w:rsid w:val="00B150EF"/>
    <w:rsid w:val="00B200E4"/>
    <w:rsid w:val="00B35B6D"/>
    <w:rsid w:val="00B35DC6"/>
    <w:rsid w:val="00B455AF"/>
    <w:rsid w:val="00B47901"/>
    <w:rsid w:val="00B51699"/>
    <w:rsid w:val="00B53FAF"/>
    <w:rsid w:val="00B543F9"/>
    <w:rsid w:val="00B559C4"/>
    <w:rsid w:val="00B63153"/>
    <w:rsid w:val="00B6527D"/>
    <w:rsid w:val="00B73550"/>
    <w:rsid w:val="00B73B3A"/>
    <w:rsid w:val="00B74507"/>
    <w:rsid w:val="00B75718"/>
    <w:rsid w:val="00B75E7E"/>
    <w:rsid w:val="00B81983"/>
    <w:rsid w:val="00B92005"/>
    <w:rsid w:val="00B93817"/>
    <w:rsid w:val="00B9622F"/>
    <w:rsid w:val="00BA0B96"/>
    <w:rsid w:val="00BB15DA"/>
    <w:rsid w:val="00BB340D"/>
    <w:rsid w:val="00BC2A3A"/>
    <w:rsid w:val="00BC64EC"/>
    <w:rsid w:val="00BD073D"/>
    <w:rsid w:val="00BE3639"/>
    <w:rsid w:val="00BF3AFD"/>
    <w:rsid w:val="00BF4F54"/>
    <w:rsid w:val="00C1086F"/>
    <w:rsid w:val="00C1606C"/>
    <w:rsid w:val="00C21CCF"/>
    <w:rsid w:val="00C23180"/>
    <w:rsid w:val="00C40809"/>
    <w:rsid w:val="00C41492"/>
    <w:rsid w:val="00C519D3"/>
    <w:rsid w:val="00C57585"/>
    <w:rsid w:val="00C702B5"/>
    <w:rsid w:val="00C70389"/>
    <w:rsid w:val="00C72EED"/>
    <w:rsid w:val="00C82B6C"/>
    <w:rsid w:val="00C8617F"/>
    <w:rsid w:val="00C904B6"/>
    <w:rsid w:val="00C96DF4"/>
    <w:rsid w:val="00CA25A2"/>
    <w:rsid w:val="00CC1337"/>
    <w:rsid w:val="00CC48DF"/>
    <w:rsid w:val="00CD0EFC"/>
    <w:rsid w:val="00CD4A02"/>
    <w:rsid w:val="00CD4CE5"/>
    <w:rsid w:val="00CD70E7"/>
    <w:rsid w:val="00CD7363"/>
    <w:rsid w:val="00CE0C1F"/>
    <w:rsid w:val="00CE455F"/>
    <w:rsid w:val="00CE687E"/>
    <w:rsid w:val="00CF0BF9"/>
    <w:rsid w:val="00CF0C9B"/>
    <w:rsid w:val="00CF2280"/>
    <w:rsid w:val="00CF5957"/>
    <w:rsid w:val="00D04BA2"/>
    <w:rsid w:val="00D077B0"/>
    <w:rsid w:val="00D21B3B"/>
    <w:rsid w:val="00D22D42"/>
    <w:rsid w:val="00D24B4C"/>
    <w:rsid w:val="00D36D8D"/>
    <w:rsid w:val="00D45711"/>
    <w:rsid w:val="00D500FC"/>
    <w:rsid w:val="00D5104F"/>
    <w:rsid w:val="00D51597"/>
    <w:rsid w:val="00D5326E"/>
    <w:rsid w:val="00D55867"/>
    <w:rsid w:val="00D634A3"/>
    <w:rsid w:val="00D71987"/>
    <w:rsid w:val="00D72339"/>
    <w:rsid w:val="00D73E47"/>
    <w:rsid w:val="00D74ABB"/>
    <w:rsid w:val="00D83CB7"/>
    <w:rsid w:val="00D84CB5"/>
    <w:rsid w:val="00D84D46"/>
    <w:rsid w:val="00D94696"/>
    <w:rsid w:val="00D97FA8"/>
    <w:rsid w:val="00DA054B"/>
    <w:rsid w:val="00DA7F55"/>
    <w:rsid w:val="00DC7B25"/>
    <w:rsid w:val="00DD6B73"/>
    <w:rsid w:val="00E06E94"/>
    <w:rsid w:val="00E112C9"/>
    <w:rsid w:val="00E158F7"/>
    <w:rsid w:val="00E2087E"/>
    <w:rsid w:val="00E31133"/>
    <w:rsid w:val="00E36818"/>
    <w:rsid w:val="00E47B97"/>
    <w:rsid w:val="00E5203C"/>
    <w:rsid w:val="00E634CC"/>
    <w:rsid w:val="00E70681"/>
    <w:rsid w:val="00E82F0E"/>
    <w:rsid w:val="00E90DFD"/>
    <w:rsid w:val="00E96FAC"/>
    <w:rsid w:val="00EA129F"/>
    <w:rsid w:val="00EB2E4B"/>
    <w:rsid w:val="00ED0582"/>
    <w:rsid w:val="00EE075D"/>
    <w:rsid w:val="00EE31F6"/>
    <w:rsid w:val="00EE36DC"/>
    <w:rsid w:val="00EE5F5B"/>
    <w:rsid w:val="00EE67DC"/>
    <w:rsid w:val="00EE7304"/>
    <w:rsid w:val="00F044EE"/>
    <w:rsid w:val="00F13885"/>
    <w:rsid w:val="00F23BDE"/>
    <w:rsid w:val="00F26E7B"/>
    <w:rsid w:val="00F32759"/>
    <w:rsid w:val="00F3320B"/>
    <w:rsid w:val="00F40E92"/>
    <w:rsid w:val="00F41947"/>
    <w:rsid w:val="00F435AA"/>
    <w:rsid w:val="00F448CB"/>
    <w:rsid w:val="00F45730"/>
    <w:rsid w:val="00F55AD0"/>
    <w:rsid w:val="00F635B4"/>
    <w:rsid w:val="00F67DD8"/>
    <w:rsid w:val="00F750C9"/>
    <w:rsid w:val="00F76C6A"/>
    <w:rsid w:val="00F83BF1"/>
    <w:rsid w:val="00F90CB9"/>
    <w:rsid w:val="00F944DB"/>
    <w:rsid w:val="00F97373"/>
    <w:rsid w:val="00FA3D62"/>
    <w:rsid w:val="00FA6854"/>
    <w:rsid w:val="00FB064F"/>
    <w:rsid w:val="00FB144F"/>
    <w:rsid w:val="00FB159A"/>
    <w:rsid w:val="00FB4D77"/>
    <w:rsid w:val="00FC497D"/>
    <w:rsid w:val="00FD076B"/>
    <w:rsid w:val="00FF283F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  <w14:docId w14:val="430BBF27"/>
  <w15:docId w15:val="{00E98723-0562-49FF-BF92-99B3AA9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15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F32759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5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35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3550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5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550"/>
    <w:rPr>
      <w:b/>
      <w:bCs/>
      <w:sz w:val="20"/>
      <w:szCs w:val="20"/>
      <w:lang w:eastAsia="en-US"/>
    </w:rPr>
  </w:style>
  <w:style w:type="character" w:styleId="Hervorhebung">
    <w:name w:val="Emphasis"/>
    <w:basedOn w:val="Absatz-Standardschriftart"/>
    <w:uiPriority w:val="20"/>
    <w:qFormat/>
    <w:locked/>
    <w:rsid w:val="00B559C4"/>
    <w:rPr>
      <w:i/>
      <w:iCs/>
    </w:rPr>
  </w:style>
  <w:style w:type="paragraph" w:customStyle="1" w:styleId="GrafikBeschriftungNL">
    <w:name w:val="Grafik Beschriftung NL"/>
    <w:basedOn w:val="FliesstextNL"/>
    <w:uiPriority w:val="99"/>
    <w:rsid w:val="00E06E94"/>
    <w:pPr>
      <w:jc w:val="left"/>
    </w:pPr>
    <w:rPr>
      <w:spacing w:val="-3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ossmann-berger.de/unternehmen/pressemappe/nutzungsbedingungen-press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unternehmen/pressemap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info/marktberichte-preistrends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4E90-F3BD-4520-AA46-4385C9FA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4</cp:revision>
  <cp:lastPrinted>2017-12-15T09:20:00Z</cp:lastPrinted>
  <dcterms:created xsi:type="dcterms:W3CDTF">2022-10-04T11:04:00Z</dcterms:created>
  <dcterms:modified xsi:type="dcterms:W3CDTF">2022-10-04T14:10:00Z</dcterms:modified>
</cp:coreProperties>
</file>